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C29B28" w14:textId="3A88D8E0" w:rsidR="00962CB0" w:rsidRDefault="00962CB0" w:rsidP="00091F53">
      <w:pPr>
        <w:spacing w:after="0"/>
        <w:rPr>
          <w:rStyle w:val="normaltextrun"/>
          <w:rFonts w:ascii="Calibri" w:hAnsi="Calibri" w:cs="Calibri"/>
          <w:color w:val="000000"/>
          <w:sz w:val="48"/>
          <w:szCs w:val="48"/>
          <w:shd w:val="clear" w:color="auto" w:fill="FFFFFF"/>
        </w:rPr>
      </w:pPr>
      <w:bookmarkStart w:id="0" w:name="_Toc197557015"/>
      <w:bookmarkStart w:id="1" w:name="_Toc194488665"/>
      <w:r>
        <w:rPr>
          <w:rFonts w:ascii="Calibri" w:hAnsi="Calibri" w:cs="Calibri"/>
          <w:noProof/>
          <w:color w:val="000000"/>
          <w:sz w:val="48"/>
          <w:szCs w:val="48"/>
          <w:shd w:val="clear" w:color="auto" w:fill="FFFFFF"/>
        </w:rPr>
        <w:drawing>
          <wp:anchor distT="0" distB="0" distL="114300" distR="114300" simplePos="0" relativeHeight="251658240" behindDoc="1" locked="0" layoutInCell="1" allowOverlap="1" wp14:anchorId="2EF4DE58" wp14:editId="3066EE55">
            <wp:simplePos x="0" y="0"/>
            <wp:positionH relativeFrom="column">
              <wp:posOffset>-913130</wp:posOffset>
            </wp:positionH>
            <wp:positionV relativeFrom="paragraph">
              <wp:posOffset>-914400</wp:posOffset>
            </wp:positionV>
            <wp:extent cx="7558768" cy="10692000"/>
            <wp:effectExtent l="0" t="0" r="4445" b="0"/>
            <wp:wrapNone/>
            <wp:docPr id="1556088843" name="Picture 1" descr="A green cover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88843" name="Picture 1" descr="A green cover with white 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570ADE08" w14:textId="77777777" w:rsidR="00962CB0" w:rsidRDefault="00962CB0" w:rsidP="00091F53">
      <w:pPr>
        <w:spacing w:after="0"/>
        <w:rPr>
          <w:rStyle w:val="normaltextrun"/>
          <w:rFonts w:ascii="Calibri" w:hAnsi="Calibri" w:cs="Calibri"/>
          <w:color w:val="000000"/>
          <w:sz w:val="48"/>
          <w:szCs w:val="48"/>
          <w:shd w:val="clear" w:color="auto" w:fill="FFFFFF"/>
        </w:rPr>
      </w:pPr>
    </w:p>
    <w:p w14:paraId="06EB4EF9" w14:textId="77777777" w:rsidR="00962CB0" w:rsidRDefault="00962CB0" w:rsidP="00091F53">
      <w:pPr>
        <w:spacing w:after="0"/>
        <w:rPr>
          <w:rStyle w:val="normaltextrun"/>
          <w:rFonts w:ascii="Calibri" w:hAnsi="Calibri" w:cs="Calibri"/>
          <w:color w:val="000000"/>
          <w:sz w:val="48"/>
          <w:szCs w:val="48"/>
          <w:shd w:val="clear" w:color="auto" w:fill="FFFFFF"/>
        </w:rPr>
      </w:pPr>
    </w:p>
    <w:p w14:paraId="40804A61" w14:textId="77777777" w:rsidR="00962CB0" w:rsidRDefault="00962CB0" w:rsidP="00091F53">
      <w:pPr>
        <w:spacing w:after="0"/>
        <w:rPr>
          <w:rStyle w:val="normaltextrun"/>
          <w:rFonts w:ascii="Calibri" w:hAnsi="Calibri" w:cs="Calibri"/>
          <w:color w:val="000000"/>
          <w:sz w:val="48"/>
          <w:szCs w:val="48"/>
          <w:shd w:val="clear" w:color="auto" w:fill="FFFFFF"/>
        </w:rPr>
      </w:pPr>
    </w:p>
    <w:p w14:paraId="142DF7AB" w14:textId="77777777" w:rsidR="00962CB0" w:rsidRDefault="00962CB0" w:rsidP="00091F53">
      <w:pPr>
        <w:spacing w:after="0"/>
        <w:rPr>
          <w:rStyle w:val="normaltextrun"/>
          <w:rFonts w:ascii="Calibri" w:hAnsi="Calibri" w:cs="Calibri"/>
          <w:color w:val="000000"/>
          <w:sz w:val="48"/>
          <w:szCs w:val="48"/>
          <w:shd w:val="clear" w:color="auto" w:fill="FFFFFF"/>
        </w:rPr>
      </w:pPr>
    </w:p>
    <w:p w14:paraId="390792ED" w14:textId="77777777" w:rsidR="00962CB0" w:rsidRDefault="00962CB0" w:rsidP="00091F53">
      <w:pPr>
        <w:spacing w:after="0"/>
        <w:rPr>
          <w:rStyle w:val="normaltextrun"/>
          <w:rFonts w:ascii="Calibri" w:hAnsi="Calibri" w:cs="Calibri"/>
          <w:color w:val="000000"/>
          <w:sz w:val="48"/>
          <w:szCs w:val="48"/>
          <w:shd w:val="clear" w:color="auto" w:fill="FFFFFF"/>
        </w:rPr>
      </w:pPr>
    </w:p>
    <w:p w14:paraId="759CB03C" w14:textId="77777777" w:rsidR="00962CB0" w:rsidRDefault="00962CB0" w:rsidP="00091F53">
      <w:pPr>
        <w:spacing w:after="0"/>
        <w:rPr>
          <w:rStyle w:val="normaltextrun"/>
          <w:rFonts w:ascii="Calibri" w:hAnsi="Calibri" w:cs="Calibri"/>
          <w:color w:val="000000"/>
          <w:sz w:val="48"/>
          <w:szCs w:val="48"/>
          <w:shd w:val="clear" w:color="auto" w:fill="FFFFFF"/>
        </w:rPr>
      </w:pPr>
    </w:p>
    <w:p w14:paraId="0B9D48C9" w14:textId="77777777" w:rsidR="00962CB0" w:rsidRDefault="00962CB0" w:rsidP="00091F53">
      <w:pPr>
        <w:spacing w:after="0"/>
        <w:rPr>
          <w:rStyle w:val="normaltextrun"/>
          <w:rFonts w:ascii="Calibri" w:hAnsi="Calibri" w:cs="Calibri"/>
          <w:color w:val="000000"/>
          <w:sz w:val="48"/>
          <w:szCs w:val="48"/>
          <w:shd w:val="clear" w:color="auto" w:fill="FFFFFF"/>
        </w:rPr>
      </w:pPr>
    </w:p>
    <w:p w14:paraId="49AAC9DE" w14:textId="77777777" w:rsidR="00962CB0" w:rsidRDefault="00962CB0" w:rsidP="00091F53">
      <w:pPr>
        <w:spacing w:after="0"/>
        <w:rPr>
          <w:rStyle w:val="normaltextrun"/>
          <w:rFonts w:ascii="Calibri" w:hAnsi="Calibri" w:cs="Calibri"/>
          <w:color w:val="000000"/>
          <w:sz w:val="48"/>
          <w:szCs w:val="48"/>
          <w:shd w:val="clear" w:color="auto" w:fill="FFFFFF"/>
        </w:rPr>
      </w:pPr>
    </w:p>
    <w:p w14:paraId="39FC0B1F" w14:textId="77777777" w:rsidR="00962CB0" w:rsidRDefault="00962CB0" w:rsidP="00091F53">
      <w:pPr>
        <w:spacing w:after="0"/>
        <w:rPr>
          <w:rStyle w:val="normaltextrun"/>
          <w:rFonts w:ascii="Calibri" w:hAnsi="Calibri" w:cs="Calibri"/>
          <w:color w:val="000000"/>
          <w:sz w:val="48"/>
          <w:szCs w:val="48"/>
          <w:shd w:val="clear" w:color="auto" w:fill="FFFFFF"/>
        </w:rPr>
      </w:pPr>
    </w:p>
    <w:p w14:paraId="5AC20C2D" w14:textId="77777777" w:rsidR="00962CB0" w:rsidRDefault="00962CB0" w:rsidP="00091F53">
      <w:pPr>
        <w:spacing w:after="0"/>
        <w:rPr>
          <w:rStyle w:val="normaltextrun"/>
          <w:rFonts w:ascii="Calibri" w:hAnsi="Calibri" w:cs="Calibri"/>
          <w:color w:val="000000"/>
          <w:sz w:val="48"/>
          <w:szCs w:val="48"/>
          <w:shd w:val="clear" w:color="auto" w:fill="FFFFFF"/>
        </w:rPr>
      </w:pPr>
    </w:p>
    <w:p w14:paraId="527E0CAB" w14:textId="77777777" w:rsidR="00962CB0" w:rsidRDefault="00962CB0" w:rsidP="00091F53">
      <w:pPr>
        <w:spacing w:after="0"/>
        <w:rPr>
          <w:rStyle w:val="normaltextrun"/>
          <w:rFonts w:ascii="Calibri" w:hAnsi="Calibri" w:cs="Calibri"/>
          <w:color w:val="000000"/>
          <w:sz w:val="48"/>
          <w:szCs w:val="48"/>
          <w:shd w:val="clear" w:color="auto" w:fill="FFFFFF"/>
        </w:rPr>
      </w:pPr>
    </w:p>
    <w:p w14:paraId="797307D1" w14:textId="77777777" w:rsidR="00962CB0" w:rsidRDefault="00962CB0" w:rsidP="00091F53">
      <w:pPr>
        <w:spacing w:after="0"/>
        <w:rPr>
          <w:rStyle w:val="normaltextrun"/>
          <w:rFonts w:ascii="Calibri" w:hAnsi="Calibri" w:cs="Calibri"/>
          <w:color w:val="000000"/>
          <w:sz w:val="48"/>
          <w:szCs w:val="48"/>
          <w:shd w:val="clear" w:color="auto" w:fill="FFFFFF"/>
        </w:rPr>
      </w:pPr>
    </w:p>
    <w:p w14:paraId="0C690878" w14:textId="77777777" w:rsidR="00962CB0" w:rsidRDefault="00962CB0" w:rsidP="00091F53">
      <w:pPr>
        <w:spacing w:after="0"/>
        <w:rPr>
          <w:rStyle w:val="normaltextrun"/>
          <w:rFonts w:ascii="Calibri" w:hAnsi="Calibri" w:cs="Calibri"/>
          <w:color w:val="000000"/>
          <w:sz w:val="48"/>
          <w:szCs w:val="48"/>
          <w:shd w:val="clear" w:color="auto" w:fill="FFFFFF"/>
        </w:rPr>
      </w:pPr>
    </w:p>
    <w:p w14:paraId="4509F9A6" w14:textId="77777777" w:rsidR="00962CB0" w:rsidRDefault="00962CB0" w:rsidP="00091F53">
      <w:pPr>
        <w:spacing w:after="0"/>
        <w:rPr>
          <w:rStyle w:val="normaltextrun"/>
          <w:rFonts w:ascii="Calibri" w:hAnsi="Calibri" w:cs="Calibri"/>
          <w:color w:val="000000"/>
          <w:sz w:val="48"/>
          <w:szCs w:val="48"/>
          <w:shd w:val="clear" w:color="auto" w:fill="FFFFFF"/>
        </w:rPr>
      </w:pPr>
    </w:p>
    <w:p w14:paraId="6C2BB7AB" w14:textId="77777777" w:rsidR="00962CB0" w:rsidRDefault="00962CB0" w:rsidP="00091F53">
      <w:pPr>
        <w:spacing w:after="0"/>
        <w:rPr>
          <w:rStyle w:val="normaltextrun"/>
          <w:rFonts w:ascii="Calibri" w:hAnsi="Calibri" w:cs="Calibri"/>
          <w:color w:val="000000"/>
          <w:sz w:val="48"/>
          <w:szCs w:val="48"/>
          <w:shd w:val="clear" w:color="auto" w:fill="FFFFFF"/>
        </w:rPr>
      </w:pPr>
    </w:p>
    <w:p w14:paraId="6F8045CB" w14:textId="77777777" w:rsidR="00962CB0" w:rsidRDefault="00962CB0" w:rsidP="00091F53">
      <w:pPr>
        <w:spacing w:after="0"/>
        <w:rPr>
          <w:rStyle w:val="normaltextrun"/>
          <w:rFonts w:ascii="Calibri" w:hAnsi="Calibri" w:cs="Calibri"/>
          <w:color w:val="000000"/>
          <w:sz w:val="48"/>
          <w:szCs w:val="48"/>
          <w:shd w:val="clear" w:color="auto" w:fill="FFFFFF"/>
        </w:rPr>
      </w:pPr>
    </w:p>
    <w:p w14:paraId="2377FF82" w14:textId="77777777" w:rsidR="00962CB0" w:rsidRDefault="00962CB0" w:rsidP="00091F53">
      <w:pPr>
        <w:spacing w:after="0"/>
        <w:rPr>
          <w:rStyle w:val="normaltextrun"/>
          <w:rFonts w:ascii="Calibri" w:hAnsi="Calibri" w:cs="Calibri"/>
          <w:color w:val="000000"/>
          <w:sz w:val="48"/>
          <w:szCs w:val="48"/>
          <w:shd w:val="clear" w:color="auto" w:fill="FFFFFF"/>
        </w:rPr>
      </w:pPr>
    </w:p>
    <w:p w14:paraId="72B8A36D" w14:textId="77777777" w:rsidR="00962CB0" w:rsidRDefault="00962CB0" w:rsidP="00091F53">
      <w:pPr>
        <w:spacing w:after="0"/>
        <w:rPr>
          <w:rStyle w:val="normaltextrun"/>
          <w:rFonts w:ascii="Calibri" w:hAnsi="Calibri" w:cs="Calibri"/>
          <w:color w:val="000000"/>
          <w:sz w:val="48"/>
          <w:szCs w:val="48"/>
          <w:shd w:val="clear" w:color="auto" w:fill="FFFFFF"/>
        </w:rPr>
      </w:pPr>
    </w:p>
    <w:p w14:paraId="4B8A76A4" w14:textId="77777777" w:rsidR="00962CB0" w:rsidRDefault="00962CB0" w:rsidP="00091F53">
      <w:pPr>
        <w:spacing w:after="0"/>
        <w:rPr>
          <w:rStyle w:val="normaltextrun"/>
          <w:rFonts w:ascii="Calibri" w:hAnsi="Calibri" w:cs="Calibri"/>
          <w:color w:val="000000"/>
          <w:sz w:val="48"/>
          <w:szCs w:val="48"/>
          <w:shd w:val="clear" w:color="auto" w:fill="FFFFFF"/>
        </w:rPr>
      </w:pPr>
    </w:p>
    <w:p w14:paraId="1A47A792" w14:textId="77777777" w:rsidR="00962CB0" w:rsidRDefault="00962CB0" w:rsidP="00091F53">
      <w:pPr>
        <w:spacing w:after="0"/>
        <w:rPr>
          <w:rStyle w:val="normaltextrun"/>
          <w:rFonts w:ascii="Calibri" w:hAnsi="Calibri" w:cs="Calibri"/>
          <w:color w:val="000000"/>
          <w:sz w:val="48"/>
          <w:szCs w:val="48"/>
          <w:shd w:val="clear" w:color="auto" w:fill="FFFFFF"/>
        </w:rPr>
      </w:pPr>
    </w:p>
    <w:p w14:paraId="1BC125E2" w14:textId="19F655D6" w:rsidR="00091F53" w:rsidRDefault="00091F53" w:rsidP="00091F53">
      <w:pPr>
        <w:spacing w:after="0"/>
        <w:rPr>
          <w:b/>
          <w:bCs/>
        </w:rPr>
      </w:pPr>
      <w:r w:rsidRPr="00714BC4">
        <w:rPr>
          <w:b/>
          <w:bCs/>
        </w:rPr>
        <w:t>About the National Cancer Registry</w:t>
      </w:r>
    </w:p>
    <w:p w14:paraId="5BD71C80" w14:textId="77777777" w:rsidR="00091F53" w:rsidRPr="00714BC4" w:rsidRDefault="00091F53" w:rsidP="00091F53">
      <w:pPr>
        <w:spacing w:after="0"/>
        <w:rPr>
          <w:b/>
          <w:bCs/>
        </w:rPr>
      </w:pPr>
    </w:p>
    <w:p w14:paraId="666D4CB0" w14:textId="77777777" w:rsidR="00091F53" w:rsidRDefault="00091F53" w:rsidP="00091F53">
      <w:pPr>
        <w:spacing w:after="0"/>
      </w:pPr>
      <w:r w:rsidRPr="00714BC4">
        <w:t>The National Cancer Registry was established by the Minister for Health in 1991. It has been collecting</w:t>
      </w:r>
      <w:r>
        <w:t xml:space="preserve"> </w:t>
      </w:r>
      <w:r w:rsidRPr="00714BC4">
        <w:t>comprehensive cancer information for the population of the Republic of Ireland since 1994. This</w:t>
      </w:r>
      <w:r>
        <w:t xml:space="preserve"> </w:t>
      </w:r>
      <w:r w:rsidRPr="00714BC4">
        <w:t>information is used in research into the causes of cancer, in education and information programmes, and</w:t>
      </w:r>
      <w:r>
        <w:t xml:space="preserve"> </w:t>
      </w:r>
      <w:r w:rsidRPr="00714BC4">
        <w:t>in the planning and management of cancer services to deliver the best cancer care to the whole</w:t>
      </w:r>
      <w:r>
        <w:t xml:space="preserve"> </w:t>
      </w:r>
      <w:r w:rsidRPr="00714BC4">
        <w:t>population.</w:t>
      </w:r>
    </w:p>
    <w:p w14:paraId="0A23F540" w14:textId="77777777" w:rsidR="00091F53" w:rsidRPr="00714BC4" w:rsidRDefault="00091F53" w:rsidP="00091F53">
      <w:pPr>
        <w:spacing w:after="0"/>
      </w:pPr>
    </w:p>
    <w:p w14:paraId="20844EA6" w14:textId="77777777" w:rsidR="00091F53" w:rsidRDefault="00091F53" w:rsidP="00091F53">
      <w:pPr>
        <w:spacing w:after="0"/>
      </w:pPr>
      <w:r w:rsidRPr="00714BC4">
        <w:t>The mission of the National Cancer Registry of Ireland (NCRI) is to capture data and communicate</w:t>
      </w:r>
      <w:r>
        <w:t xml:space="preserve"> </w:t>
      </w:r>
      <w:r w:rsidRPr="00714BC4">
        <w:t>information on cancer patients nationally to support the improvement of cancer outcomes in Ireland.</w:t>
      </w:r>
    </w:p>
    <w:p w14:paraId="0ECA0B34" w14:textId="77777777" w:rsidR="00091F53" w:rsidRPr="00714BC4" w:rsidRDefault="00091F53" w:rsidP="00091F53">
      <w:pPr>
        <w:spacing w:after="0"/>
      </w:pPr>
    </w:p>
    <w:p w14:paraId="781C75A5" w14:textId="77777777" w:rsidR="00091F53" w:rsidRDefault="00091F53" w:rsidP="00091F53">
      <w:pPr>
        <w:spacing w:after="0"/>
      </w:pPr>
      <w:r w:rsidRPr="00714BC4">
        <w:t>We collect information from all hospitals in Ireland on the number of persons diagnosed with cancer and</w:t>
      </w:r>
      <w:r>
        <w:t xml:space="preserve"> </w:t>
      </w:r>
      <w:r w:rsidRPr="00714BC4">
        <w:t>the types of cancer they have. We also follow up the numbers dying from their cancer or from other</w:t>
      </w:r>
      <w:r>
        <w:t xml:space="preserve"> </w:t>
      </w:r>
      <w:r w:rsidRPr="00714BC4">
        <w:t>causes. All the patient’s personal and private details are removed before summaries of this information are</w:t>
      </w:r>
      <w:r>
        <w:t xml:space="preserve"> </w:t>
      </w:r>
      <w:r w:rsidRPr="00714BC4">
        <w:t>made available to public and health professionals through our annual cancer report and other reports on</w:t>
      </w:r>
      <w:r>
        <w:t xml:space="preserve"> </w:t>
      </w:r>
      <w:r w:rsidRPr="00714BC4">
        <w:t>our website.</w:t>
      </w:r>
    </w:p>
    <w:p w14:paraId="76DA3E23" w14:textId="77777777" w:rsidR="00091F53" w:rsidRPr="00714BC4" w:rsidRDefault="00091F53" w:rsidP="00091F53">
      <w:pPr>
        <w:spacing w:after="0"/>
      </w:pPr>
    </w:p>
    <w:p w14:paraId="2D8EC704" w14:textId="77777777" w:rsidR="00091F53" w:rsidRDefault="00091F53" w:rsidP="00091F53">
      <w:pPr>
        <w:spacing w:after="0"/>
        <w:rPr>
          <w:b/>
          <w:bCs/>
        </w:rPr>
      </w:pPr>
      <w:r w:rsidRPr="00714BC4">
        <w:rPr>
          <w:b/>
          <w:bCs/>
        </w:rPr>
        <w:t>This report should be cited as:</w:t>
      </w:r>
    </w:p>
    <w:p w14:paraId="5975B97F" w14:textId="18157F5C" w:rsidR="00091F53" w:rsidRPr="00714BC4" w:rsidRDefault="00091F53" w:rsidP="00091F53">
      <w:pPr>
        <w:spacing w:after="0"/>
      </w:pPr>
      <w:r w:rsidRPr="00714BC4">
        <w:t xml:space="preserve">O'Hare C, Finneran L, McDevitt J, </w:t>
      </w:r>
      <w:r w:rsidR="74A38B51">
        <w:t>George AM,</w:t>
      </w:r>
      <w:r>
        <w:t xml:space="preserve"> </w:t>
      </w:r>
      <w:r w:rsidRPr="00714BC4">
        <w:t xml:space="preserve">Kavanagh P, Kabir Z, Sheridan A, Murray D, Redaniel MT (2025). </w:t>
      </w:r>
      <w:r w:rsidRPr="00714BC4">
        <w:rPr>
          <w:i/>
          <w:iCs/>
        </w:rPr>
        <w:t>Tobacco-Related Cancers in Ireland 1994-2022.</w:t>
      </w:r>
      <w:r w:rsidRPr="00714BC4">
        <w:t xml:space="preserve"> Cork, Ireland: National Cancer Registry Ireland. Available at: URL [Accessed Day Month Year].</w:t>
      </w:r>
    </w:p>
    <w:p w14:paraId="145A1D33" w14:textId="77777777" w:rsidR="00091F53" w:rsidRPr="00714BC4" w:rsidRDefault="00091F53" w:rsidP="00091F53">
      <w:pPr>
        <w:spacing w:after="0"/>
        <w:rPr>
          <w:b/>
          <w:bCs/>
        </w:rPr>
      </w:pPr>
    </w:p>
    <w:p w14:paraId="601EDBC2" w14:textId="77777777" w:rsidR="00091F53" w:rsidRPr="00714BC4" w:rsidRDefault="00091F53" w:rsidP="00091F53">
      <w:pPr>
        <w:spacing w:after="0"/>
        <w:rPr>
          <w:b/>
          <w:bCs/>
        </w:rPr>
      </w:pPr>
      <w:r w:rsidRPr="00714BC4">
        <w:rPr>
          <w:b/>
          <w:bCs/>
        </w:rPr>
        <w:t>Published by:</w:t>
      </w:r>
    </w:p>
    <w:p w14:paraId="1AE17E17" w14:textId="77777777" w:rsidR="00091F53" w:rsidRPr="00714BC4" w:rsidRDefault="00091F53" w:rsidP="00091F53">
      <w:pPr>
        <w:spacing w:after="0" w:line="240" w:lineRule="auto"/>
      </w:pPr>
      <w:r w:rsidRPr="00714BC4">
        <w:t>National Cancer Registry</w:t>
      </w:r>
    </w:p>
    <w:p w14:paraId="57AEFF50" w14:textId="77777777" w:rsidR="00091F53" w:rsidRPr="00714BC4" w:rsidRDefault="00091F53" w:rsidP="00091F53">
      <w:pPr>
        <w:spacing w:after="0" w:line="240" w:lineRule="auto"/>
      </w:pPr>
      <w:r w:rsidRPr="00714BC4">
        <w:t>Building 6800,</w:t>
      </w:r>
    </w:p>
    <w:p w14:paraId="6F857A6C" w14:textId="77777777" w:rsidR="00091F53" w:rsidRPr="00714BC4" w:rsidRDefault="00091F53" w:rsidP="00091F53">
      <w:pPr>
        <w:spacing w:after="0" w:line="240" w:lineRule="auto"/>
      </w:pPr>
      <w:r w:rsidRPr="00714BC4">
        <w:t>Cork Airport Business Park,</w:t>
      </w:r>
    </w:p>
    <w:p w14:paraId="6EB683AF" w14:textId="77777777" w:rsidR="00091F53" w:rsidRPr="00714BC4" w:rsidRDefault="00091F53" w:rsidP="00091F53">
      <w:pPr>
        <w:spacing w:after="0" w:line="240" w:lineRule="auto"/>
      </w:pPr>
      <w:r w:rsidRPr="00714BC4">
        <w:t>Kinsale Road, Cork, Ireland.</w:t>
      </w:r>
    </w:p>
    <w:p w14:paraId="6AE6B38D" w14:textId="77777777" w:rsidR="00091F53" w:rsidRPr="00714BC4" w:rsidRDefault="00091F53" w:rsidP="00091F53">
      <w:pPr>
        <w:spacing w:after="0" w:line="240" w:lineRule="auto"/>
      </w:pPr>
      <w:r w:rsidRPr="00714BC4">
        <w:t>T12 CDF7</w:t>
      </w:r>
    </w:p>
    <w:p w14:paraId="2F83267A" w14:textId="77777777" w:rsidR="00091F53" w:rsidRDefault="00091F53" w:rsidP="00091F53">
      <w:pPr>
        <w:spacing w:after="0"/>
      </w:pPr>
      <w:r w:rsidRPr="00714BC4">
        <w:rPr>
          <w:b/>
          <w:bCs/>
        </w:rPr>
        <w:t xml:space="preserve">Telephone: </w:t>
      </w:r>
      <w:r w:rsidRPr="00714BC4">
        <w:t>+353 21 4318014</w:t>
      </w:r>
    </w:p>
    <w:p w14:paraId="76CB11CD" w14:textId="77777777" w:rsidR="00091F53" w:rsidRDefault="00091F53" w:rsidP="0075645A">
      <w:pPr>
        <w:rPr>
          <w:b/>
          <w:bCs/>
        </w:rPr>
        <w:sectPr w:rsidR="00091F53" w:rsidSect="002746C0">
          <w:footerReference w:type="default" r:id="rId12"/>
          <w:pgSz w:w="11906" w:h="16838"/>
          <w:pgMar w:top="1440" w:right="1440" w:bottom="1440" w:left="1440" w:header="708" w:footer="708" w:gutter="0"/>
          <w:cols w:space="708"/>
          <w:docGrid w:linePitch="360"/>
        </w:sectPr>
      </w:pPr>
    </w:p>
    <w:p w14:paraId="4910963A" w14:textId="77777777" w:rsidR="003E2932" w:rsidRPr="00EF46D9" w:rsidRDefault="003E2932" w:rsidP="0075645A">
      <w:pPr>
        <w:rPr>
          <w:b/>
          <w:bCs/>
        </w:rPr>
      </w:pPr>
      <w:r w:rsidRPr="00EF46D9">
        <w:rPr>
          <w:b/>
          <w:bCs/>
        </w:rPr>
        <w:lastRenderedPageBreak/>
        <w:t>Report at a glance</w:t>
      </w:r>
      <w:bookmarkEnd w:id="0"/>
    </w:p>
    <w:tbl>
      <w:tblPr>
        <w:tblW w:w="9214" w:type="dxa"/>
        <w:tblLook w:val="04A0" w:firstRow="1" w:lastRow="0" w:firstColumn="1" w:lastColumn="0" w:noHBand="0" w:noVBand="1"/>
      </w:tblPr>
      <w:tblGrid>
        <w:gridCol w:w="4395"/>
        <w:gridCol w:w="261"/>
        <w:gridCol w:w="4558"/>
      </w:tblGrid>
      <w:tr w:rsidR="003E2932" w:rsidRPr="00E75945" w14:paraId="2F4A8472" w14:textId="77777777" w:rsidTr="0041177B">
        <w:tc>
          <w:tcPr>
            <w:tcW w:w="4395" w:type="dxa"/>
            <w:shd w:val="clear" w:color="auto" w:fill="0779A7"/>
          </w:tcPr>
          <w:p w14:paraId="1C6011C1" w14:textId="77777777" w:rsidR="003E2932" w:rsidRPr="00E75945" w:rsidRDefault="003E2932" w:rsidP="0041177B">
            <w:pPr>
              <w:rPr>
                <w:rFonts w:cstheme="minorHAnsi"/>
                <w:b/>
                <w:color w:val="FFFFFF" w:themeColor="background1"/>
              </w:rPr>
            </w:pPr>
            <w:r w:rsidRPr="00E75945">
              <w:rPr>
                <w:rFonts w:cstheme="minorHAnsi"/>
                <w:b/>
                <w:color w:val="FFFFFF" w:themeColor="background1"/>
              </w:rPr>
              <w:t>Who are we, and what do we do?</w:t>
            </w:r>
          </w:p>
          <w:p w14:paraId="2C95D50F" w14:textId="77777777" w:rsidR="003E2932" w:rsidRPr="00E75945" w:rsidRDefault="003E2932" w:rsidP="0041177B">
            <w:pPr>
              <w:rPr>
                <w:color w:val="FFFFFF" w:themeColor="background1"/>
              </w:rPr>
            </w:pPr>
            <w:r w:rsidRPr="00E75945">
              <w:rPr>
                <w:color w:val="FFFFFF" w:themeColor="background1"/>
              </w:rPr>
              <w:t>The National Cancer Registry of Ireland (NCRI) works on behalf of the Department of Health and collects information from all hospitals in Ireland on the number of persons diagnosed with cancer and the types of cancer they have. NCRI also follows up the numbers dying from their cancer or from other causes.</w:t>
            </w:r>
          </w:p>
          <w:p w14:paraId="0B1B5FEB" w14:textId="59E8A5B5" w:rsidR="003E2932" w:rsidRPr="00E75945" w:rsidRDefault="003E2932" w:rsidP="0041177B">
            <w:pPr>
              <w:rPr>
                <w:rFonts w:cstheme="minorHAnsi"/>
                <w:color w:val="FFFFFF" w:themeColor="background1"/>
              </w:rPr>
            </w:pPr>
            <w:r w:rsidRPr="00E75945">
              <w:rPr>
                <w:color w:val="FFFFFF" w:themeColor="background1"/>
              </w:rPr>
              <w:t>All patient personal and private information is removed before summary cancer statistics are prepared and made available to the public and health professionals through our annual cancer report and other reports on our website.</w:t>
            </w:r>
          </w:p>
        </w:tc>
        <w:tc>
          <w:tcPr>
            <w:tcW w:w="261" w:type="dxa"/>
          </w:tcPr>
          <w:p w14:paraId="343B6814" w14:textId="77777777" w:rsidR="003E2932" w:rsidRPr="00E75945" w:rsidRDefault="003E2932" w:rsidP="0041177B">
            <w:pPr>
              <w:rPr>
                <w:rFonts w:cstheme="minorHAnsi"/>
                <w:color w:val="FFFFFF" w:themeColor="background1"/>
              </w:rPr>
            </w:pPr>
          </w:p>
        </w:tc>
        <w:tc>
          <w:tcPr>
            <w:tcW w:w="4558" w:type="dxa"/>
            <w:shd w:val="clear" w:color="auto" w:fill="01A2B5"/>
          </w:tcPr>
          <w:p w14:paraId="66149976" w14:textId="77777777" w:rsidR="003E2932" w:rsidRPr="00E75945" w:rsidRDefault="003E2932" w:rsidP="0041177B">
            <w:pPr>
              <w:rPr>
                <w:rFonts w:cstheme="minorHAnsi"/>
                <w:b/>
                <w:color w:val="FFFFFF" w:themeColor="background1"/>
              </w:rPr>
            </w:pPr>
            <w:r w:rsidRPr="00E75945">
              <w:rPr>
                <w:rFonts w:cstheme="minorHAnsi"/>
                <w:b/>
                <w:color w:val="FFFFFF" w:themeColor="background1"/>
              </w:rPr>
              <w:t>How are the numbers reported?</w:t>
            </w:r>
          </w:p>
          <w:p w14:paraId="3F5027AC" w14:textId="441C7A0F" w:rsidR="003E2932" w:rsidRPr="00E75945" w:rsidRDefault="003E2932" w:rsidP="0041177B">
            <w:pPr>
              <w:rPr>
                <w:rFonts w:cstheme="minorHAnsi"/>
                <w:color w:val="FFFFFF" w:themeColor="background1"/>
              </w:rPr>
            </w:pPr>
            <w:r w:rsidRPr="00E75945">
              <w:rPr>
                <w:rFonts w:cstheme="minorHAnsi"/>
                <w:color w:val="FFFFFF" w:themeColor="background1"/>
              </w:rPr>
              <w:t xml:space="preserve">Collecting and checking </w:t>
            </w:r>
            <w:r w:rsidR="005D28C3">
              <w:rPr>
                <w:rFonts w:cstheme="minorHAnsi"/>
                <w:color w:val="FFFFFF" w:themeColor="background1"/>
              </w:rPr>
              <w:t>o</w:t>
            </w:r>
            <w:r w:rsidR="005D28C3">
              <w:rPr>
                <w:color w:val="FFFFFF" w:themeColor="background1"/>
              </w:rPr>
              <w:t xml:space="preserve">f </w:t>
            </w:r>
            <w:r w:rsidRPr="00E75945">
              <w:rPr>
                <w:rFonts w:cstheme="minorHAnsi"/>
                <w:color w:val="FFFFFF" w:themeColor="background1"/>
              </w:rPr>
              <w:t>this information is performed by a combination of manual and electronic processes. Our staff collect cancer diagnosis information and then use an agreed system of coding (</w:t>
            </w:r>
            <w:r w:rsidR="000E3E54">
              <w:rPr>
                <w:rFonts w:cstheme="minorHAnsi"/>
                <w:color w:val="FFFFFF" w:themeColor="background1"/>
              </w:rPr>
              <w:t>t</w:t>
            </w:r>
            <w:r w:rsidRPr="00E75945">
              <w:rPr>
                <w:rFonts w:cstheme="minorHAnsi"/>
                <w:color w:val="FFFFFF" w:themeColor="background1"/>
              </w:rPr>
              <w:t>he International Classification of Diseases) to group the cancers into different types.</w:t>
            </w:r>
          </w:p>
          <w:p w14:paraId="010EC93B" w14:textId="3A1F3208" w:rsidR="003E2932" w:rsidRPr="00E75945" w:rsidRDefault="003E2932" w:rsidP="0041177B">
            <w:pPr>
              <w:rPr>
                <w:rFonts w:cstheme="minorHAnsi"/>
                <w:color w:val="FFFFFF" w:themeColor="background1"/>
              </w:rPr>
            </w:pPr>
            <w:r w:rsidRPr="00E75945">
              <w:rPr>
                <w:rFonts w:cstheme="minorHAnsi"/>
                <w:color w:val="FFFFFF" w:themeColor="background1"/>
              </w:rPr>
              <w:t>After a process of collating diverse information from Irish hospitals and assigning it to the correct person, report</w:t>
            </w:r>
            <w:r w:rsidR="000E3E54">
              <w:rPr>
                <w:rFonts w:cstheme="minorHAnsi"/>
                <w:color w:val="FFFFFF" w:themeColor="background1"/>
              </w:rPr>
              <w:t>s are</w:t>
            </w:r>
            <w:r w:rsidRPr="00E75945">
              <w:rPr>
                <w:rFonts w:cstheme="minorHAnsi"/>
                <w:color w:val="FFFFFF" w:themeColor="background1"/>
              </w:rPr>
              <w:t xml:space="preserve"> published following analysis of de-identified data.</w:t>
            </w:r>
          </w:p>
        </w:tc>
      </w:tr>
    </w:tbl>
    <w:p w14:paraId="58C7E31A" w14:textId="77777777" w:rsidR="003E2932" w:rsidRPr="00E75945" w:rsidRDefault="003E2932" w:rsidP="003E2932"/>
    <w:tbl>
      <w:tblPr>
        <w:tblW w:w="9214" w:type="dxa"/>
        <w:tblLook w:val="04A0" w:firstRow="1" w:lastRow="0" w:firstColumn="1" w:lastColumn="0" w:noHBand="0" w:noVBand="1"/>
      </w:tblPr>
      <w:tblGrid>
        <w:gridCol w:w="2268"/>
        <w:gridCol w:w="284"/>
        <w:gridCol w:w="1417"/>
        <w:gridCol w:w="284"/>
        <w:gridCol w:w="4773"/>
        <w:gridCol w:w="188"/>
      </w:tblGrid>
      <w:tr w:rsidR="003E2932" w:rsidRPr="00E75945" w14:paraId="285E9FC9" w14:textId="77777777" w:rsidTr="00CE4734">
        <w:trPr>
          <w:trHeight w:val="2736"/>
        </w:trPr>
        <w:tc>
          <w:tcPr>
            <w:tcW w:w="3969" w:type="dxa"/>
            <w:gridSpan w:val="3"/>
            <w:shd w:val="clear" w:color="auto" w:fill="0779A7"/>
          </w:tcPr>
          <w:p w14:paraId="0760520D" w14:textId="77777777" w:rsidR="003E2932" w:rsidRPr="00E75945" w:rsidRDefault="003E2932" w:rsidP="0041177B">
            <w:pPr>
              <w:rPr>
                <w:rFonts w:cstheme="minorHAnsi"/>
                <w:b/>
                <w:color w:val="FFFFFF" w:themeColor="background1"/>
              </w:rPr>
            </w:pPr>
            <w:r w:rsidRPr="00E75945">
              <w:rPr>
                <w:rFonts w:cstheme="minorHAnsi"/>
                <w:b/>
                <w:color w:val="FFFFFF" w:themeColor="background1"/>
              </w:rPr>
              <w:t>What is in this report?</w:t>
            </w:r>
          </w:p>
          <w:p w14:paraId="1538603E" w14:textId="77777777" w:rsidR="003E2932" w:rsidRPr="00E75945" w:rsidRDefault="003E2932" w:rsidP="0041177B">
            <w:pPr>
              <w:spacing w:line="259" w:lineRule="auto"/>
              <w:rPr>
                <w:rFonts w:cstheme="minorHAnsi"/>
                <w:color w:val="FFFFFF" w:themeColor="background1"/>
              </w:rPr>
            </w:pPr>
            <w:r w:rsidRPr="00E75945">
              <w:rPr>
                <w:rFonts w:cstheme="minorHAnsi"/>
                <w:color w:val="FFFFFF" w:themeColor="background1"/>
              </w:rPr>
              <w:t xml:space="preserve">This report </w:t>
            </w:r>
            <w:r>
              <w:rPr>
                <w:rFonts w:cstheme="minorHAnsi"/>
                <w:color w:val="FFFFFF" w:themeColor="background1"/>
              </w:rPr>
              <w:t xml:space="preserve">examines </w:t>
            </w:r>
            <w:r w:rsidRPr="00E75945">
              <w:rPr>
                <w:rFonts w:cstheme="minorHAnsi"/>
                <w:color w:val="FFFFFF" w:themeColor="background1"/>
              </w:rPr>
              <w:t>incidence,</w:t>
            </w:r>
            <w:r>
              <w:rPr>
                <w:rFonts w:cstheme="minorHAnsi"/>
                <w:color w:val="FFFFFF" w:themeColor="background1"/>
              </w:rPr>
              <w:t xml:space="preserve"> mortality,</w:t>
            </w:r>
            <w:r w:rsidRPr="00E75945">
              <w:rPr>
                <w:rFonts w:cstheme="minorHAnsi"/>
                <w:color w:val="FFFFFF" w:themeColor="background1"/>
              </w:rPr>
              <w:t xml:space="preserve"> survival and </w:t>
            </w:r>
            <w:r>
              <w:rPr>
                <w:rFonts w:cstheme="minorHAnsi"/>
                <w:color w:val="FFFFFF" w:themeColor="background1"/>
              </w:rPr>
              <w:t>population attributable fractions (PAFs) for tobacco-related cancers.</w:t>
            </w:r>
          </w:p>
          <w:p w14:paraId="2ED0E1BF" w14:textId="77777777" w:rsidR="003E2932" w:rsidRPr="00E75945" w:rsidRDefault="003E2932" w:rsidP="0041177B">
            <w:pPr>
              <w:spacing w:line="259" w:lineRule="auto"/>
              <w:rPr>
                <w:rFonts w:cstheme="minorHAnsi"/>
                <w:color w:val="FFFFFF" w:themeColor="background1"/>
              </w:rPr>
            </w:pPr>
            <w:r w:rsidRPr="00E75945">
              <w:rPr>
                <w:rFonts w:cstheme="minorHAnsi"/>
                <w:color w:val="FFFFFF" w:themeColor="background1"/>
              </w:rPr>
              <w:t>Findings are presented for:</w:t>
            </w:r>
          </w:p>
          <w:p w14:paraId="1E713135" w14:textId="5909B126" w:rsidR="003E2932" w:rsidRDefault="003E2932" w:rsidP="006C1190">
            <w:pPr>
              <w:numPr>
                <w:ilvl w:val="0"/>
                <w:numId w:val="40"/>
              </w:numPr>
              <w:spacing w:line="259" w:lineRule="auto"/>
              <w:ind w:left="602" w:hanging="242"/>
              <w:contextualSpacing/>
              <w:rPr>
                <w:rFonts w:cstheme="minorHAnsi"/>
                <w:color w:val="FFFFFF" w:themeColor="background1"/>
              </w:rPr>
            </w:pPr>
            <w:r>
              <w:rPr>
                <w:rFonts w:cstheme="minorHAnsi"/>
                <w:color w:val="FFFFFF" w:themeColor="background1"/>
              </w:rPr>
              <w:t>Incidence and incidence trends over time (1994-2022)</w:t>
            </w:r>
            <w:r w:rsidR="00F21CFD">
              <w:rPr>
                <w:rFonts w:cstheme="minorHAnsi"/>
                <w:color w:val="FFFFFF" w:themeColor="background1"/>
              </w:rPr>
              <w:t>.</w:t>
            </w:r>
          </w:p>
          <w:p w14:paraId="77798967" w14:textId="77777777" w:rsidR="003E2932" w:rsidRDefault="003E2932" w:rsidP="006C1190">
            <w:pPr>
              <w:spacing w:line="259" w:lineRule="auto"/>
              <w:ind w:left="602" w:hanging="242"/>
              <w:contextualSpacing/>
              <w:rPr>
                <w:rFonts w:cstheme="minorHAnsi"/>
                <w:color w:val="FFFFFF" w:themeColor="background1"/>
              </w:rPr>
            </w:pPr>
          </w:p>
          <w:p w14:paraId="0C993BBE" w14:textId="67303139" w:rsidR="003E2932" w:rsidRDefault="003E2932" w:rsidP="006C1190">
            <w:pPr>
              <w:numPr>
                <w:ilvl w:val="0"/>
                <w:numId w:val="40"/>
              </w:numPr>
              <w:spacing w:line="259" w:lineRule="auto"/>
              <w:ind w:left="602" w:hanging="242"/>
              <w:contextualSpacing/>
              <w:rPr>
                <w:rFonts w:cstheme="minorHAnsi"/>
                <w:color w:val="FFFFFF" w:themeColor="background1"/>
              </w:rPr>
            </w:pPr>
            <w:r>
              <w:rPr>
                <w:rFonts w:cstheme="minorHAnsi"/>
                <w:color w:val="FFFFFF" w:themeColor="background1"/>
              </w:rPr>
              <w:t>Incidence by deprivation quintile (2014-2018)</w:t>
            </w:r>
            <w:r w:rsidR="00F21CFD">
              <w:rPr>
                <w:rFonts w:cstheme="minorHAnsi"/>
                <w:color w:val="FFFFFF" w:themeColor="background1"/>
              </w:rPr>
              <w:t>.</w:t>
            </w:r>
          </w:p>
          <w:p w14:paraId="6D959D4C" w14:textId="487CAF27" w:rsidR="003E2932" w:rsidRPr="00D54289" w:rsidRDefault="003E2932" w:rsidP="006C1190">
            <w:pPr>
              <w:pStyle w:val="ListParagraph"/>
              <w:numPr>
                <w:ilvl w:val="0"/>
                <w:numId w:val="40"/>
              </w:numPr>
              <w:ind w:left="602" w:hanging="242"/>
              <w:rPr>
                <w:rFonts w:cstheme="minorHAnsi"/>
                <w:color w:val="FFFFFF" w:themeColor="background1"/>
              </w:rPr>
            </w:pPr>
            <w:r>
              <w:rPr>
                <w:rFonts w:cstheme="minorHAnsi"/>
                <w:color w:val="FFFFFF" w:themeColor="background1"/>
              </w:rPr>
              <w:t xml:space="preserve">Mortality </w:t>
            </w:r>
            <w:r w:rsidRPr="00D54289">
              <w:rPr>
                <w:rFonts w:cstheme="minorHAnsi"/>
                <w:color w:val="FFFFFF" w:themeColor="background1"/>
              </w:rPr>
              <w:t xml:space="preserve">and </w:t>
            </w:r>
            <w:r>
              <w:rPr>
                <w:rFonts w:cstheme="minorHAnsi"/>
                <w:color w:val="FFFFFF" w:themeColor="background1"/>
              </w:rPr>
              <w:t xml:space="preserve">mortality </w:t>
            </w:r>
            <w:r w:rsidRPr="00D54289">
              <w:rPr>
                <w:rFonts w:cstheme="minorHAnsi"/>
                <w:color w:val="FFFFFF" w:themeColor="background1"/>
              </w:rPr>
              <w:t>trends over time (1994-2022)</w:t>
            </w:r>
            <w:r w:rsidR="00F21CFD">
              <w:rPr>
                <w:rFonts w:cstheme="minorHAnsi"/>
                <w:color w:val="FFFFFF" w:themeColor="background1"/>
              </w:rPr>
              <w:t>.</w:t>
            </w:r>
          </w:p>
          <w:p w14:paraId="1FC04C12" w14:textId="24E22C97" w:rsidR="003E2932" w:rsidRDefault="003E2932" w:rsidP="006C1190">
            <w:pPr>
              <w:numPr>
                <w:ilvl w:val="0"/>
                <w:numId w:val="40"/>
              </w:numPr>
              <w:spacing w:line="259" w:lineRule="auto"/>
              <w:ind w:left="602" w:hanging="242"/>
              <w:contextualSpacing/>
              <w:rPr>
                <w:rFonts w:cstheme="minorHAnsi"/>
                <w:color w:val="FFFFFF" w:themeColor="background1"/>
              </w:rPr>
            </w:pPr>
            <w:r>
              <w:rPr>
                <w:rFonts w:cstheme="minorHAnsi"/>
                <w:color w:val="FFFFFF" w:themeColor="background1"/>
              </w:rPr>
              <w:t>Survival (1994-2022)</w:t>
            </w:r>
            <w:r w:rsidR="00F21CFD">
              <w:rPr>
                <w:rFonts w:cstheme="minorHAnsi"/>
                <w:color w:val="FFFFFF" w:themeColor="background1"/>
              </w:rPr>
              <w:t>.</w:t>
            </w:r>
          </w:p>
          <w:p w14:paraId="2F3311E7" w14:textId="77777777" w:rsidR="003E2932" w:rsidRDefault="003E2932" w:rsidP="006C1190">
            <w:pPr>
              <w:spacing w:line="259" w:lineRule="auto"/>
              <w:ind w:left="602" w:hanging="242"/>
              <w:contextualSpacing/>
              <w:rPr>
                <w:rFonts w:cstheme="minorHAnsi"/>
                <w:color w:val="FFFFFF" w:themeColor="background1"/>
              </w:rPr>
            </w:pPr>
          </w:p>
          <w:p w14:paraId="554289B5" w14:textId="04D025B7" w:rsidR="003E2932" w:rsidRPr="00E75945" w:rsidRDefault="003E2932" w:rsidP="006C1190">
            <w:pPr>
              <w:numPr>
                <w:ilvl w:val="0"/>
                <w:numId w:val="40"/>
              </w:numPr>
              <w:spacing w:line="259" w:lineRule="auto"/>
              <w:ind w:left="602" w:hanging="242"/>
              <w:contextualSpacing/>
              <w:rPr>
                <w:rFonts w:cstheme="minorHAnsi"/>
                <w:color w:val="FFFFFF" w:themeColor="background1"/>
              </w:rPr>
            </w:pPr>
            <w:r>
              <w:rPr>
                <w:rFonts w:cstheme="minorHAnsi"/>
                <w:color w:val="FFFFFF" w:themeColor="background1"/>
              </w:rPr>
              <w:t>P</w:t>
            </w:r>
            <w:r w:rsidR="00B2490C">
              <w:rPr>
                <w:rFonts w:cstheme="minorHAnsi"/>
                <w:color w:val="FFFFFF" w:themeColor="background1"/>
              </w:rPr>
              <w:t xml:space="preserve">opulation </w:t>
            </w:r>
            <w:r w:rsidR="000E3E54">
              <w:rPr>
                <w:rFonts w:cstheme="minorHAnsi"/>
                <w:color w:val="FFFFFF" w:themeColor="background1"/>
              </w:rPr>
              <w:t>a</w:t>
            </w:r>
            <w:r w:rsidR="00B2490C">
              <w:rPr>
                <w:rFonts w:cstheme="minorHAnsi"/>
                <w:color w:val="FFFFFF" w:themeColor="background1"/>
              </w:rPr>
              <w:t xml:space="preserve">ttributable </w:t>
            </w:r>
            <w:r w:rsidR="000E3E54">
              <w:rPr>
                <w:rFonts w:cstheme="minorHAnsi"/>
                <w:color w:val="FFFFFF" w:themeColor="background1"/>
              </w:rPr>
              <w:t>f</w:t>
            </w:r>
            <w:r w:rsidR="00B2490C">
              <w:rPr>
                <w:rFonts w:cstheme="minorHAnsi"/>
                <w:color w:val="FFFFFF" w:themeColor="background1"/>
              </w:rPr>
              <w:t>raction</w:t>
            </w:r>
            <w:r>
              <w:rPr>
                <w:rFonts w:cstheme="minorHAnsi"/>
                <w:color w:val="FFFFFF" w:themeColor="background1"/>
              </w:rPr>
              <w:t xml:space="preserve"> (2022)</w:t>
            </w:r>
            <w:r w:rsidR="00F21CFD">
              <w:rPr>
                <w:rFonts w:cstheme="minorHAnsi"/>
                <w:color w:val="FFFFFF" w:themeColor="background1"/>
              </w:rPr>
              <w:t>.</w:t>
            </w:r>
          </w:p>
          <w:p w14:paraId="74A9C6D5" w14:textId="77777777" w:rsidR="003E2932" w:rsidRPr="00E75945" w:rsidRDefault="003E2932" w:rsidP="0041177B">
            <w:pPr>
              <w:spacing w:line="259" w:lineRule="auto"/>
              <w:ind w:left="720"/>
              <w:contextualSpacing/>
              <w:rPr>
                <w:rFonts w:cstheme="minorHAnsi"/>
                <w:color w:val="FFFFFF" w:themeColor="background1"/>
              </w:rPr>
            </w:pPr>
          </w:p>
        </w:tc>
        <w:tc>
          <w:tcPr>
            <w:tcW w:w="284" w:type="dxa"/>
          </w:tcPr>
          <w:p w14:paraId="303DD0AB" w14:textId="77777777" w:rsidR="003E2932" w:rsidRPr="00E75945" w:rsidRDefault="003E2932" w:rsidP="0041177B">
            <w:pPr>
              <w:rPr>
                <w:rFonts w:cstheme="minorHAnsi"/>
                <w:color w:val="FFFFFF" w:themeColor="background1"/>
              </w:rPr>
            </w:pPr>
          </w:p>
        </w:tc>
        <w:tc>
          <w:tcPr>
            <w:tcW w:w="4961" w:type="dxa"/>
            <w:gridSpan w:val="2"/>
            <w:shd w:val="clear" w:color="auto" w:fill="01A2B5"/>
          </w:tcPr>
          <w:p w14:paraId="4E7AEA31" w14:textId="77777777" w:rsidR="003E2932" w:rsidRPr="00E75945" w:rsidRDefault="003E2932" w:rsidP="0041177B">
            <w:pPr>
              <w:rPr>
                <w:rFonts w:cstheme="minorHAnsi"/>
                <w:b/>
                <w:color w:val="FFFFFF" w:themeColor="background1"/>
              </w:rPr>
            </w:pPr>
            <w:r w:rsidRPr="00E75945">
              <w:rPr>
                <w:rFonts w:cstheme="minorHAnsi"/>
                <w:b/>
                <w:color w:val="FFFFFF" w:themeColor="background1"/>
              </w:rPr>
              <w:t>What is the purpose of this report?</w:t>
            </w:r>
          </w:p>
          <w:p w14:paraId="5C772ADF" w14:textId="75379CB8" w:rsidR="003E2932" w:rsidRPr="00A9382A" w:rsidRDefault="003E2932" w:rsidP="0041177B">
            <w:pPr>
              <w:spacing w:after="0" w:line="240" w:lineRule="auto"/>
              <w:rPr>
                <w:color w:val="FFFFFF" w:themeColor="background1"/>
              </w:rPr>
            </w:pPr>
            <w:r w:rsidRPr="00A9382A">
              <w:rPr>
                <w:color w:val="FFFFFF" w:themeColor="background1"/>
              </w:rPr>
              <w:t>Tobacco control is key to achieving national cancer control however</w:t>
            </w:r>
            <w:r w:rsidR="00E578EB">
              <w:rPr>
                <w:color w:val="FFFFFF" w:themeColor="background1"/>
              </w:rPr>
              <w:t>,</w:t>
            </w:r>
            <w:r w:rsidRPr="00A9382A">
              <w:rPr>
                <w:color w:val="FFFFFF" w:themeColor="background1"/>
              </w:rPr>
              <w:t xml:space="preserve"> progress in reducing the prevalence of smoking in Ireland has slowed. Ireland has not met the ‘endgame’ target of achieving less than 5% smoking prevalence by 2025 and the absolute number of smokers remains high.</w:t>
            </w:r>
          </w:p>
          <w:p w14:paraId="62B49B61" w14:textId="77777777" w:rsidR="003E2932" w:rsidRPr="00A9382A" w:rsidRDefault="003E2932" w:rsidP="0041177B">
            <w:pPr>
              <w:spacing w:after="0" w:line="240" w:lineRule="auto"/>
              <w:rPr>
                <w:color w:val="FFFFFF" w:themeColor="background1"/>
              </w:rPr>
            </w:pPr>
          </w:p>
          <w:p w14:paraId="45B9C76F" w14:textId="77777777" w:rsidR="003E2932" w:rsidRPr="00A9382A" w:rsidRDefault="003E2932" w:rsidP="0041177B">
            <w:pPr>
              <w:spacing w:after="0" w:line="240" w:lineRule="auto"/>
              <w:rPr>
                <w:color w:val="FFFFFF" w:themeColor="background1"/>
              </w:rPr>
            </w:pPr>
            <w:r w:rsidRPr="00A9382A">
              <w:rPr>
                <w:color w:val="FFFFFF" w:themeColor="background1"/>
              </w:rPr>
              <w:t>Examining the national burden of tobacco-related cancers in Ireland is important to assess the impact on cancer of tobacco control policies, to help policy makers and clinicians plan future services, and to ensure continued emphasis on the importance of tobacco control and its primacy to cancer control.</w:t>
            </w:r>
          </w:p>
          <w:p w14:paraId="0324B615" w14:textId="77777777" w:rsidR="003E2932" w:rsidRPr="00A9382A" w:rsidRDefault="003E2932" w:rsidP="0041177B">
            <w:pPr>
              <w:spacing w:after="0" w:line="240" w:lineRule="auto"/>
              <w:rPr>
                <w:color w:val="FFFFFF" w:themeColor="background1"/>
              </w:rPr>
            </w:pPr>
          </w:p>
          <w:p w14:paraId="326A056B" w14:textId="77777777" w:rsidR="003E2932" w:rsidRPr="00CA54F1" w:rsidRDefault="003E2932" w:rsidP="0041177B">
            <w:pPr>
              <w:spacing w:after="0" w:line="240" w:lineRule="auto"/>
            </w:pPr>
            <w:r w:rsidRPr="00A9382A">
              <w:rPr>
                <w:color w:val="FFFFFF" w:themeColor="background1"/>
              </w:rPr>
              <w:t xml:space="preserve">The PAF can be used to provide estimates of the benefits of reducing population-level exposure to tobacco-smoking. </w:t>
            </w:r>
          </w:p>
        </w:tc>
      </w:tr>
      <w:tr w:rsidR="00EF46D9" w:rsidRPr="00E75945" w14:paraId="5DB31BA6" w14:textId="77777777" w:rsidTr="00EF46D9">
        <w:tc>
          <w:tcPr>
            <w:tcW w:w="9214" w:type="dxa"/>
            <w:gridSpan w:val="6"/>
            <w:shd w:val="clear" w:color="auto" w:fill="FFFFFF" w:themeFill="background1"/>
          </w:tcPr>
          <w:p w14:paraId="04662557" w14:textId="77777777" w:rsidR="00EF46D9" w:rsidRPr="6F76DC1B" w:rsidRDefault="00EF46D9">
            <w:pPr>
              <w:numPr>
                <w:ilvl w:val="0"/>
                <w:numId w:val="41"/>
              </w:numPr>
              <w:spacing w:line="259" w:lineRule="auto"/>
              <w:contextualSpacing/>
              <w:rPr>
                <w:color w:val="FFFFFF" w:themeColor="background1"/>
              </w:rPr>
            </w:pPr>
          </w:p>
        </w:tc>
      </w:tr>
      <w:tr w:rsidR="003E2932" w:rsidRPr="00E75945" w14:paraId="635C7CE0" w14:textId="77777777" w:rsidTr="00CE4734">
        <w:trPr>
          <w:gridAfter w:val="1"/>
          <w:wAfter w:w="188" w:type="dxa"/>
        </w:trPr>
        <w:tc>
          <w:tcPr>
            <w:tcW w:w="2268" w:type="dxa"/>
            <w:shd w:val="clear" w:color="auto" w:fill="0779A7"/>
          </w:tcPr>
          <w:p w14:paraId="149494A8" w14:textId="77777777" w:rsidR="003E2932" w:rsidRPr="00E75945" w:rsidRDefault="003E2932" w:rsidP="0041177B">
            <w:pPr>
              <w:spacing w:line="259" w:lineRule="auto"/>
              <w:rPr>
                <w:rFonts w:cstheme="minorHAnsi"/>
                <w:b/>
                <w:color w:val="FFFFFF" w:themeColor="background1"/>
              </w:rPr>
            </w:pPr>
            <w:r w:rsidRPr="00E75945">
              <w:rPr>
                <w:rFonts w:cstheme="minorHAnsi"/>
                <w:b/>
                <w:color w:val="FFFFFF" w:themeColor="background1"/>
              </w:rPr>
              <w:lastRenderedPageBreak/>
              <w:t>What was found?</w:t>
            </w:r>
          </w:p>
          <w:p w14:paraId="2317A662" w14:textId="77777777" w:rsidR="003E2932" w:rsidRPr="00E75945" w:rsidRDefault="003E2932" w:rsidP="0041177B">
            <w:pPr>
              <w:spacing w:line="259" w:lineRule="auto"/>
              <w:rPr>
                <w:rFonts w:cstheme="minorHAnsi"/>
                <w:b/>
                <w:color w:val="FFFFFF" w:themeColor="background1"/>
              </w:rPr>
            </w:pPr>
            <w:r w:rsidRPr="00E75945">
              <w:rPr>
                <w:rFonts w:cstheme="minorHAnsi"/>
                <w:b/>
                <w:color w:val="FFFFFF" w:themeColor="background1"/>
              </w:rPr>
              <w:t>Incidence</w:t>
            </w:r>
          </w:p>
        </w:tc>
        <w:tc>
          <w:tcPr>
            <w:tcW w:w="284" w:type="dxa"/>
          </w:tcPr>
          <w:p w14:paraId="5D56BDAA" w14:textId="77777777" w:rsidR="003E2932" w:rsidRPr="00E75945" w:rsidRDefault="003E2932" w:rsidP="0041177B">
            <w:pPr>
              <w:rPr>
                <w:rFonts w:cstheme="minorHAnsi"/>
                <w:color w:val="FFFFFF" w:themeColor="background1"/>
              </w:rPr>
            </w:pPr>
          </w:p>
        </w:tc>
        <w:tc>
          <w:tcPr>
            <w:tcW w:w="6474" w:type="dxa"/>
            <w:gridSpan w:val="3"/>
            <w:shd w:val="clear" w:color="auto" w:fill="01A2B5"/>
          </w:tcPr>
          <w:p w14:paraId="62E0B931" w14:textId="6122F440" w:rsidR="00A32FA8" w:rsidRDefault="00A32FA8">
            <w:pPr>
              <w:numPr>
                <w:ilvl w:val="0"/>
                <w:numId w:val="41"/>
              </w:numPr>
              <w:spacing w:line="259" w:lineRule="auto"/>
              <w:contextualSpacing/>
              <w:rPr>
                <w:rFonts w:cstheme="minorHAnsi"/>
                <w:color w:val="FFFFFF" w:themeColor="background1"/>
              </w:rPr>
            </w:pPr>
            <w:r>
              <w:rPr>
                <w:rFonts w:cstheme="minorHAnsi"/>
                <w:color w:val="FFFFFF" w:themeColor="background1"/>
              </w:rPr>
              <w:t>Tobacco-related cancers were, in general, more common among men</w:t>
            </w:r>
            <w:r w:rsidR="00684BCC">
              <w:rPr>
                <w:rFonts w:cstheme="minorHAnsi"/>
                <w:color w:val="FFFFFF" w:themeColor="background1"/>
              </w:rPr>
              <w:t>,</w:t>
            </w:r>
            <w:r>
              <w:rPr>
                <w:rFonts w:cstheme="minorHAnsi"/>
                <w:color w:val="FFFFFF" w:themeColor="background1"/>
              </w:rPr>
              <w:t xml:space="preserve"> however</w:t>
            </w:r>
            <w:r w:rsidR="00E578EB">
              <w:rPr>
                <w:rFonts w:cstheme="minorHAnsi"/>
                <w:color w:val="FFFFFF" w:themeColor="background1"/>
              </w:rPr>
              <w:t>,</w:t>
            </w:r>
            <w:r>
              <w:rPr>
                <w:rFonts w:cstheme="minorHAnsi"/>
                <w:color w:val="FFFFFF" w:themeColor="background1"/>
              </w:rPr>
              <w:t xml:space="preserve"> three tobacco-related cancers are female specific</w:t>
            </w:r>
            <w:r w:rsidR="0009650F">
              <w:rPr>
                <w:rFonts w:cstheme="minorHAnsi"/>
                <w:color w:val="FFFFFF" w:themeColor="background1"/>
              </w:rPr>
              <w:t xml:space="preserve"> (breast, cervical and a</w:t>
            </w:r>
            <w:r w:rsidR="00B17AC6">
              <w:rPr>
                <w:rFonts w:cstheme="minorHAnsi"/>
                <w:color w:val="FFFFFF" w:themeColor="background1"/>
              </w:rPr>
              <w:t xml:space="preserve">n uncommon type </w:t>
            </w:r>
            <w:r w:rsidR="0009650F">
              <w:rPr>
                <w:rFonts w:cstheme="minorHAnsi"/>
                <w:color w:val="FFFFFF" w:themeColor="background1"/>
              </w:rPr>
              <w:t>of ovarian cancer (mucinous))</w:t>
            </w:r>
            <w:r w:rsidR="00BE0AB1">
              <w:rPr>
                <w:rFonts w:cstheme="minorHAnsi"/>
                <w:color w:val="FFFFFF" w:themeColor="background1"/>
              </w:rPr>
              <w:t>.</w:t>
            </w:r>
          </w:p>
          <w:p w14:paraId="63B70835" w14:textId="4A0397A8" w:rsidR="003E2932" w:rsidRDefault="00E43426">
            <w:pPr>
              <w:numPr>
                <w:ilvl w:val="0"/>
                <w:numId w:val="41"/>
              </w:numPr>
              <w:spacing w:line="259" w:lineRule="auto"/>
              <w:contextualSpacing/>
              <w:rPr>
                <w:color w:val="FFFFFF" w:themeColor="background1"/>
              </w:rPr>
            </w:pPr>
            <w:r>
              <w:rPr>
                <w:color w:val="FFFFFF" w:themeColor="background1"/>
              </w:rPr>
              <w:t>Trends in i</w:t>
            </w:r>
            <w:r w:rsidR="003E2932" w:rsidRPr="6F76DC1B">
              <w:rPr>
                <w:color w:val="FFFFFF" w:themeColor="background1"/>
              </w:rPr>
              <w:t xml:space="preserve">ncidence rates </w:t>
            </w:r>
            <w:r w:rsidR="003E2932">
              <w:rPr>
                <w:color w:val="FFFFFF" w:themeColor="background1"/>
              </w:rPr>
              <w:t>were</w:t>
            </w:r>
            <w:r w:rsidR="003E2932" w:rsidRPr="6F76DC1B">
              <w:rPr>
                <w:color w:val="FFFFFF" w:themeColor="background1"/>
              </w:rPr>
              <w:t xml:space="preserve"> stable or decreasing across most cancer types examined</w:t>
            </w:r>
            <w:r>
              <w:rPr>
                <w:color w:val="FFFFFF" w:themeColor="background1"/>
              </w:rPr>
              <w:t xml:space="preserve"> from 1994-2022.</w:t>
            </w:r>
          </w:p>
          <w:p w14:paraId="70C6F30E" w14:textId="7FCB96AF" w:rsidR="003E2932" w:rsidRPr="0008253C" w:rsidRDefault="003E2932">
            <w:pPr>
              <w:numPr>
                <w:ilvl w:val="0"/>
                <w:numId w:val="41"/>
              </w:numPr>
              <w:spacing w:line="259" w:lineRule="auto"/>
              <w:contextualSpacing/>
              <w:rPr>
                <w:rFonts w:cstheme="minorHAnsi"/>
                <w:color w:val="FFFFFF" w:themeColor="background1"/>
              </w:rPr>
            </w:pPr>
            <w:r w:rsidRPr="0008253C">
              <w:rPr>
                <w:color w:val="FFFFFF" w:themeColor="background1"/>
              </w:rPr>
              <w:t>Considering</w:t>
            </w:r>
            <w:r w:rsidRPr="0008253C">
              <w:rPr>
                <w:rStyle w:val="normaltextrun"/>
                <w:rFonts w:ascii="Aptos" w:hAnsi="Aptos" w:cs="Segoe UI"/>
                <w:color w:val="FFFFFF" w:themeColor="background1"/>
              </w:rPr>
              <w:t xml:space="preserve"> all tobacco-related cancers combined, there was a clear socioeconomic gradient in cancer incidence </w:t>
            </w:r>
            <w:r w:rsidR="009E6B9B">
              <w:rPr>
                <w:rStyle w:val="normaltextrun"/>
                <w:rFonts w:ascii="Aptos" w:hAnsi="Aptos" w:cs="Segoe UI"/>
                <w:color w:val="FFFFFF" w:themeColor="background1"/>
              </w:rPr>
              <w:t>in</w:t>
            </w:r>
            <w:r w:rsidRPr="0008253C">
              <w:rPr>
                <w:rStyle w:val="normaltextrun"/>
                <w:rFonts w:ascii="Aptos" w:hAnsi="Aptos" w:cs="Segoe UI"/>
                <w:color w:val="FFFFFF" w:themeColor="background1"/>
              </w:rPr>
              <w:t xml:space="preserve"> 2014-2018. Those </w:t>
            </w:r>
            <w:r w:rsidRPr="0008253C">
              <w:rPr>
                <w:color w:val="FFFFFF" w:themeColor="background1"/>
              </w:rPr>
              <w:t xml:space="preserve">living in areas </w:t>
            </w:r>
            <w:r>
              <w:rPr>
                <w:color w:val="FFFFFF" w:themeColor="background1"/>
              </w:rPr>
              <w:t xml:space="preserve">of </w:t>
            </w:r>
            <w:r w:rsidR="0009650F">
              <w:rPr>
                <w:color w:val="FFFFFF" w:themeColor="background1"/>
              </w:rPr>
              <w:t>greater</w:t>
            </w:r>
            <w:r>
              <w:rPr>
                <w:color w:val="FFFFFF" w:themeColor="background1"/>
              </w:rPr>
              <w:t xml:space="preserve"> social disadvantage</w:t>
            </w:r>
            <w:r w:rsidRPr="0008253C">
              <w:rPr>
                <w:color w:val="FFFFFF" w:themeColor="background1"/>
              </w:rPr>
              <w:t xml:space="preserve"> </w:t>
            </w:r>
            <w:r>
              <w:rPr>
                <w:color w:val="FFFFFF" w:themeColor="background1"/>
              </w:rPr>
              <w:t xml:space="preserve">had </w:t>
            </w:r>
            <w:r w:rsidR="0009650F">
              <w:rPr>
                <w:color w:val="FFFFFF" w:themeColor="background1"/>
              </w:rPr>
              <w:t>a higher incidence</w:t>
            </w:r>
            <w:r w:rsidRPr="0008253C">
              <w:rPr>
                <w:color w:val="FFFFFF" w:themeColor="background1"/>
              </w:rPr>
              <w:t xml:space="preserve"> of tobacco-related cancers compared with those living in </w:t>
            </w:r>
            <w:r>
              <w:rPr>
                <w:color w:val="FFFFFF" w:themeColor="background1"/>
              </w:rPr>
              <w:t>more advantaged</w:t>
            </w:r>
            <w:r w:rsidRPr="0008253C">
              <w:rPr>
                <w:color w:val="FFFFFF" w:themeColor="background1"/>
              </w:rPr>
              <w:t xml:space="preserve"> areas</w:t>
            </w:r>
            <w:r>
              <w:rPr>
                <w:color w:val="FFFFFF" w:themeColor="background1"/>
              </w:rPr>
              <w:t>.</w:t>
            </w:r>
          </w:p>
          <w:p w14:paraId="1B674205" w14:textId="77777777" w:rsidR="003E2932" w:rsidRPr="00E75945" w:rsidRDefault="003E2932" w:rsidP="0041177B">
            <w:pPr>
              <w:spacing w:line="259" w:lineRule="auto"/>
              <w:contextualSpacing/>
              <w:rPr>
                <w:rFonts w:cstheme="minorHAnsi"/>
                <w:color w:val="FFFFFF" w:themeColor="background1"/>
              </w:rPr>
            </w:pPr>
          </w:p>
        </w:tc>
      </w:tr>
    </w:tbl>
    <w:p w14:paraId="6E2F8D04" w14:textId="77777777" w:rsidR="003E2932" w:rsidRPr="00E75945" w:rsidRDefault="003E2932" w:rsidP="003E2932"/>
    <w:tbl>
      <w:tblPr>
        <w:tblW w:w="0" w:type="auto"/>
        <w:tblLook w:val="04A0" w:firstRow="1" w:lastRow="0" w:firstColumn="1" w:lastColumn="0" w:noHBand="0" w:noVBand="1"/>
      </w:tblPr>
      <w:tblGrid>
        <w:gridCol w:w="2268"/>
        <w:gridCol w:w="284"/>
        <w:gridCol w:w="6474"/>
      </w:tblGrid>
      <w:tr w:rsidR="003E2932" w:rsidRPr="00E75945" w14:paraId="321CA0EF" w14:textId="77777777" w:rsidTr="0041177B">
        <w:tc>
          <w:tcPr>
            <w:tcW w:w="2268" w:type="dxa"/>
            <w:shd w:val="clear" w:color="auto" w:fill="0779A7"/>
          </w:tcPr>
          <w:p w14:paraId="3141C505" w14:textId="77777777" w:rsidR="003E2932" w:rsidRPr="00E75945" w:rsidRDefault="003E2932" w:rsidP="0041177B">
            <w:pPr>
              <w:spacing w:line="259" w:lineRule="auto"/>
              <w:rPr>
                <w:rFonts w:cstheme="minorHAnsi"/>
                <w:b/>
                <w:color w:val="FFFFFF" w:themeColor="background1"/>
              </w:rPr>
            </w:pPr>
            <w:r w:rsidRPr="00E75945">
              <w:rPr>
                <w:rFonts w:cstheme="minorHAnsi"/>
                <w:b/>
                <w:color w:val="FFFFFF" w:themeColor="background1"/>
              </w:rPr>
              <w:t>What was found?</w:t>
            </w:r>
          </w:p>
          <w:p w14:paraId="43302051" w14:textId="77777777" w:rsidR="003E2932" w:rsidRPr="00E75945" w:rsidRDefault="003E2932" w:rsidP="0041177B">
            <w:pPr>
              <w:rPr>
                <w:rFonts w:cstheme="minorHAnsi"/>
                <w:b/>
                <w:color w:val="FFFFFF" w:themeColor="background1"/>
              </w:rPr>
            </w:pPr>
            <w:r>
              <w:rPr>
                <w:rFonts w:cstheme="minorHAnsi"/>
                <w:b/>
                <w:color w:val="FFFFFF" w:themeColor="background1"/>
              </w:rPr>
              <w:t>Mortality</w:t>
            </w:r>
          </w:p>
        </w:tc>
        <w:tc>
          <w:tcPr>
            <w:tcW w:w="284" w:type="dxa"/>
          </w:tcPr>
          <w:p w14:paraId="2854928D" w14:textId="77777777" w:rsidR="003E2932" w:rsidRPr="00E75945" w:rsidRDefault="003E2932" w:rsidP="0041177B">
            <w:pPr>
              <w:rPr>
                <w:rFonts w:cstheme="minorHAnsi"/>
                <w:color w:val="FFFFFF" w:themeColor="background1"/>
              </w:rPr>
            </w:pPr>
          </w:p>
        </w:tc>
        <w:tc>
          <w:tcPr>
            <w:tcW w:w="6474" w:type="dxa"/>
            <w:shd w:val="clear" w:color="auto" w:fill="01A2B5"/>
          </w:tcPr>
          <w:p w14:paraId="43B15FCB" w14:textId="51AC83AA" w:rsidR="00A32FA8" w:rsidRDefault="00A32FA8">
            <w:pPr>
              <w:numPr>
                <w:ilvl w:val="0"/>
                <w:numId w:val="41"/>
              </w:numPr>
              <w:spacing w:line="259" w:lineRule="auto"/>
              <w:contextualSpacing/>
              <w:rPr>
                <w:rFonts w:cstheme="minorHAnsi"/>
                <w:color w:val="FFFFFF" w:themeColor="background1"/>
              </w:rPr>
            </w:pPr>
            <w:r>
              <w:rPr>
                <w:rFonts w:cstheme="minorHAnsi"/>
                <w:color w:val="FFFFFF" w:themeColor="background1"/>
              </w:rPr>
              <w:t xml:space="preserve">Mortality across most tobacco-related </w:t>
            </w:r>
            <w:r w:rsidR="00EB3C64">
              <w:rPr>
                <w:rFonts w:cstheme="minorHAnsi"/>
                <w:color w:val="FFFFFF" w:themeColor="background1"/>
              </w:rPr>
              <w:t xml:space="preserve">cancers </w:t>
            </w:r>
            <w:r>
              <w:rPr>
                <w:rFonts w:cstheme="minorHAnsi"/>
                <w:color w:val="FFFFFF" w:themeColor="background1"/>
              </w:rPr>
              <w:t xml:space="preserve">was higher among men than women. </w:t>
            </w:r>
          </w:p>
          <w:p w14:paraId="59980053" w14:textId="77777777" w:rsidR="003E2932" w:rsidRDefault="00E43426">
            <w:pPr>
              <w:numPr>
                <w:ilvl w:val="0"/>
                <w:numId w:val="41"/>
              </w:numPr>
              <w:spacing w:line="259" w:lineRule="auto"/>
              <w:contextualSpacing/>
              <w:rPr>
                <w:rFonts w:cstheme="minorHAnsi"/>
                <w:color w:val="FFFFFF" w:themeColor="background1"/>
              </w:rPr>
            </w:pPr>
            <w:r>
              <w:rPr>
                <w:rFonts w:cstheme="minorHAnsi"/>
                <w:color w:val="FFFFFF" w:themeColor="background1"/>
              </w:rPr>
              <w:t>Trends in m</w:t>
            </w:r>
            <w:r w:rsidR="003E2932">
              <w:rPr>
                <w:rFonts w:cstheme="minorHAnsi"/>
                <w:color w:val="FFFFFF" w:themeColor="background1"/>
              </w:rPr>
              <w:t xml:space="preserve">ortality </w:t>
            </w:r>
            <w:r w:rsidR="00A32FA8">
              <w:rPr>
                <w:rFonts w:cstheme="minorHAnsi"/>
                <w:color w:val="FFFFFF" w:themeColor="background1"/>
              </w:rPr>
              <w:t xml:space="preserve">rates </w:t>
            </w:r>
            <w:r w:rsidR="003E2932">
              <w:rPr>
                <w:rFonts w:cstheme="minorHAnsi"/>
                <w:color w:val="FFFFFF" w:themeColor="background1"/>
              </w:rPr>
              <w:t>w</w:t>
            </w:r>
            <w:r w:rsidR="00A32FA8">
              <w:rPr>
                <w:rFonts w:cstheme="minorHAnsi"/>
                <w:color w:val="FFFFFF" w:themeColor="background1"/>
              </w:rPr>
              <w:t>ere</w:t>
            </w:r>
            <w:r w:rsidR="003E2932">
              <w:rPr>
                <w:rFonts w:cstheme="minorHAnsi"/>
                <w:color w:val="FFFFFF" w:themeColor="background1"/>
              </w:rPr>
              <w:t xml:space="preserve"> stable or decreasing across most cancer types examined.</w:t>
            </w:r>
          </w:p>
          <w:p w14:paraId="08C614E7" w14:textId="4108F94E" w:rsidR="003E2932" w:rsidRPr="00E75945" w:rsidRDefault="003E2932" w:rsidP="00387033">
            <w:pPr>
              <w:spacing w:line="259" w:lineRule="auto"/>
              <w:ind w:left="720"/>
              <w:contextualSpacing/>
              <w:rPr>
                <w:rFonts w:cstheme="minorHAnsi"/>
                <w:color w:val="FFFFFF" w:themeColor="background1"/>
              </w:rPr>
            </w:pPr>
          </w:p>
        </w:tc>
      </w:tr>
    </w:tbl>
    <w:p w14:paraId="0F56C173" w14:textId="77777777" w:rsidR="003E2932" w:rsidRDefault="003E2932" w:rsidP="003E2932"/>
    <w:tbl>
      <w:tblPr>
        <w:tblW w:w="0" w:type="auto"/>
        <w:tblLook w:val="04A0" w:firstRow="1" w:lastRow="0" w:firstColumn="1" w:lastColumn="0" w:noHBand="0" w:noVBand="1"/>
      </w:tblPr>
      <w:tblGrid>
        <w:gridCol w:w="2268"/>
        <w:gridCol w:w="284"/>
        <w:gridCol w:w="6474"/>
      </w:tblGrid>
      <w:tr w:rsidR="003E2932" w:rsidRPr="00E75945" w14:paraId="3D9709BD" w14:textId="77777777" w:rsidTr="0041177B">
        <w:tc>
          <w:tcPr>
            <w:tcW w:w="2268" w:type="dxa"/>
            <w:shd w:val="clear" w:color="auto" w:fill="0779A7"/>
          </w:tcPr>
          <w:p w14:paraId="0E481D57" w14:textId="77777777" w:rsidR="003E2932" w:rsidRPr="00E75945" w:rsidRDefault="003E2932" w:rsidP="0041177B">
            <w:pPr>
              <w:spacing w:line="259" w:lineRule="auto"/>
              <w:rPr>
                <w:rFonts w:cstheme="minorHAnsi"/>
                <w:b/>
                <w:color w:val="FFFFFF" w:themeColor="background1"/>
              </w:rPr>
            </w:pPr>
            <w:r w:rsidRPr="00E75945">
              <w:rPr>
                <w:rFonts w:cstheme="minorHAnsi"/>
                <w:b/>
                <w:color w:val="FFFFFF" w:themeColor="background1"/>
              </w:rPr>
              <w:t>What was found?</w:t>
            </w:r>
          </w:p>
          <w:p w14:paraId="7F9A4DCC" w14:textId="77777777" w:rsidR="003E2932" w:rsidRPr="00E75945" w:rsidRDefault="003E2932" w:rsidP="0041177B">
            <w:pPr>
              <w:spacing w:line="259" w:lineRule="auto"/>
              <w:rPr>
                <w:rFonts w:cstheme="minorHAnsi"/>
                <w:b/>
                <w:color w:val="FFFFFF" w:themeColor="background1"/>
              </w:rPr>
            </w:pPr>
            <w:r>
              <w:rPr>
                <w:rFonts w:cstheme="minorHAnsi"/>
                <w:b/>
                <w:color w:val="FFFFFF" w:themeColor="background1"/>
              </w:rPr>
              <w:t>Survival</w:t>
            </w:r>
          </w:p>
        </w:tc>
        <w:tc>
          <w:tcPr>
            <w:tcW w:w="284" w:type="dxa"/>
          </w:tcPr>
          <w:p w14:paraId="5DA777FB" w14:textId="77777777" w:rsidR="003E2932" w:rsidRPr="00E75945" w:rsidRDefault="003E2932" w:rsidP="0041177B">
            <w:pPr>
              <w:rPr>
                <w:rFonts w:cstheme="minorHAnsi"/>
                <w:color w:val="FFFFFF" w:themeColor="background1"/>
              </w:rPr>
            </w:pPr>
          </w:p>
        </w:tc>
        <w:tc>
          <w:tcPr>
            <w:tcW w:w="6474" w:type="dxa"/>
            <w:shd w:val="clear" w:color="auto" w:fill="01A2B5"/>
          </w:tcPr>
          <w:p w14:paraId="7CB2AF2C" w14:textId="656BA025" w:rsidR="003E2932" w:rsidRDefault="003E2932">
            <w:pPr>
              <w:numPr>
                <w:ilvl w:val="0"/>
                <w:numId w:val="41"/>
              </w:numPr>
              <w:spacing w:line="259" w:lineRule="auto"/>
              <w:contextualSpacing/>
              <w:rPr>
                <w:rFonts w:cstheme="minorHAnsi"/>
                <w:color w:val="FFFFFF" w:themeColor="background1"/>
              </w:rPr>
            </w:pPr>
            <w:r>
              <w:rPr>
                <w:rFonts w:cstheme="minorHAnsi"/>
                <w:color w:val="FFFFFF" w:themeColor="background1"/>
              </w:rPr>
              <w:t>Survival</w:t>
            </w:r>
            <w:r w:rsidR="00A32FA8">
              <w:rPr>
                <w:rFonts w:cstheme="minorHAnsi"/>
                <w:color w:val="FFFFFF" w:themeColor="background1"/>
              </w:rPr>
              <w:t xml:space="preserve"> </w:t>
            </w:r>
            <w:r w:rsidR="00D92D0D">
              <w:rPr>
                <w:rFonts w:cstheme="minorHAnsi"/>
                <w:color w:val="FFFFFF" w:themeColor="background1"/>
              </w:rPr>
              <w:t>improved</w:t>
            </w:r>
            <w:r>
              <w:rPr>
                <w:rFonts w:cstheme="minorHAnsi"/>
                <w:color w:val="FFFFFF" w:themeColor="background1"/>
              </w:rPr>
              <w:t xml:space="preserve"> across most cancer types examined.</w:t>
            </w:r>
          </w:p>
          <w:p w14:paraId="6DF726C3" w14:textId="77777777" w:rsidR="003E2932" w:rsidRPr="00E75945" w:rsidRDefault="003E2932" w:rsidP="0041177B">
            <w:pPr>
              <w:spacing w:line="259" w:lineRule="auto"/>
              <w:ind w:left="720"/>
              <w:contextualSpacing/>
              <w:rPr>
                <w:rFonts w:cstheme="minorHAnsi"/>
                <w:color w:val="FFFFFF" w:themeColor="background1"/>
              </w:rPr>
            </w:pPr>
          </w:p>
        </w:tc>
      </w:tr>
    </w:tbl>
    <w:p w14:paraId="665D7E16" w14:textId="77777777" w:rsidR="003E2932" w:rsidRDefault="003E2932" w:rsidP="003E2932"/>
    <w:tbl>
      <w:tblPr>
        <w:tblW w:w="0" w:type="auto"/>
        <w:tblLook w:val="04A0" w:firstRow="1" w:lastRow="0" w:firstColumn="1" w:lastColumn="0" w:noHBand="0" w:noVBand="1"/>
      </w:tblPr>
      <w:tblGrid>
        <w:gridCol w:w="2268"/>
        <w:gridCol w:w="284"/>
        <w:gridCol w:w="6474"/>
      </w:tblGrid>
      <w:tr w:rsidR="003E2932" w:rsidRPr="00E75945" w14:paraId="6953F0C9" w14:textId="77777777" w:rsidTr="002B34FE">
        <w:tc>
          <w:tcPr>
            <w:tcW w:w="2268" w:type="dxa"/>
            <w:shd w:val="clear" w:color="auto" w:fill="0779A7"/>
          </w:tcPr>
          <w:p w14:paraId="2BBAF772" w14:textId="77777777" w:rsidR="003E2932" w:rsidRPr="00E75945" w:rsidRDefault="003E2932" w:rsidP="0041177B">
            <w:pPr>
              <w:spacing w:line="259" w:lineRule="auto"/>
              <w:rPr>
                <w:rFonts w:cstheme="minorHAnsi"/>
                <w:b/>
                <w:color w:val="FFFFFF" w:themeColor="background1"/>
              </w:rPr>
            </w:pPr>
            <w:bookmarkStart w:id="2" w:name="_Hlk199492960"/>
            <w:r w:rsidRPr="00E75945">
              <w:rPr>
                <w:rFonts w:cstheme="minorHAnsi"/>
                <w:b/>
                <w:color w:val="FFFFFF" w:themeColor="background1"/>
              </w:rPr>
              <w:t>What was found?</w:t>
            </w:r>
          </w:p>
          <w:p w14:paraId="3EB3A801" w14:textId="77777777" w:rsidR="003E2932" w:rsidRPr="00E75945" w:rsidRDefault="003E2932" w:rsidP="0041177B">
            <w:pPr>
              <w:spacing w:line="259" w:lineRule="auto"/>
              <w:rPr>
                <w:rFonts w:cstheme="minorHAnsi"/>
                <w:b/>
                <w:color w:val="FFFFFF" w:themeColor="background1"/>
              </w:rPr>
            </w:pPr>
            <w:r>
              <w:rPr>
                <w:rFonts w:cstheme="minorHAnsi"/>
                <w:b/>
                <w:color w:val="FFFFFF" w:themeColor="background1"/>
              </w:rPr>
              <w:t>Population attributable fraction</w:t>
            </w:r>
          </w:p>
        </w:tc>
        <w:tc>
          <w:tcPr>
            <w:tcW w:w="284" w:type="dxa"/>
          </w:tcPr>
          <w:p w14:paraId="0D41152B" w14:textId="77777777" w:rsidR="003E2932" w:rsidRPr="00E75945" w:rsidRDefault="003E2932" w:rsidP="0041177B">
            <w:pPr>
              <w:rPr>
                <w:rFonts w:cstheme="minorHAnsi"/>
                <w:color w:val="FFFFFF" w:themeColor="background1"/>
              </w:rPr>
            </w:pPr>
          </w:p>
        </w:tc>
        <w:tc>
          <w:tcPr>
            <w:tcW w:w="6474" w:type="dxa"/>
            <w:shd w:val="clear" w:color="auto" w:fill="01A2B5"/>
          </w:tcPr>
          <w:p w14:paraId="7582B343" w14:textId="69C568B2" w:rsidR="00002B62" w:rsidRPr="00002B62" w:rsidRDefault="00BD5FB0">
            <w:pPr>
              <w:numPr>
                <w:ilvl w:val="0"/>
                <w:numId w:val="41"/>
              </w:numPr>
              <w:spacing w:line="259" w:lineRule="auto"/>
              <w:contextualSpacing/>
              <w:rPr>
                <w:rFonts w:eastAsiaTheme="minorEastAsia"/>
                <w:color w:val="FFFFFF" w:themeColor="background1"/>
              </w:rPr>
            </w:pPr>
            <w:r>
              <w:rPr>
                <w:rFonts w:eastAsiaTheme="minorEastAsia"/>
                <w:color w:val="FFFFFF" w:themeColor="background1"/>
              </w:rPr>
              <w:t>In this report, t</w:t>
            </w:r>
            <w:r w:rsidR="00002B62" w:rsidRPr="00002B62">
              <w:rPr>
                <w:rFonts w:eastAsiaTheme="minorEastAsia"/>
                <w:color w:val="FFFFFF" w:themeColor="background1"/>
              </w:rPr>
              <w:t xml:space="preserve">he </w:t>
            </w:r>
            <w:r w:rsidR="003E64DB">
              <w:rPr>
                <w:rFonts w:eastAsiaTheme="minorEastAsia"/>
                <w:color w:val="FFFFFF" w:themeColor="background1"/>
              </w:rPr>
              <w:t>p</w:t>
            </w:r>
            <w:r w:rsidR="00002B62" w:rsidRPr="00002B62">
              <w:rPr>
                <w:rFonts w:eastAsiaTheme="minorEastAsia"/>
                <w:color w:val="FFFFFF" w:themeColor="background1"/>
              </w:rPr>
              <w:t xml:space="preserve">opulation </w:t>
            </w:r>
            <w:r w:rsidR="003E64DB">
              <w:rPr>
                <w:rFonts w:eastAsiaTheme="minorEastAsia"/>
                <w:color w:val="FFFFFF" w:themeColor="background1"/>
              </w:rPr>
              <w:t>a</w:t>
            </w:r>
            <w:r w:rsidR="00002B62" w:rsidRPr="00002B62">
              <w:rPr>
                <w:rFonts w:eastAsiaTheme="minorEastAsia"/>
                <w:color w:val="FFFFFF" w:themeColor="background1"/>
              </w:rPr>
              <w:t xml:space="preserve">ttributable </w:t>
            </w:r>
            <w:r w:rsidR="003E64DB">
              <w:rPr>
                <w:rFonts w:eastAsiaTheme="minorEastAsia"/>
                <w:color w:val="FFFFFF" w:themeColor="background1"/>
              </w:rPr>
              <w:t>f</w:t>
            </w:r>
            <w:r w:rsidR="00002B62" w:rsidRPr="00002B62">
              <w:rPr>
                <w:rFonts w:eastAsiaTheme="minorEastAsia"/>
                <w:color w:val="FFFFFF" w:themeColor="background1"/>
              </w:rPr>
              <w:t>raction</w:t>
            </w:r>
            <w:r w:rsidR="00F002FD">
              <w:rPr>
                <w:rFonts w:eastAsiaTheme="minorEastAsia"/>
                <w:color w:val="FFFFFF" w:themeColor="background1"/>
              </w:rPr>
              <w:t xml:space="preserve"> (PAF)</w:t>
            </w:r>
            <w:r w:rsidR="00002B62" w:rsidRPr="00002B62">
              <w:rPr>
                <w:rFonts w:eastAsiaTheme="minorEastAsia"/>
                <w:color w:val="FFFFFF" w:themeColor="background1"/>
              </w:rPr>
              <w:t xml:space="preserve"> is </w:t>
            </w:r>
            <w:r w:rsidR="00352B5B">
              <w:rPr>
                <w:rFonts w:eastAsiaTheme="minorEastAsia"/>
                <w:color w:val="FFFFFF" w:themeColor="background1"/>
              </w:rPr>
              <w:t xml:space="preserve">the </w:t>
            </w:r>
            <w:r w:rsidR="00002B62" w:rsidRPr="00002B62">
              <w:rPr>
                <w:rFonts w:eastAsiaTheme="minorEastAsia"/>
                <w:color w:val="FFFFFF" w:themeColor="background1"/>
              </w:rPr>
              <w:t>proportion of cancer cases caused by tobacco</w:t>
            </w:r>
            <w:r w:rsidR="00002B62">
              <w:rPr>
                <w:rFonts w:eastAsiaTheme="minorEastAsia"/>
                <w:color w:val="FFFFFF" w:themeColor="background1"/>
              </w:rPr>
              <w:t xml:space="preserve"> </w:t>
            </w:r>
            <w:r w:rsidR="00002B62" w:rsidRPr="00002B62">
              <w:rPr>
                <w:rFonts w:eastAsiaTheme="minorEastAsia"/>
                <w:color w:val="FFFFFF" w:themeColor="background1"/>
              </w:rPr>
              <w:t>smoking.</w:t>
            </w:r>
          </w:p>
          <w:p w14:paraId="1394EC42" w14:textId="7BC932E3" w:rsidR="003E2932" w:rsidRPr="00960CF5" w:rsidRDefault="003E2932">
            <w:pPr>
              <w:numPr>
                <w:ilvl w:val="0"/>
                <w:numId w:val="41"/>
              </w:numPr>
              <w:spacing w:line="259" w:lineRule="auto"/>
              <w:contextualSpacing/>
              <w:rPr>
                <w:rFonts w:cstheme="minorHAnsi"/>
                <w:color w:val="FFFFFF" w:themeColor="background1"/>
              </w:rPr>
            </w:pPr>
            <w:r w:rsidRPr="001C65DF">
              <w:rPr>
                <w:rStyle w:val="normaltextrun"/>
                <w:rFonts w:ascii="Aptos" w:hAnsi="Aptos" w:cs="Segoe UI"/>
                <w:color w:val="FFFFFF" w:themeColor="background1"/>
              </w:rPr>
              <w:t>A</w:t>
            </w:r>
            <w:r w:rsidRPr="001C65DF">
              <w:rPr>
                <w:rFonts w:eastAsiaTheme="minorEastAsia"/>
                <w:color w:val="FFFFFF" w:themeColor="background1"/>
              </w:rPr>
              <w:t xml:space="preserve">n estimated 3,756 cases, or </w:t>
            </w:r>
            <w:r>
              <w:rPr>
                <w:rFonts w:eastAsiaTheme="minorEastAsia"/>
                <w:color w:val="FFFFFF" w:themeColor="background1"/>
              </w:rPr>
              <w:t>14.7</w:t>
            </w:r>
            <w:r w:rsidRPr="001C65DF">
              <w:rPr>
                <w:rFonts w:eastAsiaTheme="minorEastAsia"/>
                <w:color w:val="FFFFFF" w:themeColor="background1"/>
              </w:rPr>
              <w:t>% of invasive cancers cases</w:t>
            </w:r>
            <w:r>
              <w:rPr>
                <w:rFonts w:eastAsiaTheme="minorEastAsia"/>
                <w:color w:val="FFFFFF" w:themeColor="background1"/>
              </w:rPr>
              <w:t xml:space="preserve"> (excluding non-melanoma skin cancer)</w:t>
            </w:r>
            <w:r w:rsidRPr="001C65DF">
              <w:rPr>
                <w:rFonts w:eastAsiaTheme="minorEastAsia"/>
                <w:color w:val="FFFFFF" w:themeColor="background1"/>
              </w:rPr>
              <w:t xml:space="preserve">, </w:t>
            </w:r>
            <w:r w:rsidR="00847898">
              <w:rPr>
                <w:rFonts w:eastAsiaTheme="minorEastAsia"/>
                <w:color w:val="FFFFFF" w:themeColor="background1"/>
              </w:rPr>
              <w:t xml:space="preserve">would not have </w:t>
            </w:r>
            <w:r w:rsidR="00D60A61">
              <w:rPr>
                <w:rFonts w:eastAsiaTheme="minorEastAsia"/>
                <w:color w:val="FFFFFF" w:themeColor="background1"/>
              </w:rPr>
              <w:t>occurred</w:t>
            </w:r>
            <w:r w:rsidRPr="001C65DF">
              <w:rPr>
                <w:rFonts w:eastAsiaTheme="minorEastAsia"/>
                <w:color w:val="FFFFFF" w:themeColor="background1"/>
              </w:rPr>
              <w:t xml:space="preserve"> </w:t>
            </w:r>
            <w:r w:rsidR="001C09B3">
              <w:rPr>
                <w:rFonts w:eastAsiaTheme="minorEastAsia"/>
                <w:color w:val="FFFFFF" w:themeColor="background1"/>
              </w:rPr>
              <w:t xml:space="preserve">in </w:t>
            </w:r>
            <w:r w:rsidRPr="001C65DF">
              <w:rPr>
                <w:rFonts w:eastAsiaTheme="minorEastAsia"/>
                <w:color w:val="FFFFFF" w:themeColor="background1"/>
              </w:rPr>
              <w:t xml:space="preserve">2022 </w:t>
            </w:r>
            <w:r w:rsidR="007506B9">
              <w:rPr>
                <w:rFonts w:eastAsiaTheme="minorEastAsia"/>
                <w:color w:val="FFFFFF" w:themeColor="background1"/>
              </w:rPr>
              <w:t>if there was no</w:t>
            </w:r>
            <w:r w:rsidRPr="001C65DF">
              <w:rPr>
                <w:rFonts w:eastAsiaTheme="minorEastAsia"/>
                <w:color w:val="FFFFFF" w:themeColor="background1"/>
              </w:rPr>
              <w:t xml:space="preserve"> tobacco-</w:t>
            </w:r>
            <w:r w:rsidRPr="0008253C">
              <w:rPr>
                <w:rFonts w:eastAsiaTheme="minorEastAsia"/>
                <w:color w:val="FFFFFF" w:themeColor="background1"/>
              </w:rPr>
              <w:t>smoking</w:t>
            </w:r>
            <w:r>
              <w:rPr>
                <w:rFonts w:eastAsiaTheme="minorEastAsia"/>
                <w:color w:val="FFFFFF" w:themeColor="background1"/>
              </w:rPr>
              <w:t>.</w:t>
            </w:r>
          </w:p>
          <w:p w14:paraId="22B4BEFB" w14:textId="6035C6DB" w:rsidR="00960CF5" w:rsidRPr="00960CF5" w:rsidRDefault="00960CF5">
            <w:pPr>
              <w:numPr>
                <w:ilvl w:val="0"/>
                <w:numId w:val="41"/>
              </w:numPr>
              <w:spacing w:line="259" w:lineRule="auto"/>
              <w:contextualSpacing/>
              <w:rPr>
                <w:rFonts w:cstheme="minorHAnsi"/>
                <w:color w:val="FFFFFF" w:themeColor="background1"/>
              </w:rPr>
            </w:pPr>
            <w:r w:rsidRPr="00960CF5">
              <w:rPr>
                <w:rFonts w:eastAsiaTheme="minorEastAsia"/>
                <w:color w:val="FFFFFF" w:themeColor="background1"/>
              </w:rPr>
              <w:t>Lung cancer accounted for the highest number of smoking-attributable</w:t>
            </w:r>
            <w:r>
              <w:rPr>
                <w:rFonts w:eastAsiaTheme="minorEastAsia"/>
                <w:color w:val="FFFFFF" w:themeColor="background1"/>
              </w:rPr>
              <w:t xml:space="preserve"> cancer</w:t>
            </w:r>
            <w:r w:rsidRPr="00960CF5">
              <w:rPr>
                <w:rFonts w:eastAsiaTheme="minorEastAsia"/>
                <w:color w:val="FFFFFF" w:themeColor="background1"/>
              </w:rPr>
              <w:t xml:space="preserve"> cases in both men and women, with 74.8% of cases in men (1,066/1,426) and 71.7% in women (944/1,316) attributable to smoking. </w:t>
            </w:r>
          </w:p>
          <w:p w14:paraId="14D5CE31" w14:textId="08653E1C" w:rsidR="00960CF5" w:rsidRPr="00E75945" w:rsidRDefault="00960CF5" w:rsidP="00960CF5">
            <w:pPr>
              <w:spacing w:line="259" w:lineRule="auto"/>
              <w:ind w:left="720"/>
              <w:contextualSpacing/>
              <w:rPr>
                <w:rFonts w:cstheme="minorHAnsi"/>
                <w:color w:val="FFFFFF" w:themeColor="background1"/>
              </w:rPr>
            </w:pPr>
          </w:p>
        </w:tc>
      </w:tr>
      <w:tr w:rsidR="002B34FE" w:rsidRPr="00E75945" w14:paraId="1502523F" w14:textId="77777777" w:rsidTr="002B34FE">
        <w:tc>
          <w:tcPr>
            <w:tcW w:w="2268" w:type="dxa"/>
            <w:shd w:val="clear" w:color="auto" w:fill="auto"/>
          </w:tcPr>
          <w:p w14:paraId="3E38C5A6" w14:textId="77777777" w:rsidR="002B34FE" w:rsidRPr="00E75945" w:rsidRDefault="002B34FE" w:rsidP="0041177B">
            <w:pPr>
              <w:spacing w:line="259" w:lineRule="auto"/>
              <w:rPr>
                <w:rFonts w:cstheme="minorHAnsi"/>
                <w:b/>
                <w:color w:val="FFFFFF" w:themeColor="background1"/>
              </w:rPr>
            </w:pPr>
          </w:p>
        </w:tc>
        <w:tc>
          <w:tcPr>
            <w:tcW w:w="284" w:type="dxa"/>
            <w:shd w:val="clear" w:color="auto" w:fill="auto"/>
          </w:tcPr>
          <w:p w14:paraId="230358A2" w14:textId="77777777" w:rsidR="002B34FE" w:rsidRPr="00E75945" w:rsidRDefault="002B34FE" w:rsidP="0041177B">
            <w:pPr>
              <w:rPr>
                <w:rFonts w:cstheme="minorHAnsi"/>
                <w:color w:val="FFFFFF" w:themeColor="background1"/>
              </w:rPr>
            </w:pPr>
          </w:p>
        </w:tc>
        <w:tc>
          <w:tcPr>
            <w:tcW w:w="6474" w:type="dxa"/>
            <w:shd w:val="clear" w:color="auto" w:fill="auto"/>
          </w:tcPr>
          <w:p w14:paraId="526C04D5" w14:textId="77777777" w:rsidR="002B34FE" w:rsidRPr="001C65DF" w:rsidRDefault="002B34FE">
            <w:pPr>
              <w:numPr>
                <w:ilvl w:val="0"/>
                <w:numId w:val="41"/>
              </w:numPr>
              <w:spacing w:line="259" w:lineRule="auto"/>
              <w:contextualSpacing/>
              <w:rPr>
                <w:rStyle w:val="normaltextrun"/>
                <w:rFonts w:ascii="Aptos" w:hAnsi="Aptos" w:cs="Segoe UI"/>
                <w:color w:val="FFFFFF" w:themeColor="background1"/>
              </w:rPr>
            </w:pPr>
          </w:p>
        </w:tc>
      </w:tr>
      <w:tr w:rsidR="002B34FE" w:rsidRPr="00E75945" w14:paraId="7A63D144" w14:textId="77777777" w:rsidTr="002B34FE">
        <w:trPr>
          <w:trHeight w:val="8647"/>
        </w:trPr>
        <w:tc>
          <w:tcPr>
            <w:tcW w:w="2268" w:type="dxa"/>
            <w:shd w:val="clear" w:color="auto" w:fill="0779A7"/>
          </w:tcPr>
          <w:p w14:paraId="03EB589B" w14:textId="71049780" w:rsidR="002B34FE" w:rsidRPr="00E75945" w:rsidRDefault="002B34FE" w:rsidP="002B34FE">
            <w:pPr>
              <w:spacing w:line="259" w:lineRule="auto"/>
              <w:rPr>
                <w:rFonts w:cstheme="minorHAnsi"/>
                <w:b/>
                <w:color w:val="FFFFFF" w:themeColor="background1"/>
              </w:rPr>
            </w:pPr>
            <w:r>
              <w:rPr>
                <w:rFonts w:cstheme="minorHAnsi"/>
                <w:b/>
                <w:color w:val="FFFFFF" w:themeColor="background1"/>
              </w:rPr>
              <w:t xml:space="preserve">Summary of Population attributable fraction across </w:t>
            </w:r>
            <w:r w:rsidR="00F21CFD">
              <w:rPr>
                <w:rFonts w:cstheme="minorHAnsi"/>
                <w:b/>
                <w:color w:val="FFFFFF" w:themeColor="background1"/>
              </w:rPr>
              <w:t xml:space="preserve">types </w:t>
            </w:r>
            <w:r>
              <w:rPr>
                <w:rFonts w:cstheme="minorHAnsi"/>
                <w:b/>
                <w:color w:val="FFFFFF" w:themeColor="background1"/>
              </w:rPr>
              <w:t>in 2022</w:t>
            </w:r>
          </w:p>
        </w:tc>
        <w:tc>
          <w:tcPr>
            <w:tcW w:w="284" w:type="dxa"/>
          </w:tcPr>
          <w:p w14:paraId="76B2D24D" w14:textId="77777777" w:rsidR="002B34FE" w:rsidRPr="00E75945" w:rsidRDefault="002B34FE" w:rsidP="002B34FE">
            <w:pPr>
              <w:rPr>
                <w:rFonts w:cstheme="minorHAnsi"/>
                <w:color w:val="FFFFFF" w:themeColor="background1"/>
              </w:rPr>
            </w:pPr>
          </w:p>
        </w:tc>
        <w:tc>
          <w:tcPr>
            <w:tcW w:w="6474" w:type="dxa"/>
            <w:shd w:val="clear" w:color="auto" w:fill="01A2B5"/>
          </w:tcPr>
          <w:tbl>
            <w:tblPr>
              <w:tblpPr w:leftFromText="180" w:rightFromText="180" w:horzAnchor="margin" w:tblpXSpec="center" w:tblpY="288"/>
              <w:tblOverlap w:val="never"/>
              <w:tblW w:w="0" w:type="auto"/>
              <w:tblCellMar>
                <w:left w:w="0" w:type="dxa"/>
                <w:right w:w="0" w:type="dxa"/>
              </w:tblCellMar>
              <w:tblLook w:val="04A0" w:firstRow="1" w:lastRow="0" w:firstColumn="1" w:lastColumn="0" w:noHBand="0" w:noVBand="1"/>
            </w:tblPr>
            <w:tblGrid>
              <w:gridCol w:w="4990"/>
              <w:gridCol w:w="913"/>
            </w:tblGrid>
            <w:tr w:rsidR="00815E3F" w:rsidRPr="00815E3F" w14:paraId="2898C0B6" w14:textId="77777777" w:rsidTr="004C306B">
              <w:trPr>
                <w:trHeight w:val="284"/>
              </w:trPr>
              <w:tc>
                <w:tcPr>
                  <w:tcW w:w="0" w:type="auto"/>
                  <w:gridSpan w:val="2"/>
                  <w:shd w:val="clear" w:color="auto" w:fill="002060"/>
                  <w:vAlign w:val="center"/>
                </w:tcPr>
                <w:p w14:paraId="51363B96" w14:textId="77777777" w:rsidR="002B34FE" w:rsidRPr="00815E3F" w:rsidRDefault="002B34FE" w:rsidP="002B34FE">
                  <w:pPr>
                    <w:spacing w:after="0" w:line="240" w:lineRule="auto"/>
                    <w:jc w:val="center"/>
                    <w:textAlignment w:val="baseline"/>
                    <w:rPr>
                      <w:b/>
                      <w:bCs/>
                      <w:color w:val="FFFFFF" w:themeColor="background1"/>
                    </w:rPr>
                  </w:pPr>
                  <w:r w:rsidRPr="00815E3F">
                    <w:rPr>
                      <w:rFonts w:eastAsia="Times New Roman" w:cs="Calibri"/>
                      <w:b/>
                      <w:bCs/>
                      <w:color w:val="FFFFFF" w:themeColor="background1"/>
                      <w:kern w:val="0"/>
                      <w:lang w:val="en-IE" w:eastAsia="en-GB"/>
                      <w14:ligatures w14:val="none"/>
                    </w:rPr>
                    <w:t>Population attributable fraction by cancer type in 2022</w:t>
                  </w:r>
                </w:p>
              </w:tc>
            </w:tr>
            <w:tr w:rsidR="00815E3F" w:rsidRPr="00815E3F" w14:paraId="01637D2B" w14:textId="77777777" w:rsidTr="00815E3F">
              <w:trPr>
                <w:trHeight w:val="284"/>
              </w:trPr>
              <w:tc>
                <w:tcPr>
                  <w:tcW w:w="0" w:type="auto"/>
                  <w:shd w:val="clear" w:color="auto" w:fill="auto"/>
                  <w:vAlign w:val="center"/>
                  <w:hideMark/>
                </w:tcPr>
                <w:p w14:paraId="0725CA15" w14:textId="0166C252" w:rsidR="002B34FE" w:rsidRPr="00815E3F" w:rsidRDefault="002B34FE" w:rsidP="004C306B">
                  <w:pPr>
                    <w:spacing w:after="0" w:line="240" w:lineRule="auto"/>
                    <w:textAlignment w:val="baseline"/>
                    <w:rPr>
                      <w:rFonts w:eastAsia="Times New Roman" w:cs="Segoe UI"/>
                      <w:b/>
                      <w:bCs/>
                      <w:color w:val="FFFFFF" w:themeColor="background1"/>
                      <w:kern w:val="0"/>
                      <w:lang w:eastAsia="en-GB"/>
                      <w14:ligatures w14:val="none"/>
                    </w:rPr>
                  </w:pPr>
                  <w:r w:rsidRPr="00815E3F">
                    <w:rPr>
                      <w:rFonts w:eastAsia="Times New Roman" w:cs="Calibri"/>
                      <w:b/>
                      <w:bCs/>
                      <w:color w:val="FFFFFF" w:themeColor="background1"/>
                      <w:kern w:val="0"/>
                      <w:lang w:val="en-IE" w:eastAsia="en-GB"/>
                      <w14:ligatures w14:val="none"/>
                    </w:rPr>
                    <w:t xml:space="preserve">Cancer </w:t>
                  </w:r>
                  <w:r w:rsidR="00F21CFD" w:rsidRPr="00815E3F">
                    <w:rPr>
                      <w:rFonts w:eastAsia="Times New Roman" w:cs="Calibri"/>
                      <w:b/>
                      <w:bCs/>
                      <w:color w:val="FFFFFF" w:themeColor="background1"/>
                      <w:kern w:val="0"/>
                      <w:lang w:val="en-IE" w:eastAsia="en-GB"/>
                      <w14:ligatures w14:val="none"/>
                    </w:rPr>
                    <w:t>Type</w:t>
                  </w:r>
                </w:p>
              </w:tc>
              <w:tc>
                <w:tcPr>
                  <w:tcW w:w="0" w:type="auto"/>
                  <w:shd w:val="clear" w:color="auto" w:fill="auto"/>
                  <w:vAlign w:val="center"/>
                </w:tcPr>
                <w:p w14:paraId="4FC63170" w14:textId="02D99EC4" w:rsidR="002B34FE" w:rsidRPr="00815E3F" w:rsidRDefault="002B34FE" w:rsidP="004C306B">
                  <w:pPr>
                    <w:spacing w:after="0" w:line="240" w:lineRule="auto"/>
                    <w:jc w:val="right"/>
                    <w:textAlignment w:val="baseline"/>
                    <w:rPr>
                      <w:rFonts w:eastAsia="Times New Roman" w:cs="Calibri"/>
                      <w:b/>
                      <w:bCs/>
                      <w:color w:val="FFFFFF" w:themeColor="background1"/>
                      <w:kern w:val="0"/>
                      <w:lang w:val="en-IE" w:eastAsia="en-GB"/>
                      <w14:ligatures w14:val="none"/>
                    </w:rPr>
                  </w:pPr>
                  <w:r w:rsidRPr="00815E3F">
                    <w:rPr>
                      <w:b/>
                      <w:bCs/>
                      <w:color w:val="FFFFFF" w:themeColor="background1"/>
                    </w:rPr>
                    <w:t>PAF</w:t>
                  </w:r>
                  <w:r w:rsidR="00FA37FA" w:rsidRPr="00815E3F">
                    <w:rPr>
                      <w:b/>
                      <w:bCs/>
                      <w:color w:val="FFFFFF" w:themeColor="background1"/>
                    </w:rPr>
                    <w:t xml:space="preserve"> (%)</w:t>
                  </w:r>
                </w:p>
              </w:tc>
            </w:tr>
            <w:tr w:rsidR="00815E3F" w:rsidRPr="00815E3F" w14:paraId="24C5F19B" w14:textId="77777777" w:rsidTr="00815E3F">
              <w:trPr>
                <w:trHeight w:val="284"/>
              </w:trPr>
              <w:tc>
                <w:tcPr>
                  <w:tcW w:w="0" w:type="auto"/>
                  <w:shd w:val="clear" w:color="auto" w:fill="auto"/>
                  <w:vAlign w:val="center"/>
                  <w:hideMark/>
                </w:tcPr>
                <w:p w14:paraId="60C5882D" w14:textId="628E9725" w:rsidR="00EB0C7B" w:rsidRPr="00815E3F" w:rsidRDefault="00EB0C7B" w:rsidP="00EB0C7B">
                  <w:pPr>
                    <w:spacing w:after="0" w:line="240" w:lineRule="auto"/>
                    <w:textAlignment w:val="baseline"/>
                    <w:rPr>
                      <w:rFonts w:eastAsia="Times New Roman" w:cs="Segoe UI"/>
                      <w:b/>
                      <w:bCs/>
                      <w:color w:val="FFFFFF" w:themeColor="background1"/>
                      <w:kern w:val="0"/>
                      <w:lang w:eastAsia="en-GB"/>
                      <w14:ligatures w14:val="none"/>
                    </w:rPr>
                  </w:pPr>
                  <w:r w:rsidRPr="00815E3F">
                    <w:rPr>
                      <w:rFonts w:eastAsia="Times New Roman" w:cs="Calibri"/>
                      <w:b/>
                      <w:bCs/>
                      <w:color w:val="FFFFFF" w:themeColor="background1"/>
                      <w:kern w:val="0"/>
                      <w:lang w:val="en-IE" w:eastAsia="en-GB"/>
                      <w14:ligatures w14:val="none"/>
                    </w:rPr>
                    <w:t>Lung</w:t>
                  </w:r>
                </w:p>
              </w:tc>
              <w:tc>
                <w:tcPr>
                  <w:tcW w:w="0" w:type="auto"/>
                  <w:shd w:val="clear" w:color="auto" w:fill="auto"/>
                  <w:vAlign w:val="center"/>
                </w:tcPr>
                <w:p w14:paraId="150610FA" w14:textId="13495C88" w:rsidR="00EB0C7B" w:rsidRPr="00815E3F" w:rsidRDefault="00EB0C7B" w:rsidP="00EB0C7B">
                  <w:pPr>
                    <w:spacing w:after="0" w:line="240" w:lineRule="auto"/>
                    <w:jc w:val="right"/>
                    <w:textAlignment w:val="baseline"/>
                    <w:rPr>
                      <w:rFonts w:eastAsia="Times New Roman" w:cs="Calibri"/>
                      <w:b/>
                      <w:bCs/>
                      <w:color w:val="FFFFFF" w:themeColor="background1"/>
                      <w:kern w:val="0"/>
                      <w:lang w:val="en-IE" w:eastAsia="en-GB"/>
                      <w14:ligatures w14:val="none"/>
                    </w:rPr>
                  </w:pPr>
                  <w:r w:rsidRPr="00815E3F">
                    <w:rPr>
                      <w:b/>
                      <w:bCs/>
                      <w:color w:val="FFFFFF" w:themeColor="background1"/>
                    </w:rPr>
                    <w:t>73.3</w:t>
                  </w:r>
                </w:p>
              </w:tc>
            </w:tr>
            <w:tr w:rsidR="00815E3F" w:rsidRPr="00815E3F" w14:paraId="17A62791" w14:textId="77777777" w:rsidTr="00815E3F">
              <w:trPr>
                <w:trHeight w:val="284"/>
              </w:trPr>
              <w:tc>
                <w:tcPr>
                  <w:tcW w:w="0" w:type="auto"/>
                  <w:shd w:val="clear" w:color="auto" w:fill="auto"/>
                  <w:vAlign w:val="center"/>
                  <w:hideMark/>
                </w:tcPr>
                <w:p w14:paraId="58D29648" w14:textId="006F8B14" w:rsidR="00EB0C7B" w:rsidRPr="00815E3F" w:rsidRDefault="00EB0C7B" w:rsidP="00EB0C7B">
                  <w:pPr>
                    <w:spacing w:after="0" w:line="240" w:lineRule="auto"/>
                    <w:textAlignment w:val="baseline"/>
                    <w:rPr>
                      <w:rFonts w:eastAsia="Times New Roman" w:cs="Segoe UI"/>
                      <w:b/>
                      <w:bCs/>
                      <w:color w:val="FFFFFF" w:themeColor="background1"/>
                      <w:kern w:val="0"/>
                      <w:lang w:eastAsia="en-GB"/>
                      <w14:ligatures w14:val="none"/>
                    </w:rPr>
                  </w:pPr>
                  <w:r w:rsidRPr="00815E3F">
                    <w:rPr>
                      <w:rFonts w:eastAsia="Times New Roman" w:cs="Calibri"/>
                      <w:b/>
                      <w:bCs/>
                      <w:color w:val="FFFFFF" w:themeColor="background1"/>
                      <w:kern w:val="0"/>
                      <w:lang w:val="en-IE" w:eastAsia="en-GB"/>
                      <w14:ligatures w14:val="none"/>
                    </w:rPr>
                    <w:t>Larynx</w:t>
                  </w:r>
                </w:p>
              </w:tc>
              <w:tc>
                <w:tcPr>
                  <w:tcW w:w="0" w:type="auto"/>
                  <w:shd w:val="clear" w:color="auto" w:fill="auto"/>
                  <w:vAlign w:val="center"/>
                </w:tcPr>
                <w:p w14:paraId="21DC333B" w14:textId="52371E2F" w:rsidR="00EB0C7B" w:rsidRPr="00815E3F" w:rsidRDefault="00EB0C7B" w:rsidP="00EB0C7B">
                  <w:pPr>
                    <w:spacing w:after="0" w:line="240" w:lineRule="auto"/>
                    <w:jc w:val="right"/>
                    <w:textAlignment w:val="baseline"/>
                    <w:rPr>
                      <w:rFonts w:eastAsia="Times New Roman" w:cs="Calibri"/>
                      <w:b/>
                      <w:bCs/>
                      <w:color w:val="FFFFFF" w:themeColor="background1"/>
                      <w:kern w:val="0"/>
                      <w:lang w:val="en-IE" w:eastAsia="en-GB"/>
                      <w14:ligatures w14:val="none"/>
                    </w:rPr>
                  </w:pPr>
                  <w:r w:rsidRPr="00815E3F">
                    <w:rPr>
                      <w:b/>
                      <w:bCs/>
                      <w:color w:val="FFFFFF" w:themeColor="background1"/>
                    </w:rPr>
                    <w:t>65.9</w:t>
                  </w:r>
                </w:p>
              </w:tc>
            </w:tr>
            <w:tr w:rsidR="00815E3F" w:rsidRPr="00815E3F" w14:paraId="729B27BF" w14:textId="77777777" w:rsidTr="00815E3F">
              <w:trPr>
                <w:trHeight w:val="284"/>
              </w:trPr>
              <w:tc>
                <w:tcPr>
                  <w:tcW w:w="0" w:type="auto"/>
                  <w:shd w:val="clear" w:color="auto" w:fill="auto"/>
                  <w:vAlign w:val="center"/>
                  <w:hideMark/>
                </w:tcPr>
                <w:p w14:paraId="5C48A3F1" w14:textId="278DD974" w:rsidR="00EB0C7B" w:rsidRPr="00815E3F" w:rsidRDefault="00EB0C7B" w:rsidP="00EB0C7B">
                  <w:pPr>
                    <w:spacing w:after="0" w:line="240" w:lineRule="auto"/>
                    <w:textAlignment w:val="baseline"/>
                    <w:rPr>
                      <w:rFonts w:eastAsia="Times New Roman" w:cs="Segoe UI"/>
                      <w:b/>
                      <w:bCs/>
                      <w:color w:val="FFFFFF" w:themeColor="background1"/>
                      <w:kern w:val="0"/>
                      <w:lang w:eastAsia="en-GB"/>
                      <w14:ligatures w14:val="none"/>
                    </w:rPr>
                  </w:pPr>
                  <w:r w:rsidRPr="00815E3F">
                    <w:rPr>
                      <w:rFonts w:eastAsia="Times New Roman" w:cs="Calibri"/>
                      <w:b/>
                      <w:bCs/>
                      <w:color w:val="FFFFFF" w:themeColor="background1"/>
                      <w:kern w:val="0"/>
                      <w:lang w:val="nl-NL" w:eastAsia="en-GB"/>
                      <w14:ligatures w14:val="none"/>
                    </w:rPr>
                    <w:t xml:space="preserve">Bladder </w:t>
                  </w:r>
                  <w:r w:rsidR="007373C9" w:rsidRPr="00815E3F">
                    <w:rPr>
                      <w:rFonts w:eastAsia="Times New Roman" w:cs="Calibri"/>
                      <w:b/>
                      <w:bCs/>
                      <w:color w:val="FFFFFF" w:themeColor="background1"/>
                      <w:kern w:val="0"/>
                      <w:lang w:val="nl-NL" w:eastAsia="en-GB"/>
                      <w14:ligatures w14:val="none"/>
                    </w:rPr>
                    <w:t>&amp; NMIBC</w:t>
                  </w:r>
                  <w:r w:rsidRPr="00815E3F">
                    <w:rPr>
                      <w:rFonts w:eastAsia="Times New Roman" w:cs="Calibri"/>
                      <w:b/>
                      <w:bCs/>
                      <w:color w:val="FFFFFF" w:themeColor="background1"/>
                      <w:kern w:val="0"/>
                      <w:lang w:val="nl-NL" w:eastAsia="en-GB"/>
                      <w14:ligatures w14:val="none"/>
                    </w:rPr>
                    <w:t xml:space="preserve"> </w:t>
                  </w:r>
                </w:p>
              </w:tc>
              <w:tc>
                <w:tcPr>
                  <w:tcW w:w="0" w:type="auto"/>
                  <w:shd w:val="clear" w:color="auto" w:fill="auto"/>
                  <w:vAlign w:val="center"/>
                </w:tcPr>
                <w:p w14:paraId="69C62C37" w14:textId="07DBF70F" w:rsidR="00EB0C7B" w:rsidRPr="00815E3F" w:rsidRDefault="00EB0C7B" w:rsidP="00EB0C7B">
                  <w:pPr>
                    <w:spacing w:after="0" w:line="240" w:lineRule="auto"/>
                    <w:jc w:val="right"/>
                    <w:textAlignment w:val="baseline"/>
                    <w:rPr>
                      <w:rFonts w:eastAsia="Times New Roman" w:cs="Calibri"/>
                      <w:b/>
                      <w:bCs/>
                      <w:color w:val="FFFFFF" w:themeColor="background1"/>
                      <w:kern w:val="0"/>
                      <w:lang w:val="en-IE" w:eastAsia="en-GB"/>
                      <w14:ligatures w14:val="none"/>
                    </w:rPr>
                  </w:pPr>
                  <w:r w:rsidRPr="00815E3F">
                    <w:rPr>
                      <w:b/>
                      <w:bCs/>
                      <w:color w:val="FFFFFF" w:themeColor="background1"/>
                    </w:rPr>
                    <w:t>47.5</w:t>
                  </w:r>
                </w:p>
              </w:tc>
            </w:tr>
            <w:tr w:rsidR="00815E3F" w:rsidRPr="00815E3F" w14:paraId="561204A3" w14:textId="77777777" w:rsidTr="00815E3F">
              <w:trPr>
                <w:trHeight w:val="284"/>
              </w:trPr>
              <w:tc>
                <w:tcPr>
                  <w:tcW w:w="0" w:type="auto"/>
                  <w:shd w:val="clear" w:color="auto" w:fill="auto"/>
                  <w:vAlign w:val="center"/>
                  <w:hideMark/>
                </w:tcPr>
                <w:p w14:paraId="4550CE8F" w14:textId="014112C8" w:rsidR="00EB0C7B" w:rsidRPr="00815E3F" w:rsidRDefault="00EB0C7B" w:rsidP="00EB0C7B">
                  <w:pPr>
                    <w:spacing w:after="0" w:line="240" w:lineRule="auto"/>
                    <w:textAlignment w:val="baseline"/>
                    <w:rPr>
                      <w:rFonts w:eastAsia="Times New Roman" w:cs="Segoe UI"/>
                      <w:b/>
                      <w:bCs/>
                      <w:color w:val="FFFFFF" w:themeColor="background1"/>
                      <w:kern w:val="0"/>
                      <w:lang w:eastAsia="en-GB"/>
                      <w14:ligatures w14:val="none"/>
                    </w:rPr>
                  </w:pPr>
                  <w:r w:rsidRPr="00815E3F">
                    <w:rPr>
                      <w:rFonts w:eastAsia="Times New Roman" w:cs="Calibri"/>
                      <w:b/>
                      <w:bCs/>
                      <w:color w:val="FFFFFF" w:themeColor="background1"/>
                      <w:kern w:val="0"/>
                      <w:lang w:val="en-IE" w:eastAsia="en-GB"/>
                      <w14:ligatures w14:val="none"/>
                    </w:rPr>
                    <w:t>Oesophagus (adenocarcinoma)</w:t>
                  </w:r>
                </w:p>
              </w:tc>
              <w:tc>
                <w:tcPr>
                  <w:tcW w:w="0" w:type="auto"/>
                  <w:shd w:val="clear" w:color="auto" w:fill="auto"/>
                  <w:vAlign w:val="center"/>
                </w:tcPr>
                <w:p w14:paraId="48112DAC" w14:textId="387A4259" w:rsidR="00EB0C7B" w:rsidRPr="00815E3F" w:rsidRDefault="00EB0C7B" w:rsidP="00EB0C7B">
                  <w:pPr>
                    <w:spacing w:after="0" w:line="240" w:lineRule="auto"/>
                    <w:jc w:val="right"/>
                    <w:textAlignment w:val="baseline"/>
                    <w:rPr>
                      <w:rFonts w:eastAsia="Times New Roman" w:cs="Calibri"/>
                      <w:b/>
                      <w:bCs/>
                      <w:color w:val="FFFFFF" w:themeColor="background1"/>
                      <w:kern w:val="0"/>
                      <w:lang w:val="en-IE" w:eastAsia="en-GB"/>
                      <w14:ligatures w14:val="none"/>
                    </w:rPr>
                  </w:pPr>
                  <w:r w:rsidRPr="00815E3F">
                    <w:rPr>
                      <w:b/>
                      <w:bCs/>
                      <w:color w:val="FFFFFF" w:themeColor="background1"/>
                    </w:rPr>
                    <w:t>38.6</w:t>
                  </w:r>
                </w:p>
              </w:tc>
            </w:tr>
            <w:tr w:rsidR="00815E3F" w:rsidRPr="00815E3F" w14:paraId="64BC40D6" w14:textId="77777777" w:rsidTr="00815E3F">
              <w:trPr>
                <w:trHeight w:val="284"/>
              </w:trPr>
              <w:tc>
                <w:tcPr>
                  <w:tcW w:w="0" w:type="auto"/>
                  <w:shd w:val="clear" w:color="auto" w:fill="auto"/>
                  <w:vAlign w:val="center"/>
                  <w:hideMark/>
                </w:tcPr>
                <w:p w14:paraId="0C48C34D" w14:textId="3C2FB787" w:rsidR="00EB0C7B" w:rsidRPr="00815E3F" w:rsidRDefault="00EB0C7B" w:rsidP="00EB0C7B">
                  <w:pPr>
                    <w:spacing w:after="0" w:line="240" w:lineRule="auto"/>
                    <w:textAlignment w:val="baseline"/>
                    <w:rPr>
                      <w:rFonts w:eastAsia="Times New Roman" w:cs="Segoe UI"/>
                      <w:b/>
                      <w:bCs/>
                      <w:color w:val="FFFFFF" w:themeColor="background1"/>
                      <w:kern w:val="0"/>
                      <w:lang w:eastAsia="en-GB"/>
                      <w14:ligatures w14:val="none"/>
                    </w:rPr>
                  </w:pPr>
                  <w:r w:rsidRPr="00815E3F">
                    <w:rPr>
                      <w:rFonts w:eastAsia="Times New Roman" w:cs="Calibri"/>
                      <w:b/>
                      <w:bCs/>
                      <w:color w:val="FFFFFF" w:themeColor="background1"/>
                      <w:kern w:val="0"/>
                      <w:lang w:val="en-IE" w:eastAsia="en-GB"/>
                      <w14:ligatures w14:val="none"/>
                    </w:rPr>
                    <w:t>Oesophagus (squamous cell carcinoma)</w:t>
                  </w:r>
                </w:p>
              </w:tc>
              <w:tc>
                <w:tcPr>
                  <w:tcW w:w="0" w:type="auto"/>
                  <w:shd w:val="clear" w:color="auto" w:fill="auto"/>
                  <w:vAlign w:val="center"/>
                </w:tcPr>
                <w:p w14:paraId="5E790B88" w14:textId="0DA098E0" w:rsidR="00EB0C7B" w:rsidRPr="00815E3F" w:rsidRDefault="00EB0C7B" w:rsidP="00EB0C7B">
                  <w:pPr>
                    <w:spacing w:after="0" w:line="240" w:lineRule="auto"/>
                    <w:jc w:val="right"/>
                    <w:textAlignment w:val="baseline"/>
                    <w:rPr>
                      <w:rFonts w:eastAsia="Times New Roman" w:cs="Calibri"/>
                      <w:b/>
                      <w:bCs/>
                      <w:color w:val="FFFFFF" w:themeColor="background1"/>
                      <w:kern w:val="0"/>
                      <w:lang w:val="en-IE" w:eastAsia="en-GB"/>
                      <w14:ligatures w14:val="none"/>
                    </w:rPr>
                  </w:pPr>
                  <w:r w:rsidRPr="00815E3F">
                    <w:rPr>
                      <w:b/>
                      <w:bCs/>
                      <w:color w:val="FFFFFF" w:themeColor="background1"/>
                    </w:rPr>
                    <w:t>38</w:t>
                  </w:r>
                </w:p>
              </w:tc>
            </w:tr>
            <w:tr w:rsidR="00815E3F" w:rsidRPr="00815E3F" w14:paraId="738428AC" w14:textId="77777777" w:rsidTr="00815E3F">
              <w:trPr>
                <w:trHeight w:val="284"/>
              </w:trPr>
              <w:tc>
                <w:tcPr>
                  <w:tcW w:w="0" w:type="auto"/>
                  <w:shd w:val="clear" w:color="auto" w:fill="auto"/>
                  <w:vAlign w:val="center"/>
                  <w:hideMark/>
                </w:tcPr>
                <w:p w14:paraId="2510492E" w14:textId="65159341" w:rsidR="00EB0C7B" w:rsidRPr="00815E3F" w:rsidRDefault="00EB0C7B" w:rsidP="00EB0C7B">
                  <w:pPr>
                    <w:spacing w:after="0" w:line="240" w:lineRule="auto"/>
                    <w:textAlignment w:val="baseline"/>
                    <w:rPr>
                      <w:rFonts w:eastAsia="Times New Roman" w:cs="Segoe UI"/>
                      <w:b/>
                      <w:bCs/>
                      <w:color w:val="FFFFFF" w:themeColor="background1"/>
                      <w:kern w:val="0"/>
                      <w:lang w:eastAsia="en-GB"/>
                      <w14:ligatures w14:val="none"/>
                    </w:rPr>
                  </w:pPr>
                  <w:r w:rsidRPr="00815E3F">
                    <w:rPr>
                      <w:rFonts w:eastAsia="Times New Roman" w:cs="Calibri"/>
                      <w:b/>
                      <w:bCs/>
                      <w:color w:val="FFFFFF" w:themeColor="background1"/>
                      <w:kern w:val="0"/>
                      <w:lang w:val="en-IE" w:eastAsia="en-GB"/>
                      <w14:ligatures w14:val="none"/>
                    </w:rPr>
                    <w:t>Pharynx</w:t>
                  </w:r>
                </w:p>
              </w:tc>
              <w:tc>
                <w:tcPr>
                  <w:tcW w:w="0" w:type="auto"/>
                  <w:shd w:val="clear" w:color="auto" w:fill="auto"/>
                  <w:vAlign w:val="center"/>
                </w:tcPr>
                <w:p w14:paraId="7CD431B7" w14:textId="07BF0234" w:rsidR="00EB0C7B" w:rsidRPr="00815E3F" w:rsidRDefault="00EB0C7B" w:rsidP="00EB0C7B">
                  <w:pPr>
                    <w:spacing w:after="0" w:line="240" w:lineRule="auto"/>
                    <w:jc w:val="right"/>
                    <w:textAlignment w:val="baseline"/>
                    <w:rPr>
                      <w:rFonts w:eastAsia="Times New Roman" w:cs="Calibri"/>
                      <w:b/>
                      <w:bCs/>
                      <w:color w:val="FFFFFF" w:themeColor="background1"/>
                      <w:kern w:val="0"/>
                      <w:lang w:val="en-IE" w:eastAsia="en-GB"/>
                      <w14:ligatures w14:val="none"/>
                    </w:rPr>
                  </w:pPr>
                  <w:r w:rsidRPr="00815E3F">
                    <w:rPr>
                      <w:b/>
                      <w:bCs/>
                      <w:color w:val="FFFFFF" w:themeColor="background1"/>
                    </w:rPr>
                    <w:t>37.6</w:t>
                  </w:r>
                </w:p>
              </w:tc>
            </w:tr>
            <w:tr w:rsidR="00815E3F" w:rsidRPr="00815E3F" w14:paraId="3767D5DD" w14:textId="77777777" w:rsidTr="00815E3F">
              <w:trPr>
                <w:trHeight w:val="284"/>
              </w:trPr>
              <w:tc>
                <w:tcPr>
                  <w:tcW w:w="0" w:type="auto"/>
                  <w:shd w:val="clear" w:color="auto" w:fill="auto"/>
                  <w:vAlign w:val="center"/>
                  <w:hideMark/>
                </w:tcPr>
                <w:p w14:paraId="30193D9B" w14:textId="12F2A87D" w:rsidR="00EB0C7B" w:rsidRPr="00815E3F" w:rsidRDefault="00EB0C7B" w:rsidP="00EB0C7B">
                  <w:pPr>
                    <w:spacing w:after="0" w:line="240" w:lineRule="auto"/>
                    <w:textAlignment w:val="baseline"/>
                    <w:rPr>
                      <w:rFonts w:eastAsia="Times New Roman" w:cs="Segoe UI"/>
                      <w:b/>
                      <w:bCs/>
                      <w:color w:val="FFFFFF" w:themeColor="background1"/>
                      <w:kern w:val="0"/>
                      <w:lang w:eastAsia="en-GB"/>
                      <w14:ligatures w14:val="none"/>
                    </w:rPr>
                  </w:pPr>
                  <w:r w:rsidRPr="00815E3F">
                    <w:rPr>
                      <w:rFonts w:eastAsia="Times New Roman" w:cs="Calibri"/>
                      <w:b/>
                      <w:bCs/>
                      <w:color w:val="FFFFFF" w:themeColor="background1"/>
                      <w:kern w:val="0"/>
                      <w:lang w:val="en-IE" w:eastAsia="en-GB"/>
                      <w14:ligatures w14:val="none"/>
                    </w:rPr>
                    <w:t>Sinonasal</w:t>
                  </w:r>
                </w:p>
              </w:tc>
              <w:tc>
                <w:tcPr>
                  <w:tcW w:w="0" w:type="auto"/>
                  <w:shd w:val="clear" w:color="auto" w:fill="auto"/>
                  <w:vAlign w:val="center"/>
                </w:tcPr>
                <w:p w14:paraId="535D252B" w14:textId="02367E02" w:rsidR="00EB0C7B" w:rsidRPr="00815E3F" w:rsidRDefault="00EB0C7B" w:rsidP="00EB0C7B">
                  <w:pPr>
                    <w:spacing w:after="0" w:line="240" w:lineRule="auto"/>
                    <w:jc w:val="right"/>
                    <w:textAlignment w:val="baseline"/>
                    <w:rPr>
                      <w:rFonts w:eastAsia="Times New Roman" w:cs="Calibri"/>
                      <w:b/>
                      <w:bCs/>
                      <w:color w:val="FFFFFF" w:themeColor="background1"/>
                      <w:kern w:val="0"/>
                      <w:lang w:val="en-IE" w:eastAsia="en-GB"/>
                      <w14:ligatures w14:val="none"/>
                    </w:rPr>
                  </w:pPr>
                  <w:r w:rsidRPr="00815E3F">
                    <w:rPr>
                      <w:b/>
                      <w:bCs/>
                      <w:color w:val="FFFFFF" w:themeColor="background1"/>
                    </w:rPr>
                    <w:t>26</w:t>
                  </w:r>
                </w:p>
              </w:tc>
            </w:tr>
            <w:tr w:rsidR="00815E3F" w:rsidRPr="00815E3F" w14:paraId="31C04EA5" w14:textId="77777777" w:rsidTr="00815E3F">
              <w:trPr>
                <w:trHeight w:val="284"/>
              </w:trPr>
              <w:tc>
                <w:tcPr>
                  <w:tcW w:w="0" w:type="auto"/>
                  <w:shd w:val="clear" w:color="auto" w:fill="auto"/>
                  <w:vAlign w:val="center"/>
                  <w:hideMark/>
                </w:tcPr>
                <w:p w14:paraId="258440B3" w14:textId="7F8CC7D9" w:rsidR="00EB0C7B" w:rsidRPr="00815E3F" w:rsidRDefault="00EB0C7B" w:rsidP="00EB0C7B">
                  <w:pPr>
                    <w:spacing w:after="0" w:line="240" w:lineRule="auto"/>
                    <w:textAlignment w:val="baseline"/>
                    <w:rPr>
                      <w:rFonts w:eastAsia="Times New Roman" w:cs="Segoe UI"/>
                      <w:b/>
                      <w:bCs/>
                      <w:color w:val="FFFFFF" w:themeColor="background1"/>
                      <w:kern w:val="0"/>
                      <w:lang w:eastAsia="en-GB"/>
                      <w14:ligatures w14:val="none"/>
                    </w:rPr>
                  </w:pPr>
                  <w:r w:rsidRPr="00815E3F">
                    <w:rPr>
                      <w:rFonts w:eastAsia="Times New Roman" w:cs="Calibri"/>
                      <w:b/>
                      <w:bCs/>
                      <w:color w:val="FFFFFF" w:themeColor="background1"/>
                      <w:kern w:val="0"/>
                      <w:lang w:val="en-IE" w:eastAsia="en-GB"/>
                      <w14:ligatures w14:val="none"/>
                    </w:rPr>
                    <w:t>Nasopharynx</w:t>
                  </w:r>
                </w:p>
              </w:tc>
              <w:tc>
                <w:tcPr>
                  <w:tcW w:w="0" w:type="auto"/>
                  <w:shd w:val="clear" w:color="auto" w:fill="auto"/>
                  <w:vAlign w:val="center"/>
                </w:tcPr>
                <w:p w14:paraId="5DB2DC75" w14:textId="56DBC7B8" w:rsidR="00EB0C7B" w:rsidRPr="00815E3F" w:rsidRDefault="00EB0C7B" w:rsidP="00EB0C7B">
                  <w:pPr>
                    <w:spacing w:after="0" w:line="240" w:lineRule="auto"/>
                    <w:jc w:val="right"/>
                    <w:textAlignment w:val="baseline"/>
                    <w:rPr>
                      <w:rFonts w:eastAsia="Times New Roman" w:cs="Calibri"/>
                      <w:b/>
                      <w:bCs/>
                      <w:color w:val="FFFFFF" w:themeColor="background1"/>
                      <w:kern w:val="0"/>
                      <w:lang w:val="en-IE" w:eastAsia="en-GB"/>
                      <w14:ligatures w14:val="none"/>
                    </w:rPr>
                  </w:pPr>
                  <w:r w:rsidRPr="00815E3F">
                    <w:rPr>
                      <w:b/>
                      <w:bCs/>
                      <w:color w:val="FFFFFF" w:themeColor="background1"/>
                    </w:rPr>
                    <w:t>25.4</w:t>
                  </w:r>
                </w:p>
              </w:tc>
            </w:tr>
            <w:tr w:rsidR="00815E3F" w:rsidRPr="00815E3F" w14:paraId="4BDCC421" w14:textId="77777777" w:rsidTr="004C306B">
              <w:trPr>
                <w:trHeight w:val="284"/>
              </w:trPr>
              <w:tc>
                <w:tcPr>
                  <w:tcW w:w="0" w:type="auto"/>
                  <w:shd w:val="clear" w:color="auto" w:fill="auto"/>
                  <w:vAlign w:val="center"/>
                  <w:hideMark/>
                </w:tcPr>
                <w:p w14:paraId="3995D720" w14:textId="4889C060" w:rsidR="00EB0C7B" w:rsidRPr="00815E3F" w:rsidRDefault="00EB0C7B" w:rsidP="00EB0C7B">
                  <w:pPr>
                    <w:spacing w:after="0" w:line="240" w:lineRule="auto"/>
                    <w:textAlignment w:val="baseline"/>
                    <w:rPr>
                      <w:rFonts w:eastAsia="Times New Roman" w:cs="Segoe UI"/>
                      <w:b/>
                      <w:bCs/>
                      <w:color w:val="FFFFFF" w:themeColor="background1"/>
                      <w:kern w:val="0"/>
                      <w:lang w:eastAsia="en-GB"/>
                      <w14:ligatures w14:val="none"/>
                    </w:rPr>
                  </w:pPr>
                  <w:r w:rsidRPr="00815E3F">
                    <w:rPr>
                      <w:rFonts w:eastAsia="Times New Roman" w:cs="Calibri"/>
                      <w:b/>
                      <w:bCs/>
                      <w:color w:val="FFFFFF" w:themeColor="background1"/>
                      <w:kern w:val="0"/>
                      <w:lang w:val="en-IE" w:eastAsia="en-GB"/>
                      <w14:ligatures w14:val="none"/>
                    </w:rPr>
                    <w:t>Pancreas</w:t>
                  </w:r>
                </w:p>
              </w:tc>
              <w:tc>
                <w:tcPr>
                  <w:tcW w:w="0" w:type="auto"/>
                  <w:vAlign w:val="center"/>
                </w:tcPr>
                <w:p w14:paraId="446AAF88" w14:textId="67A5F73E" w:rsidR="00EB0C7B" w:rsidRPr="00815E3F" w:rsidRDefault="00EB0C7B" w:rsidP="00EB0C7B">
                  <w:pPr>
                    <w:spacing w:after="0" w:line="240" w:lineRule="auto"/>
                    <w:jc w:val="right"/>
                    <w:textAlignment w:val="baseline"/>
                    <w:rPr>
                      <w:rFonts w:eastAsia="Times New Roman" w:cs="Calibri"/>
                      <w:b/>
                      <w:bCs/>
                      <w:color w:val="FFFFFF" w:themeColor="background1"/>
                      <w:kern w:val="0"/>
                      <w:lang w:val="en-IE" w:eastAsia="en-GB"/>
                      <w14:ligatures w14:val="none"/>
                    </w:rPr>
                  </w:pPr>
                  <w:r w:rsidRPr="00815E3F">
                    <w:rPr>
                      <w:b/>
                      <w:bCs/>
                      <w:color w:val="FFFFFF" w:themeColor="background1"/>
                    </w:rPr>
                    <w:t>24.9</w:t>
                  </w:r>
                </w:p>
              </w:tc>
            </w:tr>
            <w:tr w:rsidR="00815E3F" w:rsidRPr="00815E3F" w14:paraId="074D2F9C" w14:textId="77777777" w:rsidTr="004C306B">
              <w:trPr>
                <w:trHeight w:val="284"/>
              </w:trPr>
              <w:tc>
                <w:tcPr>
                  <w:tcW w:w="0" w:type="auto"/>
                  <w:shd w:val="clear" w:color="auto" w:fill="auto"/>
                  <w:vAlign w:val="center"/>
                  <w:hideMark/>
                </w:tcPr>
                <w:p w14:paraId="6F5D0A04" w14:textId="650AF397" w:rsidR="00EB0C7B" w:rsidRPr="00815E3F" w:rsidRDefault="00EB0C7B" w:rsidP="00EB0C7B">
                  <w:pPr>
                    <w:spacing w:after="0" w:line="240" w:lineRule="auto"/>
                    <w:textAlignment w:val="baseline"/>
                    <w:rPr>
                      <w:rFonts w:eastAsia="Times New Roman" w:cs="Segoe UI"/>
                      <w:b/>
                      <w:bCs/>
                      <w:color w:val="FFFFFF" w:themeColor="background1"/>
                      <w:kern w:val="0"/>
                      <w:lang w:eastAsia="en-GB"/>
                      <w14:ligatures w14:val="none"/>
                    </w:rPr>
                  </w:pPr>
                  <w:r w:rsidRPr="00815E3F">
                    <w:rPr>
                      <w:rFonts w:eastAsia="Times New Roman" w:cs="Calibri"/>
                      <w:b/>
                      <w:bCs/>
                      <w:color w:val="FFFFFF" w:themeColor="background1"/>
                      <w:kern w:val="0"/>
                      <w:lang w:val="en-IE" w:eastAsia="en-GB"/>
                      <w14:ligatures w14:val="none"/>
                    </w:rPr>
                    <w:t>Acute Myeloid Leukaemia</w:t>
                  </w:r>
                </w:p>
              </w:tc>
              <w:tc>
                <w:tcPr>
                  <w:tcW w:w="0" w:type="auto"/>
                  <w:vAlign w:val="center"/>
                </w:tcPr>
                <w:p w14:paraId="5F562819" w14:textId="702FE189" w:rsidR="00EB0C7B" w:rsidRPr="00815E3F" w:rsidRDefault="00EB0C7B" w:rsidP="00EB0C7B">
                  <w:pPr>
                    <w:spacing w:after="0" w:line="240" w:lineRule="auto"/>
                    <w:jc w:val="right"/>
                    <w:textAlignment w:val="baseline"/>
                    <w:rPr>
                      <w:rFonts w:eastAsia="Times New Roman" w:cs="Calibri"/>
                      <w:b/>
                      <w:bCs/>
                      <w:color w:val="FFFFFF" w:themeColor="background1"/>
                      <w:kern w:val="0"/>
                      <w:lang w:val="en-IE" w:eastAsia="en-GB"/>
                      <w14:ligatures w14:val="none"/>
                    </w:rPr>
                  </w:pPr>
                  <w:r w:rsidRPr="00815E3F">
                    <w:rPr>
                      <w:b/>
                      <w:bCs/>
                      <w:color w:val="FFFFFF" w:themeColor="background1"/>
                    </w:rPr>
                    <w:t>20.7</w:t>
                  </w:r>
                </w:p>
              </w:tc>
            </w:tr>
            <w:tr w:rsidR="00815E3F" w:rsidRPr="00815E3F" w14:paraId="7558A7F3" w14:textId="77777777" w:rsidTr="004C306B">
              <w:trPr>
                <w:trHeight w:val="284"/>
              </w:trPr>
              <w:tc>
                <w:tcPr>
                  <w:tcW w:w="0" w:type="auto"/>
                  <w:shd w:val="clear" w:color="auto" w:fill="auto"/>
                  <w:vAlign w:val="center"/>
                  <w:hideMark/>
                </w:tcPr>
                <w:p w14:paraId="3728360F" w14:textId="77EC445F" w:rsidR="00EB0C7B" w:rsidRPr="00815E3F" w:rsidRDefault="00EB0C7B" w:rsidP="00EB0C7B">
                  <w:pPr>
                    <w:spacing w:after="0" w:line="240" w:lineRule="auto"/>
                    <w:textAlignment w:val="baseline"/>
                    <w:rPr>
                      <w:rFonts w:eastAsia="Times New Roman" w:cs="Segoe UI"/>
                      <w:b/>
                      <w:bCs/>
                      <w:color w:val="FFFFFF" w:themeColor="background1"/>
                      <w:kern w:val="0"/>
                      <w:lang w:eastAsia="en-GB"/>
                      <w14:ligatures w14:val="none"/>
                    </w:rPr>
                  </w:pPr>
                  <w:r w:rsidRPr="00815E3F">
                    <w:rPr>
                      <w:rFonts w:eastAsia="Times New Roman" w:cs="Calibri"/>
                      <w:b/>
                      <w:bCs/>
                      <w:color w:val="FFFFFF" w:themeColor="background1"/>
                      <w:kern w:val="0"/>
                      <w:lang w:val="en-IE" w:eastAsia="en-GB"/>
                      <w14:ligatures w14:val="none"/>
                    </w:rPr>
                    <w:t>Cervix</w:t>
                  </w:r>
                </w:p>
              </w:tc>
              <w:tc>
                <w:tcPr>
                  <w:tcW w:w="0" w:type="auto"/>
                  <w:vAlign w:val="center"/>
                </w:tcPr>
                <w:p w14:paraId="1CAEB4BE" w14:textId="3E07D73D" w:rsidR="00EB0C7B" w:rsidRPr="00815E3F" w:rsidRDefault="00EB0C7B" w:rsidP="00EB0C7B">
                  <w:pPr>
                    <w:spacing w:after="0" w:line="240" w:lineRule="auto"/>
                    <w:jc w:val="right"/>
                    <w:textAlignment w:val="baseline"/>
                    <w:rPr>
                      <w:rFonts w:eastAsia="Times New Roman" w:cs="Calibri"/>
                      <w:b/>
                      <w:bCs/>
                      <w:color w:val="FFFFFF" w:themeColor="background1"/>
                      <w:kern w:val="0"/>
                      <w:lang w:val="en-IE" w:eastAsia="en-GB"/>
                      <w14:ligatures w14:val="none"/>
                    </w:rPr>
                  </w:pPr>
                  <w:r w:rsidRPr="00815E3F">
                    <w:rPr>
                      <w:b/>
                      <w:bCs/>
                      <w:color w:val="FFFFFF" w:themeColor="background1"/>
                    </w:rPr>
                    <w:t>20.3</w:t>
                  </w:r>
                </w:p>
              </w:tc>
            </w:tr>
            <w:tr w:rsidR="00815E3F" w:rsidRPr="00815E3F" w14:paraId="739CFD6F" w14:textId="77777777" w:rsidTr="004C306B">
              <w:trPr>
                <w:trHeight w:val="284"/>
              </w:trPr>
              <w:tc>
                <w:tcPr>
                  <w:tcW w:w="0" w:type="auto"/>
                  <w:shd w:val="clear" w:color="auto" w:fill="auto"/>
                  <w:vAlign w:val="center"/>
                  <w:hideMark/>
                </w:tcPr>
                <w:p w14:paraId="653007B1" w14:textId="4DD91A33" w:rsidR="00EB0C7B" w:rsidRPr="00815E3F" w:rsidRDefault="00EB0C7B" w:rsidP="00EB0C7B">
                  <w:pPr>
                    <w:spacing w:after="0" w:line="240" w:lineRule="auto"/>
                    <w:textAlignment w:val="baseline"/>
                    <w:rPr>
                      <w:rFonts w:eastAsia="Times New Roman" w:cs="Segoe UI"/>
                      <w:b/>
                      <w:bCs/>
                      <w:color w:val="FFFFFF" w:themeColor="background1"/>
                      <w:kern w:val="0"/>
                      <w:lang w:eastAsia="en-GB"/>
                      <w14:ligatures w14:val="none"/>
                    </w:rPr>
                  </w:pPr>
                  <w:r w:rsidRPr="00815E3F">
                    <w:rPr>
                      <w:rFonts w:eastAsia="Times New Roman" w:cs="Calibri"/>
                      <w:b/>
                      <w:bCs/>
                      <w:color w:val="FFFFFF" w:themeColor="background1"/>
                      <w:kern w:val="0"/>
                      <w:lang w:val="en-IE" w:eastAsia="en-GB"/>
                      <w14:ligatures w14:val="none"/>
                    </w:rPr>
                    <w:t>Ovary (mucinous)</w:t>
                  </w:r>
                </w:p>
              </w:tc>
              <w:tc>
                <w:tcPr>
                  <w:tcW w:w="0" w:type="auto"/>
                  <w:vAlign w:val="center"/>
                </w:tcPr>
                <w:p w14:paraId="7EA3F939" w14:textId="1CCEE49B" w:rsidR="00EB0C7B" w:rsidRPr="00815E3F" w:rsidRDefault="00EB0C7B" w:rsidP="00EB0C7B">
                  <w:pPr>
                    <w:spacing w:after="0" w:line="240" w:lineRule="auto"/>
                    <w:jc w:val="right"/>
                    <w:textAlignment w:val="baseline"/>
                    <w:rPr>
                      <w:rFonts w:eastAsia="Times New Roman" w:cs="Calibri"/>
                      <w:b/>
                      <w:bCs/>
                      <w:color w:val="FFFFFF" w:themeColor="background1"/>
                      <w:kern w:val="0"/>
                      <w:lang w:val="en-IE" w:eastAsia="en-GB"/>
                      <w14:ligatures w14:val="none"/>
                    </w:rPr>
                  </w:pPr>
                  <w:r w:rsidRPr="00815E3F">
                    <w:rPr>
                      <w:b/>
                      <w:bCs/>
                      <w:color w:val="FFFFFF" w:themeColor="background1"/>
                    </w:rPr>
                    <w:t>20.3</w:t>
                  </w:r>
                </w:p>
              </w:tc>
            </w:tr>
            <w:tr w:rsidR="00815E3F" w:rsidRPr="00815E3F" w14:paraId="08F0A01E" w14:textId="77777777" w:rsidTr="004C306B">
              <w:trPr>
                <w:trHeight w:val="284"/>
              </w:trPr>
              <w:tc>
                <w:tcPr>
                  <w:tcW w:w="0" w:type="auto"/>
                  <w:shd w:val="clear" w:color="auto" w:fill="auto"/>
                  <w:vAlign w:val="center"/>
                  <w:hideMark/>
                </w:tcPr>
                <w:p w14:paraId="68B383BB" w14:textId="4824CC20" w:rsidR="00EB0C7B" w:rsidRPr="00815E3F" w:rsidRDefault="00EB0C7B" w:rsidP="00EB0C7B">
                  <w:pPr>
                    <w:spacing w:after="0" w:line="240" w:lineRule="auto"/>
                    <w:textAlignment w:val="baseline"/>
                    <w:rPr>
                      <w:rFonts w:eastAsia="Times New Roman" w:cs="Segoe UI"/>
                      <w:b/>
                      <w:bCs/>
                      <w:color w:val="FFFFFF" w:themeColor="background1"/>
                      <w:kern w:val="0"/>
                      <w:lang w:eastAsia="en-GB"/>
                      <w14:ligatures w14:val="none"/>
                    </w:rPr>
                  </w:pPr>
                  <w:r w:rsidRPr="00815E3F">
                    <w:rPr>
                      <w:rFonts w:eastAsia="Times New Roman" w:cs="Calibri"/>
                      <w:b/>
                      <w:bCs/>
                      <w:color w:val="FFFFFF" w:themeColor="background1"/>
                      <w:kern w:val="0"/>
                      <w:lang w:val="en-IE" w:eastAsia="en-GB"/>
                      <w14:ligatures w14:val="none"/>
                    </w:rPr>
                    <w:t>Oral cavity</w:t>
                  </w:r>
                </w:p>
              </w:tc>
              <w:tc>
                <w:tcPr>
                  <w:tcW w:w="0" w:type="auto"/>
                  <w:vAlign w:val="center"/>
                </w:tcPr>
                <w:p w14:paraId="49D1993D" w14:textId="46B7BBD8" w:rsidR="00EB0C7B" w:rsidRPr="00815E3F" w:rsidRDefault="00EB0C7B" w:rsidP="00EB0C7B">
                  <w:pPr>
                    <w:spacing w:after="0" w:line="240" w:lineRule="auto"/>
                    <w:jc w:val="right"/>
                    <w:textAlignment w:val="baseline"/>
                    <w:rPr>
                      <w:rFonts w:eastAsia="Times New Roman" w:cs="Calibri"/>
                      <w:b/>
                      <w:bCs/>
                      <w:color w:val="FFFFFF" w:themeColor="background1"/>
                      <w:kern w:val="0"/>
                      <w:lang w:val="en-IE" w:eastAsia="en-GB"/>
                      <w14:ligatures w14:val="none"/>
                    </w:rPr>
                  </w:pPr>
                  <w:r w:rsidRPr="00815E3F">
                    <w:rPr>
                      <w:b/>
                      <w:bCs/>
                      <w:color w:val="FFFFFF" w:themeColor="background1"/>
                    </w:rPr>
                    <w:t>18.2</w:t>
                  </w:r>
                </w:p>
              </w:tc>
            </w:tr>
            <w:tr w:rsidR="00815E3F" w:rsidRPr="00815E3F" w14:paraId="5FE2EE15" w14:textId="77777777" w:rsidTr="004C306B">
              <w:trPr>
                <w:trHeight w:val="284"/>
              </w:trPr>
              <w:tc>
                <w:tcPr>
                  <w:tcW w:w="0" w:type="auto"/>
                  <w:shd w:val="clear" w:color="auto" w:fill="auto"/>
                  <w:vAlign w:val="center"/>
                  <w:hideMark/>
                </w:tcPr>
                <w:p w14:paraId="123B420B" w14:textId="11AE2D9B" w:rsidR="00EB0C7B" w:rsidRPr="00815E3F" w:rsidRDefault="00EB0C7B" w:rsidP="00EB0C7B">
                  <w:pPr>
                    <w:spacing w:after="0" w:line="240" w:lineRule="auto"/>
                    <w:textAlignment w:val="baseline"/>
                    <w:rPr>
                      <w:rFonts w:eastAsia="Times New Roman" w:cs="Segoe UI"/>
                      <w:b/>
                      <w:bCs/>
                      <w:color w:val="FFFFFF" w:themeColor="background1"/>
                      <w:kern w:val="0"/>
                      <w:lang w:eastAsia="en-GB"/>
                      <w14:ligatures w14:val="none"/>
                    </w:rPr>
                  </w:pPr>
                  <w:r w:rsidRPr="00815E3F">
                    <w:rPr>
                      <w:rFonts w:eastAsia="Times New Roman" w:cs="Calibri"/>
                      <w:b/>
                      <w:bCs/>
                      <w:color w:val="FFFFFF" w:themeColor="background1"/>
                      <w:kern w:val="0"/>
                      <w:lang w:val="en-IE" w:eastAsia="en-GB"/>
                      <w14:ligatures w14:val="none"/>
                    </w:rPr>
                    <w:t>Liver</w:t>
                  </w:r>
                </w:p>
              </w:tc>
              <w:tc>
                <w:tcPr>
                  <w:tcW w:w="0" w:type="auto"/>
                  <w:vAlign w:val="center"/>
                </w:tcPr>
                <w:p w14:paraId="06615ABE" w14:textId="62184882" w:rsidR="00EB0C7B" w:rsidRPr="00815E3F" w:rsidRDefault="00EB0C7B" w:rsidP="00EB0C7B">
                  <w:pPr>
                    <w:spacing w:after="0" w:line="240" w:lineRule="auto"/>
                    <w:jc w:val="right"/>
                    <w:textAlignment w:val="baseline"/>
                    <w:rPr>
                      <w:rFonts w:eastAsia="Times New Roman" w:cs="Calibri"/>
                      <w:b/>
                      <w:bCs/>
                      <w:color w:val="FFFFFF" w:themeColor="background1"/>
                      <w:kern w:val="0"/>
                      <w:lang w:val="en-IE" w:eastAsia="en-GB"/>
                      <w14:ligatures w14:val="none"/>
                    </w:rPr>
                  </w:pPr>
                  <w:r w:rsidRPr="00815E3F">
                    <w:rPr>
                      <w:b/>
                      <w:bCs/>
                      <w:color w:val="FFFFFF" w:themeColor="background1"/>
                    </w:rPr>
                    <w:t>18</w:t>
                  </w:r>
                </w:p>
              </w:tc>
            </w:tr>
            <w:tr w:rsidR="00815E3F" w:rsidRPr="00815E3F" w14:paraId="04F0BE48" w14:textId="77777777" w:rsidTr="004C306B">
              <w:trPr>
                <w:trHeight w:val="284"/>
              </w:trPr>
              <w:tc>
                <w:tcPr>
                  <w:tcW w:w="0" w:type="auto"/>
                  <w:shd w:val="clear" w:color="auto" w:fill="auto"/>
                  <w:vAlign w:val="center"/>
                  <w:hideMark/>
                </w:tcPr>
                <w:p w14:paraId="1FD48B46" w14:textId="58A27BB7" w:rsidR="00EB0C7B" w:rsidRPr="00815E3F" w:rsidRDefault="00EB0C7B" w:rsidP="00EB0C7B">
                  <w:pPr>
                    <w:spacing w:after="0" w:line="240" w:lineRule="auto"/>
                    <w:textAlignment w:val="baseline"/>
                    <w:rPr>
                      <w:rFonts w:eastAsia="Times New Roman" w:cs="Segoe UI"/>
                      <w:b/>
                      <w:bCs/>
                      <w:color w:val="FFFFFF" w:themeColor="background1"/>
                      <w:kern w:val="0"/>
                      <w:lang w:eastAsia="en-GB"/>
                      <w14:ligatures w14:val="none"/>
                    </w:rPr>
                  </w:pPr>
                  <w:r w:rsidRPr="00815E3F">
                    <w:rPr>
                      <w:rFonts w:eastAsia="Times New Roman" w:cs="Calibri"/>
                      <w:b/>
                      <w:bCs/>
                      <w:color w:val="FFFFFF" w:themeColor="background1"/>
                      <w:kern w:val="0"/>
                      <w:lang w:val="en-IE" w:eastAsia="en-GB"/>
                      <w14:ligatures w14:val="none"/>
                    </w:rPr>
                    <w:t>Stomach</w:t>
                  </w:r>
                </w:p>
              </w:tc>
              <w:tc>
                <w:tcPr>
                  <w:tcW w:w="0" w:type="auto"/>
                  <w:vAlign w:val="center"/>
                </w:tcPr>
                <w:p w14:paraId="37EFC8A2" w14:textId="6C71092C" w:rsidR="00EB0C7B" w:rsidRPr="00815E3F" w:rsidRDefault="00EB0C7B" w:rsidP="00EB0C7B">
                  <w:pPr>
                    <w:spacing w:after="0" w:line="240" w:lineRule="auto"/>
                    <w:jc w:val="right"/>
                    <w:textAlignment w:val="baseline"/>
                    <w:rPr>
                      <w:rFonts w:eastAsia="Times New Roman" w:cs="Calibri"/>
                      <w:b/>
                      <w:bCs/>
                      <w:color w:val="FFFFFF" w:themeColor="background1"/>
                      <w:kern w:val="0"/>
                      <w:lang w:val="en-IE" w:eastAsia="en-GB"/>
                      <w14:ligatures w14:val="none"/>
                    </w:rPr>
                  </w:pPr>
                  <w:r w:rsidRPr="00815E3F">
                    <w:rPr>
                      <w:b/>
                      <w:bCs/>
                      <w:color w:val="FFFFFF" w:themeColor="background1"/>
                    </w:rPr>
                    <w:t>14.8</w:t>
                  </w:r>
                </w:p>
              </w:tc>
            </w:tr>
            <w:tr w:rsidR="00815E3F" w:rsidRPr="00815E3F" w14:paraId="771EE2DF" w14:textId="77777777" w:rsidTr="004C306B">
              <w:trPr>
                <w:trHeight w:val="284"/>
              </w:trPr>
              <w:tc>
                <w:tcPr>
                  <w:tcW w:w="0" w:type="auto"/>
                  <w:shd w:val="clear" w:color="auto" w:fill="auto"/>
                  <w:vAlign w:val="center"/>
                  <w:hideMark/>
                </w:tcPr>
                <w:p w14:paraId="22C071F3" w14:textId="28B4515C" w:rsidR="00EB0C7B" w:rsidRPr="00815E3F" w:rsidRDefault="00EB0C7B" w:rsidP="00EB0C7B">
                  <w:pPr>
                    <w:spacing w:after="0" w:line="240" w:lineRule="auto"/>
                    <w:textAlignment w:val="baseline"/>
                    <w:rPr>
                      <w:rFonts w:eastAsia="Times New Roman" w:cs="Segoe UI"/>
                      <w:b/>
                      <w:bCs/>
                      <w:color w:val="FFFFFF" w:themeColor="background1"/>
                      <w:kern w:val="0"/>
                      <w:lang w:eastAsia="en-GB"/>
                      <w14:ligatures w14:val="none"/>
                    </w:rPr>
                  </w:pPr>
                  <w:r w:rsidRPr="00815E3F">
                    <w:rPr>
                      <w:rFonts w:eastAsia="Times New Roman" w:cs="Calibri"/>
                      <w:b/>
                      <w:bCs/>
                      <w:color w:val="FFFFFF" w:themeColor="background1"/>
                      <w:kern w:val="0"/>
                      <w:lang w:val="en-IE" w:eastAsia="en-GB"/>
                      <w14:ligatures w14:val="none"/>
                    </w:rPr>
                    <w:t>Kidney</w:t>
                  </w:r>
                </w:p>
              </w:tc>
              <w:tc>
                <w:tcPr>
                  <w:tcW w:w="0" w:type="auto"/>
                  <w:vAlign w:val="center"/>
                </w:tcPr>
                <w:p w14:paraId="4BE04E0B" w14:textId="28A1FBCF" w:rsidR="00EB0C7B" w:rsidRPr="00815E3F" w:rsidRDefault="00EB0C7B" w:rsidP="00EB0C7B">
                  <w:pPr>
                    <w:spacing w:after="0" w:line="240" w:lineRule="auto"/>
                    <w:jc w:val="right"/>
                    <w:textAlignment w:val="baseline"/>
                    <w:rPr>
                      <w:rFonts w:eastAsia="Times New Roman" w:cs="Calibri"/>
                      <w:b/>
                      <w:bCs/>
                      <w:color w:val="FFFFFF" w:themeColor="background1"/>
                      <w:kern w:val="0"/>
                      <w:lang w:val="en-IE" w:eastAsia="en-GB"/>
                      <w14:ligatures w14:val="none"/>
                    </w:rPr>
                  </w:pPr>
                  <w:r w:rsidRPr="00815E3F">
                    <w:rPr>
                      <w:b/>
                      <w:bCs/>
                      <w:color w:val="FFFFFF" w:themeColor="background1"/>
                    </w:rPr>
                    <w:t>13.2</w:t>
                  </w:r>
                </w:p>
              </w:tc>
            </w:tr>
            <w:tr w:rsidR="000E3E54" w:rsidRPr="00815E3F" w14:paraId="292EAF89" w14:textId="77777777" w:rsidTr="004C306B">
              <w:trPr>
                <w:trHeight w:val="284"/>
              </w:trPr>
              <w:tc>
                <w:tcPr>
                  <w:tcW w:w="0" w:type="auto"/>
                  <w:shd w:val="clear" w:color="auto" w:fill="auto"/>
                  <w:vAlign w:val="center"/>
                </w:tcPr>
                <w:p w14:paraId="17B88000" w14:textId="57FE15CD" w:rsidR="000E3E54" w:rsidRPr="00815E3F" w:rsidRDefault="000E3E54" w:rsidP="000E3E54">
                  <w:pPr>
                    <w:spacing w:after="0" w:line="240" w:lineRule="auto"/>
                    <w:textAlignment w:val="baseline"/>
                    <w:rPr>
                      <w:rFonts w:eastAsia="Times New Roman" w:cs="Calibri"/>
                      <w:b/>
                      <w:bCs/>
                      <w:color w:val="FFFFFF" w:themeColor="background1"/>
                      <w:kern w:val="0"/>
                      <w:lang w:val="en-IE" w:eastAsia="en-GB"/>
                      <w14:ligatures w14:val="none"/>
                    </w:rPr>
                  </w:pPr>
                  <w:r w:rsidRPr="00815E3F">
                    <w:rPr>
                      <w:rFonts w:eastAsia="Times New Roman" w:cs="Calibri"/>
                      <w:b/>
                      <w:bCs/>
                      <w:color w:val="FFFFFF" w:themeColor="background1"/>
                      <w:kern w:val="0"/>
                      <w:lang w:val="en-IE" w:eastAsia="en-GB"/>
                      <w14:ligatures w14:val="none"/>
                    </w:rPr>
                    <w:t>Rectum</w:t>
                  </w:r>
                </w:p>
              </w:tc>
              <w:tc>
                <w:tcPr>
                  <w:tcW w:w="0" w:type="auto"/>
                  <w:vAlign w:val="center"/>
                </w:tcPr>
                <w:p w14:paraId="1C133D98" w14:textId="49972C45" w:rsidR="000E3E54" w:rsidRPr="00815E3F" w:rsidRDefault="000E3E54" w:rsidP="000E3E54">
                  <w:pPr>
                    <w:spacing w:after="0" w:line="240" w:lineRule="auto"/>
                    <w:jc w:val="right"/>
                    <w:textAlignment w:val="baseline"/>
                    <w:rPr>
                      <w:b/>
                      <w:bCs/>
                      <w:color w:val="FFFFFF" w:themeColor="background1"/>
                    </w:rPr>
                  </w:pPr>
                  <w:r w:rsidRPr="00815E3F">
                    <w:rPr>
                      <w:b/>
                      <w:bCs/>
                      <w:color w:val="FFFFFF" w:themeColor="background1"/>
                    </w:rPr>
                    <w:t>8.3</w:t>
                  </w:r>
                </w:p>
              </w:tc>
            </w:tr>
            <w:tr w:rsidR="000E3E54" w:rsidRPr="00815E3F" w14:paraId="2728B54D" w14:textId="77777777" w:rsidTr="000E3E54">
              <w:trPr>
                <w:trHeight w:val="284"/>
              </w:trPr>
              <w:tc>
                <w:tcPr>
                  <w:tcW w:w="0" w:type="auto"/>
                  <w:shd w:val="clear" w:color="auto" w:fill="auto"/>
                  <w:vAlign w:val="center"/>
                </w:tcPr>
                <w:p w14:paraId="7F9F3E7B" w14:textId="3E59D661" w:rsidR="000E3E54" w:rsidRPr="00815E3F" w:rsidRDefault="000E3E54" w:rsidP="000E3E54">
                  <w:pPr>
                    <w:spacing w:after="0" w:line="240" w:lineRule="auto"/>
                    <w:textAlignment w:val="baseline"/>
                    <w:rPr>
                      <w:rFonts w:eastAsia="Times New Roman" w:cs="Segoe UI"/>
                      <w:b/>
                      <w:bCs/>
                      <w:color w:val="FFFFFF" w:themeColor="background1"/>
                      <w:kern w:val="0"/>
                      <w:lang w:eastAsia="en-GB"/>
                      <w14:ligatures w14:val="none"/>
                    </w:rPr>
                  </w:pPr>
                  <w:r w:rsidRPr="00815E3F">
                    <w:rPr>
                      <w:rFonts w:eastAsia="Times New Roman" w:cs="Calibri"/>
                      <w:b/>
                      <w:bCs/>
                      <w:color w:val="FFFFFF" w:themeColor="background1"/>
                      <w:kern w:val="0"/>
                      <w:lang w:val="en-IE" w:eastAsia="en-GB"/>
                      <w14:ligatures w14:val="none"/>
                    </w:rPr>
                    <w:t>Colon &amp; rectosigmoid junction</w:t>
                  </w:r>
                </w:p>
              </w:tc>
              <w:tc>
                <w:tcPr>
                  <w:tcW w:w="0" w:type="auto"/>
                  <w:vAlign w:val="center"/>
                </w:tcPr>
                <w:p w14:paraId="1B2CF7BC" w14:textId="17821DB5" w:rsidR="000E3E54" w:rsidRPr="00815E3F" w:rsidRDefault="000E3E54" w:rsidP="000E3E54">
                  <w:pPr>
                    <w:spacing w:after="0" w:line="240" w:lineRule="auto"/>
                    <w:jc w:val="right"/>
                    <w:textAlignment w:val="baseline"/>
                    <w:rPr>
                      <w:rFonts w:eastAsia="Times New Roman" w:cs="Calibri"/>
                      <w:b/>
                      <w:bCs/>
                      <w:color w:val="FFFFFF" w:themeColor="background1"/>
                      <w:kern w:val="0"/>
                      <w:lang w:val="en-IE" w:eastAsia="en-GB"/>
                      <w14:ligatures w14:val="none"/>
                    </w:rPr>
                  </w:pPr>
                  <w:r w:rsidRPr="00815E3F">
                    <w:rPr>
                      <w:b/>
                      <w:bCs/>
                      <w:color w:val="FFFFFF" w:themeColor="background1"/>
                    </w:rPr>
                    <w:t>5.4</w:t>
                  </w:r>
                </w:p>
              </w:tc>
            </w:tr>
            <w:tr w:rsidR="000E3E54" w:rsidRPr="00815E3F" w14:paraId="3B9BD93F" w14:textId="77777777" w:rsidTr="004C306B">
              <w:trPr>
                <w:trHeight w:val="284"/>
              </w:trPr>
              <w:tc>
                <w:tcPr>
                  <w:tcW w:w="0" w:type="auto"/>
                  <w:shd w:val="clear" w:color="auto" w:fill="auto"/>
                  <w:vAlign w:val="center"/>
                  <w:hideMark/>
                </w:tcPr>
                <w:p w14:paraId="5FC001D2" w14:textId="0308C7E6" w:rsidR="000E3E54" w:rsidRPr="00815E3F" w:rsidRDefault="000E3E54" w:rsidP="000E3E54">
                  <w:pPr>
                    <w:spacing w:after="0" w:line="240" w:lineRule="auto"/>
                    <w:textAlignment w:val="baseline"/>
                    <w:rPr>
                      <w:rFonts w:eastAsia="Times New Roman" w:cs="Segoe UI"/>
                      <w:b/>
                      <w:bCs/>
                      <w:color w:val="FFFFFF" w:themeColor="background1"/>
                      <w:kern w:val="0"/>
                      <w:lang w:eastAsia="en-GB"/>
                      <w14:ligatures w14:val="none"/>
                    </w:rPr>
                  </w:pPr>
                  <w:r w:rsidRPr="00815E3F">
                    <w:rPr>
                      <w:rFonts w:eastAsia="Times New Roman" w:cs="Calibri"/>
                      <w:b/>
                      <w:bCs/>
                      <w:color w:val="FFFFFF" w:themeColor="background1"/>
                      <w:kern w:val="0"/>
                      <w:lang w:val="en-IE" w:eastAsia="en-GB"/>
                      <w14:ligatures w14:val="none"/>
                    </w:rPr>
                    <w:t>Breast</w:t>
                  </w:r>
                </w:p>
              </w:tc>
              <w:tc>
                <w:tcPr>
                  <w:tcW w:w="0" w:type="auto"/>
                  <w:vAlign w:val="center"/>
                </w:tcPr>
                <w:p w14:paraId="6412ADA1" w14:textId="02E977C2" w:rsidR="000E3E54" w:rsidRPr="00815E3F" w:rsidRDefault="000E3E54" w:rsidP="000E3E54">
                  <w:pPr>
                    <w:spacing w:after="0" w:line="240" w:lineRule="auto"/>
                    <w:jc w:val="right"/>
                    <w:textAlignment w:val="baseline"/>
                    <w:rPr>
                      <w:rFonts w:eastAsia="Times New Roman" w:cs="Calibri"/>
                      <w:b/>
                      <w:bCs/>
                      <w:color w:val="FFFFFF" w:themeColor="background1"/>
                      <w:kern w:val="0"/>
                      <w:lang w:val="en-IE" w:eastAsia="en-GB"/>
                      <w14:ligatures w14:val="none"/>
                    </w:rPr>
                  </w:pPr>
                  <w:r w:rsidRPr="00815E3F">
                    <w:rPr>
                      <w:b/>
                      <w:bCs/>
                      <w:color w:val="FFFFFF" w:themeColor="background1"/>
                    </w:rPr>
                    <w:t>3.6</w:t>
                  </w:r>
                </w:p>
              </w:tc>
            </w:tr>
          </w:tbl>
          <w:p w14:paraId="453AC351" w14:textId="77777777" w:rsidR="002B34FE" w:rsidRPr="001C65DF" w:rsidRDefault="002B34FE" w:rsidP="002B34FE">
            <w:pPr>
              <w:numPr>
                <w:ilvl w:val="0"/>
                <w:numId w:val="41"/>
              </w:numPr>
              <w:spacing w:line="259" w:lineRule="auto"/>
              <w:contextualSpacing/>
              <w:rPr>
                <w:rStyle w:val="normaltextrun"/>
                <w:rFonts w:ascii="Aptos" w:hAnsi="Aptos" w:cs="Segoe UI"/>
                <w:color w:val="FFFFFF" w:themeColor="background1"/>
              </w:rPr>
            </w:pPr>
          </w:p>
        </w:tc>
      </w:tr>
      <w:tr w:rsidR="002B34FE" w:rsidRPr="00C32002" w14:paraId="1BC8AC18" w14:textId="77777777" w:rsidTr="002B34FE">
        <w:trPr>
          <w:trHeight w:val="576"/>
        </w:trPr>
        <w:tc>
          <w:tcPr>
            <w:tcW w:w="2268" w:type="dxa"/>
            <w:shd w:val="clear" w:color="auto" w:fill="auto"/>
          </w:tcPr>
          <w:p w14:paraId="7CB5186C" w14:textId="77777777" w:rsidR="002B34FE" w:rsidRDefault="002B34FE" w:rsidP="002B34FE">
            <w:pPr>
              <w:spacing w:line="259" w:lineRule="auto"/>
              <w:jc w:val="center"/>
              <w:rPr>
                <w:rFonts w:cstheme="minorHAnsi"/>
                <w:b/>
                <w:color w:val="FFFFFF" w:themeColor="background1"/>
              </w:rPr>
            </w:pPr>
          </w:p>
        </w:tc>
        <w:tc>
          <w:tcPr>
            <w:tcW w:w="284" w:type="dxa"/>
            <w:shd w:val="clear" w:color="auto" w:fill="auto"/>
          </w:tcPr>
          <w:p w14:paraId="4A76EF61" w14:textId="77777777" w:rsidR="002B34FE" w:rsidRPr="00E75945" w:rsidRDefault="002B34FE" w:rsidP="002B34FE">
            <w:pPr>
              <w:rPr>
                <w:rFonts w:cstheme="minorHAnsi"/>
                <w:color w:val="FFFFFF" w:themeColor="background1"/>
              </w:rPr>
            </w:pPr>
          </w:p>
        </w:tc>
        <w:tc>
          <w:tcPr>
            <w:tcW w:w="6474" w:type="dxa"/>
            <w:shd w:val="clear" w:color="auto" w:fill="auto"/>
          </w:tcPr>
          <w:p w14:paraId="4FCA37BA" w14:textId="77777777" w:rsidR="002B34FE" w:rsidRPr="00A656BE" w:rsidRDefault="002B34FE" w:rsidP="002B34FE">
            <w:pPr>
              <w:spacing w:after="0" w:line="240" w:lineRule="auto"/>
              <w:jc w:val="center"/>
              <w:textAlignment w:val="baseline"/>
              <w:rPr>
                <w:color w:val="FFFFFF" w:themeColor="background1"/>
              </w:rPr>
            </w:pPr>
          </w:p>
        </w:tc>
      </w:tr>
      <w:tr w:rsidR="002B34FE" w:rsidRPr="00F50F63" w14:paraId="1809154C" w14:textId="77777777" w:rsidTr="002B34FE">
        <w:trPr>
          <w:trHeight w:val="2127"/>
        </w:trPr>
        <w:tc>
          <w:tcPr>
            <w:tcW w:w="2268" w:type="dxa"/>
            <w:shd w:val="clear" w:color="auto" w:fill="0779A7"/>
          </w:tcPr>
          <w:p w14:paraId="49AE3534" w14:textId="43E66734" w:rsidR="002B34FE" w:rsidRDefault="002B34FE" w:rsidP="002B34FE">
            <w:pPr>
              <w:spacing w:line="259" w:lineRule="auto"/>
              <w:rPr>
                <w:rFonts w:cstheme="minorHAnsi"/>
                <w:b/>
                <w:color w:val="FFFFFF" w:themeColor="background1"/>
              </w:rPr>
            </w:pPr>
            <w:r>
              <w:rPr>
                <w:rFonts w:cstheme="minorHAnsi"/>
                <w:b/>
                <w:color w:val="FFFFFF" w:themeColor="background1"/>
              </w:rPr>
              <w:t>What do</w:t>
            </w:r>
            <w:r w:rsidR="0058262C">
              <w:rPr>
                <w:rFonts w:cstheme="minorHAnsi"/>
                <w:b/>
                <w:color w:val="FFFFFF" w:themeColor="background1"/>
              </w:rPr>
              <w:t xml:space="preserve"> these results</w:t>
            </w:r>
            <w:r>
              <w:rPr>
                <w:rFonts w:cstheme="minorHAnsi"/>
                <w:b/>
                <w:color w:val="FFFFFF" w:themeColor="background1"/>
              </w:rPr>
              <w:t xml:space="preserve"> mean?</w:t>
            </w:r>
          </w:p>
        </w:tc>
        <w:tc>
          <w:tcPr>
            <w:tcW w:w="284" w:type="dxa"/>
          </w:tcPr>
          <w:p w14:paraId="3B3BE761" w14:textId="77777777" w:rsidR="002B34FE" w:rsidRPr="00E75945" w:rsidRDefault="002B34FE" w:rsidP="002B34FE">
            <w:pPr>
              <w:rPr>
                <w:rFonts w:cstheme="minorHAnsi"/>
                <w:color w:val="FFFFFF" w:themeColor="background1"/>
              </w:rPr>
            </w:pPr>
          </w:p>
        </w:tc>
        <w:tc>
          <w:tcPr>
            <w:tcW w:w="6474" w:type="dxa"/>
            <w:shd w:val="clear" w:color="auto" w:fill="01A2B5"/>
          </w:tcPr>
          <w:p w14:paraId="445B9B7C" w14:textId="5563CBA2" w:rsidR="002B34FE" w:rsidRDefault="00BC21D5" w:rsidP="002B34FE">
            <w:pPr>
              <w:pStyle w:val="NormalWeb"/>
              <w:numPr>
                <w:ilvl w:val="0"/>
                <w:numId w:val="43"/>
              </w:numPr>
              <w:spacing w:before="0" w:beforeAutospacing="0" w:after="0" w:afterAutospacing="0"/>
              <w:rPr>
                <w:rFonts w:asciiTheme="minorHAnsi" w:eastAsiaTheme="minorHAnsi" w:hAnsiTheme="minorHAnsi" w:cstheme="minorBidi"/>
                <w:color w:val="FFFFFF" w:themeColor="background1"/>
                <w:kern w:val="2"/>
                <w:lang w:eastAsia="en-US"/>
                <w14:ligatures w14:val="standardContextual"/>
              </w:rPr>
            </w:pPr>
            <w:r>
              <w:rPr>
                <w:rFonts w:asciiTheme="minorHAnsi" w:eastAsiaTheme="minorHAnsi" w:hAnsiTheme="minorHAnsi" w:cstheme="minorBidi"/>
                <w:color w:val="FFFFFF" w:themeColor="background1"/>
                <w:kern w:val="2"/>
                <w:lang w:eastAsia="en-US"/>
                <w14:ligatures w14:val="standardContextual"/>
              </w:rPr>
              <w:t>T</w:t>
            </w:r>
            <w:r w:rsidR="002B34FE" w:rsidRPr="00F50F63">
              <w:rPr>
                <w:rFonts w:asciiTheme="minorHAnsi" w:eastAsiaTheme="minorHAnsi" w:hAnsiTheme="minorHAnsi" w:cstheme="minorBidi"/>
                <w:color w:val="FFFFFF" w:themeColor="background1"/>
                <w:kern w:val="2"/>
                <w:lang w:eastAsia="en-US"/>
                <w14:ligatures w14:val="standardContextual"/>
              </w:rPr>
              <w:t>obacco</w:t>
            </w:r>
            <w:r w:rsidR="00A656BE">
              <w:rPr>
                <w:rFonts w:asciiTheme="minorHAnsi" w:eastAsiaTheme="minorHAnsi" w:hAnsiTheme="minorHAnsi" w:cstheme="minorBidi"/>
                <w:color w:val="FFFFFF" w:themeColor="background1"/>
                <w:kern w:val="2"/>
                <w:lang w:eastAsia="en-US"/>
                <w14:ligatures w14:val="standardContextual"/>
              </w:rPr>
              <w:t xml:space="preserve"> </w:t>
            </w:r>
            <w:r w:rsidR="00A656BE" w:rsidRPr="00A656BE">
              <w:rPr>
                <w:rFonts w:asciiTheme="minorHAnsi" w:eastAsiaTheme="minorHAnsi" w:hAnsiTheme="minorHAnsi" w:cstheme="minorBidi"/>
                <w:color w:val="FFFFFF" w:themeColor="background1"/>
                <w:kern w:val="2"/>
                <w:lang w:eastAsia="en-US"/>
                <w14:ligatures w14:val="standardContextual"/>
              </w:rPr>
              <w:t>smoking</w:t>
            </w:r>
            <w:r w:rsidR="002B34FE" w:rsidRPr="00F50F63">
              <w:rPr>
                <w:rFonts w:asciiTheme="minorHAnsi" w:eastAsiaTheme="minorHAnsi" w:hAnsiTheme="minorHAnsi" w:cstheme="minorBidi"/>
                <w:color w:val="FFFFFF" w:themeColor="background1"/>
                <w:kern w:val="2"/>
                <w:lang w:eastAsia="en-US"/>
                <w14:ligatures w14:val="standardContextual"/>
              </w:rPr>
              <w:t xml:space="preserve"> remains the leading preventable cause of cancer in Ireland.</w:t>
            </w:r>
          </w:p>
          <w:p w14:paraId="0968B712" w14:textId="699CC32C" w:rsidR="002B34FE" w:rsidRPr="00F50F63" w:rsidRDefault="002B34FE" w:rsidP="002B34FE">
            <w:pPr>
              <w:pStyle w:val="NormalWeb"/>
              <w:numPr>
                <w:ilvl w:val="0"/>
                <w:numId w:val="43"/>
              </w:numPr>
              <w:spacing w:before="0" w:beforeAutospacing="0" w:after="0" w:afterAutospacing="0"/>
              <w:rPr>
                <w:rFonts w:asciiTheme="minorHAnsi" w:eastAsiaTheme="minorHAnsi" w:hAnsiTheme="minorHAnsi" w:cstheme="minorBidi"/>
                <w:color w:val="FFFFFF" w:themeColor="background1"/>
                <w:kern w:val="2"/>
                <w:lang w:eastAsia="en-US"/>
                <w14:ligatures w14:val="standardContextual"/>
              </w:rPr>
            </w:pPr>
            <w:r w:rsidRPr="00F50F63">
              <w:rPr>
                <w:rFonts w:asciiTheme="minorHAnsi" w:eastAsiaTheme="minorHAnsi" w:hAnsiTheme="minorHAnsi" w:cstheme="minorBidi"/>
                <w:color w:val="FFFFFF" w:themeColor="background1"/>
                <w:kern w:val="2"/>
                <w:lang w:eastAsia="en-US"/>
                <w14:ligatures w14:val="standardContextual"/>
              </w:rPr>
              <w:t xml:space="preserve">These </w:t>
            </w:r>
            <w:r w:rsidR="00BC21D5">
              <w:rPr>
                <w:rFonts w:asciiTheme="minorHAnsi" w:eastAsiaTheme="minorHAnsi" w:hAnsiTheme="minorHAnsi" w:cstheme="minorBidi"/>
                <w:color w:val="FFFFFF" w:themeColor="background1"/>
                <w:kern w:val="2"/>
                <w:lang w:eastAsia="en-US"/>
                <w14:ligatures w14:val="standardContextual"/>
              </w:rPr>
              <w:t>findings underline</w:t>
            </w:r>
            <w:r w:rsidRPr="00F50F63">
              <w:rPr>
                <w:rFonts w:asciiTheme="minorHAnsi" w:eastAsiaTheme="minorHAnsi" w:hAnsiTheme="minorHAnsi" w:cstheme="minorBidi"/>
                <w:color w:val="FFFFFF" w:themeColor="background1"/>
                <w:kern w:val="2"/>
                <w:lang w:eastAsia="en-US"/>
                <w14:ligatures w14:val="standardContextual"/>
              </w:rPr>
              <w:t xml:space="preserve"> the </w:t>
            </w:r>
            <w:r w:rsidR="00BC21D5">
              <w:rPr>
                <w:rFonts w:asciiTheme="minorHAnsi" w:eastAsiaTheme="minorHAnsi" w:hAnsiTheme="minorHAnsi" w:cstheme="minorBidi"/>
                <w:color w:val="FFFFFF" w:themeColor="background1"/>
                <w:kern w:val="2"/>
                <w:lang w:eastAsia="en-US"/>
                <w14:ligatures w14:val="standardContextual"/>
              </w:rPr>
              <w:t>importance</w:t>
            </w:r>
            <w:r w:rsidRPr="00F50F63">
              <w:rPr>
                <w:rFonts w:asciiTheme="minorHAnsi" w:eastAsiaTheme="minorHAnsi" w:hAnsiTheme="minorHAnsi" w:cstheme="minorBidi"/>
                <w:color w:val="FFFFFF" w:themeColor="background1"/>
                <w:kern w:val="2"/>
                <w:lang w:eastAsia="en-US"/>
                <w14:ligatures w14:val="standardContextual"/>
              </w:rPr>
              <w:t xml:space="preserve"> of continued and accelerated</w:t>
            </w:r>
            <w:r w:rsidR="00FC18EF">
              <w:rPr>
                <w:rFonts w:asciiTheme="minorHAnsi" w:eastAsiaTheme="minorHAnsi" w:hAnsiTheme="minorHAnsi" w:cstheme="minorBidi"/>
                <w:color w:val="FFFFFF" w:themeColor="background1"/>
                <w:kern w:val="2"/>
                <w:lang w:eastAsia="en-US"/>
                <w14:ligatures w14:val="standardContextual"/>
              </w:rPr>
              <w:t xml:space="preserve"> </w:t>
            </w:r>
            <w:r w:rsidRPr="00F50F63">
              <w:rPr>
                <w:rFonts w:asciiTheme="minorHAnsi" w:eastAsiaTheme="minorHAnsi" w:hAnsiTheme="minorHAnsi" w:cstheme="minorBidi"/>
                <w:color w:val="FFFFFF" w:themeColor="background1"/>
                <w:kern w:val="2"/>
                <w:lang w:eastAsia="en-US"/>
                <w14:ligatures w14:val="standardContextual"/>
              </w:rPr>
              <w:t xml:space="preserve">efforts to </w:t>
            </w:r>
            <w:r w:rsidR="00815E3F">
              <w:rPr>
                <w:rFonts w:asciiTheme="minorHAnsi" w:eastAsiaTheme="minorHAnsi" w:hAnsiTheme="minorHAnsi" w:cstheme="minorBidi"/>
                <w:color w:val="FFFFFF" w:themeColor="background1"/>
                <w:kern w:val="2"/>
                <w:lang w:eastAsia="en-US"/>
                <w14:ligatures w14:val="standardContextual"/>
              </w:rPr>
              <w:t>d</w:t>
            </w:r>
            <w:r w:rsidR="00815E3F" w:rsidRPr="00815E3F">
              <w:rPr>
                <w:rFonts w:asciiTheme="minorHAnsi" w:eastAsiaTheme="minorHAnsi" w:hAnsiTheme="minorHAnsi" w:cstheme="minorBidi"/>
                <w:color w:val="FFFFFF" w:themeColor="background1"/>
                <w:kern w:val="2"/>
                <w:lang w:eastAsia="en-US"/>
                <w14:ligatures w14:val="standardContextual"/>
              </w:rPr>
              <w:t>ecrease</w:t>
            </w:r>
            <w:r w:rsidRPr="00F50F63">
              <w:rPr>
                <w:rFonts w:asciiTheme="minorHAnsi" w:eastAsiaTheme="minorHAnsi" w:hAnsiTheme="minorHAnsi" w:cstheme="minorBidi"/>
                <w:color w:val="FFFFFF" w:themeColor="background1"/>
                <w:kern w:val="2"/>
                <w:lang w:eastAsia="en-US"/>
                <w14:ligatures w14:val="standardContextual"/>
              </w:rPr>
              <w:t xml:space="preserve"> tobacco smoking</w:t>
            </w:r>
            <w:r w:rsidR="00A656BE">
              <w:rPr>
                <w:rFonts w:asciiTheme="minorHAnsi" w:eastAsiaTheme="minorHAnsi" w:hAnsiTheme="minorHAnsi" w:cstheme="minorBidi"/>
                <w:color w:val="FFFFFF" w:themeColor="background1"/>
                <w:kern w:val="2"/>
                <w:lang w:eastAsia="en-US"/>
                <w14:ligatures w14:val="standardContextual"/>
              </w:rPr>
              <w:t xml:space="preserve"> </w:t>
            </w:r>
            <w:r w:rsidR="00A656BE" w:rsidRPr="00A656BE">
              <w:rPr>
                <w:rFonts w:asciiTheme="minorHAnsi" w:eastAsiaTheme="minorHAnsi" w:hAnsiTheme="minorHAnsi" w:cstheme="minorBidi"/>
                <w:color w:val="FFFFFF" w:themeColor="background1"/>
                <w:kern w:val="2"/>
                <w:lang w:eastAsia="en-US"/>
                <w14:ligatures w14:val="standardContextual"/>
              </w:rPr>
              <w:t>in Ireland</w:t>
            </w:r>
            <w:r w:rsidR="00EC3AC8">
              <w:rPr>
                <w:rFonts w:asciiTheme="minorHAnsi" w:eastAsiaTheme="minorHAnsi" w:hAnsiTheme="minorHAnsi" w:cstheme="minorBidi"/>
                <w:color w:val="FFFFFF" w:themeColor="background1"/>
                <w:kern w:val="2"/>
                <w:lang w:eastAsia="en-US"/>
                <w14:ligatures w14:val="standardContextual"/>
              </w:rPr>
              <w:t xml:space="preserve"> </w:t>
            </w:r>
            <w:r w:rsidR="00A656BE" w:rsidRPr="00A656BE">
              <w:rPr>
                <w:rFonts w:asciiTheme="minorHAnsi" w:eastAsiaTheme="minorHAnsi" w:hAnsiTheme="minorHAnsi" w:cstheme="minorBidi"/>
                <w:color w:val="FFFFFF" w:themeColor="background1"/>
                <w:kern w:val="2"/>
                <w:lang w:eastAsia="en-US"/>
                <w14:ligatures w14:val="standardContextual"/>
              </w:rPr>
              <w:t xml:space="preserve">to </w:t>
            </w:r>
            <w:r w:rsidR="00815E3F">
              <w:rPr>
                <w:rFonts w:asciiTheme="minorHAnsi" w:eastAsiaTheme="minorHAnsi" w:hAnsiTheme="minorHAnsi" w:cstheme="minorBidi"/>
                <w:color w:val="FFFFFF" w:themeColor="background1"/>
                <w:kern w:val="2"/>
                <w:lang w:eastAsia="en-US"/>
                <w14:ligatures w14:val="standardContextual"/>
              </w:rPr>
              <w:t>reduce</w:t>
            </w:r>
            <w:r w:rsidR="005C743A">
              <w:rPr>
                <w:rFonts w:asciiTheme="minorHAnsi" w:eastAsiaTheme="minorHAnsi" w:hAnsiTheme="minorHAnsi" w:cstheme="minorBidi"/>
                <w:color w:val="FFFFFF" w:themeColor="background1"/>
                <w:kern w:val="2"/>
                <w:lang w:eastAsia="en-US"/>
                <w14:ligatures w14:val="standardContextual"/>
              </w:rPr>
              <w:t xml:space="preserve"> future cancer incidence </w:t>
            </w:r>
            <w:r w:rsidR="002A7D92">
              <w:rPr>
                <w:rFonts w:asciiTheme="minorHAnsi" w:eastAsiaTheme="minorHAnsi" w:hAnsiTheme="minorHAnsi" w:cstheme="minorBidi"/>
                <w:color w:val="FFFFFF" w:themeColor="background1"/>
                <w:kern w:val="2"/>
                <w:lang w:eastAsia="en-US"/>
                <w14:ligatures w14:val="standardContextual"/>
              </w:rPr>
              <w:t xml:space="preserve">and </w:t>
            </w:r>
            <w:r w:rsidR="00EC3AC8">
              <w:rPr>
                <w:rFonts w:asciiTheme="minorHAnsi" w:eastAsiaTheme="minorHAnsi" w:hAnsiTheme="minorHAnsi" w:cstheme="minorBidi"/>
                <w:color w:val="FFFFFF" w:themeColor="background1"/>
                <w:kern w:val="2"/>
                <w:lang w:eastAsia="en-US"/>
                <w14:ligatures w14:val="standardContextual"/>
              </w:rPr>
              <w:t>mortality</w:t>
            </w:r>
            <w:r w:rsidR="009B1506">
              <w:rPr>
                <w:rFonts w:asciiTheme="minorHAnsi" w:eastAsiaTheme="minorHAnsi" w:hAnsiTheme="minorHAnsi" w:cstheme="minorBidi"/>
                <w:color w:val="FFFFFF" w:themeColor="background1"/>
                <w:kern w:val="2"/>
                <w:lang w:eastAsia="en-US"/>
                <w14:ligatures w14:val="standardContextual"/>
              </w:rPr>
              <w:t>,</w:t>
            </w:r>
            <w:r w:rsidR="00EC3AC8">
              <w:rPr>
                <w:rFonts w:asciiTheme="minorHAnsi" w:eastAsiaTheme="minorHAnsi" w:hAnsiTheme="minorHAnsi" w:cstheme="minorBidi"/>
                <w:color w:val="FFFFFF" w:themeColor="background1"/>
                <w:kern w:val="2"/>
                <w:lang w:eastAsia="en-US"/>
                <w14:ligatures w14:val="standardContextual"/>
              </w:rPr>
              <w:t xml:space="preserve"> and</w:t>
            </w:r>
            <w:r w:rsidR="009B1506">
              <w:rPr>
                <w:rFonts w:asciiTheme="minorHAnsi" w:eastAsiaTheme="minorHAnsi" w:hAnsiTheme="minorHAnsi" w:cstheme="minorBidi"/>
                <w:color w:val="FFFFFF" w:themeColor="background1"/>
                <w:kern w:val="2"/>
                <w:lang w:eastAsia="en-US"/>
                <w14:ligatures w14:val="standardContextual"/>
              </w:rPr>
              <w:t xml:space="preserve"> to</w:t>
            </w:r>
            <w:r w:rsidR="005C743A">
              <w:rPr>
                <w:rFonts w:asciiTheme="minorHAnsi" w:eastAsiaTheme="minorHAnsi" w:hAnsiTheme="minorHAnsi" w:cstheme="minorBidi"/>
                <w:color w:val="FFFFFF" w:themeColor="background1"/>
                <w:kern w:val="2"/>
                <w:lang w:eastAsia="en-US"/>
                <w14:ligatures w14:val="standardContextual"/>
              </w:rPr>
              <w:t xml:space="preserve"> improve cancer survival</w:t>
            </w:r>
            <w:r w:rsidRPr="00F50F63">
              <w:rPr>
                <w:rFonts w:asciiTheme="minorHAnsi" w:eastAsiaTheme="minorHAnsi" w:hAnsiTheme="minorHAnsi" w:cstheme="minorBidi"/>
                <w:color w:val="FFFFFF" w:themeColor="background1"/>
                <w:kern w:val="2"/>
                <w:lang w:eastAsia="en-US"/>
                <w14:ligatures w14:val="standardContextual"/>
              </w:rPr>
              <w:t xml:space="preserve"> in Ireland.</w:t>
            </w:r>
          </w:p>
          <w:p w14:paraId="042845C4" w14:textId="77777777" w:rsidR="002B34FE" w:rsidRPr="00F50F63" w:rsidRDefault="002B34FE" w:rsidP="00D0085B">
            <w:pPr>
              <w:pStyle w:val="NormalWeb"/>
              <w:spacing w:before="0" w:beforeAutospacing="0" w:after="0" w:afterAutospacing="0"/>
              <w:ind w:left="720"/>
              <w:rPr>
                <w:rFonts w:asciiTheme="minorHAnsi" w:eastAsiaTheme="minorHAnsi" w:hAnsiTheme="minorHAnsi" w:cstheme="minorBidi"/>
                <w:color w:val="FFFFFF" w:themeColor="background1"/>
                <w:kern w:val="2"/>
                <w:lang w:eastAsia="en-US"/>
                <w14:ligatures w14:val="standardContextual"/>
              </w:rPr>
            </w:pPr>
          </w:p>
        </w:tc>
      </w:tr>
      <w:bookmarkEnd w:id="2"/>
    </w:tbl>
    <w:p w14:paraId="544937B2" w14:textId="77777777" w:rsidR="003E2932" w:rsidRDefault="003E2932" w:rsidP="003E2932">
      <w:pPr>
        <w:sectPr w:rsidR="003E2932" w:rsidSect="002746C0">
          <w:pgSz w:w="11906" w:h="16838"/>
          <w:pgMar w:top="1440" w:right="1440" w:bottom="1440" w:left="1440" w:header="708" w:footer="708" w:gutter="0"/>
          <w:cols w:space="708"/>
          <w:docGrid w:linePitch="360"/>
        </w:sectPr>
      </w:pPr>
    </w:p>
    <w:p w14:paraId="5EF09034" w14:textId="77777777" w:rsidR="00AE79F6" w:rsidRPr="00EF46D9" w:rsidRDefault="00AE79F6" w:rsidP="0075645A">
      <w:pPr>
        <w:rPr>
          <w:b/>
          <w:bCs/>
        </w:rPr>
      </w:pPr>
      <w:bookmarkStart w:id="3" w:name="_Toc197557016"/>
      <w:r w:rsidRPr="00EF46D9">
        <w:rPr>
          <w:b/>
          <w:bCs/>
        </w:rPr>
        <w:t>List of Abbreviations</w:t>
      </w:r>
    </w:p>
    <w:p w14:paraId="28BA8F29" w14:textId="733FE59B" w:rsidR="00A317BC" w:rsidRDefault="00A317BC" w:rsidP="00A317BC">
      <w:pPr>
        <w:spacing w:after="200" w:line="240" w:lineRule="auto"/>
        <w:jc w:val="both"/>
        <w:rPr>
          <w:rFonts w:cs="Times New Roman"/>
        </w:rPr>
      </w:pPr>
      <w:r>
        <w:rPr>
          <w:rFonts w:cs="Times New Roman"/>
        </w:rPr>
        <w:t>AML: Acute Myeloid Leukaemia</w:t>
      </w:r>
    </w:p>
    <w:p w14:paraId="587B7393" w14:textId="5A0FBC60" w:rsidR="00097CCD" w:rsidRPr="00D968AB" w:rsidRDefault="00097CCD" w:rsidP="00A317BC">
      <w:pPr>
        <w:spacing w:after="200" w:line="240" w:lineRule="auto"/>
        <w:jc w:val="both"/>
        <w:rPr>
          <w:rFonts w:cs="Times New Roman"/>
        </w:rPr>
      </w:pPr>
      <w:r w:rsidRPr="00D968AB">
        <w:rPr>
          <w:rFonts w:cs="Times New Roman"/>
        </w:rPr>
        <w:t>A</w:t>
      </w:r>
      <w:r w:rsidR="00DE05AF">
        <w:rPr>
          <w:rFonts w:cs="Times New Roman"/>
        </w:rPr>
        <w:t>PC</w:t>
      </w:r>
      <w:r w:rsidRPr="00D968AB">
        <w:rPr>
          <w:rFonts w:cs="Times New Roman"/>
        </w:rPr>
        <w:t xml:space="preserve">: </w:t>
      </w:r>
      <w:r w:rsidR="00DE05AF">
        <w:rPr>
          <w:rFonts w:cs="Times New Roman"/>
        </w:rPr>
        <w:t>Annual Percentage C</w:t>
      </w:r>
      <w:r w:rsidR="009D67D6">
        <w:rPr>
          <w:rFonts w:cs="Times New Roman"/>
        </w:rPr>
        <w:t>hange</w:t>
      </w:r>
      <w:r w:rsidRPr="00D968AB">
        <w:rPr>
          <w:rFonts w:cs="Times New Roman"/>
        </w:rPr>
        <w:t xml:space="preserve"> </w:t>
      </w:r>
    </w:p>
    <w:p w14:paraId="3F72F965" w14:textId="4CB59987" w:rsidR="00097CCD" w:rsidRDefault="009D67D6" w:rsidP="00A317BC">
      <w:pPr>
        <w:spacing w:after="200" w:line="240" w:lineRule="auto"/>
        <w:jc w:val="both"/>
        <w:rPr>
          <w:rFonts w:cs="Times New Roman"/>
        </w:rPr>
      </w:pPr>
      <w:r>
        <w:rPr>
          <w:rFonts w:cs="Times New Roman"/>
        </w:rPr>
        <w:t>CSO</w:t>
      </w:r>
      <w:r w:rsidR="00097CCD" w:rsidRPr="00D968AB">
        <w:rPr>
          <w:rFonts w:cs="Times New Roman"/>
        </w:rPr>
        <w:t xml:space="preserve">: </w:t>
      </w:r>
      <w:r>
        <w:rPr>
          <w:rFonts w:cs="Times New Roman"/>
        </w:rPr>
        <w:t>Central Statistics Office</w:t>
      </w:r>
    </w:p>
    <w:p w14:paraId="38D65CB3" w14:textId="7D8BBA41" w:rsidR="00097CCD" w:rsidRPr="00D968AB" w:rsidRDefault="00097CCD" w:rsidP="00A317BC">
      <w:pPr>
        <w:spacing w:after="200" w:line="240" w:lineRule="auto"/>
        <w:jc w:val="both"/>
        <w:rPr>
          <w:rFonts w:cs="Times New Roman"/>
        </w:rPr>
      </w:pPr>
      <w:r>
        <w:rPr>
          <w:rFonts w:cs="Times New Roman"/>
        </w:rPr>
        <w:t>95%CI: 95% Confidence Interval</w:t>
      </w:r>
    </w:p>
    <w:p w14:paraId="125D66E8" w14:textId="13ACD6A8" w:rsidR="009D67D6" w:rsidRDefault="009D67D6" w:rsidP="00A317BC">
      <w:pPr>
        <w:spacing w:after="200" w:line="240" w:lineRule="auto"/>
        <w:jc w:val="both"/>
        <w:rPr>
          <w:rFonts w:cs="Times New Roman"/>
        </w:rPr>
      </w:pPr>
      <w:r>
        <w:rPr>
          <w:rFonts w:cs="Times New Roman"/>
        </w:rPr>
        <w:t>ED: Electoral Division</w:t>
      </w:r>
    </w:p>
    <w:p w14:paraId="47A2D58D" w14:textId="2DF83F7C" w:rsidR="00B35FE5" w:rsidRDefault="00B35FE5" w:rsidP="00A317BC">
      <w:pPr>
        <w:spacing w:after="200" w:line="240" w:lineRule="auto"/>
        <w:jc w:val="both"/>
        <w:rPr>
          <w:rFonts w:cs="Times New Roman"/>
        </w:rPr>
      </w:pPr>
      <w:r>
        <w:rPr>
          <w:rFonts w:cs="Times New Roman"/>
        </w:rPr>
        <w:t>EHIS: European Health In</w:t>
      </w:r>
      <w:r w:rsidR="005933AE">
        <w:rPr>
          <w:rFonts w:cs="Times New Roman"/>
        </w:rPr>
        <w:t>terview Survey</w:t>
      </w:r>
    </w:p>
    <w:p w14:paraId="6B993EB4" w14:textId="21BB6DC0" w:rsidR="00A317BC" w:rsidRDefault="00A317BC" w:rsidP="00A317BC">
      <w:pPr>
        <w:spacing w:after="200" w:line="240" w:lineRule="auto"/>
        <w:jc w:val="both"/>
        <w:rPr>
          <w:rFonts w:cs="Times New Roman"/>
        </w:rPr>
      </w:pPr>
      <w:r>
        <w:rPr>
          <w:rFonts w:cs="Times New Roman"/>
        </w:rPr>
        <w:t>ENDS: Electronic Nicotine Delivery System</w:t>
      </w:r>
    </w:p>
    <w:p w14:paraId="3A60BE9B" w14:textId="07869162" w:rsidR="0097772B" w:rsidRDefault="0097772B" w:rsidP="00A317BC">
      <w:pPr>
        <w:spacing w:after="200" w:line="240" w:lineRule="auto"/>
        <w:jc w:val="both"/>
        <w:rPr>
          <w:rFonts w:cs="Times New Roman"/>
        </w:rPr>
      </w:pPr>
      <w:r>
        <w:rPr>
          <w:rFonts w:cs="Times New Roman"/>
        </w:rPr>
        <w:t>EU: European Union</w:t>
      </w:r>
    </w:p>
    <w:p w14:paraId="270BBD87" w14:textId="0BCBD9E0" w:rsidR="00BE5AA5" w:rsidRDefault="0097772B" w:rsidP="00A317BC">
      <w:pPr>
        <w:spacing w:after="200" w:line="240" w:lineRule="auto"/>
        <w:jc w:val="both"/>
        <w:rPr>
          <w:rFonts w:cs="Times New Roman"/>
        </w:rPr>
      </w:pPr>
      <w:r>
        <w:rPr>
          <w:rFonts w:cs="Times New Roman"/>
        </w:rPr>
        <w:t xml:space="preserve">FCTC: </w:t>
      </w:r>
      <w:r w:rsidR="00645D36">
        <w:rPr>
          <w:rFonts w:cs="Times New Roman"/>
        </w:rPr>
        <w:t xml:space="preserve">Framework Convention on </w:t>
      </w:r>
      <w:r>
        <w:rPr>
          <w:rFonts w:cs="Times New Roman"/>
        </w:rPr>
        <w:t>Tobacco Control</w:t>
      </w:r>
    </w:p>
    <w:p w14:paraId="516AD626" w14:textId="455224A3" w:rsidR="00097CCD" w:rsidRDefault="0003127D" w:rsidP="00A317BC">
      <w:pPr>
        <w:spacing w:after="200" w:line="240" w:lineRule="auto"/>
        <w:jc w:val="both"/>
        <w:rPr>
          <w:rFonts w:cs="Times New Roman"/>
        </w:rPr>
      </w:pPr>
      <w:r>
        <w:rPr>
          <w:rFonts w:cs="Times New Roman"/>
        </w:rPr>
        <w:t>GBD: Global Burden of Disease</w:t>
      </w:r>
    </w:p>
    <w:p w14:paraId="079F3AD4" w14:textId="70F60931" w:rsidR="00B84AF1" w:rsidRDefault="00B84AF1" w:rsidP="00A317BC">
      <w:pPr>
        <w:spacing w:after="200" w:line="240" w:lineRule="auto"/>
        <w:jc w:val="both"/>
        <w:rPr>
          <w:rFonts w:cs="Times New Roman"/>
        </w:rPr>
      </w:pPr>
      <w:r>
        <w:rPr>
          <w:rFonts w:cs="Times New Roman"/>
        </w:rPr>
        <w:t>HSE: Health Service Executive</w:t>
      </w:r>
    </w:p>
    <w:p w14:paraId="6324D620" w14:textId="6D450B58" w:rsidR="000B5F40" w:rsidRDefault="000B5F40" w:rsidP="00A317BC">
      <w:pPr>
        <w:spacing w:after="200" w:line="240" w:lineRule="auto"/>
        <w:jc w:val="both"/>
        <w:rPr>
          <w:rFonts w:cs="Times New Roman"/>
        </w:rPr>
      </w:pPr>
      <w:r>
        <w:rPr>
          <w:rFonts w:cs="Times New Roman"/>
        </w:rPr>
        <w:t>HPV: Human Papilloma</w:t>
      </w:r>
      <w:r w:rsidR="00C06354">
        <w:rPr>
          <w:rFonts w:cs="Times New Roman"/>
        </w:rPr>
        <w:t>v</w:t>
      </w:r>
      <w:r>
        <w:rPr>
          <w:rFonts w:cs="Times New Roman"/>
        </w:rPr>
        <w:t>irus</w:t>
      </w:r>
    </w:p>
    <w:p w14:paraId="4CD15DE2" w14:textId="3FA94931" w:rsidR="00B35FE5" w:rsidRDefault="00B35FE5" w:rsidP="00A317BC">
      <w:pPr>
        <w:spacing w:after="200" w:line="240" w:lineRule="auto"/>
        <w:jc w:val="both"/>
        <w:rPr>
          <w:rFonts w:cs="Times New Roman"/>
        </w:rPr>
      </w:pPr>
      <w:r>
        <w:rPr>
          <w:rFonts w:cs="Times New Roman"/>
        </w:rPr>
        <w:t>IARC: International Association for Research on Cancer</w:t>
      </w:r>
    </w:p>
    <w:p w14:paraId="75554C0B" w14:textId="14318905" w:rsidR="00B84AF1" w:rsidRDefault="00B84AF1" w:rsidP="00A317BC">
      <w:pPr>
        <w:spacing w:after="200" w:line="240" w:lineRule="auto"/>
        <w:jc w:val="both"/>
        <w:rPr>
          <w:rFonts w:cs="Times New Roman"/>
        </w:rPr>
      </w:pPr>
      <w:r>
        <w:rPr>
          <w:rFonts w:cs="Times New Roman"/>
        </w:rPr>
        <w:t>ICD: International Classification of Diseases</w:t>
      </w:r>
    </w:p>
    <w:p w14:paraId="43CC1A16" w14:textId="4DCB4F05" w:rsidR="0097772B" w:rsidRDefault="0097772B" w:rsidP="00A317BC">
      <w:pPr>
        <w:spacing w:after="200" w:line="240" w:lineRule="auto"/>
        <w:jc w:val="both"/>
        <w:rPr>
          <w:rFonts w:cs="Times New Roman"/>
        </w:rPr>
      </w:pPr>
      <w:r>
        <w:rPr>
          <w:rFonts w:cs="Times New Roman"/>
        </w:rPr>
        <w:t>NA: Not Applicable</w:t>
      </w:r>
    </w:p>
    <w:p w14:paraId="398AACF1" w14:textId="77777777" w:rsidR="00097CCD" w:rsidRDefault="00097CCD" w:rsidP="00A317BC">
      <w:pPr>
        <w:spacing w:after="200" w:line="240" w:lineRule="auto"/>
        <w:jc w:val="both"/>
        <w:rPr>
          <w:rFonts w:cs="Times New Roman"/>
        </w:rPr>
      </w:pPr>
      <w:r w:rsidRPr="00D968AB">
        <w:rPr>
          <w:rFonts w:cs="Times New Roman"/>
        </w:rPr>
        <w:t>NCCP: National Cancer Control Programme</w:t>
      </w:r>
    </w:p>
    <w:p w14:paraId="18195F29" w14:textId="77777777" w:rsidR="00097CCD" w:rsidRDefault="00097CCD" w:rsidP="00A317BC">
      <w:pPr>
        <w:spacing w:after="200" w:line="240" w:lineRule="auto"/>
        <w:jc w:val="both"/>
        <w:rPr>
          <w:rFonts w:cs="Times New Roman"/>
          <w:color w:val="000000"/>
        </w:rPr>
      </w:pPr>
      <w:r>
        <w:rPr>
          <w:rFonts w:cs="Times New Roman"/>
        </w:rPr>
        <w:t>NCRI:</w:t>
      </w:r>
      <w:r w:rsidRPr="001417F1">
        <w:rPr>
          <w:rFonts w:cs="Times New Roman"/>
          <w:color w:val="000000"/>
        </w:rPr>
        <w:t xml:space="preserve"> </w:t>
      </w:r>
      <w:r w:rsidRPr="00E16B41">
        <w:rPr>
          <w:rFonts w:cs="Times New Roman"/>
          <w:color w:val="000000"/>
        </w:rPr>
        <w:t>National Cancer Registry Ireland</w:t>
      </w:r>
    </w:p>
    <w:p w14:paraId="58AA00B2" w14:textId="56EE95FA" w:rsidR="00D0085B" w:rsidRPr="00D968AB" w:rsidRDefault="00D0085B" w:rsidP="00A317BC">
      <w:pPr>
        <w:spacing w:after="200" w:line="240" w:lineRule="auto"/>
        <w:jc w:val="both"/>
        <w:rPr>
          <w:rFonts w:cs="Times New Roman"/>
        </w:rPr>
      </w:pPr>
      <w:r>
        <w:rPr>
          <w:rFonts w:cs="Times New Roman"/>
          <w:color w:val="000000"/>
        </w:rPr>
        <w:t>NMIBC:</w:t>
      </w:r>
      <w:r w:rsidR="005819CE">
        <w:rPr>
          <w:rFonts w:cs="Times New Roman"/>
          <w:color w:val="000000"/>
        </w:rPr>
        <w:t xml:space="preserve"> Non-muscle invasive bladder cancer</w:t>
      </w:r>
    </w:p>
    <w:p w14:paraId="206477EC" w14:textId="1E26D4B9" w:rsidR="00097CCD" w:rsidRDefault="0003127D" w:rsidP="00A317BC">
      <w:pPr>
        <w:spacing w:after="200" w:line="240" w:lineRule="auto"/>
        <w:jc w:val="both"/>
        <w:rPr>
          <w:rFonts w:cs="Times New Roman"/>
        </w:rPr>
      </w:pPr>
      <w:r>
        <w:rPr>
          <w:rFonts w:cs="Times New Roman"/>
        </w:rPr>
        <w:t>PAF: Population Attributable Fraction</w:t>
      </w:r>
    </w:p>
    <w:p w14:paraId="649ECB40" w14:textId="59E91E76" w:rsidR="00BF0A41" w:rsidRPr="00D968AB" w:rsidRDefault="00BF0A41" w:rsidP="00A317BC">
      <w:pPr>
        <w:spacing w:after="200" w:line="240" w:lineRule="auto"/>
        <w:jc w:val="both"/>
        <w:rPr>
          <w:rFonts w:cs="Times New Roman"/>
        </w:rPr>
      </w:pPr>
      <w:r>
        <w:rPr>
          <w:rFonts w:cs="Times New Roman"/>
        </w:rPr>
        <w:t>SHS: Second Hand Smoke</w:t>
      </w:r>
    </w:p>
    <w:p w14:paraId="3A8AB808" w14:textId="597B7D73" w:rsidR="00BE5AA5" w:rsidRPr="00D968AB" w:rsidRDefault="00BE5AA5" w:rsidP="00A317BC">
      <w:pPr>
        <w:spacing w:after="200" w:line="240" w:lineRule="auto"/>
        <w:jc w:val="both"/>
        <w:rPr>
          <w:rFonts w:cs="Times New Roman"/>
        </w:rPr>
      </w:pPr>
      <w:r>
        <w:rPr>
          <w:rFonts w:cs="Times New Roman"/>
        </w:rPr>
        <w:t>WCRF: World Cancer Research Fund</w:t>
      </w:r>
    </w:p>
    <w:p w14:paraId="53C6A7D8" w14:textId="582E0FB0" w:rsidR="00097CCD" w:rsidRDefault="0003127D" w:rsidP="00A317BC">
      <w:pPr>
        <w:spacing w:after="200" w:line="240" w:lineRule="auto"/>
        <w:jc w:val="both"/>
        <w:rPr>
          <w:rFonts w:cs="Times New Roman"/>
        </w:rPr>
      </w:pPr>
      <w:r>
        <w:rPr>
          <w:rFonts w:cs="Times New Roman"/>
        </w:rPr>
        <w:t>WHO: World Health Organisation</w:t>
      </w:r>
    </w:p>
    <w:p w14:paraId="2119BD5F" w14:textId="77777777" w:rsidR="00AE79F6" w:rsidRDefault="00AE79F6" w:rsidP="00AE79F6">
      <w:pPr>
        <w:keepNext/>
        <w:keepLines/>
        <w:spacing w:before="360" w:after="80"/>
        <w:ind w:left="432" w:hanging="432"/>
        <w:outlineLvl w:val="0"/>
        <w:rPr>
          <w:rFonts w:asciiTheme="majorHAnsi" w:eastAsiaTheme="majorEastAsia" w:hAnsiTheme="majorHAnsi" w:cstheme="majorBidi"/>
          <w:color w:val="0F4761" w:themeColor="accent1" w:themeShade="BF"/>
          <w:sz w:val="40"/>
          <w:szCs w:val="40"/>
        </w:rPr>
        <w:sectPr w:rsidR="00AE79F6" w:rsidSect="002746C0">
          <w:pgSz w:w="11906" w:h="16838"/>
          <w:pgMar w:top="1440" w:right="1440" w:bottom="1440" w:left="1440" w:header="708" w:footer="708" w:gutter="0"/>
          <w:cols w:space="708"/>
          <w:docGrid w:linePitch="360"/>
        </w:sectPr>
      </w:pPr>
    </w:p>
    <w:p w14:paraId="17EA77FD" w14:textId="7D0E90EC" w:rsidR="003E2932" w:rsidRPr="00EF46D9" w:rsidRDefault="003E2932" w:rsidP="0075645A">
      <w:pPr>
        <w:rPr>
          <w:b/>
          <w:bCs/>
        </w:rPr>
      </w:pPr>
      <w:r w:rsidRPr="00EF46D9">
        <w:rPr>
          <w:b/>
          <w:bCs/>
        </w:rPr>
        <w:t>Glossary</w:t>
      </w:r>
      <w:bookmarkEnd w:id="3"/>
    </w:p>
    <w:tbl>
      <w:tblPr>
        <w:tblStyle w:val="TableGrid"/>
        <w:tblW w:w="0" w:type="auto"/>
        <w:tblLook w:val="04A0" w:firstRow="1" w:lastRow="0" w:firstColumn="1" w:lastColumn="0" w:noHBand="0" w:noVBand="1"/>
      </w:tblPr>
      <w:tblGrid>
        <w:gridCol w:w="3539"/>
        <w:gridCol w:w="5477"/>
      </w:tblGrid>
      <w:tr w:rsidR="003E2932" w:rsidRPr="00E75945" w14:paraId="2DE0F00C" w14:textId="77777777" w:rsidTr="0041177B">
        <w:tc>
          <w:tcPr>
            <w:tcW w:w="9016" w:type="dxa"/>
            <w:gridSpan w:val="2"/>
            <w:shd w:val="clear" w:color="auto" w:fill="153D63" w:themeFill="text2" w:themeFillTint="E6"/>
          </w:tcPr>
          <w:p w14:paraId="1909F3F6" w14:textId="77777777" w:rsidR="003E2932" w:rsidRPr="004B0E10" w:rsidRDefault="003E2932" w:rsidP="0041177B">
            <w:pPr>
              <w:rPr>
                <w:rFonts w:asciiTheme="minorHAnsi" w:hAnsiTheme="minorHAnsi"/>
                <w:sz w:val="24"/>
                <w:szCs w:val="24"/>
              </w:rPr>
            </w:pPr>
            <w:r w:rsidRPr="004B0E10">
              <w:rPr>
                <w:rFonts w:asciiTheme="minorHAnsi" w:hAnsiTheme="minorHAnsi"/>
                <w:sz w:val="24"/>
                <w:szCs w:val="24"/>
              </w:rPr>
              <w:t>Glossary</w:t>
            </w:r>
          </w:p>
        </w:tc>
      </w:tr>
      <w:tr w:rsidR="003E2932" w:rsidRPr="00E75945" w14:paraId="648E0E3A" w14:textId="77777777" w:rsidTr="00541DED">
        <w:tc>
          <w:tcPr>
            <w:tcW w:w="3539" w:type="dxa"/>
          </w:tcPr>
          <w:p w14:paraId="0FAC2A3B" w14:textId="77777777" w:rsidR="003E2932" w:rsidRPr="004B0E10" w:rsidRDefault="003E2932" w:rsidP="0041177B">
            <w:pPr>
              <w:rPr>
                <w:rFonts w:asciiTheme="minorHAnsi" w:hAnsiTheme="minorHAnsi" w:cs="Calibri"/>
                <w:sz w:val="24"/>
                <w:szCs w:val="24"/>
              </w:rPr>
            </w:pPr>
            <w:r w:rsidRPr="004B0E10">
              <w:rPr>
                <w:rFonts w:asciiTheme="minorHAnsi" w:hAnsiTheme="minorHAnsi" w:cs="Calibri"/>
                <w:sz w:val="24"/>
                <w:szCs w:val="24"/>
              </w:rPr>
              <w:t>Age-standardisation</w:t>
            </w:r>
          </w:p>
        </w:tc>
        <w:tc>
          <w:tcPr>
            <w:tcW w:w="5477" w:type="dxa"/>
          </w:tcPr>
          <w:p w14:paraId="5ADCD2C1" w14:textId="4389E7AD" w:rsidR="003E2932" w:rsidRPr="004B0E10" w:rsidRDefault="003E2932" w:rsidP="0041177B">
            <w:pPr>
              <w:rPr>
                <w:rFonts w:asciiTheme="minorHAnsi" w:hAnsiTheme="minorHAnsi" w:cs="Calibri"/>
                <w:sz w:val="24"/>
                <w:szCs w:val="24"/>
              </w:rPr>
            </w:pPr>
            <w:r w:rsidRPr="004B0E10">
              <w:rPr>
                <w:rFonts w:asciiTheme="minorHAnsi" w:hAnsiTheme="minorHAnsi" w:cs="Calibri"/>
                <w:sz w:val="24"/>
                <w:szCs w:val="24"/>
              </w:rPr>
              <w:t xml:space="preserve">Age-standardisation of a cancer incidence rate, for example, involves calculation of incidence while taking into account differences in the distribution of population characteristics such as age. Age-standardisation included computation of incidence for each </w:t>
            </w:r>
            <w:r w:rsidR="00366242" w:rsidRPr="004B0E10">
              <w:rPr>
                <w:rFonts w:asciiTheme="minorHAnsi" w:hAnsiTheme="minorHAnsi" w:cs="Calibri"/>
                <w:sz w:val="24"/>
                <w:szCs w:val="24"/>
              </w:rPr>
              <w:t>age group</w:t>
            </w:r>
            <w:r w:rsidRPr="004B0E10">
              <w:rPr>
                <w:rFonts w:asciiTheme="minorHAnsi" w:hAnsiTheme="minorHAnsi" w:cs="Calibri"/>
                <w:sz w:val="24"/>
                <w:szCs w:val="24"/>
              </w:rPr>
              <w:t>, then adjusting (weighting) these to a ‘standard’, such as the 2013 European Standard Population.</w:t>
            </w:r>
            <w:r w:rsidR="00F27E5F" w:rsidRPr="004B0E10">
              <w:rPr>
                <w:rFonts w:asciiTheme="minorHAnsi" w:hAnsiTheme="minorHAnsi" w:cs="Calibri"/>
                <w:sz w:val="24"/>
                <w:szCs w:val="24"/>
              </w:rPr>
              <w:t xml:space="preserve"> Age-standardisation allows comparison of rates over a range of years and between different regions and countries. </w:t>
            </w:r>
          </w:p>
        </w:tc>
      </w:tr>
      <w:tr w:rsidR="003E2932" w:rsidRPr="00E75945" w14:paraId="13AAF6B5" w14:textId="77777777" w:rsidTr="00541DED">
        <w:tc>
          <w:tcPr>
            <w:tcW w:w="3539" w:type="dxa"/>
          </w:tcPr>
          <w:p w14:paraId="38C4B84A" w14:textId="77777777" w:rsidR="003E2932" w:rsidRPr="004B0E10" w:rsidRDefault="003E2932" w:rsidP="0041177B">
            <w:pPr>
              <w:rPr>
                <w:rFonts w:asciiTheme="minorHAnsi" w:hAnsiTheme="minorHAnsi" w:cs="Calibri"/>
                <w:sz w:val="24"/>
                <w:szCs w:val="24"/>
              </w:rPr>
            </w:pPr>
            <w:r w:rsidRPr="004B0E10">
              <w:rPr>
                <w:rFonts w:asciiTheme="minorHAnsi" w:hAnsiTheme="minorHAnsi" w:cs="Calibri"/>
                <w:sz w:val="24"/>
                <w:szCs w:val="24"/>
              </w:rPr>
              <w:t>Deprivation</w:t>
            </w:r>
          </w:p>
        </w:tc>
        <w:tc>
          <w:tcPr>
            <w:tcW w:w="5477" w:type="dxa"/>
          </w:tcPr>
          <w:p w14:paraId="6DDEB3F7" w14:textId="253ECC13" w:rsidR="003E2932" w:rsidRPr="004B0E10" w:rsidRDefault="003E2932" w:rsidP="0041177B">
            <w:pPr>
              <w:rPr>
                <w:rFonts w:asciiTheme="minorHAnsi" w:hAnsiTheme="minorHAnsi" w:cs="Calibri"/>
                <w:sz w:val="24"/>
                <w:szCs w:val="24"/>
              </w:rPr>
            </w:pPr>
            <w:r w:rsidRPr="004B0E10">
              <w:rPr>
                <w:rFonts w:asciiTheme="minorHAnsi" w:hAnsiTheme="minorHAnsi" w:cs="Calibri"/>
                <w:sz w:val="24"/>
                <w:szCs w:val="24"/>
              </w:rPr>
              <w:t xml:space="preserve">Social or socioeconomic deprivation, often represented by a proxy variable or index that incorporates measures such as unemployment, overcrowding and other relevant variables. This report uses the Pobal Haase-Pratschke 2016 indices of deprivation at electoral division (ED) level, i.e. an area-based measure of deprivation incorporating information from the national </w:t>
            </w:r>
            <w:r w:rsidR="004C0DF6" w:rsidRPr="004B0E10">
              <w:rPr>
                <w:rFonts w:asciiTheme="minorHAnsi" w:hAnsiTheme="minorHAnsi" w:cs="Calibri"/>
                <w:sz w:val="24"/>
                <w:szCs w:val="24"/>
              </w:rPr>
              <w:t>c</w:t>
            </w:r>
            <w:r w:rsidRPr="004B0E10">
              <w:rPr>
                <w:rFonts w:asciiTheme="minorHAnsi" w:hAnsiTheme="minorHAnsi" w:cs="Calibri"/>
                <w:sz w:val="24"/>
                <w:szCs w:val="24"/>
              </w:rPr>
              <w:t>ensus in that year; this is assigned to populations and patients based on their place of residence</w:t>
            </w:r>
            <w:r w:rsidR="00B6653F" w:rsidRPr="004B0E10">
              <w:rPr>
                <w:rFonts w:asciiTheme="minorHAnsi" w:hAnsiTheme="minorHAnsi" w:cs="Calibri"/>
                <w:sz w:val="24"/>
                <w:szCs w:val="24"/>
              </w:rPr>
              <w:t xml:space="preserve"> (electoral division)</w:t>
            </w:r>
            <w:r w:rsidRPr="004B0E10">
              <w:rPr>
                <w:rFonts w:asciiTheme="minorHAnsi" w:hAnsiTheme="minorHAnsi" w:cs="Calibri"/>
                <w:sz w:val="24"/>
                <w:szCs w:val="24"/>
              </w:rPr>
              <w:t xml:space="preserve">. </w:t>
            </w:r>
          </w:p>
        </w:tc>
      </w:tr>
      <w:tr w:rsidR="007223DC" w:rsidRPr="00E75945" w14:paraId="4ED493EC" w14:textId="77777777" w:rsidTr="00541DED">
        <w:tc>
          <w:tcPr>
            <w:tcW w:w="3539" w:type="dxa"/>
          </w:tcPr>
          <w:p w14:paraId="38C7C661" w14:textId="17510B6A" w:rsidR="007223DC" w:rsidRPr="004B0E10" w:rsidRDefault="007223DC" w:rsidP="007223DC">
            <w:pPr>
              <w:rPr>
                <w:rFonts w:asciiTheme="minorHAnsi" w:hAnsiTheme="minorHAnsi" w:cs="Calibri"/>
                <w:sz w:val="24"/>
                <w:szCs w:val="24"/>
              </w:rPr>
            </w:pPr>
            <w:r w:rsidRPr="004B0E10">
              <w:rPr>
                <w:rFonts w:asciiTheme="minorHAnsi" w:hAnsiTheme="minorHAnsi" w:cs="Calibri"/>
                <w:sz w:val="24"/>
                <w:szCs w:val="24"/>
              </w:rPr>
              <w:t>EASR</w:t>
            </w:r>
          </w:p>
        </w:tc>
        <w:tc>
          <w:tcPr>
            <w:tcW w:w="5477" w:type="dxa"/>
          </w:tcPr>
          <w:p w14:paraId="63124456" w14:textId="1B2F9549" w:rsidR="007223DC" w:rsidRPr="004B0E10" w:rsidRDefault="007223DC" w:rsidP="007223DC">
            <w:pPr>
              <w:rPr>
                <w:rFonts w:asciiTheme="minorHAnsi" w:hAnsiTheme="minorHAnsi" w:cs="Calibri"/>
                <w:sz w:val="24"/>
                <w:szCs w:val="24"/>
              </w:rPr>
            </w:pPr>
            <w:r w:rsidRPr="004B0E10">
              <w:rPr>
                <w:rFonts w:asciiTheme="minorHAnsi" w:hAnsiTheme="minorHAnsi" w:cs="Calibri"/>
                <w:sz w:val="24"/>
                <w:szCs w:val="24"/>
              </w:rPr>
              <w:t>European age-standardised rate (standardised to 2013 European Standard Population).</w:t>
            </w:r>
          </w:p>
        </w:tc>
      </w:tr>
      <w:tr w:rsidR="007223DC" w:rsidRPr="00E75945" w14:paraId="56D7CB25" w14:textId="77777777" w:rsidTr="00541DED">
        <w:tc>
          <w:tcPr>
            <w:tcW w:w="3539" w:type="dxa"/>
          </w:tcPr>
          <w:p w14:paraId="1B29F956" w14:textId="0B7ED8B4" w:rsidR="007223DC" w:rsidRPr="004B0E10" w:rsidRDefault="007223DC" w:rsidP="007223DC">
            <w:pPr>
              <w:rPr>
                <w:rFonts w:asciiTheme="minorHAnsi" w:hAnsiTheme="minorHAnsi" w:cs="Calibri"/>
                <w:sz w:val="24"/>
                <w:szCs w:val="24"/>
              </w:rPr>
            </w:pPr>
            <w:r w:rsidRPr="004B0E10">
              <w:rPr>
                <w:rFonts w:asciiTheme="minorHAnsi" w:hAnsiTheme="minorHAnsi" w:cs="Calibri"/>
                <w:sz w:val="24"/>
                <w:szCs w:val="24"/>
              </w:rPr>
              <w:t>ICD-10</w:t>
            </w:r>
          </w:p>
        </w:tc>
        <w:tc>
          <w:tcPr>
            <w:tcW w:w="5477" w:type="dxa"/>
          </w:tcPr>
          <w:p w14:paraId="344F074C" w14:textId="1C4C3A4C" w:rsidR="007223DC" w:rsidRPr="004B0E10" w:rsidRDefault="007223DC" w:rsidP="007223DC">
            <w:pPr>
              <w:rPr>
                <w:rFonts w:asciiTheme="minorHAnsi" w:hAnsiTheme="minorHAnsi" w:cs="Calibri"/>
                <w:sz w:val="24"/>
                <w:szCs w:val="24"/>
              </w:rPr>
            </w:pPr>
            <w:r w:rsidRPr="004B0E10">
              <w:rPr>
                <w:rFonts w:asciiTheme="minorHAnsi" w:hAnsiTheme="minorHAnsi" w:cs="Calibri"/>
                <w:sz w:val="24"/>
                <w:szCs w:val="24"/>
              </w:rPr>
              <w:t>International Statistical Classification of Diseases and Related Health Problems (10th edition) (WHO 1992)</w:t>
            </w:r>
          </w:p>
        </w:tc>
      </w:tr>
      <w:tr w:rsidR="007223DC" w:rsidRPr="00E75945" w14:paraId="03D5FD6A" w14:textId="77777777" w:rsidTr="00541DED">
        <w:tc>
          <w:tcPr>
            <w:tcW w:w="3539" w:type="dxa"/>
          </w:tcPr>
          <w:p w14:paraId="20C7277E" w14:textId="77777777" w:rsidR="007223DC" w:rsidRPr="004B0E10" w:rsidRDefault="007223DC" w:rsidP="007223DC">
            <w:pPr>
              <w:rPr>
                <w:rFonts w:asciiTheme="minorHAnsi" w:hAnsiTheme="minorHAnsi" w:cs="Calibri"/>
                <w:sz w:val="24"/>
                <w:szCs w:val="24"/>
              </w:rPr>
            </w:pPr>
            <w:r w:rsidRPr="004B0E10">
              <w:rPr>
                <w:rFonts w:asciiTheme="minorHAnsi" w:hAnsiTheme="minorHAnsi" w:cs="Calibri"/>
                <w:sz w:val="24"/>
                <w:szCs w:val="24"/>
              </w:rPr>
              <w:t>Incidence</w:t>
            </w:r>
          </w:p>
        </w:tc>
        <w:tc>
          <w:tcPr>
            <w:tcW w:w="5477" w:type="dxa"/>
          </w:tcPr>
          <w:p w14:paraId="1342C6EC" w14:textId="77777777" w:rsidR="007223DC" w:rsidRPr="004B0E10" w:rsidRDefault="007223DC" w:rsidP="007223DC">
            <w:pPr>
              <w:rPr>
                <w:rFonts w:asciiTheme="minorHAnsi" w:hAnsiTheme="minorHAnsi" w:cs="Calibri"/>
                <w:sz w:val="24"/>
                <w:szCs w:val="24"/>
              </w:rPr>
            </w:pPr>
            <w:r w:rsidRPr="004B0E10">
              <w:rPr>
                <w:rFonts w:asciiTheme="minorHAnsi" w:hAnsiTheme="minorHAnsi" w:cs="Calibri"/>
                <w:sz w:val="24"/>
                <w:szCs w:val="24"/>
              </w:rPr>
              <w:t>Numbers and rates (usually expressed per 100,000 persons per year) of newly diagnosed disease. In this report, incidence refers to new cancers diagnosed during 2018-2022 and incidence is quoted separately for each sex.</w:t>
            </w:r>
          </w:p>
        </w:tc>
      </w:tr>
      <w:tr w:rsidR="007223DC" w:rsidRPr="00E75945" w14:paraId="34259791" w14:textId="77777777" w:rsidTr="007223DC">
        <w:trPr>
          <w:trHeight w:val="267"/>
        </w:trPr>
        <w:tc>
          <w:tcPr>
            <w:tcW w:w="3539" w:type="dxa"/>
          </w:tcPr>
          <w:p w14:paraId="71EA0276" w14:textId="7A592824" w:rsidR="007223DC" w:rsidRPr="004B0E10" w:rsidRDefault="007223DC" w:rsidP="007223DC">
            <w:pPr>
              <w:rPr>
                <w:rFonts w:asciiTheme="minorHAnsi" w:hAnsiTheme="minorHAnsi" w:cs="Calibri"/>
                <w:sz w:val="24"/>
                <w:szCs w:val="24"/>
              </w:rPr>
            </w:pPr>
            <w:r w:rsidRPr="004B0E10">
              <w:rPr>
                <w:rFonts w:asciiTheme="minorHAnsi" w:hAnsiTheme="minorHAnsi" w:cs="Calibri"/>
                <w:sz w:val="24"/>
                <w:szCs w:val="24"/>
              </w:rPr>
              <w:t>PAF</w:t>
            </w:r>
          </w:p>
        </w:tc>
        <w:tc>
          <w:tcPr>
            <w:tcW w:w="5477" w:type="dxa"/>
          </w:tcPr>
          <w:p w14:paraId="396D60C1" w14:textId="7243AF93" w:rsidR="007223DC" w:rsidRPr="004B0E10" w:rsidRDefault="007223DC" w:rsidP="007223DC">
            <w:pPr>
              <w:rPr>
                <w:rFonts w:asciiTheme="minorHAnsi" w:hAnsiTheme="minorHAnsi" w:cs="Calibri"/>
                <w:sz w:val="24"/>
                <w:szCs w:val="24"/>
              </w:rPr>
            </w:pPr>
            <w:r w:rsidRPr="004B0E10">
              <w:rPr>
                <w:rFonts w:asciiTheme="minorHAnsi" w:hAnsiTheme="minorHAnsi" w:cs="Calibri"/>
                <w:sz w:val="24"/>
                <w:szCs w:val="24"/>
              </w:rPr>
              <w:t>Population attributable fraction is</w:t>
            </w:r>
            <w:r w:rsidR="0042240F" w:rsidRPr="004B0E10">
              <w:rPr>
                <w:rFonts w:asciiTheme="minorHAnsi" w:hAnsiTheme="minorHAnsi" w:cs="Calibri"/>
                <w:sz w:val="24"/>
                <w:szCs w:val="24"/>
              </w:rPr>
              <w:t xml:space="preserve"> interpreted as the proportion of cases that would be prevented if exposure to a causal factor (i.e. smoking) in the entire population was adjusted to the level of the reference category (i.e. the level of ideal exposure to a risk factor, usually zero).</w:t>
            </w:r>
          </w:p>
        </w:tc>
      </w:tr>
    </w:tbl>
    <w:p w14:paraId="6BC790C1" w14:textId="77777777" w:rsidR="003E2932" w:rsidRPr="00E75945" w:rsidRDefault="003E2932" w:rsidP="003E2932">
      <w:pPr>
        <w:spacing w:line="240" w:lineRule="auto"/>
      </w:pPr>
    </w:p>
    <w:p w14:paraId="794FC397" w14:textId="77777777" w:rsidR="00CB0637" w:rsidRDefault="00CB0637" w:rsidP="003E2932">
      <w:pPr>
        <w:spacing w:line="240" w:lineRule="auto"/>
        <w:sectPr w:rsidR="00CB0637" w:rsidSect="002746C0">
          <w:pgSz w:w="11906" w:h="16838"/>
          <w:pgMar w:top="1440" w:right="1440" w:bottom="1440" w:left="1440" w:header="708" w:footer="708" w:gutter="0"/>
          <w:cols w:space="708"/>
          <w:docGrid w:linePitch="360"/>
        </w:sectPr>
      </w:pPr>
    </w:p>
    <w:sdt>
      <w:sdtPr>
        <w:id w:val="1526292887"/>
        <w:docPartObj>
          <w:docPartGallery w:val="Table of Contents"/>
          <w:docPartUnique/>
        </w:docPartObj>
      </w:sdtPr>
      <w:sdtEndPr>
        <w:rPr>
          <w:b/>
          <w:bCs/>
          <w:noProof/>
        </w:rPr>
      </w:sdtEndPr>
      <w:sdtContent>
        <w:p w14:paraId="0EEE7727" w14:textId="49967E6D" w:rsidR="00554B40" w:rsidRPr="007B4B8E" w:rsidRDefault="00554B40" w:rsidP="00CD71C7">
          <w:pPr>
            <w:spacing w:line="240" w:lineRule="auto"/>
            <w:rPr>
              <w:b/>
              <w:bCs/>
            </w:rPr>
          </w:pPr>
          <w:r w:rsidRPr="007B4B8E">
            <w:rPr>
              <w:b/>
              <w:bCs/>
            </w:rPr>
            <w:t>Contents</w:t>
          </w:r>
        </w:p>
        <w:p w14:paraId="17B3086C" w14:textId="14F95A34" w:rsidR="004B0E10" w:rsidRDefault="00554B40" w:rsidP="00CD71C7">
          <w:pPr>
            <w:pStyle w:val="TOC1"/>
            <w:tabs>
              <w:tab w:val="left" w:pos="480"/>
              <w:tab w:val="right" w:leader="dot" w:pos="9016"/>
            </w:tabs>
            <w:spacing w:line="240" w:lineRule="auto"/>
            <w:rPr>
              <w:rFonts w:eastAsiaTheme="minorEastAsia"/>
              <w:noProof/>
              <w:lang w:eastAsia="en-GB"/>
            </w:rPr>
          </w:pPr>
          <w:r>
            <w:fldChar w:fldCharType="begin"/>
          </w:r>
          <w:r>
            <w:instrText xml:space="preserve"> TOC \o "1-3" \h \z \u </w:instrText>
          </w:r>
          <w:r>
            <w:fldChar w:fldCharType="separate"/>
          </w:r>
          <w:hyperlink w:anchor="_Toc201512410" w:history="1">
            <w:r w:rsidR="004B0E10" w:rsidRPr="00704C0C">
              <w:rPr>
                <w:rStyle w:val="Hyperlink"/>
                <w:noProof/>
              </w:rPr>
              <w:t>1</w:t>
            </w:r>
            <w:r w:rsidR="004B0E10">
              <w:rPr>
                <w:rFonts w:eastAsiaTheme="minorEastAsia"/>
                <w:noProof/>
                <w:lang w:eastAsia="en-GB"/>
              </w:rPr>
              <w:tab/>
            </w:r>
            <w:r w:rsidR="004B0E10" w:rsidRPr="00704C0C">
              <w:rPr>
                <w:rStyle w:val="Hyperlink"/>
                <w:noProof/>
              </w:rPr>
              <w:t>Introduction</w:t>
            </w:r>
            <w:r w:rsidR="004B0E10">
              <w:rPr>
                <w:noProof/>
                <w:webHidden/>
              </w:rPr>
              <w:tab/>
            </w:r>
            <w:r w:rsidR="004B0E10">
              <w:rPr>
                <w:noProof/>
                <w:webHidden/>
              </w:rPr>
              <w:fldChar w:fldCharType="begin"/>
            </w:r>
            <w:r w:rsidR="004B0E10">
              <w:rPr>
                <w:noProof/>
                <w:webHidden/>
              </w:rPr>
              <w:instrText xml:space="preserve"> PAGEREF _Toc201512410 \h </w:instrText>
            </w:r>
            <w:r w:rsidR="004B0E10">
              <w:rPr>
                <w:noProof/>
                <w:webHidden/>
              </w:rPr>
            </w:r>
            <w:r w:rsidR="004B0E10">
              <w:rPr>
                <w:noProof/>
                <w:webHidden/>
              </w:rPr>
              <w:fldChar w:fldCharType="separate"/>
            </w:r>
            <w:r w:rsidR="00C13E0E">
              <w:rPr>
                <w:noProof/>
                <w:webHidden/>
              </w:rPr>
              <w:t>14</w:t>
            </w:r>
            <w:r w:rsidR="004B0E10">
              <w:rPr>
                <w:noProof/>
                <w:webHidden/>
              </w:rPr>
              <w:fldChar w:fldCharType="end"/>
            </w:r>
          </w:hyperlink>
        </w:p>
        <w:p w14:paraId="4A56E130" w14:textId="11469BDB"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11" w:history="1">
            <w:r w:rsidRPr="00704C0C">
              <w:rPr>
                <w:rStyle w:val="Hyperlink"/>
                <w:noProof/>
              </w:rPr>
              <w:t>1.1</w:t>
            </w:r>
            <w:r>
              <w:rPr>
                <w:rFonts w:eastAsiaTheme="minorEastAsia"/>
                <w:noProof/>
                <w:lang w:eastAsia="en-GB"/>
              </w:rPr>
              <w:tab/>
            </w:r>
            <w:r w:rsidRPr="00704C0C">
              <w:rPr>
                <w:rStyle w:val="Hyperlink"/>
                <w:noProof/>
              </w:rPr>
              <w:t>Smoking Prevalence in Ireland</w:t>
            </w:r>
            <w:r>
              <w:rPr>
                <w:noProof/>
                <w:webHidden/>
              </w:rPr>
              <w:tab/>
            </w:r>
            <w:r>
              <w:rPr>
                <w:noProof/>
                <w:webHidden/>
              </w:rPr>
              <w:fldChar w:fldCharType="begin"/>
            </w:r>
            <w:r>
              <w:rPr>
                <w:noProof/>
                <w:webHidden/>
              </w:rPr>
              <w:instrText xml:space="preserve"> PAGEREF _Toc201512411 \h </w:instrText>
            </w:r>
            <w:r>
              <w:rPr>
                <w:noProof/>
                <w:webHidden/>
              </w:rPr>
            </w:r>
            <w:r>
              <w:rPr>
                <w:noProof/>
                <w:webHidden/>
              </w:rPr>
              <w:fldChar w:fldCharType="separate"/>
            </w:r>
            <w:r w:rsidR="00C13E0E">
              <w:rPr>
                <w:noProof/>
                <w:webHidden/>
              </w:rPr>
              <w:t>14</w:t>
            </w:r>
            <w:r>
              <w:rPr>
                <w:noProof/>
                <w:webHidden/>
              </w:rPr>
              <w:fldChar w:fldCharType="end"/>
            </w:r>
          </w:hyperlink>
        </w:p>
        <w:p w14:paraId="0209D2FF" w14:textId="7C8E7994"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12" w:history="1">
            <w:r w:rsidRPr="00704C0C">
              <w:rPr>
                <w:rStyle w:val="Hyperlink"/>
                <w:noProof/>
              </w:rPr>
              <w:t>1.1.1</w:t>
            </w:r>
            <w:r>
              <w:rPr>
                <w:rFonts w:eastAsiaTheme="minorEastAsia"/>
                <w:noProof/>
                <w:lang w:eastAsia="en-GB"/>
              </w:rPr>
              <w:tab/>
            </w:r>
            <w:r w:rsidRPr="00704C0C">
              <w:rPr>
                <w:rStyle w:val="Hyperlink"/>
                <w:noProof/>
              </w:rPr>
              <w:t>Tobacco-smoking and Gender</w:t>
            </w:r>
            <w:r>
              <w:rPr>
                <w:noProof/>
                <w:webHidden/>
              </w:rPr>
              <w:tab/>
            </w:r>
            <w:r>
              <w:rPr>
                <w:noProof/>
                <w:webHidden/>
              </w:rPr>
              <w:fldChar w:fldCharType="begin"/>
            </w:r>
            <w:r>
              <w:rPr>
                <w:noProof/>
                <w:webHidden/>
              </w:rPr>
              <w:instrText xml:space="preserve"> PAGEREF _Toc201512412 \h </w:instrText>
            </w:r>
            <w:r>
              <w:rPr>
                <w:noProof/>
                <w:webHidden/>
              </w:rPr>
            </w:r>
            <w:r>
              <w:rPr>
                <w:noProof/>
                <w:webHidden/>
              </w:rPr>
              <w:fldChar w:fldCharType="separate"/>
            </w:r>
            <w:r w:rsidR="00C13E0E">
              <w:rPr>
                <w:noProof/>
                <w:webHidden/>
              </w:rPr>
              <w:t>14</w:t>
            </w:r>
            <w:r>
              <w:rPr>
                <w:noProof/>
                <w:webHidden/>
              </w:rPr>
              <w:fldChar w:fldCharType="end"/>
            </w:r>
          </w:hyperlink>
        </w:p>
        <w:p w14:paraId="4DF02AF8" w14:textId="516685F5"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13" w:history="1">
            <w:r w:rsidRPr="00704C0C">
              <w:rPr>
                <w:rStyle w:val="Hyperlink"/>
                <w:noProof/>
              </w:rPr>
              <w:t>1.1.2</w:t>
            </w:r>
            <w:r>
              <w:rPr>
                <w:rFonts w:eastAsiaTheme="minorEastAsia"/>
                <w:noProof/>
                <w:lang w:eastAsia="en-GB"/>
              </w:rPr>
              <w:tab/>
            </w:r>
            <w:r w:rsidRPr="00704C0C">
              <w:rPr>
                <w:rStyle w:val="Hyperlink"/>
                <w:noProof/>
              </w:rPr>
              <w:t>Tobacco-smoking and Socioeconomic Disadvantage</w:t>
            </w:r>
            <w:r>
              <w:rPr>
                <w:noProof/>
                <w:webHidden/>
              </w:rPr>
              <w:tab/>
            </w:r>
            <w:r>
              <w:rPr>
                <w:noProof/>
                <w:webHidden/>
              </w:rPr>
              <w:fldChar w:fldCharType="begin"/>
            </w:r>
            <w:r>
              <w:rPr>
                <w:noProof/>
                <w:webHidden/>
              </w:rPr>
              <w:instrText xml:space="preserve"> PAGEREF _Toc201512413 \h </w:instrText>
            </w:r>
            <w:r>
              <w:rPr>
                <w:noProof/>
                <w:webHidden/>
              </w:rPr>
            </w:r>
            <w:r>
              <w:rPr>
                <w:noProof/>
                <w:webHidden/>
              </w:rPr>
              <w:fldChar w:fldCharType="separate"/>
            </w:r>
            <w:r w:rsidR="00C13E0E">
              <w:rPr>
                <w:noProof/>
                <w:webHidden/>
              </w:rPr>
              <w:t>15</w:t>
            </w:r>
            <w:r>
              <w:rPr>
                <w:noProof/>
                <w:webHidden/>
              </w:rPr>
              <w:fldChar w:fldCharType="end"/>
            </w:r>
          </w:hyperlink>
        </w:p>
        <w:p w14:paraId="11AD5DFE" w14:textId="0361266D"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14" w:history="1">
            <w:r w:rsidRPr="00704C0C">
              <w:rPr>
                <w:rStyle w:val="Hyperlink"/>
                <w:noProof/>
              </w:rPr>
              <w:t>1.1.3</w:t>
            </w:r>
            <w:r>
              <w:rPr>
                <w:rFonts w:eastAsiaTheme="minorEastAsia"/>
                <w:noProof/>
                <w:lang w:eastAsia="en-GB"/>
              </w:rPr>
              <w:tab/>
            </w:r>
            <w:r w:rsidRPr="00704C0C">
              <w:rPr>
                <w:rStyle w:val="Hyperlink"/>
                <w:noProof/>
              </w:rPr>
              <w:t>Electronic Nicotine Delivery Systems (ENDS)</w:t>
            </w:r>
            <w:r>
              <w:rPr>
                <w:noProof/>
                <w:webHidden/>
              </w:rPr>
              <w:tab/>
            </w:r>
            <w:r>
              <w:rPr>
                <w:noProof/>
                <w:webHidden/>
              </w:rPr>
              <w:fldChar w:fldCharType="begin"/>
            </w:r>
            <w:r>
              <w:rPr>
                <w:noProof/>
                <w:webHidden/>
              </w:rPr>
              <w:instrText xml:space="preserve"> PAGEREF _Toc201512414 \h </w:instrText>
            </w:r>
            <w:r>
              <w:rPr>
                <w:noProof/>
                <w:webHidden/>
              </w:rPr>
            </w:r>
            <w:r>
              <w:rPr>
                <w:noProof/>
                <w:webHidden/>
              </w:rPr>
              <w:fldChar w:fldCharType="separate"/>
            </w:r>
            <w:r w:rsidR="00C13E0E">
              <w:rPr>
                <w:noProof/>
                <w:webHidden/>
              </w:rPr>
              <w:t>15</w:t>
            </w:r>
            <w:r>
              <w:rPr>
                <w:noProof/>
                <w:webHidden/>
              </w:rPr>
              <w:fldChar w:fldCharType="end"/>
            </w:r>
          </w:hyperlink>
        </w:p>
        <w:p w14:paraId="42FB80FC" w14:textId="020C66BD"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15" w:history="1">
            <w:r w:rsidRPr="00704C0C">
              <w:rPr>
                <w:rStyle w:val="Hyperlink"/>
                <w:noProof/>
              </w:rPr>
              <w:t>1.2</w:t>
            </w:r>
            <w:r>
              <w:rPr>
                <w:rFonts w:eastAsiaTheme="minorEastAsia"/>
                <w:noProof/>
                <w:lang w:eastAsia="en-GB"/>
              </w:rPr>
              <w:tab/>
            </w:r>
            <w:r w:rsidRPr="00704C0C">
              <w:rPr>
                <w:rStyle w:val="Hyperlink"/>
                <w:noProof/>
              </w:rPr>
              <w:t>Tobacco-smoking and cancer</w:t>
            </w:r>
            <w:r>
              <w:rPr>
                <w:noProof/>
                <w:webHidden/>
              </w:rPr>
              <w:tab/>
            </w:r>
            <w:r>
              <w:rPr>
                <w:noProof/>
                <w:webHidden/>
              </w:rPr>
              <w:fldChar w:fldCharType="begin"/>
            </w:r>
            <w:r>
              <w:rPr>
                <w:noProof/>
                <w:webHidden/>
              </w:rPr>
              <w:instrText xml:space="preserve"> PAGEREF _Toc201512415 \h </w:instrText>
            </w:r>
            <w:r>
              <w:rPr>
                <w:noProof/>
                <w:webHidden/>
              </w:rPr>
            </w:r>
            <w:r>
              <w:rPr>
                <w:noProof/>
                <w:webHidden/>
              </w:rPr>
              <w:fldChar w:fldCharType="separate"/>
            </w:r>
            <w:r w:rsidR="00C13E0E">
              <w:rPr>
                <w:noProof/>
                <w:webHidden/>
              </w:rPr>
              <w:t>15</w:t>
            </w:r>
            <w:r>
              <w:rPr>
                <w:noProof/>
                <w:webHidden/>
              </w:rPr>
              <w:fldChar w:fldCharType="end"/>
            </w:r>
          </w:hyperlink>
        </w:p>
        <w:p w14:paraId="459027BA" w14:textId="1032D928"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16" w:history="1">
            <w:r w:rsidRPr="00704C0C">
              <w:rPr>
                <w:rStyle w:val="Hyperlink"/>
                <w:noProof/>
              </w:rPr>
              <w:t>1.3</w:t>
            </w:r>
            <w:r>
              <w:rPr>
                <w:rFonts w:eastAsiaTheme="minorEastAsia"/>
                <w:noProof/>
                <w:lang w:eastAsia="en-GB"/>
              </w:rPr>
              <w:tab/>
            </w:r>
            <w:r w:rsidRPr="00704C0C">
              <w:rPr>
                <w:rStyle w:val="Hyperlink"/>
                <w:noProof/>
              </w:rPr>
              <w:t>Tobacco-smoking and cancer in Ireland</w:t>
            </w:r>
            <w:r>
              <w:rPr>
                <w:noProof/>
                <w:webHidden/>
              </w:rPr>
              <w:tab/>
            </w:r>
            <w:r>
              <w:rPr>
                <w:noProof/>
                <w:webHidden/>
              </w:rPr>
              <w:fldChar w:fldCharType="begin"/>
            </w:r>
            <w:r>
              <w:rPr>
                <w:noProof/>
                <w:webHidden/>
              </w:rPr>
              <w:instrText xml:space="preserve"> PAGEREF _Toc201512416 \h </w:instrText>
            </w:r>
            <w:r>
              <w:rPr>
                <w:noProof/>
                <w:webHidden/>
              </w:rPr>
            </w:r>
            <w:r>
              <w:rPr>
                <w:noProof/>
                <w:webHidden/>
              </w:rPr>
              <w:fldChar w:fldCharType="separate"/>
            </w:r>
            <w:r w:rsidR="00C13E0E">
              <w:rPr>
                <w:noProof/>
                <w:webHidden/>
              </w:rPr>
              <w:t>16</w:t>
            </w:r>
            <w:r>
              <w:rPr>
                <w:noProof/>
                <w:webHidden/>
              </w:rPr>
              <w:fldChar w:fldCharType="end"/>
            </w:r>
          </w:hyperlink>
        </w:p>
        <w:p w14:paraId="4650DECA" w14:textId="1F8DB6C5"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17" w:history="1">
            <w:r w:rsidRPr="00704C0C">
              <w:rPr>
                <w:rStyle w:val="Hyperlink"/>
                <w:noProof/>
              </w:rPr>
              <w:t>1.4</w:t>
            </w:r>
            <w:r>
              <w:rPr>
                <w:rFonts w:eastAsiaTheme="minorEastAsia"/>
                <w:noProof/>
                <w:lang w:eastAsia="en-GB"/>
              </w:rPr>
              <w:tab/>
            </w:r>
            <w:r w:rsidRPr="00704C0C">
              <w:rPr>
                <w:rStyle w:val="Hyperlink"/>
                <w:noProof/>
              </w:rPr>
              <w:t>Policy context</w:t>
            </w:r>
            <w:r>
              <w:rPr>
                <w:noProof/>
                <w:webHidden/>
              </w:rPr>
              <w:tab/>
            </w:r>
            <w:r>
              <w:rPr>
                <w:noProof/>
                <w:webHidden/>
              </w:rPr>
              <w:fldChar w:fldCharType="begin"/>
            </w:r>
            <w:r>
              <w:rPr>
                <w:noProof/>
                <w:webHidden/>
              </w:rPr>
              <w:instrText xml:space="preserve"> PAGEREF _Toc201512417 \h </w:instrText>
            </w:r>
            <w:r>
              <w:rPr>
                <w:noProof/>
                <w:webHidden/>
              </w:rPr>
            </w:r>
            <w:r>
              <w:rPr>
                <w:noProof/>
                <w:webHidden/>
              </w:rPr>
              <w:fldChar w:fldCharType="separate"/>
            </w:r>
            <w:r w:rsidR="00C13E0E">
              <w:rPr>
                <w:noProof/>
                <w:webHidden/>
              </w:rPr>
              <w:t>16</w:t>
            </w:r>
            <w:r>
              <w:rPr>
                <w:noProof/>
                <w:webHidden/>
              </w:rPr>
              <w:fldChar w:fldCharType="end"/>
            </w:r>
          </w:hyperlink>
        </w:p>
        <w:p w14:paraId="277FCB85" w14:textId="16C3406C"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18" w:history="1">
            <w:r w:rsidRPr="00704C0C">
              <w:rPr>
                <w:rStyle w:val="Hyperlink"/>
                <w:noProof/>
              </w:rPr>
              <w:t>1.4.1</w:t>
            </w:r>
            <w:r>
              <w:rPr>
                <w:rFonts w:eastAsiaTheme="minorEastAsia"/>
                <w:noProof/>
                <w:lang w:eastAsia="en-GB"/>
              </w:rPr>
              <w:tab/>
            </w:r>
            <w:r w:rsidRPr="00704C0C">
              <w:rPr>
                <w:rStyle w:val="Hyperlink"/>
                <w:noProof/>
              </w:rPr>
              <w:t>Ireland is a tobacco ‘endgame’ country</w:t>
            </w:r>
            <w:r>
              <w:rPr>
                <w:noProof/>
                <w:webHidden/>
              </w:rPr>
              <w:tab/>
            </w:r>
            <w:r>
              <w:rPr>
                <w:noProof/>
                <w:webHidden/>
              </w:rPr>
              <w:fldChar w:fldCharType="begin"/>
            </w:r>
            <w:r>
              <w:rPr>
                <w:noProof/>
                <w:webHidden/>
              </w:rPr>
              <w:instrText xml:space="preserve"> PAGEREF _Toc201512418 \h </w:instrText>
            </w:r>
            <w:r>
              <w:rPr>
                <w:noProof/>
                <w:webHidden/>
              </w:rPr>
            </w:r>
            <w:r>
              <w:rPr>
                <w:noProof/>
                <w:webHidden/>
              </w:rPr>
              <w:fldChar w:fldCharType="separate"/>
            </w:r>
            <w:r w:rsidR="00C13E0E">
              <w:rPr>
                <w:noProof/>
                <w:webHidden/>
              </w:rPr>
              <w:t>17</w:t>
            </w:r>
            <w:r>
              <w:rPr>
                <w:noProof/>
                <w:webHidden/>
              </w:rPr>
              <w:fldChar w:fldCharType="end"/>
            </w:r>
          </w:hyperlink>
        </w:p>
        <w:p w14:paraId="6CAF6283" w14:textId="036AE966"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19" w:history="1">
            <w:r w:rsidRPr="00704C0C">
              <w:rPr>
                <w:rStyle w:val="Hyperlink"/>
                <w:noProof/>
              </w:rPr>
              <w:t>1.5</w:t>
            </w:r>
            <w:r>
              <w:rPr>
                <w:rFonts w:eastAsiaTheme="minorEastAsia"/>
                <w:noProof/>
                <w:lang w:eastAsia="en-GB"/>
              </w:rPr>
              <w:tab/>
            </w:r>
            <w:r w:rsidRPr="00704C0C">
              <w:rPr>
                <w:rStyle w:val="Hyperlink"/>
                <w:noProof/>
              </w:rPr>
              <w:t>Rationale</w:t>
            </w:r>
            <w:r>
              <w:rPr>
                <w:noProof/>
                <w:webHidden/>
              </w:rPr>
              <w:tab/>
            </w:r>
            <w:r>
              <w:rPr>
                <w:noProof/>
                <w:webHidden/>
              </w:rPr>
              <w:fldChar w:fldCharType="begin"/>
            </w:r>
            <w:r>
              <w:rPr>
                <w:noProof/>
                <w:webHidden/>
              </w:rPr>
              <w:instrText xml:space="preserve"> PAGEREF _Toc201512419 \h </w:instrText>
            </w:r>
            <w:r>
              <w:rPr>
                <w:noProof/>
                <w:webHidden/>
              </w:rPr>
            </w:r>
            <w:r>
              <w:rPr>
                <w:noProof/>
                <w:webHidden/>
              </w:rPr>
              <w:fldChar w:fldCharType="separate"/>
            </w:r>
            <w:r w:rsidR="00C13E0E">
              <w:rPr>
                <w:noProof/>
                <w:webHidden/>
              </w:rPr>
              <w:t>17</w:t>
            </w:r>
            <w:r>
              <w:rPr>
                <w:noProof/>
                <w:webHidden/>
              </w:rPr>
              <w:fldChar w:fldCharType="end"/>
            </w:r>
          </w:hyperlink>
        </w:p>
        <w:p w14:paraId="1F633A72" w14:textId="6BCC971B"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20" w:history="1">
            <w:r w:rsidRPr="00704C0C">
              <w:rPr>
                <w:rStyle w:val="Hyperlink"/>
                <w:noProof/>
              </w:rPr>
              <w:t>1.6</w:t>
            </w:r>
            <w:r>
              <w:rPr>
                <w:rFonts w:eastAsiaTheme="minorEastAsia"/>
                <w:noProof/>
                <w:lang w:eastAsia="en-GB"/>
              </w:rPr>
              <w:tab/>
            </w:r>
            <w:r w:rsidRPr="00704C0C">
              <w:rPr>
                <w:rStyle w:val="Hyperlink"/>
                <w:noProof/>
              </w:rPr>
              <w:t>Aim</w:t>
            </w:r>
            <w:r>
              <w:rPr>
                <w:noProof/>
                <w:webHidden/>
              </w:rPr>
              <w:tab/>
            </w:r>
            <w:r>
              <w:rPr>
                <w:noProof/>
                <w:webHidden/>
              </w:rPr>
              <w:fldChar w:fldCharType="begin"/>
            </w:r>
            <w:r>
              <w:rPr>
                <w:noProof/>
                <w:webHidden/>
              </w:rPr>
              <w:instrText xml:space="preserve"> PAGEREF _Toc201512420 \h </w:instrText>
            </w:r>
            <w:r>
              <w:rPr>
                <w:noProof/>
                <w:webHidden/>
              </w:rPr>
            </w:r>
            <w:r>
              <w:rPr>
                <w:noProof/>
                <w:webHidden/>
              </w:rPr>
              <w:fldChar w:fldCharType="separate"/>
            </w:r>
            <w:r w:rsidR="00C13E0E">
              <w:rPr>
                <w:noProof/>
                <w:webHidden/>
              </w:rPr>
              <w:t>17</w:t>
            </w:r>
            <w:r>
              <w:rPr>
                <w:noProof/>
                <w:webHidden/>
              </w:rPr>
              <w:fldChar w:fldCharType="end"/>
            </w:r>
          </w:hyperlink>
        </w:p>
        <w:p w14:paraId="3CC5EED2" w14:textId="0CB50EE3"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21" w:history="1">
            <w:r w:rsidRPr="00704C0C">
              <w:rPr>
                <w:rStyle w:val="Hyperlink"/>
                <w:noProof/>
              </w:rPr>
              <w:t>1.6.1</w:t>
            </w:r>
            <w:r>
              <w:rPr>
                <w:rFonts w:eastAsiaTheme="minorEastAsia"/>
                <w:noProof/>
                <w:lang w:eastAsia="en-GB"/>
              </w:rPr>
              <w:tab/>
            </w:r>
            <w:r w:rsidRPr="00704C0C">
              <w:rPr>
                <w:rStyle w:val="Hyperlink"/>
                <w:noProof/>
              </w:rPr>
              <w:t>Objectives</w:t>
            </w:r>
            <w:r>
              <w:rPr>
                <w:noProof/>
                <w:webHidden/>
              </w:rPr>
              <w:tab/>
            </w:r>
            <w:r>
              <w:rPr>
                <w:noProof/>
                <w:webHidden/>
              </w:rPr>
              <w:fldChar w:fldCharType="begin"/>
            </w:r>
            <w:r>
              <w:rPr>
                <w:noProof/>
                <w:webHidden/>
              </w:rPr>
              <w:instrText xml:space="preserve"> PAGEREF _Toc201512421 \h </w:instrText>
            </w:r>
            <w:r>
              <w:rPr>
                <w:noProof/>
                <w:webHidden/>
              </w:rPr>
            </w:r>
            <w:r>
              <w:rPr>
                <w:noProof/>
                <w:webHidden/>
              </w:rPr>
              <w:fldChar w:fldCharType="separate"/>
            </w:r>
            <w:r w:rsidR="00C13E0E">
              <w:rPr>
                <w:noProof/>
                <w:webHidden/>
              </w:rPr>
              <w:t>17</w:t>
            </w:r>
            <w:r>
              <w:rPr>
                <w:noProof/>
                <w:webHidden/>
              </w:rPr>
              <w:fldChar w:fldCharType="end"/>
            </w:r>
          </w:hyperlink>
        </w:p>
        <w:p w14:paraId="1067CC1A" w14:textId="7B4A0D58" w:rsidR="004B0E10" w:rsidRDefault="004B0E10" w:rsidP="00CD71C7">
          <w:pPr>
            <w:pStyle w:val="TOC1"/>
            <w:tabs>
              <w:tab w:val="left" w:pos="480"/>
              <w:tab w:val="right" w:leader="dot" w:pos="9016"/>
            </w:tabs>
            <w:spacing w:line="240" w:lineRule="auto"/>
            <w:rPr>
              <w:rFonts w:eastAsiaTheme="minorEastAsia"/>
              <w:noProof/>
              <w:lang w:eastAsia="en-GB"/>
            </w:rPr>
          </w:pPr>
          <w:hyperlink w:anchor="_Toc201512422" w:history="1">
            <w:r w:rsidRPr="00704C0C">
              <w:rPr>
                <w:rStyle w:val="Hyperlink"/>
                <w:noProof/>
              </w:rPr>
              <w:t>2</w:t>
            </w:r>
            <w:r>
              <w:rPr>
                <w:rFonts w:eastAsiaTheme="minorEastAsia"/>
                <w:noProof/>
                <w:lang w:eastAsia="en-GB"/>
              </w:rPr>
              <w:tab/>
            </w:r>
            <w:r w:rsidRPr="00704C0C">
              <w:rPr>
                <w:rStyle w:val="Hyperlink"/>
                <w:noProof/>
              </w:rPr>
              <w:t>Methods</w:t>
            </w:r>
            <w:r>
              <w:rPr>
                <w:noProof/>
                <w:webHidden/>
              </w:rPr>
              <w:tab/>
            </w:r>
            <w:r>
              <w:rPr>
                <w:noProof/>
                <w:webHidden/>
              </w:rPr>
              <w:fldChar w:fldCharType="begin"/>
            </w:r>
            <w:r>
              <w:rPr>
                <w:noProof/>
                <w:webHidden/>
              </w:rPr>
              <w:instrText xml:space="preserve"> PAGEREF _Toc201512422 \h </w:instrText>
            </w:r>
            <w:r>
              <w:rPr>
                <w:noProof/>
                <w:webHidden/>
              </w:rPr>
            </w:r>
            <w:r>
              <w:rPr>
                <w:noProof/>
                <w:webHidden/>
              </w:rPr>
              <w:fldChar w:fldCharType="separate"/>
            </w:r>
            <w:r w:rsidR="00C13E0E">
              <w:rPr>
                <w:noProof/>
                <w:webHidden/>
              </w:rPr>
              <w:t>18</w:t>
            </w:r>
            <w:r>
              <w:rPr>
                <w:noProof/>
                <w:webHidden/>
              </w:rPr>
              <w:fldChar w:fldCharType="end"/>
            </w:r>
          </w:hyperlink>
        </w:p>
        <w:p w14:paraId="790DC4CD" w14:textId="5194902E"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23" w:history="1">
            <w:r w:rsidRPr="00704C0C">
              <w:rPr>
                <w:rStyle w:val="Hyperlink"/>
                <w:noProof/>
              </w:rPr>
              <w:t>2.1</w:t>
            </w:r>
            <w:r>
              <w:rPr>
                <w:rFonts w:eastAsiaTheme="minorEastAsia"/>
                <w:noProof/>
                <w:lang w:eastAsia="en-GB"/>
              </w:rPr>
              <w:tab/>
            </w:r>
            <w:r w:rsidRPr="00704C0C">
              <w:rPr>
                <w:rStyle w:val="Hyperlink"/>
                <w:noProof/>
              </w:rPr>
              <w:t>Cancer types for inclusion</w:t>
            </w:r>
            <w:r>
              <w:rPr>
                <w:noProof/>
                <w:webHidden/>
              </w:rPr>
              <w:tab/>
            </w:r>
            <w:r>
              <w:rPr>
                <w:noProof/>
                <w:webHidden/>
              </w:rPr>
              <w:fldChar w:fldCharType="begin"/>
            </w:r>
            <w:r>
              <w:rPr>
                <w:noProof/>
                <w:webHidden/>
              </w:rPr>
              <w:instrText xml:space="preserve"> PAGEREF _Toc201512423 \h </w:instrText>
            </w:r>
            <w:r>
              <w:rPr>
                <w:noProof/>
                <w:webHidden/>
              </w:rPr>
            </w:r>
            <w:r>
              <w:rPr>
                <w:noProof/>
                <w:webHidden/>
              </w:rPr>
              <w:fldChar w:fldCharType="separate"/>
            </w:r>
            <w:r w:rsidR="00C13E0E">
              <w:rPr>
                <w:noProof/>
                <w:webHidden/>
              </w:rPr>
              <w:t>18</w:t>
            </w:r>
            <w:r>
              <w:rPr>
                <w:noProof/>
                <w:webHidden/>
              </w:rPr>
              <w:fldChar w:fldCharType="end"/>
            </w:r>
          </w:hyperlink>
        </w:p>
        <w:p w14:paraId="2043F7FE" w14:textId="03800E71"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24" w:history="1">
            <w:r w:rsidRPr="00704C0C">
              <w:rPr>
                <w:rStyle w:val="Hyperlink"/>
                <w:noProof/>
              </w:rPr>
              <w:t>2.2</w:t>
            </w:r>
            <w:r>
              <w:rPr>
                <w:rFonts w:eastAsiaTheme="minorEastAsia"/>
                <w:noProof/>
                <w:lang w:eastAsia="en-GB"/>
              </w:rPr>
              <w:tab/>
            </w:r>
            <w:r w:rsidRPr="00704C0C">
              <w:rPr>
                <w:rStyle w:val="Hyperlink"/>
                <w:noProof/>
              </w:rPr>
              <w:t>Incidence &amp; Mortality</w:t>
            </w:r>
            <w:r>
              <w:rPr>
                <w:noProof/>
                <w:webHidden/>
              </w:rPr>
              <w:tab/>
            </w:r>
            <w:r>
              <w:rPr>
                <w:noProof/>
                <w:webHidden/>
              </w:rPr>
              <w:fldChar w:fldCharType="begin"/>
            </w:r>
            <w:r>
              <w:rPr>
                <w:noProof/>
                <w:webHidden/>
              </w:rPr>
              <w:instrText xml:space="preserve"> PAGEREF _Toc201512424 \h </w:instrText>
            </w:r>
            <w:r>
              <w:rPr>
                <w:noProof/>
                <w:webHidden/>
              </w:rPr>
            </w:r>
            <w:r>
              <w:rPr>
                <w:noProof/>
                <w:webHidden/>
              </w:rPr>
              <w:fldChar w:fldCharType="separate"/>
            </w:r>
            <w:r w:rsidR="00C13E0E">
              <w:rPr>
                <w:noProof/>
                <w:webHidden/>
              </w:rPr>
              <w:t>18</w:t>
            </w:r>
            <w:r>
              <w:rPr>
                <w:noProof/>
                <w:webHidden/>
              </w:rPr>
              <w:fldChar w:fldCharType="end"/>
            </w:r>
          </w:hyperlink>
        </w:p>
        <w:p w14:paraId="6A8D8724" w14:textId="29EAB9FB"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25" w:history="1">
            <w:r w:rsidRPr="00704C0C">
              <w:rPr>
                <w:rStyle w:val="Hyperlink"/>
                <w:noProof/>
              </w:rPr>
              <w:t>2.3</w:t>
            </w:r>
            <w:r>
              <w:rPr>
                <w:rFonts w:eastAsiaTheme="minorEastAsia"/>
                <w:noProof/>
                <w:lang w:eastAsia="en-GB"/>
              </w:rPr>
              <w:tab/>
            </w:r>
            <w:r w:rsidRPr="00704C0C">
              <w:rPr>
                <w:rStyle w:val="Hyperlink"/>
                <w:noProof/>
              </w:rPr>
              <w:t>Survival</w:t>
            </w:r>
            <w:r>
              <w:rPr>
                <w:noProof/>
                <w:webHidden/>
              </w:rPr>
              <w:tab/>
            </w:r>
            <w:r>
              <w:rPr>
                <w:noProof/>
                <w:webHidden/>
              </w:rPr>
              <w:fldChar w:fldCharType="begin"/>
            </w:r>
            <w:r>
              <w:rPr>
                <w:noProof/>
                <w:webHidden/>
              </w:rPr>
              <w:instrText xml:space="preserve"> PAGEREF _Toc201512425 \h </w:instrText>
            </w:r>
            <w:r>
              <w:rPr>
                <w:noProof/>
                <w:webHidden/>
              </w:rPr>
            </w:r>
            <w:r>
              <w:rPr>
                <w:noProof/>
                <w:webHidden/>
              </w:rPr>
              <w:fldChar w:fldCharType="separate"/>
            </w:r>
            <w:r w:rsidR="00C13E0E">
              <w:rPr>
                <w:noProof/>
                <w:webHidden/>
              </w:rPr>
              <w:t>18</w:t>
            </w:r>
            <w:r>
              <w:rPr>
                <w:noProof/>
                <w:webHidden/>
              </w:rPr>
              <w:fldChar w:fldCharType="end"/>
            </w:r>
          </w:hyperlink>
        </w:p>
        <w:p w14:paraId="52864EF0" w14:textId="2F4E4850"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26" w:history="1">
            <w:r w:rsidRPr="00704C0C">
              <w:rPr>
                <w:rStyle w:val="Hyperlink"/>
                <w:noProof/>
              </w:rPr>
              <w:t>2.4</w:t>
            </w:r>
            <w:r>
              <w:rPr>
                <w:rFonts w:eastAsiaTheme="minorEastAsia"/>
                <w:noProof/>
                <w:lang w:eastAsia="en-GB"/>
              </w:rPr>
              <w:tab/>
            </w:r>
            <w:r w:rsidRPr="00704C0C">
              <w:rPr>
                <w:rStyle w:val="Hyperlink"/>
                <w:noProof/>
              </w:rPr>
              <w:t>Deprivation</w:t>
            </w:r>
            <w:r>
              <w:rPr>
                <w:noProof/>
                <w:webHidden/>
              </w:rPr>
              <w:tab/>
            </w:r>
            <w:r>
              <w:rPr>
                <w:noProof/>
                <w:webHidden/>
              </w:rPr>
              <w:fldChar w:fldCharType="begin"/>
            </w:r>
            <w:r>
              <w:rPr>
                <w:noProof/>
                <w:webHidden/>
              </w:rPr>
              <w:instrText xml:space="preserve"> PAGEREF _Toc201512426 \h </w:instrText>
            </w:r>
            <w:r>
              <w:rPr>
                <w:noProof/>
                <w:webHidden/>
              </w:rPr>
            </w:r>
            <w:r>
              <w:rPr>
                <w:noProof/>
                <w:webHidden/>
              </w:rPr>
              <w:fldChar w:fldCharType="separate"/>
            </w:r>
            <w:r w:rsidR="00C13E0E">
              <w:rPr>
                <w:noProof/>
                <w:webHidden/>
              </w:rPr>
              <w:t>19</w:t>
            </w:r>
            <w:r>
              <w:rPr>
                <w:noProof/>
                <w:webHidden/>
              </w:rPr>
              <w:fldChar w:fldCharType="end"/>
            </w:r>
          </w:hyperlink>
        </w:p>
        <w:p w14:paraId="058F2562" w14:textId="2EB0CFD8"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27" w:history="1">
            <w:r w:rsidRPr="00704C0C">
              <w:rPr>
                <w:rStyle w:val="Hyperlink"/>
                <w:noProof/>
              </w:rPr>
              <w:t>2.5</w:t>
            </w:r>
            <w:r>
              <w:rPr>
                <w:rFonts w:eastAsiaTheme="minorEastAsia"/>
                <w:noProof/>
                <w:lang w:eastAsia="en-GB"/>
              </w:rPr>
              <w:tab/>
            </w:r>
            <w:r w:rsidRPr="00704C0C">
              <w:rPr>
                <w:rStyle w:val="Hyperlink"/>
                <w:noProof/>
              </w:rPr>
              <w:t>Population attributable fraction (PAF)</w:t>
            </w:r>
            <w:r>
              <w:rPr>
                <w:noProof/>
                <w:webHidden/>
              </w:rPr>
              <w:tab/>
            </w:r>
            <w:r>
              <w:rPr>
                <w:noProof/>
                <w:webHidden/>
              </w:rPr>
              <w:fldChar w:fldCharType="begin"/>
            </w:r>
            <w:r>
              <w:rPr>
                <w:noProof/>
                <w:webHidden/>
              </w:rPr>
              <w:instrText xml:space="preserve"> PAGEREF _Toc201512427 \h </w:instrText>
            </w:r>
            <w:r>
              <w:rPr>
                <w:noProof/>
                <w:webHidden/>
              </w:rPr>
            </w:r>
            <w:r>
              <w:rPr>
                <w:noProof/>
                <w:webHidden/>
              </w:rPr>
              <w:fldChar w:fldCharType="separate"/>
            </w:r>
            <w:r w:rsidR="00C13E0E">
              <w:rPr>
                <w:noProof/>
                <w:webHidden/>
              </w:rPr>
              <w:t>19</w:t>
            </w:r>
            <w:r>
              <w:rPr>
                <w:noProof/>
                <w:webHidden/>
              </w:rPr>
              <w:fldChar w:fldCharType="end"/>
            </w:r>
          </w:hyperlink>
        </w:p>
        <w:p w14:paraId="5F99CC0F" w14:textId="4DC509BA"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28" w:history="1">
            <w:r w:rsidRPr="00704C0C">
              <w:rPr>
                <w:rStyle w:val="Hyperlink"/>
                <w:noProof/>
              </w:rPr>
              <w:t>2.5.1</w:t>
            </w:r>
            <w:r>
              <w:rPr>
                <w:rFonts w:eastAsiaTheme="minorEastAsia"/>
                <w:noProof/>
                <w:lang w:eastAsia="en-GB"/>
              </w:rPr>
              <w:tab/>
            </w:r>
            <w:r w:rsidRPr="00704C0C">
              <w:rPr>
                <w:rStyle w:val="Hyperlink"/>
                <w:noProof/>
              </w:rPr>
              <w:t>Data required for PAF calculation</w:t>
            </w:r>
            <w:r>
              <w:rPr>
                <w:noProof/>
                <w:webHidden/>
              </w:rPr>
              <w:tab/>
            </w:r>
            <w:r>
              <w:rPr>
                <w:noProof/>
                <w:webHidden/>
              </w:rPr>
              <w:fldChar w:fldCharType="begin"/>
            </w:r>
            <w:r>
              <w:rPr>
                <w:noProof/>
                <w:webHidden/>
              </w:rPr>
              <w:instrText xml:space="preserve"> PAGEREF _Toc201512428 \h </w:instrText>
            </w:r>
            <w:r>
              <w:rPr>
                <w:noProof/>
                <w:webHidden/>
              </w:rPr>
            </w:r>
            <w:r>
              <w:rPr>
                <w:noProof/>
                <w:webHidden/>
              </w:rPr>
              <w:fldChar w:fldCharType="separate"/>
            </w:r>
            <w:r w:rsidR="00C13E0E">
              <w:rPr>
                <w:noProof/>
                <w:webHidden/>
              </w:rPr>
              <w:t>19</w:t>
            </w:r>
            <w:r>
              <w:rPr>
                <w:noProof/>
                <w:webHidden/>
              </w:rPr>
              <w:fldChar w:fldCharType="end"/>
            </w:r>
          </w:hyperlink>
        </w:p>
        <w:p w14:paraId="2A3642C7" w14:textId="7F7A9DBB"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29" w:history="1">
            <w:r w:rsidRPr="00704C0C">
              <w:rPr>
                <w:rStyle w:val="Hyperlink"/>
                <w:noProof/>
              </w:rPr>
              <w:t>2.5.2</w:t>
            </w:r>
            <w:r>
              <w:rPr>
                <w:rFonts w:eastAsiaTheme="minorEastAsia"/>
                <w:noProof/>
                <w:lang w:eastAsia="en-GB"/>
              </w:rPr>
              <w:tab/>
            </w:r>
            <w:r w:rsidRPr="00704C0C">
              <w:rPr>
                <w:rStyle w:val="Hyperlink"/>
                <w:noProof/>
              </w:rPr>
              <w:t>PAF formula</w:t>
            </w:r>
            <w:r>
              <w:rPr>
                <w:noProof/>
                <w:webHidden/>
              </w:rPr>
              <w:tab/>
            </w:r>
            <w:r>
              <w:rPr>
                <w:noProof/>
                <w:webHidden/>
              </w:rPr>
              <w:fldChar w:fldCharType="begin"/>
            </w:r>
            <w:r>
              <w:rPr>
                <w:noProof/>
                <w:webHidden/>
              </w:rPr>
              <w:instrText xml:space="preserve"> PAGEREF _Toc201512429 \h </w:instrText>
            </w:r>
            <w:r>
              <w:rPr>
                <w:noProof/>
                <w:webHidden/>
              </w:rPr>
            </w:r>
            <w:r>
              <w:rPr>
                <w:noProof/>
                <w:webHidden/>
              </w:rPr>
              <w:fldChar w:fldCharType="separate"/>
            </w:r>
            <w:r w:rsidR="00C13E0E">
              <w:rPr>
                <w:noProof/>
                <w:webHidden/>
              </w:rPr>
              <w:t>22</w:t>
            </w:r>
            <w:r>
              <w:rPr>
                <w:noProof/>
                <w:webHidden/>
              </w:rPr>
              <w:fldChar w:fldCharType="end"/>
            </w:r>
          </w:hyperlink>
        </w:p>
        <w:p w14:paraId="7EAC9246" w14:textId="3D2E1ECF" w:rsidR="004B0E10" w:rsidRDefault="004B0E10" w:rsidP="00CD71C7">
          <w:pPr>
            <w:pStyle w:val="TOC1"/>
            <w:tabs>
              <w:tab w:val="left" w:pos="480"/>
              <w:tab w:val="right" w:leader="dot" w:pos="9016"/>
            </w:tabs>
            <w:spacing w:line="240" w:lineRule="auto"/>
            <w:rPr>
              <w:rFonts w:eastAsiaTheme="minorEastAsia"/>
              <w:noProof/>
              <w:lang w:eastAsia="en-GB"/>
            </w:rPr>
          </w:pPr>
          <w:hyperlink w:anchor="_Toc201512430" w:history="1">
            <w:r w:rsidRPr="00704C0C">
              <w:rPr>
                <w:rStyle w:val="Hyperlink"/>
                <w:noProof/>
              </w:rPr>
              <w:t>3</w:t>
            </w:r>
            <w:r>
              <w:rPr>
                <w:rFonts w:eastAsiaTheme="minorEastAsia"/>
                <w:noProof/>
                <w:lang w:eastAsia="en-GB"/>
              </w:rPr>
              <w:tab/>
            </w:r>
            <w:r w:rsidRPr="00704C0C">
              <w:rPr>
                <w:rStyle w:val="Hyperlink"/>
                <w:noProof/>
              </w:rPr>
              <w:t>Population Characteristics</w:t>
            </w:r>
            <w:r>
              <w:rPr>
                <w:noProof/>
                <w:webHidden/>
              </w:rPr>
              <w:tab/>
            </w:r>
            <w:r>
              <w:rPr>
                <w:noProof/>
                <w:webHidden/>
              </w:rPr>
              <w:fldChar w:fldCharType="begin"/>
            </w:r>
            <w:r>
              <w:rPr>
                <w:noProof/>
                <w:webHidden/>
              </w:rPr>
              <w:instrText xml:space="preserve"> PAGEREF _Toc201512430 \h </w:instrText>
            </w:r>
            <w:r>
              <w:rPr>
                <w:noProof/>
                <w:webHidden/>
              </w:rPr>
            </w:r>
            <w:r>
              <w:rPr>
                <w:noProof/>
                <w:webHidden/>
              </w:rPr>
              <w:fldChar w:fldCharType="separate"/>
            </w:r>
            <w:r w:rsidR="00C13E0E">
              <w:rPr>
                <w:noProof/>
                <w:webHidden/>
              </w:rPr>
              <w:t>23</w:t>
            </w:r>
            <w:r>
              <w:rPr>
                <w:noProof/>
                <w:webHidden/>
              </w:rPr>
              <w:fldChar w:fldCharType="end"/>
            </w:r>
          </w:hyperlink>
        </w:p>
        <w:p w14:paraId="3D747A4C" w14:textId="6D278959" w:rsidR="004B0E10" w:rsidRDefault="004B0E10" w:rsidP="00CD71C7">
          <w:pPr>
            <w:pStyle w:val="TOC1"/>
            <w:tabs>
              <w:tab w:val="left" w:pos="480"/>
              <w:tab w:val="right" w:leader="dot" w:pos="9016"/>
            </w:tabs>
            <w:spacing w:line="240" w:lineRule="auto"/>
            <w:rPr>
              <w:rFonts w:eastAsiaTheme="minorEastAsia"/>
              <w:noProof/>
              <w:lang w:eastAsia="en-GB"/>
            </w:rPr>
          </w:pPr>
          <w:hyperlink w:anchor="_Toc201512431" w:history="1">
            <w:r w:rsidRPr="00704C0C">
              <w:rPr>
                <w:rStyle w:val="Hyperlink"/>
                <w:noProof/>
              </w:rPr>
              <w:t>4</w:t>
            </w:r>
            <w:r>
              <w:rPr>
                <w:rFonts w:eastAsiaTheme="minorEastAsia"/>
                <w:noProof/>
                <w:lang w:eastAsia="en-GB"/>
              </w:rPr>
              <w:tab/>
            </w:r>
            <w:r w:rsidRPr="00704C0C">
              <w:rPr>
                <w:rStyle w:val="Hyperlink"/>
                <w:noProof/>
              </w:rPr>
              <w:t>Overall Trends in Tobacco-Related Cancers</w:t>
            </w:r>
            <w:r>
              <w:rPr>
                <w:noProof/>
                <w:webHidden/>
              </w:rPr>
              <w:tab/>
            </w:r>
            <w:r>
              <w:rPr>
                <w:noProof/>
                <w:webHidden/>
              </w:rPr>
              <w:fldChar w:fldCharType="begin"/>
            </w:r>
            <w:r>
              <w:rPr>
                <w:noProof/>
                <w:webHidden/>
              </w:rPr>
              <w:instrText xml:space="preserve"> PAGEREF _Toc201512431 \h </w:instrText>
            </w:r>
            <w:r>
              <w:rPr>
                <w:noProof/>
                <w:webHidden/>
              </w:rPr>
            </w:r>
            <w:r>
              <w:rPr>
                <w:noProof/>
                <w:webHidden/>
              </w:rPr>
              <w:fldChar w:fldCharType="separate"/>
            </w:r>
            <w:r w:rsidR="00C13E0E">
              <w:rPr>
                <w:noProof/>
                <w:webHidden/>
              </w:rPr>
              <w:t>24</w:t>
            </w:r>
            <w:r>
              <w:rPr>
                <w:noProof/>
                <w:webHidden/>
              </w:rPr>
              <w:fldChar w:fldCharType="end"/>
            </w:r>
          </w:hyperlink>
        </w:p>
        <w:p w14:paraId="38847A9E" w14:textId="03589BBF"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32" w:history="1">
            <w:r w:rsidRPr="00704C0C">
              <w:rPr>
                <w:rStyle w:val="Hyperlink"/>
                <w:noProof/>
              </w:rPr>
              <w:t>4.1</w:t>
            </w:r>
            <w:r>
              <w:rPr>
                <w:rFonts w:eastAsiaTheme="minorEastAsia"/>
                <w:noProof/>
                <w:lang w:eastAsia="en-GB"/>
              </w:rPr>
              <w:tab/>
            </w:r>
            <w:r w:rsidRPr="00704C0C">
              <w:rPr>
                <w:rStyle w:val="Hyperlink"/>
                <w:noProof/>
              </w:rPr>
              <w:t>Incidence</w:t>
            </w:r>
            <w:r>
              <w:rPr>
                <w:noProof/>
                <w:webHidden/>
              </w:rPr>
              <w:tab/>
            </w:r>
            <w:r>
              <w:rPr>
                <w:noProof/>
                <w:webHidden/>
              </w:rPr>
              <w:fldChar w:fldCharType="begin"/>
            </w:r>
            <w:r>
              <w:rPr>
                <w:noProof/>
                <w:webHidden/>
              </w:rPr>
              <w:instrText xml:space="preserve"> PAGEREF _Toc201512432 \h </w:instrText>
            </w:r>
            <w:r>
              <w:rPr>
                <w:noProof/>
                <w:webHidden/>
              </w:rPr>
            </w:r>
            <w:r>
              <w:rPr>
                <w:noProof/>
                <w:webHidden/>
              </w:rPr>
              <w:fldChar w:fldCharType="separate"/>
            </w:r>
            <w:r w:rsidR="00C13E0E">
              <w:rPr>
                <w:noProof/>
                <w:webHidden/>
              </w:rPr>
              <w:t>25</w:t>
            </w:r>
            <w:r>
              <w:rPr>
                <w:noProof/>
                <w:webHidden/>
              </w:rPr>
              <w:fldChar w:fldCharType="end"/>
            </w:r>
          </w:hyperlink>
        </w:p>
        <w:p w14:paraId="4D60E467" w14:textId="33C827DE"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33" w:history="1">
            <w:r w:rsidRPr="00704C0C">
              <w:rPr>
                <w:rStyle w:val="Hyperlink"/>
                <w:noProof/>
              </w:rPr>
              <w:t>4.1.1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_Toc201512433 \h </w:instrText>
            </w:r>
            <w:r>
              <w:rPr>
                <w:noProof/>
                <w:webHidden/>
              </w:rPr>
            </w:r>
            <w:r>
              <w:rPr>
                <w:noProof/>
                <w:webHidden/>
              </w:rPr>
              <w:fldChar w:fldCharType="separate"/>
            </w:r>
            <w:r w:rsidR="00C13E0E">
              <w:rPr>
                <w:noProof/>
                <w:webHidden/>
              </w:rPr>
              <w:t>26</w:t>
            </w:r>
            <w:r>
              <w:rPr>
                <w:noProof/>
                <w:webHidden/>
              </w:rPr>
              <w:fldChar w:fldCharType="end"/>
            </w:r>
          </w:hyperlink>
        </w:p>
        <w:p w14:paraId="19271791" w14:textId="2A529D83"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34" w:history="1">
            <w:r w:rsidRPr="00704C0C">
              <w:rPr>
                <w:rStyle w:val="Hyperlink"/>
                <w:noProof/>
              </w:rPr>
              <w:t>4.1.2</w:t>
            </w:r>
            <w:r>
              <w:rPr>
                <w:rFonts w:eastAsiaTheme="minorEastAsia"/>
                <w:noProof/>
                <w:lang w:eastAsia="en-GB"/>
              </w:rPr>
              <w:tab/>
            </w:r>
            <w:r w:rsidRPr="00704C0C">
              <w:rPr>
                <w:rStyle w:val="Hyperlink"/>
                <w:noProof/>
              </w:rPr>
              <w:t>Variation by deprivation quintile</w:t>
            </w:r>
            <w:r>
              <w:rPr>
                <w:noProof/>
                <w:webHidden/>
              </w:rPr>
              <w:tab/>
            </w:r>
            <w:r>
              <w:rPr>
                <w:noProof/>
                <w:webHidden/>
              </w:rPr>
              <w:fldChar w:fldCharType="begin"/>
            </w:r>
            <w:r>
              <w:rPr>
                <w:noProof/>
                <w:webHidden/>
              </w:rPr>
              <w:instrText xml:space="preserve"> PAGEREF _Toc201512434 \h </w:instrText>
            </w:r>
            <w:r>
              <w:rPr>
                <w:noProof/>
                <w:webHidden/>
              </w:rPr>
            </w:r>
            <w:r>
              <w:rPr>
                <w:noProof/>
                <w:webHidden/>
              </w:rPr>
              <w:fldChar w:fldCharType="separate"/>
            </w:r>
            <w:r w:rsidR="00C13E0E">
              <w:rPr>
                <w:noProof/>
                <w:webHidden/>
              </w:rPr>
              <w:t>27</w:t>
            </w:r>
            <w:r>
              <w:rPr>
                <w:noProof/>
                <w:webHidden/>
              </w:rPr>
              <w:fldChar w:fldCharType="end"/>
            </w:r>
          </w:hyperlink>
        </w:p>
        <w:p w14:paraId="0BBFC87B" w14:textId="2C3F73F6"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35" w:history="1">
            <w:r w:rsidRPr="00704C0C">
              <w:rPr>
                <w:rStyle w:val="Hyperlink"/>
                <w:noProof/>
              </w:rPr>
              <w:t>4.2</w:t>
            </w:r>
            <w:r>
              <w:rPr>
                <w:rFonts w:eastAsiaTheme="minorEastAsia"/>
                <w:noProof/>
                <w:lang w:eastAsia="en-GB"/>
              </w:rPr>
              <w:tab/>
            </w:r>
            <w:r w:rsidRPr="00704C0C">
              <w:rPr>
                <w:rStyle w:val="Hyperlink"/>
                <w:noProof/>
              </w:rPr>
              <w:t>Mortality</w:t>
            </w:r>
            <w:r>
              <w:rPr>
                <w:noProof/>
                <w:webHidden/>
              </w:rPr>
              <w:tab/>
            </w:r>
            <w:r>
              <w:rPr>
                <w:noProof/>
                <w:webHidden/>
              </w:rPr>
              <w:fldChar w:fldCharType="begin"/>
            </w:r>
            <w:r>
              <w:rPr>
                <w:noProof/>
                <w:webHidden/>
              </w:rPr>
              <w:instrText xml:space="preserve"> PAGEREF _Toc201512435 \h </w:instrText>
            </w:r>
            <w:r>
              <w:rPr>
                <w:noProof/>
                <w:webHidden/>
              </w:rPr>
            </w:r>
            <w:r>
              <w:rPr>
                <w:noProof/>
                <w:webHidden/>
              </w:rPr>
              <w:fldChar w:fldCharType="separate"/>
            </w:r>
            <w:r w:rsidR="00C13E0E">
              <w:rPr>
                <w:noProof/>
                <w:webHidden/>
              </w:rPr>
              <w:t>27</w:t>
            </w:r>
            <w:r>
              <w:rPr>
                <w:noProof/>
                <w:webHidden/>
              </w:rPr>
              <w:fldChar w:fldCharType="end"/>
            </w:r>
          </w:hyperlink>
        </w:p>
        <w:p w14:paraId="577AD001" w14:textId="65F40DA8"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36" w:history="1">
            <w:r w:rsidRPr="00704C0C">
              <w:rPr>
                <w:rStyle w:val="Hyperlink"/>
                <w:noProof/>
              </w:rPr>
              <w:t>4.2.1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_Toc201512436 \h </w:instrText>
            </w:r>
            <w:r>
              <w:rPr>
                <w:noProof/>
                <w:webHidden/>
              </w:rPr>
            </w:r>
            <w:r>
              <w:rPr>
                <w:noProof/>
                <w:webHidden/>
              </w:rPr>
              <w:fldChar w:fldCharType="separate"/>
            </w:r>
            <w:r w:rsidR="00C13E0E">
              <w:rPr>
                <w:noProof/>
                <w:webHidden/>
              </w:rPr>
              <w:t>28</w:t>
            </w:r>
            <w:r>
              <w:rPr>
                <w:noProof/>
                <w:webHidden/>
              </w:rPr>
              <w:fldChar w:fldCharType="end"/>
            </w:r>
          </w:hyperlink>
        </w:p>
        <w:p w14:paraId="1D8A8E7B" w14:textId="1811A7AD"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37" w:history="1">
            <w:r w:rsidRPr="00704C0C">
              <w:rPr>
                <w:rStyle w:val="Hyperlink"/>
                <w:noProof/>
              </w:rPr>
              <w:t>4.3</w:t>
            </w:r>
            <w:r>
              <w:rPr>
                <w:rFonts w:eastAsiaTheme="minorEastAsia"/>
                <w:noProof/>
                <w:lang w:eastAsia="en-GB"/>
              </w:rPr>
              <w:tab/>
            </w:r>
            <w:r w:rsidRPr="00704C0C">
              <w:rPr>
                <w:rStyle w:val="Hyperlink"/>
                <w:noProof/>
              </w:rPr>
              <w:t>Survival</w:t>
            </w:r>
            <w:r>
              <w:rPr>
                <w:noProof/>
                <w:webHidden/>
              </w:rPr>
              <w:tab/>
            </w:r>
            <w:r>
              <w:rPr>
                <w:noProof/>
                <w:webHidden/>
              </w:rPr>
              <w:fldChar w:fldCharType="begin"/>
            </w:r>
            <w:r>
              <w:rPr>
                <w:noProof/>
                <w:webHidden/>
              </w:rPr>
              <w:instrText xml:space="preserve"> PAGEREF _Toc201512437 \h </w:instrText>
            </w:r>
            <w:r>
              <w:rPr>
                <w:noProof/>
                <w:webHidden/>
              </w:rPr>
            </w:r>
            <w:r>
              <w:rPr>
                <w:noProof/>
                <w:webHidden/>
              </w:rPr>
              <w:fldChar w:fldCharType="separate"/>
            </w:r>
            <w:r w:rsidR="00C13E0E">
              <w:rPr>
                <w:noProof/>
                <w:webHidden/>
              </w:rPr>
              <w:t>29</w:t>
            </w:r>
            <w:r>
              <w:rPr>
                <w:noProof/>
                <w:webHidden/>
              </w:rPr>
              <w:fldChar w:fldCharType="end"/>
            </w:r>
          </w:hyperlink>
        </w:p>
        <w:p w14:paraId="6788CF89" w14:textId="41131B73"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38" w:history="1">
            <w:r w:rsidRPr="00704C0C">
              <w:rPr>
                <w:rStyle w:val="Hyperlink"/>
                <w:noProof/>
              </w:rPr>
              <w:t>4.4</w:t>
            </w:r>
            <w:r>
              <w:rPr>
                <w:rFonts w:eastAsiaTheme="minorEastAsia"/>
                <w:noProof/>
                <w:lang w:eastAsia="en-GB"/>
              </w:rPr>
              <w:tab/>
            </w:r>
            <w:r w:rsidRPr="00704C0C">
              <w:rPr>
                <w:rStyle w:val="Hyperlink"/>
                <w:noProof/>
              </w:rPr>
              <w:t>Population Attributable Fraction</w:t>
            </w:r>
            <w:r>
              <w:rPr>
                <w:noProof/>
                <w:webHidden/>
              </w:rPr>
              <w:tab/>
            </w:r>
            <w:r>
              <w:rPr>
                <w:noProof/>
                <w:webHidden/>
              </w:rPr>
              <w:fldChar w:fldCharType="begin"/>
            </w:r>
            <w:r>
              <w:rPr>
                <w:noProof/>
                <w:webHidden/>
              </w:rPr>
              <w:instrText xml:space="preserve"> PAGEREF _Toc201512438 \h </w:instrText>
            </w:r>
            <w:r>
              <w:rPr>
                <w:noProof/>
                <w:webHidden/>
              </w:rPr>
            </w:r>
            <w:r>
              <w:rPr>
                <w:noProof/>
                <w:webHidden/>
              </w:rPr>
              <w:fldChar w:fldCharType="separate"/>
            </w:r>
            <w:r w:rsidR="00C13E0E">
              <w:rPr>
                <w:noProof/>
                <w:webHidden/>
              </w:rPr>
              <w:t>30</w:t>
            </w:r>
            <w:r>
              <w:rPr>
                <w:noProof/>
                <w:webHidden/>
              </w:rPr>
              <w:fldChar w:fldCharType="end"/>
            </w:r>
          </w:hyperlink>
        </w:p>
        <w:p w14:paraId="068EA638" w14:textId="0BE447E3" w:rsidR="004B0E10" w:rsidRDefault="004B0E10" w:rsidP="00CD71C7">
          <w:pPr>
            <w:pStyle w:val="TOC1"/>
            <w:tabs>
              <w:tab w:val="left" w:pos="480"/>
              <w:tab w:val="right" w:leader="dot" w:pos="9016"/>
            </w:tabs>
            <w:spacing w:line="240" w:lineRule="auto"/>
            <w:rPr>
              <w:rFonts w:eastAsiaTheme="minorEastAsia"/>
              <w:noProof/>
              <w:lang w:eastAsia="en-GB"/>
            </w:rPr>
          </w:pPr>
          <w:hyperlink w:anchor="_Toc201512439" w:history="1">
            <w:r w:rsidRPr="00704C0C">
              <w:rPr>
                <w:rStyle w:val="Hyperlink"/>
                <w:noProof/>
              </w:rPr>
              <w:t>5</w:t>
            </w:r>
            <w:r>
              <w:rPr>
                <w:rFonts w:eastAsiaTheme="minorEastAsia"/>
                <w:noProof/>
                <w:lang w:eastAsia="en-GB"/>
              </w:rPr>
              <w:tab/>
            </w:r>
            <w:r w:rsidRPr="00704C0C">
              <w:rPr>
                <w:rStyle w:val="Hyperlink"/>
                <w:noProof/>
              </w:rPr>
              <w:t>Oral cavity  C00-06</w:t>
            </w:r>
            <w:r>
              <w:rPr>
                <w:noProof/>
                <w:webHidden/>
              </w:rPr>
              <w:tab/>
            </w:r>
            <w:r>
              <w:rPr>
                <w:noProof/>
                <w:webHidden/>
              </w:rPr>
              <w:fldChar w:fldCharType="begin"/>
            </w:r>
            <w:r>
              <w:rPr>
                <w:noProof/>
                <w:webHidden/>
              </w:rPr>
              <w:instrText xml:space="preserve"> PAGEREF _Toc201512439 \h </w:instrText>
            </w:r>
            <w:r>
              <w:rPr>
                <w:noProof/>
                <w:webHidden/>
              </w:rPr>
            </w:r>
            <w:r>
              <w:rPr>
                <w:noProof/>
                <w:webHidden/>
              </w:rPr>
              <w:fldChar w:fldCharType="separate"/>
            </w:r>
            <w:r w:rsidR="00C13E0E">
              <w:rPr>
                <w:noProof/>
                <w:webHidden/>
              </w:rPr>
              <w:t>32</w:t>
            </w:r>
            <w:r>
              <w:rPr>
                <w:noProof/>
                <w:webHidden/>
              </w:rPr>
              <w:fldChar w:fldCharType="end"/>
            </w:r>
          </w:hyperlink>
        </w:p>
        <w:p w14:paraId="298B77F4" w14:textId="601DCCAA"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40" w:history="1">
            <w:r w:rsidRPr="00704C0C">
              <w:rPr>
                <w:rStyle w:val="Hyperlink"/>
                <w:noProof/>
              </w:rPr>
              <w:t>5.1</w:t>
            </w:r>
            <w:r>
              <w:rPr>
                <w:rFonts w:eastAsiaTheme="minorEastAsia"/>
                <w:noProof/>
                <w:lang w:eastAsia="en-GB"/>
              </w:rPr>
              <w:tab/>
            </w:r>
            <w:r w:rsidRPr="00704C0C">
              <w:rPr>
                <w:rStyle w:val="Hyperlink"/>
                <w:noProof/>
              </w:rPr>
              <w:t>Incidence</w:t>
            </w:r>
            <w:r>
              <w:rPr>
                <w:noProof/>
                <w:webHidden/>
              </w:rPr>
              <w:tab/>
            </w:r>
            <w:r>
              <w:rPr>
                <w:noProof/>
                <w:webHidden/>
              </w:rPr>
              <w:fldChar w:fldCharType="begin"/>
            </w:r>
            <w:r>
              <w:rPr>
                <w:noProof/>
                <w:webHidden/>
              </w:rPr>
              <w:instrText xml:space="preserve"> PAGEREF _Toc201512440 \h </w:instrText>
            </w:r>
            <w:r>
              <w:rPr>
                <w:noProof/>
                <w:webHidden/>
              </w:rPr>
            </w:r>
            <w:r>
              <w:rPr>
                <w:noProof/>
                <w:webHidden/>
              </w:rPr>
              <w:fldChar w:fldCharType="separate"/>
            </w:r>
            <w:r w:rsidR="00C13E0E">
              <w:rPr>
                <w:noProof/>
                <w:webHidden/>
              </w:rPr>
              <w:t>33</w:t>
            </w:r>
            <w:r>
              <w:rPr>
                <w:noProof/>
                <w:webHidden/>
              </w:rPr>
              <w:fldChar w:fldCharType="end"/>
            </w:r>
          </w:hyperlink>
        </w:p>
        <w:p w14:paraId="66859BA9" w14:textId="74771A2D"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41" w:history="1">
            <w:r w:rsidRPr="00704C0C">
              <w:rPr>
                <w:rStyle w:val="Hyperlink"/>
                <w:noProof/>
              </w:rPr>
              <w:t>5.1.1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_Toc201512441 \h </w:instrText>
            </w:r>
            <w:r>
              <w:rPr>
                <w:noProof/>
                <w:webHidden/>
              </w:rPr>
            </w:r>
            <w:r>
              <w:rPr>
                <w:noProof/>
                <w:webHidden/>
              </w:rPr>
              <w:fldChar w:fldCharType="separate"/>
            </w:r>
            <w:r w:rsidR="00C13E0E">
              <w:rPr>
                <w:noProof/>
                <w:webHidden/>
              </w:rPr>
              <w:t>34</w:t>
            </w:r>
            <w:r>
              <w:rPr>
                <w:noProof/>
                <w:webHidden/>
              </w:rPr>
              <w:fldChar w:fldCharType="end"/>
            </w:r>
          </w:hyperlink>
        </w:p>
        <w:p w14:paraId="2EB1A24C" w14:textId="1E70C852"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42" w:history="1">
            <w:r w:rsidRPr="00704C0C">
              <w:rPr>
                <w:rStyle w:val="Hyperlink"/>
                <w:noProof/>
              </w:rPr>
              <w:t>5.1.2</w:t>
            </w:r>
            <w:r>
              <w:rPr>
                <w:rFonts w:eastAsiaTheme="minorEastAsia"/>
                <w:noProof/>
                <w:lang w:eastAsia="en-GB"/>
              </w:rPr>
              <w:tab/>
            </w:r>
            <w:r w:rsidRPr="00704C0C">
              <w:rPr>
                <w:rStyle w:val="Hyperlink"/>
                <w:noProof/>
              </w:rPr>
              <w:t>Variation by deprivation quintile</w:t>
            </w:r>
            <w:r>
              <w:rPr>
                <w:noProof/>
                <w:webHidden/>
              </w:rPr>
              <w:tab/>
            </w:r>
            <w:r>
              <w:rPr>
                <w:noProof/>
                <w:webHidden/>
              </w:rPr>
              <w:fldChar w:fldCharType="begin"/>
            </w:r>
            <w:r>
              <w:rPr>
                <w:noProof/>
                <w:webHidden/>
              </w:rPr>
              <w:instrText xml:space="preserve"> PAGEREF _Toc201512442 \h </w:instrText>
            </w:r>
            <w:r>
              <w:rPr>
                <w:noProof/>
                <w:webHidden/>
              </w:rPr>
            </w:r>
            <w:r>
              <w:rPr>
                <w:noProof/>
                <w:webHidden/>
              </w:rPr>
              <w:fldChar w:fldCharType="separate"/>
            </w:r>
            <w:r w:rsidR="00C13E0E">
              <w:rPr>
                <w:noProof/>
                <w:webHidden/>
              </w:rPr>
              <w:t>35</w:t>
            </w:r>
            <w:r>
              <w:rPr>
                <w:noProof/>
                <w:webHidden/>
              </w:rPr>
              <w:fldChar w:fldCharType="end"/>
            </w:r>
          </w:hyperlink>
        </w:p>
        <w:p w14:paraId="6FAC19C5" w14:textId="2E8EB734"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43" w:history="1">
            <w:r w:rsidRPr="00704C0C">
              <w:rPr>
                <w:rStyle w:val="Hyperlink"/>
                <w:noProof/>
              </w:rPr>
              <w:t>5.2</w:t>
            </w:r>
            <w:r>
              <w:rPr>
                <w:rFonts w:eastAsiaTheme="minorEastAsia"/>
                <w:noProof/>
                <w:lang w:eastAsia="en-GB"/>
              </w:rPr>
              <w:tab/>
            </w:r>
            <w:r w:rsidRPr="00704C0C">
              <w:rPr>
                <w:rStyle w:val="Hyperlink"/>
                <w:noProof/>
              </w:rPr>
              <w:t>Mortality</w:t>
            </w:r>
            <w:r>
              <w:rPr>
                <w:noProof/>
                <w:webHidden/>
              </w:rPr>
              <w:tab/>
            </w:r>
            <w:r>
              <w:rPr>
                <w:noProof/>
                <w:webHidden/>
              </w:rPr>
              <w:fldChar w:fldCharType="begin"/>
            </w:r>
            <w:r>
              <w:rPr>
                <w:noProof/>
                <w:webHidden/>
              </w:rPr>
              <w:instrText xml:space="preserve"> PAGEREF _Toc201512443 \h </w:instrText>
            </w:r>
            <w:r>
              <w:rPr>
                <w:noProof/>
                <w:webHidden/>
              </w:rPr>
            </w:r>
            <w:r>
              <w:rPr>
                <w:noProof/>
                <w:webHidden/>
              </w:rPr>
              <w:fldChar w:fldCharType="separate"/>
            </w:r>
            <w:r w:rsidR="00C13E0E">
              <w:rPr>
                <w:noProof/>
                <w:webHidden/>
              </w:rPr>
              <w:t>35</w:t>
            </w:r>
            <w:r>
              <w:rPr>
                <w:noProof/>
                <w:webHidden/>
              </w:rPr>
              <w:fldChar w:fldCharType="end"/>
            </w:r>
          </w:hyperlink>
        </w:p>
        <w:p w14:paraId="38658471" w14:textId="64B3DC4C"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44" w:history="1">
            <w:r w:rsidRPr="00704C0C">
              <w:rPr>
                <w:rStyle w:val="Hyperlink"/>
                <w:noProof/>
              </w:rPr>
              <w:t>5.2.1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_Toc201512444 \h </w:instrText>
            </w:r>
            <w:r>
              <w:rPr>
                <w:noProof/>
                <w:webHidden/>
              </w:rPr>
            </w:r>
            <w:r>
              <w:rPr>
                <w:noProof/>
                <w:webHidden/>
              </w:rPr>
              <w:fldChar w:fldCharType="separate"/>
            </w:r>
            <w:r w:rsidR="00C13E0E">
              <w:rPr>
                <w:noProof/>
                <w:webHidden/>
              </w:rPr>
              <w:t>36</w:t>
            </w:r>
            <w:r>
              <w:rPr>
                <w:noProof/>
                <w:webHidden/>
              </w:rPr>
              <w:fldChar w:fldCharType="end"/>
            </w:r>
          </w:hyperlink>
        </w:p>
        <w:p w14:paraId="2996AFDB" w14:textId="6B007246"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45" w:history="1">
            <w:r w:rsidRPr="00704C0C">
              <w:rPr>
                <w:rStyle w:val="Hyperlink"/>
                <w:noProof/>
              </w:rPr>
              <w:t>5.3</w:t>
            </w:r>
            <w:r>
              <w:rPr>
                <w:rFonts w:eastAsiaTheme="minorEastAsia"/>
                <w:noProof/>
                <w:lang w:eastAsia="en-GB"/>
              </w:rPr>
              <w:tab/>
            </w:r>
            <w:r w:rsidRPr="00704C0C">
              <w:rPr>
                <w:rStyle w:val="Hyperlink"/>
                <w:noProof/>
              </w:rPr>
              <w:t>Survival</w:t>
            </w:r>
            <w:r>
              <w:rPr>
                <w:noProof/>
                <w:webHidden/>
              </w:rPr>
              <w:tab/>
            </w:r>
            <w:r>
              <w:rPr>
                <w:noProof/>
                <w:webHidden/>
              </w:rPr>
              <w:fldChar w:fldCharType="begin"/>
            </w:r>
            <w:r>
              <w:rPr>
                <w:noProof/>
                <w:webHidden/>
              </w:rPr>
              <w:instrText xml:space="preserve"> PAGEREF _Toc201512445 \h </w:instrText>
            </w:r>
            <w:r>
              <w:rPr>
                <w:noProof/>
                <w:webHidden/>
              </w:rPr>
            </w:r>
            <w:r>
              <w:rPr>
                <w:noProof/>
                <w:webHidden/>
              </w:rPr>
              <w:fldChar w:fldCharType="separate"/>
            </w:r>
            <w:r w:rsidR="00C13E0E">
              <w:rPr>
                <w:noProof/>
                <w:webHidden/>
              </w:rPr>
              <w:t>37</w:t>
            </w:r>
            <w:r>
              <w:rPr>
                <w:noProof/>
                <w:webHidden/>
              </w:rPr>
              <w:fldChar w:fldCharType="end"/>
            </w:r>
          </w:hyperlink>
        </w:p>
        <w:p w14:paraId="14E51F01" w14:textId="142B97B4"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46" w:history="1">
            <w:r w:rsidRPr="00704C0C">
              <w:rPr>
                <w:rStyle w:val="Hyperlink"/>
                <w:noProof/>
              </w:rPr>
              <w:t>5.4</w:t>
            </w:r>
            <w:r>
              <w:rPr>
                <w:rFonts w:eastAsiaTheme="minorEastAsia"/>
                <w:noProof/>
                <w:lang w:eastAsia="en-GB"/>
              </w:rPr>
              <w:tab/>
            </w:r>
            <w:r w:rsidRPr="00704C0C">
              <w:rPr>
                <w:rStyle w:val="Hyperlink"/>
                <w:noProof/>
              </w:rPr>
              <w:t>Population Attributable Fraction</w:t>
            </w:r>
            <w:r>
              <w:rPr>
                <w:noProof/>
                <w:webHidden/>
              </w:rPr>
              <w:tab/>
            </w:r>
            <w:r>
              <w:rPr>
                <w:noProof/>
                <w:webHidden/>
              </w:rPr>
              <w:fldChar w:fldCharType="begin"/>
            </w:r>
            <w:r>
              <w:rPr>
                <w:noProof/>
                <w:webHidden/>
              </w:rPr>
              <w:instrText xml:space="preserve"> PAGEREF _Toc201512446 \h </w:instrText>
            </w:r>
            <w:r>
              <w:rPr>
                <w:noProof/>
                <w:webHidden/>
              </w:rPr>
            </w:r>
            <w:r>
              <w:rPr>
                <w:noProof/>
                <w:webHidden/>
              </w:rPr>
              <w:fldChar w:fldCharType="separate"/>
            </w:r>
            <w:r w:rsidR="00C13E0E">
              <w:rPr>
                <w:noProof/>
                <w:webHidden/>
              </w:rPr>
              <w:t>37</w:t>
            </w:r>
            <w:r>
              <w:rPr>
                <w:noProof/>
                <w:webHidden/>
              </w:rPr>
              <w:fldChar w:fldCharType="end"/>
            </w:r>
          </w:hyperlink>
        </w:p>
        <w:p w14:paraId="34E336EA" w14:textId="6B96A674" w:rsidR="004B0E10" w:rsidRDefault="004B0E10" w:rsidP="00CD71C7">
          <w:pPr>
            <w:pStyle w:val="TOC1"/>
            <w:tabs>
              <w:tab w:val="left" w:pos="480"/>
              <w:tab w:val="right" w:leader="dot" w:pos="9016"/>
            </w:tabs>
            <w:spacing w:line="240" w:lineRule="auto"/>
            <w:rPr>
              <w:rFonts w:eastAsiaTheme="minorEastAsia"/>
              <w:noProof/>
              <w:lang w:eastAsia="en-GB"/>
            </w:rPr>
          </w:pPr>
          <w:hyperlink w:anchor="_Toc201512447" w:history="1">
            <w:r w:rsidRPr="00704C0C">
              <w:rPr>
                <w:rStyle w:val="Hyperlink"/>
                <w:noProof/>
              </w:rPr>
              <w:t>6</w:t>
            </w:r>
            <w:r>
              <w:rPr>
                <w:rFonts w:eastAsiaTheme="minorEastAsia"/>
                <w:noProof/>
                <w:lang w:eastAsia="en-GB"/>
              </w:rPr>
              <w:tab/>
            </w:r>
            <w:r w:rsidRPr="00704C0C">
              <w:rPr>
                <w:rStyle w:val="Hyperlink"/>
                <w:noProof/>
              </w:rPr>
              <w:t>Pharynx C09-10, C12-14</w:t>
            </w:r>
            <w:r>
              <w:rPr>
                <w:noProof/>
                <w:webHidden/>
              </w:rPr>
              <w:tab/>
            </w:r>
            <w:r>
              <w:rPr>
                <w:noProof/>
                <w:webHidden/>
              </w:rPr>
              <w:fldChar w:fldCharType="begin"/>
            </w:r>
            <w:r>
              <w:rPr>
                <w:noProof/>
                <w:webHidden/>
              </w:rPr>
              <w:instrText xml:space="preserve"> PAGEREF _Toc201512447 \h </w:instrText>
            </w:r>
            <w:r>
              <w:rPr>
                <w:noProof/>
                <w:webHidden/>
              </w:rPr>
            </w:r>
            <w:r>
              <w:rPr>
                <w:noProof/>
                <w:webHidden/>
              </w:rPr>
              <w:fldChar w:fldCharType="separate"/>
            </w:r>
            <w:r w:rsidR="00C13E0E">
              <w:rPr>
                <w:noProof/>
                <w:webHidden/>
              </w:rPr>
              <w:t>38</w:t>
            </w:r>
            <w:r>
              <w:rPr>
                <w:noProof/>
                <w:webHidden/>
              </w:rPr>
              <w:fldChar w:fldCharType="end"/>
            </w:r>
          </w:hyperlink>
        </w:p>
        <w:p w14:paraId="0BBE88C7" w14:textId="68BFC402"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48" w:history="1">
            <w:r w:rsidRPr="00704C0C">
              <w:rPr>
                <w:rStyle w:val="Hyperlink"/>
                <w:noProof/>
              </w:rPr>
              <w:t>6.1</w:t>
            </w:r>
            <w:r>
              <w:rPr>
                <w:rFonts w:eastAsiaTheme="minorEastAsia"/>
                <w:noProof/>
                <w:lang w:eastAsia="en-GB"/>
              </w:rPr>
              <w:tab/>
            </w:r>
            <w:r w:rsidRPr="00704C0C">
              <w:rPr>
                <w:rStyle w:val="Hyperlink"/>
                <w:noProof/>
              </w:rPr>
              <w:t>Incidence</w:t>
            </w:r>
            <w:r>
              <w:rPr>
                <w:noProof/>
                <w:webHidden/>
              </w:rPr>
              <w:tab/>
            </w:r>
            <w:r>
              <w:rPr>
                <w:noProof/>
                <w:webHidden/>
              </w:rPr>
              <w:fldChar w:fldCharType="begin"/>
            </w:r>
            <w:r>
              <w:rPr>
                <w:noProof/>
                <w:webHidden/>
              </w:rPr>
              <w:instrText xml:space="preserve"> PAGEREF _Toc201512448 \h </w:instrText>
            </w:r>
            <w:r>
              <w:rPr>
                <w:noProof/>
                <w:webHidden/>
              </w:rPr>
            </w:r>
            <w:r>
              <w:rPr>
                <w:noProof/>
                <w:webHidden/>
              </w:rPr>
              <w:fldChar w:fldCharType="separate"/>
            </w:r>
            <w:r w:rsidR="00C13E0E">
              <w:rPr>
                <w:noProof/>
                <w:webHidden/>
              </w:rPr>
              <w:t>39</w:t>
            </w:r>
            <w:r>
              <w:rPr>
                <w:noProof/>
                <w:webHidden/>
              </w:rPr>
              <w:fldChar w:fldCharType="end"/>
            </w:r>
          </w:hyperlink>
        </w:p>
        <w:p w14:paraId="2791DEA3" w14:textId="63E7675D"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49" w:history="1">
            <w:r w:rsidRPr="00704C0C">
              <w:rPr>
                <w:rStyle w:val="Hyperlink"/>
                <w:noProof/>
              </w:rPr>
              <w:t>6.1.1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_Toc201512449 \h </w:instrText>
            </w:r>
            <w:r>
              <w:rPr>
                <w:noProof/>
                <w:webHidden/>
              </w:rPr>
            </w:r>
            <w:r>
              <w:rPr>
                <w:noProof/>
                <w:webHidden/>
              </w:rPr>
              <w:fldChar w:fldCharType="separate"/>
            </w:r>
            <w:r w:rsidR="00C13E0E">
              <w:rPr>
                <w:noProof/>
                <w:webHidden/>
              </w:rPr>
              <w:t>39</w:t>
            </w:r>
            <w:r>
              <w:rPr>
                <w:noProof/>
                <w:webHidden/>
              </w:rPr>
              <w:fldChar w:fldCharType="end"/>
            </w:r>
          </w:hyperlink>
        </w:p>
        <w:p w14:paraId="2216CA5D" w14:textId="600197D4"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50" w:history="1">
            <w:r w:rsidRPr="00704C0C">
              <w:rPr>
                <w:rStyle w:val="Hyperlink"/>
                <w:noProof/>
              </w:rPr>
              <w:t>6.1.2</w:t>
            </w:r>
            <w:r>
              <w:rPr>
                <w:rFonts w:eastAsiaTheme="minorEastAsia"/>
                <w:noProof/>
                <w:lang w:eastAsia="en-GB"/>
              </w:rPr>
              <w:tab/>
            </w:r>
            <w:r w:rsidRPr="00704C0C">
              <w:rPr>
                <w:rStyle w:val="Hyperlink"/>
                <w:noProof/>
              </w:rPr>
              <w:t>Variation by deprivation quintile</w:t>
            </w:r>
            <w:r>
              <w:rPr>
                <w:noProof/>
                <w:webHidden/>
              </w:rPr>
              <w:tab/>
            </w:r>
            <w:r>
              <w:rPr>
                <w:noProof/>
                <w:webHidden/>
              </w:rPr>
              <w:fldChar w:fldCharType="begin"/>
            </w:r>
            <w:r>
              <w:rPr>
                <w:noProof/>
                <w:webHidden/>
              </w:rPr>
              <w:instrText xml:space="preserve"> PAGEREF _Toc201512450 \h </w:instrText>
            </w:r>
            <w:r>
              <w:rPr>
                <w:noProof/>
                <w:webHidden/>
              </w:rPr>
            </w:r>
            <w:r>
              <w:rPr>
                <w:noProof/>
                <w:webHidden/>
              </w:rPr>
              <w:fldChar w:fldCharType="separate"/>
            </w:r>
            <w:r w:rsidR="00C13E0E">
              <w:rPr>
                <w:noProof/>
                <w:webHidden/>
              </w:rPr>
              <w:t>40</w:t>
            </w:r>
            <w:r>
              <w:rPr>
                <w:noProof/>
                <w:webHidden/>
              </w:rPr>
              <w:fldChar w:fldCharType="end"/>
            </w:r>
          </w:hyperlink>
        </w:p>
        <w:p w14:paraId="5F5E1FA2" w14:textId="51FF7B75"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51" w:history="1">
            <w:r w:rsidRPr="00704C0C">
              <w:rPr>
                <w:rStyle w:val="Hyperlink"/>
                <w:noProof/>
              </w:rPr>
              <w:t>6.2</w:t>
            </w:r>
            <w:r>
              <w:rPr>
                <w:rFonts w:eastAsiaTheme="minorEastAsia"/>
                <w:noProof/>
                <w:lang w:eastAsia="en-GB"/>
              </w:rPr>
              <w:tab/>
            </w:r>
            <w:r w:rsidRPr="00704C0C">
              <w:rPr>
                <w:rStyle w:val="Hyperlink"/>
                <w:noProof/>
              </w:rPr>
              <w:t>Mortality</w:t>
            </w:r>
            <w:r>
              <w:rPr>
                <w:noProof/>
                <w:webHidden/>
              </w:rPr>
              <w:tab/>
            </w:r>
            <w:r>
              <w:rPr>
                <w:noProof/>
                <w:webHidden/>
              </w:rPr>
              <w:fldChar w:fldCharType="begin"/>
            </w:r>
            <w:r>
              <w:rPr>
                <w:noProof/>
                <w:webHidden/>
              </w:rPr>
              <w:instrText xml:space="preserve"> PAGEREF _Toc201512451 \h </w:instrText>
            </w:r>
            <w:r>
              <w:rPr>
                <w:noProof/>
                <w:webHidden/>
              </w:rPr>
            </w:r>
            <w:r>
              <w:rPr>
                <w:noProof/>
                <w:webHidden/>
              </w:rPr>
              <w:fldChar w:fldCharType="separate"/>
            </w:r>
            <w:r w:rsidR="00C13E0E">
              <w:rPr>
                <w:noProof/>
                <w:webHidden/>
              </w:rPr>
              <w:t>40</w:t>
            </w:r>
            <w:r>
              <w:rPr>
                <w:noProof/>
                <w:webHidden/>
              </w:rPr>
              <w:fldChar w:fldCharType="end"/>
            </w:r>
          </w:hyperlink>
        </w:p>
        <w:p w14:paraId="38F07F7D" w14:textId="47F87FBD"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52" w:history="1">
            <w:r w:rsidRPr="00704C0C">
              <w:rPr>
                <w:rStyle w:val="Hyperlink"/>
                <w:noProof/>
              </w:rPr>
              <w:t>6.2.1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_Toc201512452 \h </w:instrText>
            </w:r>
            <w:r>
              <w:rPr>
                <w:noProof/>
                <w:webHidden/>
              </w:rPr>
            </w:r>
            <w:r>
              <w:rPr>
                <w:noProof/>
                <w:webHidden/>
              </w:rPr>
              <w:fldChar w:fldCharType="separate"/>
            </w:r>
            <w:r w:rsidR="00C13E0E">
              <w:rPr>
                <w:noProof/>
                <w:webHidden/>
              </w:rPr>
              <w:t>41</w:t>
            </w:r>
            <w:r>
              <w:rPr>
                <w:noProof/>
                <w:webHidden/>
              </w:rPr>
              <w:fldChar w:fldCharType="end"/>
            </w:r>
          </w:hyperlink>
        </w:p>
        <w:p w14:paraId="7D57BEFD" w14:textId="49F31066"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53" w:history="1">
            <w:r w:rsidRPr="00704C0C">
              <w:rPr>
                <w:rStyle w:val="Hyperlink"/>
                <w:noProof/>
              </w:rPr>
              <w:t>6.3</w:t>
            </w:r>
            <w:r>
              <w:rPr>
                <w:rFonts w:eastAsiaTheme="minorEastAsia"/>
                <w:noProof/>
                <w:lang w:eastAsia="en-GB"/>
              </w:rPr>
              <w:tab/>
            </w:r>
            <w:r w:rsidRPr="00704C0C">
              <w:rPr>
                <w:rStyle w:val="Hyperlink"/>
                <w:noProof/>
              </w:rPr>
              <w:t>Survival</w:t>
            </w:r>
            <w:r>
              <w:rPr>
                <w:noProof/>
                <w:webHidden/>
              </w:rPr>
              <w:tab/>
            </w:r>
            <w:r>
              <w:rPr>
                <w:noProof/>
                <w:webHidden/>
              </w:rPr>
              <w:fldChar w:fldCharType="begin"/>
            </w:r>
            <w:r>
              <w:rPr>
                <w:noProof/>
                <w:webHidden/>
              </w:rPr>
              <w:instrText xml:space="preserve"> PAGEREF _Toc201512453 \h </w:instrText>
            </w:r>
            <w:r>
              <w:rPr>
                <w:noProof/>
                <w:webHidden/>
              </w:rPr>
            </w:r>
            <w:r>
              <w:rPr>
                <w:noProof/>
                <w:webHidden/>
              </w:rPr>
              <w:fldChar w:fldCharType="separate"/>
            </w:r>
            <w:r w:rsidR="00C13E0E">
              <w:rPr>
                <w:noProof/>
                <w:webHidden/>
              </w:rPr>
              <w:t>42</w:t>
            </w:r>
            <w:r>
              <w:rPr>
                <w:noProof/>
                <w:webHidden/>
              </w:rPr>
              <w:fldChar w:fldCharType="end"/>
            </w:r>
          </w:hyperlink>
        </w:p>
        <w:p w14:paraId="2A46F549" w14:textId="2CB08424"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54" w:history="1">
            <w:r w:rsidRPr="00704C0C">
              <w:rPr>
                <w:rStyle w:val="Hyperlink"/>
                <w:noProof/>
              </w:rPr>
              <w:t>6.4</w:t>
            </w:r>
            <w:r>
              <w:rPr>
                <w:rFonts w:eastAsiaTheme="minorEastAsia"/>
                <w:noProof/>
                <w:lang w:eastAsia="en-GB"/>
              </w:rPr>
              <w:tab/>
            </w:r>
            <w:r w:rsidRPr="00704C0C">
              <w:rPr>
                <w:rStyle w:val="Hyperlink"/>
                <w:noProof/>
              </w:rPr>
              <w:t>Population Attributable Fraction</w:t>
            </w:r>
            <w:r>
              <w:rPr>
                <w:noProof/>
                <w:webHidden/>
              </w:rPr>
              <w:tab/>
            </w:r>
            <w:r>
              <w:rPr>
                <w:noProof/>
                <w:webHidden/>
              </w:rPr>
              <w:fldChar w:fldCharType="begin"/>
            </w:r>
            <w:r>
              <w:rPr>
                <w:noProof/>
                <w:webHidden/>
              </w:rPr>
              <w:instrText xml:space="preserve"> PAGEREF _Toc201512454 \h </w:instrText>
            </w:r>
            <w:r>
              <w:rPr>
                <w:noProof/>
                <w:webHidden/>
              </w:rPr>
            </w:r>
            <w:r>
              <w:rPr>
                <w:noProof/>
                <w:webHidden/>
              </w:rPr>
              <w:fldChar w:fldCharType="separate"/>
            </w:r>
            <w:r w:rsidR="00C13E0E">
              <w:rPr>
                <w:noProof/>
                <w:webHidden/>
              </w:rPr>
              <w:t>42</w:t>
            </w:r>
            <w:r>
              <w:rPr>
                <w:noProof/>
                <w:webHidden/>
              </w:rPr>
              <w:fldChar w:fldCharType="end"/>
            </w:r>
          </w:hyperlink>
        </w:p>
        <w:p w14:paraId="7F3CB148" w14:textId="4B2A4046" w:rsidR="004B0E10" w:rsidRDefault="004B0E10" w:rsidP="00CD71C7">
          <w:pPr>
            <w:pStyle w:val="TOC1"/>
            <w:tabs>
              <w:tab w:val="left" w:pos="480"/>
              <w:tab w:val="right" w:leader="dot" w:pos="9016"/>
            </w:tabs>
            <w:spacing w:line="240" w:lineRule="auto"/>
            <w:rPr>
              <w:rFonts w:eastAsiaTheme="minorEastAsia"/>
              <w:noProof/>
              <w:lang w:eastAsia="en-GB"/>
            </w:rPr>
          </w:pPr>
          <w:hyperlink w:anchor="_Toc201512455" w:history="1">
            <w:r w:rsidRPr="00704C0C">
              <w:rPr>
                <w:rStyle w:val="Hyperlink"/>
                <w:noProof/>
              </w:rPr>
              <w:t>7</w:t>
            </w:r>
            <w:r>
              <w:rPr>
                <w:rFonts w:eastAsiaTheme="minorEastAsia"/>
                <w:noProof/>
                <w:lang w:eastAsia="en-GB"/>
              </w:rPr>
              <w:tab/>
            </w:r>
            <w:r w:rsidRPr="00704C0C">
              <w:rPr>
                <w:rStyle w:val="Hyperlink"/>
                <w:noProof/>
              </w:rPr>
              <w:t>Nasopharynx  C11</w:t>
            </w:r>
            <w:r>
              <w:rPr>
                <w:noProof/>
                <w:webHidden/>
              </w:rPr>
              <w:tab/>
            </w:r>
            <w:r>
              <w:rPr>
                <w:noProof/>
                <w:webHidden/>
              </w:rPr>
              <w:fldChar w:fldCharType="begin"/>
            </w:r>
            <w:r>
              <w:rPr>
                <w:noProof/>
                <w:webHidden/>
              </w:rPr>
              <w:instrText xml:space="preserve"> PAGEREF _Toc201512455 \h </w:instrText>
            </w:r>
            <w:r>
              <w:rPr>
                <w:noProof/>
                <w:webHidden/>
              </w:rPr>
            </w:r>
            <w:r>
              <w:rPr>
                <w:noProof/>
                <w:webHidden/>
              </w:rPr>
              <w:fldChar w:fldCharType="separate"/>
            </w:r>
            <w:r w:rsidR="00C13E0E">
              <w:rPr>
                <w:noProof/>
                <w:webHidden/>
              </w:rPr>
              <w:t>43</w:t>
            </w:r>
            <w:r>
              <w:rPr>
                <w:noProof/>
                <w:webHidden/>
              </w:rPr>
              <w:fldChar w:fldCharType="end"/>
            </w:r>
          </w:hyperlink>
        </w:p>
        <w:p w14:paraId="566A0719" w14:textId="45FFFAC0"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56" w:history="1">
            <w:r w:rsidRPr="00704C0C">
              <w:rPr>
                <w:rStyle w:val="Hyperlink"/>
                <w:noProof/>
              </w:rPr>
              <w:t>7.1</w:t>
            </w:r>
            <w:r>
              <w:rPr>
                <w:rFonts w:eastAsiaTheme="minorEastAsia"/>
                <w:noProof/>
                <w:lang w:eastAsia="en-GB"/>
              </w:rPr>
              <w:tab/>
            </w:r>
            <w:r w:rsidRPr="00704C0C">
              <w:rPr>
                <w:rStyle w:val="Hyperlink"/>
                <w:noProof/>
              </w:rPr>
              <w:t>Incidence</w:t>
            </w:r>
            <w:r>
              <w:rPr>
                <w:noProof/>
                <w:webHidden/>
              </w:rPr>
              <w:tab/>
            </w:r>
            <w:r>
              <w:rPr>
                <w:noProof/>
                <w:webHidden/>
              </w:rPr>
              <w:fldChar w:fldCharType="begin"/>
            </w:r>
            <w:r>
              <w:rPr>
                <w:noProof/>
                <w:webHidden/>
              </w:rPr>
              <w:instrText xml:space="preserve"> PAGEREF _Toc201512456 \h </w:instrText>
            </w:r>
            <w:r>
              <w:rPr>
                <w:noProof/>
                <w:webHidden/>
              </w:rPr>
            </w:r>
            <w:r>
              <w:rPr>
                <w:noProof/>
                <w:webHidden/>
              </w:rPr>
              <w:fldChar w:fldCharType="separate"/>
            </w:r>
            <w:r w:rsidR="00C13E0E">
              <w:rPr>
                <w:noProof/>
                <w:webHidden/>
              </w:rPr>
              <w:t>44</w:t>
            </w:r>
            <w:r>
              <w:rPr>
                <w:noProof/>
                <w:webHidden/>
              </w:rPr>
              <w:fldChar w:fldCharType="end"/>
            </w:r>
          </w:hyperlink>
        </w:p>
        <w:p w14:paraId="3C9F324F" w14:textId="69099C23"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57" w:history="1">
            <w:r w:rsidRPr="00704C0C">
              <w:rPr>
                <w:rStyle w:val="Hyperlink"/>
                <w:noProof/>
              </w:rPr>
              <w:t>7.1.1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_Toc201512457 \h </w:instrText>
            </w:r>
            <w:r>
              <w:rPr>
                <w:noProof/>
                <w:webHidden/>
              </w:rPr>
            </w:r>
            <w:r>
              <w:rPr>
                <w:noProof/>
                <w:webHidden/>
              </w:rPr>
              <w:fldChar w:fldCharType="separate"/>
            </w:r>
            <w:r w:rsidR="00C13E0E">
              <w:rPr>
                <w:noProof/>
                <w:webHidden/>
              </w:rPr>
              <w:t>44</w:t>
            </w:r>
            <w:r>
              <w:rPr>
                <w:noProof/>
                <w:webHidden/>
              </w:rPr>
              <w:fldChar w:fldCharType="end"/>
            </w:r>
          </w:hyperlink>
        </w:p>
        <w:p w14:paraId="4259CD93" w14:textId="2B5C8E0D"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58" w:history="1">
            <w:r w:rsidRPr="00704C0C">
              <w:rPr>
                <w:rStyle w:val="Hyperlink"/>
                <w:noProof/>
              </w:rPr>
              <w:t>7.1.2</w:t>
            </w:r>
            <w:r>
              <w:rPr>
                <w:rFonts w:eastAsiaTheme="minorEastAsia"/>
                <w:noProof/>
                <w:lang w:eastAsia="en-GB"/>
              </w:rPr>
              <w:tab/>
            </w:r>
            <w:r w:rsidRPr="00704C0C">
              <w:rPr>
                <w:rStyle w:val="Hyperlink"/>
                <w:noProof/>
              </w:rPr>
              <w:t>Variation by deprivation quintile</w:t>
            </w:r>
            <w:r>
              <w:rPr>
                <w:noProof/>
                <w:webHidden/>
              </w:rPr>
              <w:tab/>
            </w:r>
            <w:r>
              <w:rPr>
                <w:noProof/>
                <w:webHidden/>
              </w:rPr>
              <w:fldChar w:fldCharType="begin"/>
            </w:r>
            <w:r>
              <w:rPr>
                <w:noProof/>
                <w:webHidden/>
              </w:rPr>
              <w:instrText xml:space="preserve"> PAGEREF _Toc201512458 \h </w:instrText>
            </w:r>
            <w:r>
              <w:rPr>
                <w:noProof/>
                <w:webHidden/>
              </w:rPr>
            </w:r>
            <w:r>
              <w:rPr>
                <w:noProof/>
                <w:webHidden/>
              </w:rPr>
              <w:fldChar w:fldCharType="separate"/>
            </w:r>
            <w:r w:rsidR="00C13E0E">
              <w:rPr>
                <w:noProof/>
                <w:webHidden/>
              </w:rPr>
              <w:t>45</w:t>
            </w:r>
            <w:r>
              <w:rPr>
                <w:noProof/>
                <w:webHidden/>
              </w:rPr>
              <w:fldChar w:fldCharType="end"/>
            </w:r>
          </w:hyperlink>
        </w:p>
        <w:p w14:paraId="0A30682E" w14:textId="18C26363"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59" w:history="1">
            <w:r w:rsidRPr="00704C0C">
              <w:rPr>
                <w:rStyle w:val="Hyperlink"/>
                <w:noProof/>
              </w:rPr>
              <w:t>7.2</w:t>
            </w:r>
            <w:r>
              <w:rPr>
                <w:rFonts w:eastAsiaTheme="minorEastAsia"/>
                <w:noProof/>
                <w:lang w:eastAsia="en-GB"/>
              </w:rPr>
              <w:tab/>
            </w:r>
            <w:r w:rsidRPr="00704C0C">
              <w:rPr>
                <w:rStyle w:val="Hyperlink"/>
                <w:noProof/>
              </w:rPr>
              <w:t>Mortality</w:t>
            </w:r>
            <w:r>
              <w:rPr>
                <w:noProof/>
                <w:webHidden/>
              </w:rPr>
              <w:tab/>
            </w:r>
            <w:r>
              <w:rPr>
                <w:noProof/>
                <w:webHidden/>
              </w:rPr>
              <w:fldChar w:fldCharType="begin"/>
            </w:r>
            <w:r>
              <w:rPr>
                <w:noProof/>
                <w:webHidden/>
              </w:rPr>
              <w:instrText xml:space="preserve"> PAGEREF _Toc201512459 \h </w:instrText>
            </w:r>
            <w:r>
              <w:rPr>
                <w:noProof/>
                <w:webHidden/>
              </w:rPr>
            </w:r>
            <w:r>
              <w:rPr>
                <w:noProof/>
                <w:webHidden/>
              </w:rPr>
              <w:fldChar w:fldCharType="separate"/>
            </w:r>
            <w:r w:rsidR="00C13E0E">
              <w:rPr>
                <w:noProof/>
                <w:webHidden/>
              </w:rPr>
              <w:t>45</w:t>
            </w:r>
            <w:r>
              <w:rPr>
                <w:noProof/>
                <w:webHidden/>
              </w:rPr>
              <w:fldChar w:fldCharType="end"/>
            </w:r>
          </w:hyperlink>
        </w:p>
        <w:p w14:paraId="7E197623" w14:textId="746B9E8F"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60" w:history="1">
            <w:r w:rsidRPr="00704C0C">
              <w:rPr>
                <w:rStyle w:val="Hyperlink"/>
                <w:noProof/>
              </w:rPr>
              <w:t>7.2.1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_Toc201512460 \h </w:instrText>
            </w:r>
            <w:r>
              <w:rPr>
                <w:noProof/>
                <w:webHidden/>
              </w:rPr>
            </w:r>
            <w:r>
              <w:rPr>
                <w:noProof/>
                <w:webHidden/>
              </w:rPr>
              <w:fldChar w:fldCharType="separate"/>
            </w:r>
            <w:r w:rsidR="00C13E0E">
              <w:rPr>
                <w:noProof/>
                <w:webHidden/>
              </w:rPr>
              <w:t>46</w:t>
            </w:r>
            <w:r>
              <w:rPr>
                <w:noProof/>
                <w:webHidden/>
              </w:rPr>
              <w:fldChar w:fldCharType="end"/>
            </w:r>
          </w:hyperlink>
        </w:p>
        <w:p w14:paraId="31D61D38" w14:textId="5FAECCBB"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61" w:history="1">
            <w:r w:rsidRPr="00704C0C">
              <w:rPr>
                <w:rStyle w:val="Hyperlink"/>
                <w:noProof/>
              </w:rPr>
              <w:t>7.3</w:t>
            </w:r>
            <w:r>
              <w:rPr>
                <w:rFonts w:eastAsiaTheme="minorEastAsia"/>
                <w:noProof/>
                <w:lang w:eastAsia="en-GB"/>
              </w:rPr>
              <w:tab/>
            </w:r>
            <w:r w:rsidRPr="00704C0C">
              <w:rPr>
                <w:rStyle w:val="Hyperlink"/>
                <w:noProof/>
              </w:rPr>
              <w:t>Survival</w:t>
            </w:r>
            <w:r>
              <w:rPr>
                <w:noProof/>
                <w:webHidden/>
              </w:rPr>
              <w:tab/>
            </w:r>
            <w:r>
              <w:rPr>
                <w:noProof/>
                <w:webHidden/>
              </w:rPr>
              <w:fldChar w:fldCharType="begin"/>
            </w:r>
            <w:r>
              <w:rPr>
                <w:noProof/>
                <w:webHidden/>
              </w:rPr>
              <w:instrText xml:space="preserve"> PAGEREF _Toc201512461 \h </w:instrText>
            </w:r>
            <w:r>
              <w:rPr>
                <w:noProof/>
                <w:webHidden/>
              </w:rPr>
            </w:r>
            <w:r>
              <w:rPr>
                <w:noProof/>
                <w:webHidden/>
              </w:rPr>
              <w:fldChar w:fldCharType="separate"/>
            </w:r>
            <w:r w:rsidR="00C13E0E">
              <w:rPr>
                <w:noProof/>
                <w:webHidden/>
              </w:rPr>
              <w:t>47</w:t>
            </w:r>
            <w:r>
              <w:rPr>
                <w:noProof/>
                <w:webHidden/>
              </w:rPr>
              <w:fldChar w:fldCharType="end"/>
            </w:r>
          </w:hyperlink>
        </w:p>
        <w:p w14:paraId="7E2BB499" w14:textId="4FF11AA4"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62" w:history="1">
            <w:r w:rsidRPr="00704C0C">
              <w:rPr>
                <w:rStyle w:val="Hyperlink"/>
                <w:noProof/>
              </w:rPr>
              <w:t>7.4</w:t>
            </w:r>
            <w:r>
              <w:rPr>
                <w:rFonts w:eastAsiaTheme="minorEastAsia"/>
                <w:noProof/>
                <w:lang w:eastAsia="en-GB"/>
              </w:rPr>
              <w:tab/>
            </w:r>
            <w:r w:rsidRPr="00704C0C">
              <w:rPr>
                <w:rStyle w:val="Hyperlink"/>
                <w:noProof/>
              </w:rPr>
              <w:t>Population Attributable Fraction</w:t>
            </w:r>
            <w:r>
              <w:rPr>
                <w:noProof/>
                <w:webHidden/>
              </w:rPr>
              <w:tab/>
            </w:r>
            <w:r>
              <w:rPr>
                <w:noProof/>
                <w:webHidden/>
              </w:rPr>
              <w:fldChar w:fldCharType="begin"/>
            </w:r>
            <w:r>
              <w:rPr>
                <w:noProof/>
                <w:webHidden/>
              </w:rPr>
              <w:instrText xml:space="preserve"> PAGEREF _Toc201512462 \h </w:instrText>
            </w:r>
            <w:r>
              <w:rPr>
                <w:noProof/>
                <w:webHidden/>
              </w:rPr>
            </w:r>
            <w:r>
              <w:rPr>
                <w:noProof/>
                <w:webHidden/>
              </w:rPr>
              <w:fldChar w:fldCharType="separate"/>
            </w:r>
            <w:r w:rsidR="00C13E0E">
              <w:rPr>
                <w:noProof/>
                <w:webHidden/>
              </w:rPr>
              <w:t>47</w:t>
            </w:r>
            <w:r>
              <w:rPr>
                <w:noProof/>
                <w:webHidden/>
              </w:rPr>
              <w:fldChar w:fldCharType="end"/>
            </w:r>
          </w:hyperlink>
        </w:p>
        <w:p w14:paraId="6DBC47D1" w14:textId="6F97F751" w:rsidR="004B0E10" w:rsidRDefault="004B0E10" w:rsidP="00CD71C7">
          <w:pPr>
            <w:pStyle w:val="TOC1"/>
            <w:tabs>
              <w:tab w:val="left" w:pos="480"/>
              <w:tab w:val="right" w:leader="dot" w:pos="9016"/>
            </w:tabs>
            <w:spacing w:line="240" w:lineRule="auto"/>
            <w:rPr>
              <w:rFonts w:eastAsiaTheme="minorEastAsia"/>
              <w:noProof/>
              <w:lang w:eastAsia="en-GB"/>
            </w:rPr>
          </w:pPr>
          <w:hyperlink w:anchor="_Toc201512463" w:history="1">
            <w:r w:rsidRPr="00704C0C">
              <w:rPr>
                <w:rStyle w:val="Hyperlink"/>
                <w:noProof/>
              </w:rPr>
              <w:t>8</w:t>
            </w:r>
            <w:r>
              <w:rPr>
                <w:rFonts w:eastAsiaTheme="minorEastAsia"/>
                <w:noProof/>
                <w:lang w:eastAsia="en-GB"/>
              </w:rPr>
              <w:tab/>
            </w:r>
            <w:r w:rsidRPr="00704C0C">
              <w:rPr>
                <w:rStyle w:val="Hyperlink"/>
                <w:noProof/>
              </w:rPr>
              <w:t>Oesophagus C15</w:t>
            </w:r>
            <w:r>
              <w:rPr>
                <w:noProof/>
                <w:webHidden/>
              </w:rPr>
              <w:tab/>
            </w:r>
            <w:r>
              <w:rPr>
                <w:noProof/>
                <w:webHidden/>
              </w:rPr>
              <w:fldChar w:fldCharType="begin"/>
            </w:r>
            <w:r>
              <w:rPr>
                <w:noProof/>
                <w:webHidden/>
              </w:rPr>
              <w:instrText xml:space="preserve"> PAGEREF _Toc201512463 \h </w:instrText>
            </w:r>
            <w:r>
              <w:rPr>
                <w:noProof/>
                <w:webHidden/>
              </w:rPr>
            </w:r>
            <w:r>
              <w:rPr>
                <w:noProof/>
                <w:webHidden/>
              </w:rPr>
              <w:fldChar w:fldCharType="separate"/>
            </w:r>
            <w:r w:rsidR="00C13E0E">
              <w:rPr>
                <w:noProof/>
                <w:webHidden/>
              </w:rPr>
              <w:t>48</w:t>
            </w:r>
            <w:r>
              <w:rPr>
                <w:noProof/>
                <w:webHidden/>
              </w:rPr>
              <w:fldChar w:fldCharType="end"/>
            </w:r>
          </w:hyperlink>
        </w:p>
        <w:p w14:paraId="6B1C0F0A" w14:textId="33F7D44A"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64" w:history="1">
            <w:r w:rsidRPr="00704C0C">
              <w:rPr>
                <w:rStyle w:val="Hyperlink"/>
                <w:noProof/>
              </w:rPr>
              <w:t>8.1</w:t>
            </w:r>
            <w:r>
              <w:rPr>
                <w:rFonts w:eastAsiaTheme="minorEastAsia"/>
                <w:noProof/>
                <w:lang w:eastAsia="en-GB"/>
              </w:rPr>
              <w:tab/>
            </w:r>
            <w:r w:rsidRPr="00704C0C">
              <w:rPr>
                <w:rStyle w:val="Hyperlink"/>
                <w:noProof/>
              </w:rPr>
              <w:t>Oesophagus (adenocarcinoma)</w:t>
            </w:r>
            <w:r>
              <w:rPr>
                <w:noProof/>
                <w:webHidden/>
              </w:rPr>
              <w:tab/>
            </w:r>
            <w:r>
              <w:rPr>
                <w:noProof/>
                <w:webHidden/>
              </w:rPr>
              <w:fldChar w:fldCharType="begin"/>
            </w:r>
            <w:r>
              <w:rPr>
                <w:noProof/>
                <w:webHidden/>
              </w:rPr>
              <w:instrText xml:space="preserve"> PAGEREF _Toc201512464 \h </w:instrText>
            </w:r>
            <w:r>
              <w:rPr>
                <w:noProof/>
                <w:webHidden/>
              </w:rPr>
            </w:r>
            <w:r>
              <w:rPr>
                <w:noProof/>
                <w:webHidden/>
              </w:rPr>
              <w:fldChar w:fldCharType="separate"/>
            </w:r>
            <w:r w:rsidR="00C13E0E">
              <w:rPr>
                <w:noProof/>
                <w:webHidden/>
              </w:rPr>
              <w:t>48</w:t>
            </w:r>
            <w:r>
              <w:rPr>
                <w:noProof/>
                <w:webHidden/>
              </w:rPr>
              <w:fldChar w:fldCharType="end"/>
            </w:r>
          </w:hyperlink>
        </w:p>
        <w:p w14:paraId="2E79E50D" w14:textId="4597EA15"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65" w:history="1">
            <w:r w:rsidRPr="00704C0C">
              <w:rPr>
                <w:rStyle w:val="Hyperlink"/>
                <w:noProof/>
              </w:rPr>
              <w:t>8.1.1</w:t>
            </w:r>
            <w:r>
              <w:rPr>
                <w:rFonts w:eastAsiaTheme="minorEastAsia"/>
                <w:noProof/>
                <w:lang w:eastAsia="en-GB"/>
              </w:rPr>
              <w:tab/>
            </w:r>
            <w:r w:rsidRPr="00704C0C">
              <w:rPr>
                <w:rStyle w:val="Hyperlink"/>
                <w:noProof/>
              </w:rPr>
              <w:t>Incidence</w:t>
            </w:r>
            <w:r>
              <w:rPr>
                <w:noProof/>
                <w:webHidden/>
              </w:rPr>
              <w:tab/>
            </w:r>
            <w:r>
              <w:rPr>
                <w:noProof/>
                <w:webHidden/>
              </w:rPr>
              <w:fldChar w:fldCharType="begin"/>
            </w:r>
            <w:r>
              <w:rPr>
                <w:noProof/>
                <w:webHidden/>
              </w:rPr>
              <w:instrText xml:space="preserve"> PAGEREF _Toc201512465 \h </w:instrText>
            </w:r>
            <w:r>
              <w:rPr>
                <w:noProof/>
                <w:webHidden/>
              </w:rPr>
            </w:r>
            <w:r>
              <w:rPr>
                <w:noProof/>
                <w:webHidden/>
              </w:rPr>
              <w:fldChar w:fldCharType="separate"/>
            </w:r>
            <w:r w:rsidR="00C13E0E">
              <w:rPr>
                <w:noProof/>
                <w:webHidden/>
              </w:rPr>
              <w:t>49</w:t>
            </w:r>
            <w:r>
              <w:rPr>
                <w:noProof/>
                <w:webHidden/>
              </w:rPr>
              <w:fldChar w:fldCharType="end"/>
            </w:r>
          </w:hyperlink>
        </w:p>
        <w:p w14:paraId="1554E54A" w14:textId="6FFC013E"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66" w:history="1">
            <w:r w:rsidRPr="00704C0C">
              <w:rPr>
                <w:rStyle w:val="Hyperlink"/>
                <w:noProof/>
              </w:rPr>
              <w:t>8.1.2</w:t>
            </w:r>
            <w:r>
              <w:rPr>
                <w:rFonts w:eastAsiaTheme="minorEastAsia"/>
                <w:noProof/>
                <w:lang w:eastAsia="en-GB"/>
              </w:rPr>
              <w:tab/>
            </w:r>
            <w:r w:rsidRPr="00704C0C">
              <w:rPr>
                <w:rStyle w:val="Hyperlink"/>
                <w:noProof/>
              </w:rPr>
              <w:t>Mortality</w:t>
            </w:r>
            <w:r>
              <w:rPr>
                <w:noProof/>
                <w:webHidden/>
              </w:rPr>
              <w:tab/>
            </w:r>
            <w:r>
              <w:rPr>
                <w:noProof/>
                <w:webHidden/>
              </w:rPr>
              <w:fldChar w:fldCharType="begin"/>
            </w:r>
            <w:r>
              <w:rPr>
                <w:noProof/>
                <w:webHidden/>
              </w:rPr>
              <w:instrText xml:space="preserve"> PAGEREF _Toc201512466 \h </w:instrText>
            </w:r>
            <w:r>
              <w:rPr>
                <w:noProof/>
                <w:webHidden/>
              </w:rPr>
            </w:r>
            <w:r>
              <w:rPr>
                <w:noProof/>
                <w:webHidden/>
              </w:rPr>
              <w:fldChar w:fldCharType="separate"/>
            </w:r>
            <w:r w:rsidR="00C13E0E">
              <w:rPr>
                <w:noProof/>
                <w:webHidden/>
              </w:rPr>
              <w:t>51</w:t>
            </w:r>
            <w:r>
              <w:rPr>
                <w:noProof/>
                <w:webHidden/>
              </w:rPr>
              <w:fldChar w:fldCharType="end"/>
            </w:r>
          </w:hyperlink>
        </w:p>
        <w:p w14:paraId="74ECF8E2" w14:textId="31C88AA8"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67" w:history="1">
            <w:r w:rsidRPr="00704C0C">
              <w:rPr>
                <w:rStyle w:val="Hyperlink"/>
                <w:noProof/>
              </w:rPr>
              <w:t>8.1.3</w:t>
            </w:r>
            <w:r>
              <w:rPr>
                <w:rFonts w:eastAsiaTheme="minorEastAsia"/>
                <w:noProof/>
                <w:lang w:eastAsia="en-GB"/>
              </w:rPr>
              <w:tab/>
            </w:r>
            <w:r w:rsidRPr="00704C0C">
              <w:rPr>
                <w:rStyle w:val="Hyperlink"/>
                <w:noProof/>
              </w:rPr>
              <w:t>Survival</w:t>
            </w:r>
            <w:r>
              <w:rPr>
                <w:noProof/>
                <w:webHidden/>
              </w:rPr>
              <w:tab/>
            </w:r>
            <w:r>
              <w:rPr>
                <w:noProof/>
                <w:webHidden/>
              </w:rPr>
              <w:fldChar w:fldCharType="begin"/>
            </w:r>
            <w:r>
              <w:rPr>
                <w:noProof/>
                <w:webHidden/>
              </w:rPr>
              <w:instrText xml:space="preserve"> PAGEREF _Toc201512467 \h </w:instrText>
            </w:r>
            <w:r>
              <w:rPr>
                <w:noProof/>
                <w:webHidden/>
              </w:rPr>
            </w:r>
            <w:r>
              <w:rPr>
                <w:noProof/>
                <w:webHidden/>
              </w:rPr>
              <w:fldChar w:fldCharType="separate"/>
            </w:r>
            <w:r w:rsidR="00C13E0E">
              <w:rPr>
                <w:noProof/>
                <w:webHidden/>
              </w:rPr>
              <w:t>51</w:t>
            </w:r>
            <w:r>
              <w:rPr>
                <w:noProof/>
                <w:webHidden/>
              </w:rPr>
              <w:fldChar w:fldCharType="end"/>
            </w:r>
          </w:hyperlink>
        </w:p>
        <w:p w14:paraId="4214EE5D" w14:textId="757C0E7E"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68" w:history="1">
            <w:r w:rsidRPr="00704C0C">
              <w:rPr>
                <w:rStyle w:val="Hyperlink"/>
                <w:noProof/>
              </w:rPr>
              <w:t>8.1.4</w:t>
            </w:r>
            <w:r>
              <w:rPr>
                <w:rFonts w:eastAsiaTheme="minorEastAsia"/>
                <w:noProof/>
                <w:lang w:eastAsia="en-GB"/>
              </w:rPr>
              <w:tab/>
            </w:r>
            <w:r w:rsidRPr="00704C0C">
              <w:rPr>
                <w:rStyle w:val="Hyperlink"/>
                <w:noProof/>
              </w:rPr>
              <w:t>Population Attributable Fraction</w:t>
            </w:r>
            <w:r>
              <w:rPr>
                <w:noProof/>
                <w:webHidden/>
              </w:rPr>
              <w:tab/>
            </w:r>
            <w:r>
              <w:rPr>
                <w:noProof/>
                <w:webHidden/>
              </w:rPr>
              <w:fldChar w:fldCharType="begin"/>
            </w:r>
            <w:r>
              <w:rPr>
                <w:noProof/>
                <w:webHidden/>
              </w:rPr>
              <w:instrText xml:space="preserve"> PAGEREF _Toc201512468 \h </w:instrText>
            </w:r>
            <w:r>
              <w:rPr>
                <w:noProof/>
                <w:webHidden/>
              </w:rPr>
            </w:r>
            <w:r>
              <w:rPr>
                <w:noProof/>
                <w:webHidden/>
              </w:rPr>
              <w:fldChar w:fldCharType="separate"/>
            </w:r>
            <w:r w:rsidR="00C13E0E">
              <w:rPr>
                <w:noProof/>
                <w:webHidden/>
              </w:rPr>
              <w:t>52</w:t>
            </w:r>
            <w:r>
              <w:rPr>
                <w:noProof/>
                <w:webHidden/>
              </w:rPr>
              <w:fldChar w:fldCharType="end"/>
            </w:r>
          </w:hyperlink>
        </w:p>
        <w:p w14:paraId="38092DCB" w14:textId="3344F235"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69" w:history="1">
            <w:r w:rsidRPr="00704C0C">
              <w:rPr>
                <w:rStyle w:val="Hyperlink"/>
                <w:noProof/>
              </w:rPr>
              <w:t>8.2</w:t>
            </w:r>
            <w:r>
              <w:rPr>
                <w:rFonts w:eastAsiaTheme="minorEastAsia"/>
                <w:noProof/>
                <w:lang w:eastAsia="en-GB"/>
              </w:rPr>
              <w:tab/>
            </w:r>
            <w:r w:rsidRPr="00704C0C">
              <w:rPr>
                <w:rStyle w:val="Hyperlink"/>
                <w:noProof/>
              </w:rPr>
              <w:t>Oesophagus (squamous cell)</w:t>
            </w:r>
            <w:r>
              <w:rPr>
                <w:noProof/>
                <w:webHidden/>
              </w:rPr>
              <w:tab/>
            </w:r>
            <w:r>
              <w:rPr>
                <w:noProof/>
                <w:webHidden/>
              </w:rPr>
              <w:fldChar w:fldCharType="begin"/>
            </w:r>
            <w:r>
              <w:rPr>
                <w:noProof/>
                <w:webHidden/>
              </w:rPr>
              <w:instrText xml:space="preserve"> PAGEREF _Toc201512469 \h </w:instrText>
            </w:r>
            <w:r>
              <w:rPr>
                <w:noProof/>
                <w:webHidden/>
              </w:rPr>
            </w:r>
            <w:r>
              <w:rPr>
                <w:noProof/>
                <w:webHidden/>
              </w:rPr>
              <w:fldChar w:fldCharType="separate"/>
            </w:r>
            <w:r w:rsidR="00C13E0E">
              <w:rPr>
                <w:noProof/>
                <w:webHidden/>
              </w:rPr>
              <w:t>53</w:t>
            </w:r>
            <w:r>
              <w:rPr>
                <w:noProof/>
                <w:webHidden/>
              </w:rPr>
              <w:fldChar w:fldCharType="end"/>
            </w:r>
          </w:hyperlink>
        </w:p>
        <w:p w14:paraId="532E8D93" w14:textId="770CAD99"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70" w:history="1">
            <w:r w:rsidRPr="00704C0C">
              <w:rPr>
                <w:rStyle w:val="Hyperlink"/>
                <w:noProof/>
              </w:rPr>
              <w:t>8.2.1</w:t>
            </w:r>
            <w:r>
              <w:rPr>
                <w:rFonts w:eastAsiaTheme="minorEastAsia"/>
                <w:noProof/>
                <w:lang w:eastAsia="en-GB"/>
              </w:rPr>
              <w:tab/>
            </w:r>
            <w:r w:rsidRPr="00704C0C">
              <w:rPr>
                <w:rStyle w:val="Hyperlink"/>
                <w:noProof/>
              </w:rPr>
              <w:t>Incidence</w:t>
            </w:r>
            <w:r>
              <w:rPr>
                <w:noProof/>
                <w:webHidden/>
              </w:rPr>
              <w:tab/>
            </w:r>
            <w:r>
              <w:rPr>
                <w:noProof/>
                <w:webHidden/>
              </w:rPr>
              <w:fldChar w:fldCharType="begin"/>
            </w:r>
            <w:r>
              <w:rPr>
                <w:noProof/>
                <w:webHidden/>
              </w:rPr>
              <w:instrText xml:space="preserve"> PAGEREF _Toc201512470 \h </w:instrText>
            </w:r>
            <w:r>
              <w:rPr>
                <w:noProof/>
                <w:webHidden/>
              </w:rPr>
            </w:r>
            <w:r>
              <w:rPr>
                <w:noProof/>
                <w:webHidden/>
              </w:rPr>
              <w:fldChar w:fldCharType="separate"/>
            </w:r>
            <w:r w:rsidR="00C13E0E">
              <w:rPr>
                <w:noProof/>
                <w:webHidden/>
              </w:rPr>
              <w:t>54</w:t>
            </w:r>
            <w:r>
              <w:rPr>
                <w:noProof/>
                <w:webHidden/>
              </w:rPr>
              <w:fldChar w:fldCharType="end"/>
            </w:r>
          </w:hyperlink>
        </w:p>
        <w:p w14:paraId="3BFA2F86" w14:textId="3C6CB853"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71" w:history="1">
            <w:r w:rsidRPr="00704C0C">
              <w:rPr>
                <w:rStyle w:val="Hyperlink"/>
                <w:noProof/>
              </w:rPr>
              <w:t>8.2.2</w:t>
            </w:r>
            <w:r>
              <w:rPr>
                <w:rFonts w:eastAsiaTheme="minorEastAsia"/>
                <w:noProof/>
                <w:lang w:eastAsia="en-GB"/>
              </w:rPr>
              <w:tab/>
            </w:r>
            <w:r w:rsidRPr="00704C0C">
              <w:rPr>
                <w:rStyle w:val="Hyperlink"/>
                <w:noProof/>
              </w:rPr>
              <w:t>Mortality</w:t>
            </w:r>
            <w:r>
              <w:rPr>
                <w:noProof/>
                <w:webHidden/>
              </w:rPr>
              <w:tab/>
            </w:r>
            <w:r>
              <w:rPr>
                <w:noProof/>
                <w:webHidden/>
              </w:rPr>
              <w:fldChar w:fldCharType="begin"/>
            </w:r>
            <w:r>
              <w:rPr>
                <w:noProof/>
                <w:webHidden/>
              </w:rPr>
              <w:instrText xml:space="preserve"> PAGEREF _Toc201512471 \h </w:instrText>
            </w:r>
            <w:r>
              <w:rPr>
                <w:noProof/>
                <w:webHidden/>
              </w:rPr>
            </w:r>
            <w:r>
              <w:rPr>
                <w:noProof/>
                <w:webHidden/>
              </w:rPr>
              <w:fldChar w:fldCharType="separate"/>
            </w:r>
            <w:r w:rsidR="00C13E0E">
              <w:rPr>
                <w:noProof/>
                <w:webHidden/>
              </w:rPr>
              <w:t>55</w:t>
            </w:r>
            <w:r>
              <w:rPr>
                <w:noProof/>
                <w:webHidden/>
              </w:rPr>
              <w:fldChar w:fldCharType="end"/>
            </w:r>
          </w:hyperlink>
        </w:p>
        <w:p w14:paraId="07FDE978" w14:textId="31E817CD"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72" w:history="1">
            <w:r w:rsidRPr="00704C0C">
              <w:rPr>
                <w:rStyle w:val="Hyperlink"/>
                <w:noProof/>
              </w:rPr>
              <w:t>8.2.3</w:t>
            </w:r>
            <w:r>
              <w:rPr>
                <w:rFonts w:eastAsiaTheme="minorEastAsia"/>
                <w:noProof/>
                <w:lang w:eastAsia="en-GB"/>
              </w:rPr>
              <w:tab/>
            </w:r>
            <w:r w:rsidRPr="00704C0C">
              <w:rPr>
                <w:rStyle w:val="Hyperlink"/>
                <w:noProof/>
              </w:rPr>
              <w:t>Survival</w:t>
            </w:r>
            <w:r>
              <w:rPr>
                <w:noProof/>
                <w:webHidden/>
              </w:rPr>
              <w:tab/>
            </w:r>
            <w:r>
              <w:rPr>
                <w:noProof/>
                <w:webHidden/>
              </w:rPr>
              <w:fldChar w:fldCharType="begin"/>
            </w:r>
            <w:r>
              <w:rPr>
                <w:noProof/>
                <w:webHidden/>
              </w:rPr>
              <w:instrText xml:space="preserve"> PAGEREF _Toc201512472 \h </w:instrText>
            </w:r>
            <w:r>
              <w:rPr>
                <w:noProof/>
                <w:webHidden/>
              </w:rPr>
            </w:r>
            <w:r>
              <w:rPr>
                <w:noProof/>
                <w:webHidden/>
              </w:rPr>
              <w:fldChar w:fldCharType="separate"/>
            </w:r>
            <w:r w:rsidR="00C13E0E">
              <w:rPr>
                <w:noProof/>
                <w:webHidden/>
              </w:rPr>
              <w:t>55</w:t>
            </w:r>
            <w:r>
              <w:rPr>
                <w:noProof/>
                <w:webHidden/>
              </w:rPr>
              <w:fldChar w:fldCharType="end"/>
            </w:r>
          </w:hyperlink>
        </w:p>
        <w:p w14:paraId="32F26681" w14:textId="2FE5F089"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73" w:history="1">
            <w:r w:rsidRPr="00704C0C">
              <w:rPr>
                <w:rStyle w:val="Hyperlink"/>
                <w:noProof/>
              </w:rPr>
              <w:t>8.2.4</w:t>
            </w:r>
            <w:r>
              <w:rPr>
                <w:rFonts w:eastAsiaTheme="minorEastAsia"/>
                <w:noProof/>
                <w:lang w:eastAsia="en-GB"/>
              </w:rPr>
              <w:tab/>
            </w:r>
            <w:r w:rsidRPr="00704C0C">
              <w:rPr>
                <w:rStyle w:val="Hyperlink"/>
                <w:noProof/>
              </w:rPr>
              <w:t>Population Attributable Fraction</w:t>
            </w:r>
            <w:r>
              <w:rPr>
                <w:noProof/>
                <w:webHidden/>
              </w:rPr>
              <w:tab/>
            </w:r>
            <w:r>
              <w:rPr>
                <w:noProof/>
                <w:webHidden/>
              </w:rPr>
              <w:fldChar w:fldCharType="begin"/>
            </w:r>
            <w:r>
              <w:rPr>
                <w:noProof/>
                <w:webHidden/>
              </w:rPr>
              <w:instrText xml:space="preserve"> PAGEREF _Toc201512473 \h </w:instrText>
            </w:r>
            <w:r>
              <w:rPr>
                <w:noProof/>
                <w:webHidden/>
              </w:rPr>
            </w:r>
            <w:r>
              <w:rPr>
                <w:noProof/>
                <w:webHidden/>
              </w:rPr>
              <w:fldChar w:fldCharType="separate"/>
            </w:r>
            <w:r w:rsidR="00C13E0E">
              <w:rPr>
                <w:noProof/>
                <w:webHidden/>
              </w:rPr>
              <w:t>56</w:t>
            </w:r>
            <w:r>
              <w:rPr>
                <w:noProof/>
                <w:webHidden/>
              </w:rPr>
              <w:fldChar w:fldCharType="end"/>
            </w:r>
          </w:hyperlink>
        </w:p>
        <w:p w14:paraId="18532866" w14:textId="2349822D" w:rsidR="004B0E10" w:rsidRDefault="004B0E10" w:rsidP="00CD71C7">
          <w:pPr>
            <w:pStyle w:val="TOC1"/>
            <w:tabs>
              <w:tab w:val="left" w:pos="480"/>
              <w:tab w:val="right" w:leader="dot" w:pos="9016"/>
            </w:tabs>
            <w:spacing w:line="240" w:lineRule="auto"/>
            <w:rPr>
              <w:rFonts w:eastAsiaTheme="minorEastAsia"/>
              <w:noProof/>
              <w:lang w:eastAsia="en-GB"/>
            </w:rPr>
          </w:pPr>
          <w:hyperlink w:anchor="_Toc201512474" w:history="1">
            <w:r w:rsidRPr="00704C0C">
              <w:rPr>
                <w:rStyle w:val="Hyperlink"/>
                <w:noProof/>
              </w:rPr>
              <w:t>9</w:t>
            </w:r>
            <w:r>
              <w:rPr>
                <w:rFonts w:eastAsiaTheme="minorEastAsia"/>
                <w:noProof/>
                <w:lang w:eastAsia="en-GB"/>
              </w:rPr>
              <w:tab/>
            </w:r>
            <w:r w:rsidRPr="00704C0C">
              <w:rPr>
                <w:rStyle w:val="Hyperlink"/>
                <w:noProof/>
              </w:rPr>
              <w:t>Stomach C16</w:t>
            </w:r>
            <w:r>
              <w:rPr>
                <w:noProof/>
                <w:webHidden/>
              </w:rPr>
              <w:tab/>
            </w:r>
            <w:r>
              <w:rPr>
                <w:noProof/>
                <w:webHidden/>
              </w:rPr>
              <w:fldChar w:fldCharType="begin"/>
            </w:r>
            <w:r>
              <w:rPr>
                <w:noProof/>
                <w:webHidden/>
              </w:rPr>
              <w:instrText xml:space="preserve"> PAGEREF _Toc201512474 \h </w:instrText>
            </w:r>
            <w:r>
              <w:rPr>
                <w:noProof/>
                <w:webHidden/>
              </w:rPr>
            </w:r>
            <w:r>
              <w:rPr>
                <w:noProof/>
                <w:webHidden/>
              </w:rPr>
              <w:fldChar w:fldCharType="separate"/>
            </w:r>
            <w:r w:rsidR="00C13E0E">
              <w:rPr>
                <w:noProof/>
                <w:webHidden/>
              </w:rPr>
              <w:t>57</w:t>
            </w:r>
            <w:r>
              <w:rPr>
                <w:noProof/>
                <w:webHidden/>
              </w:rPr>
              <w:fldChar w:fldCharType="end"/>
            </w:r>
          </w:hyperlink>
        </w:p>
        <w:p w14:paraId="49419A1C" w14:textId="5613B9FC"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75" w:history="1">
            <w:r w:rsidRPr="00704C0C">
              <w:rPr>
                <w:rStyle w:val="Hyperlink"/>
                <w:noProof/>
              </w:rPr>
              <w:t>9.1</w:t>
            </w:r>
            <w:r>
              <w:rPr>
                <w:rFonts w:eastAsiaTheme="minorEastAsia"/>
                <w:noProof/>
                <w:lang w:eastAsia="en-GB"/>
              </w:rPr>
              <w:tab/>
            </w:r>
            <w:r w:rsidRPr="00704C0C">
              <w:rPr>
                <w:rStyle w:val="Hyperlink"/>
                <w:noProof/>
              </w:rPr>
              <w:t>Incidence</w:t>
            </w:r>
            <w:r>
              <w:rPr>
                <w:noProof/>
                <w:webHidden/>
              </w:rPr>
              <w:tab/>
            </w:r>
            <w:r>
              <w:rPr>
                <w:noProof/>
                <w:webHidden/>
              </w:rPr>
              <w:fldChar w:fldCharType="begin"/>
            </w:r>
            <w:r>
              <w:rPr>
                <w:noProof/>
                <w:webHidden/>
              </w:rPr>
              <w:instrText xml:space="preserve"> PAGEREF _Toc201512475 \h </w:instrText>
            </w:r>
            <w:r>
              <w:rPr>
                <w:noProof/>
                <w:webHidden/>
              </w:rPr>
            </w:r>
            <w:r>
              <w:rPr>
                <w:noProof/>
                <w:webHidden/>
              </w:rPr>
              <w:fldChar w:fldCharType="separate"/>
            </w:r>
            <w:r w:rsidR="00C13E0E">
              <w:rPr>
                <w:noProof/>
                <w:webHidden/>
              </w:rPr>
              <w:t>58</w:t>
            </w:r>
            <w:r>
              <w:rPr>
                <w:noProof/>
                <w:webHidden/>
              </w:rPr>
              <w:fldChar w:fldCharType="end"/>
            </w:r>
          </w:hyperlink>
        </w:p>
        <w:p w14:paraId="74C201D4" w14:textId="4DD2D6E2"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76" w:history="1">
            <w:r w:rsidRPr="00704C0C">
              <w:rPr>
                <w:rStyle w:val="Hyperlink"/>
                <w:noProof/>
              </w:rPr>
              <w:t>9.1.1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_Toc201512476 \h </w:instrText>
            </w:r>
            <w:r>
              <w:rPr>
                <w:noProof/>
                <w:webHidden/>
              </w:rPr>
            </w:r>
            <w:r>
              <w:rPr>
                <w:noProof/>
                <w:webHidden/>
              </w:rPr>
              <w:fldChar w:fldCharType="separate"/>
            </w:r>
            <w:r w:rsidR="00C13E0E">
              <w:rPr>
                <w:noProof/>
                <w:webHidden/>
              </w:rPr>
              <w:t>59</w:t>
            </w:r>
            <w:r>
              <w:rPr>
                <w:noProof/>
                <w:webHidden/>
              </w:rPr>
              <w:fldChar w:fldCharType="end"/>
            </w:r>
          </w:hyperlink>
        </w:p>
        <w:p w14:paraId="51CD242A" w14:textId="2C8A69E1"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77" w:history="1">
            <w:r w:rsidRPr="00704C0C">
              <w:rPr>
                <w:rStyle w:val="Hyperlink"/>
                <w:noProof/>
              </w:rPr>
              <w:t>9.1.2</w:t>
            </w:r>
            <w:r>
              <w:rPr>
                <w:rFonts w:eastAsiaTheme="minorEastAsia"/>
                <w:noProof/>
                <w:lang w:eastAsia="en-GB"/>
              </w:rPr>
              <w:tab/>
            </w:r>
            <w:r w:rsidRPr="00704C0C">
              <w:rPr>
                <w:rStyle w:val="Hyperlink"/>
                <w:noProof/>
              </w:rPr>
              <w:t>Variation by deprivation quintile</w:t>
            </w:r>
            <w:r>
              <w:rPr>
                <w:noProof/>
                <w:webHidden/>
              </w:rPr>
              <w:tab/>
            </w:r>
            <w:r>
              <w:rPr>
                <w:noProof/>
                <w:webHidden/>
              </w:rPr>
              <w:fldChar w:fldCharType="begin"/>
            </w:r>
            <w:r>
              <w:rPr>
                <w:noProof/>
                <w:webHidden/>
              </w:rPr>
              <w:instrText xml:space="preserve"> PAGEREF _Toc201512477 \h </w:instrText>
            </w:r>
            <w:r>
              <w:rPr>
                <w:noProof/>
                <w:webHidden/>
              </w:rPr>
            </w:r>
            <w:r>
              <w:rPr>
                <w:noProof/>
                <w:webHidden/>
              </w:rPr>
              <w:fldChar w:fldCharType="separate"/>
            </w:r>
            <w:r w:rsidR="00C13E0E">
              <w:rPr>
                <w:noProof/>
                <w:webHidden/>
              </w:rPr>
              <w:t>60</w:t>
            </w:r>
            <w:r>
              <w:rPr>
                <w:noProof/>
                <w:webHidden/>
              </w:rPr>
              <w:fldChar w:fldCharType="end"/>
            </w:r>
          </w:hyperlink>
        </w:p>
        <w:p w14:paraId="45F14CBA" w14:textId="550CA50B"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78" w:history="1">
            <w:r w:rsidRPr="00704C0C">
              <w:rPr>
                <w:rStyle w:val="Hyperlink"/>
                <w:noProof/>
              </w:rPr>
              <w:t>9.2</w:t>
            </w:r>
            <w:r>
              <w:rPr>
                <w:rFonts w:eastAsiaTheme="minorEastAsia"/>
                <w:noProof/>
                <w:lang w:eastAsia="en-GB"/>
              </w:rPr>
              <w:tab/>
            </w:r>
            <w:r w:rsidRPr="00704C0C">
              <w:rPr>
                <w:rStyle w:val="Hyperlink"/>
                <w:noProof/>
              </w:rPr>
              <w:t>Mortality</w:t>
            </w:r>
            <w:r>
              <w:rPr>
                <w:noProof/>
                <w:webHidden/>
              </w:rPr>
              <w:tab/>
            </w:r>
            <w:r>
              <w:rPr>
                <w:noProof/>
                <w:webHidden/>
              </w:rPr>
              <w:fldChar w:fldCharType="begin"/>
            </w:r>
            <w:r>
              <w:rPr>
                <w:noProof/>
                <w:webHidden/>
              </w:rPr>
              <w:instrText xml:space="preserve"> PAGEREF _Toc201512478 \h </w:instrText>
            </w:r>
            <w:r>
              <w:rPr>
                <w:noProof/>
                <w:webHidden/>
              </w:rPr>
            </w:r>
            <w:r>
              <w:rPr>
                <w:noProof/>
                <w:webHidden/>
              </w:rPr>
              <w:fldChar w:fldCharType="separate"/>
            </w:r>
            <w:r w:rsidR="00C13E0E">
              <w:rPr>
                <w:noProof/>
                <w:webHidden/>
              </w:rPr>
              <w:t>60</w:t>
            </w:r>
            <w:r>
              <w:rPr>
                <w:noProof/>
                <w:webHidden/>
              </w:rPr>
              <w:fldChar w:fldCharType="end"/>
            </w:r>
          </w:hyperlink>
        </w:p>
        <w:p w14:paraId="551963DF" w14:textId="61247BB3"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79" w:history="1">
            <w:r w:rsidRPr="00704C0C">
              <w:rPr>
                <w:rStyle w:val="Hyperlink"/>
                <w:noProof/>
              </w:rPr>
              <w:t>9.2.1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_Toc201512479 \h </w:instrText>
            </w:r>
            <w:r>
              <w:rPr>
                <w:noProof/>
                <w:webHidden/>
              </w:rPr>
            </w:r>
            <w:r>
              <w:rPr>
                <w:noProof/>
                <w:webHidden/>
              </w:rPr>
              <w:fldChar w:fldCharType="separate"/>
            </w:r>
            <w:r w:rsidR="00C13E0E">
              <w:rPr>
                <w:noProof/>
                <w:webHidden/>
              </w:rPr>
              <w:t>61</w:t>
            </w:r>
            <w:r>
              <w:rPr>
                <w:noProof/>
                <w:webHidden/>
              </w:rPr>
              <w:fldChar w:fldCharType="end"/>
            </w:r>
          </w:hyperlink>
        </w:p>
        <w:p w14:paraId="4A1935DB" w14:textId="4FAA60A9"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80" w:history="1">
            <w:r w:rsidRPr="00704C0C">
              <w:rPr>
                <w:rStyle w:val="Hyperlink"/>
                <w:noProof/>
              </w:rPr>
              <w:t>9.3</w:t>
            </w:r>
            <w:r>
              <w:rPr>
                <w:rFonts w:eastAsiaTheme="minorEastAsia"/>
                <w:noProof/>
                <w:lang w:eastAsia="en-GB"/>
              </w:rPr>
              <w:tab/>
            </w:r>
            <w:r w:rsidRPr="00704C0C">
              <w:rPr>
                <w:rStyle w:val="Hyperlink"/>
                <w:noProof/>
              </w:rPr>
              <w:t>Survival</w:t>
            </w:r>
            <w:r>
              <w:rPr>
                <w:noProof/>
                <w:webHidden/>
              </w:rPr>
              <w:tab/>
            </w:r>
            <w:r>
              <w:rPr>
                <w:noProof/>
                <w:webHidden/>
              </w:rPr>
              <w:fldChar w:fldCharType="begin"/>
            </w:r>
            <w:r>
              <w:rPr>
                <w:noProof/>
                <w:webHidden/>
              </w:rPr>
              <w:instrText xml:space="preserve"> PAGEREF _Toc201512480 \h </w:instrText>
            </w:r>
            <w:r>
              <w:rPr>
                <w:noProof/>
                <w:webHidden/>
              </w:rPr>
            </w:r>
            <w:r>
              <w:rPr>
                <w:noProof/>
                <w:webHidden/>
              </w:rPr>
              <w:fldChar w:fldCharType="separate"/>
            </w:r>
            <w:r w:rsidR="00C13E0E">
              <w:rPr>
                <w:noProof/>
                <w:webHidden/>
              </w:rPr>
              <w:t>62</w:t>
            </w:r>
            <w:r>
              <w:rPr>
                <w:noProof/>
                <w:webHidden/>
              </w:rPr>
              <w:fldChar w:fldCharType="end"/>
            </w:r>
          </w:hyperlink>
        </w:p>
        <w:p w14:paraId="4433F637" w14:textId="564B1D0B"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81" w:history="1">
            <w:r w:rsidRPr="00704C0C">
              <w:rPr>
                <w:rStyle w:val="Hyperlink"/>
                <w:noProof/>
              </w:rPr>
              <w:t>9.4</w:t>
            </w:r>
            <w:r>
              <w:rPr>
                <w:rFonts w:eastAsiaTheme="minorEastAsia"/>
                <w:noProof/>
                <w:lang w:eastAsia="en-GB"/>
              </w:rPr>
              <w:tab/>
            </w:r>
            <w:r w:rsidRPr="00704C0C">
              <w:rPr>
                <w:rStyle w:val="Hyperlink"/>
                <w:noProof/>
              </w:rPr>
              <w:t>Population Attributable Fraction</w:t>
            </w:r>
            <w:r>
              <w:rPr>
                <w:noProof/>
                <w:webHidden/>
              </w:rPr>
              <w:tab/>
            </w:r>
            <w:r>
              <w:rPr>
                <w:noProof/>
                <w:webHidden/>
              </w:rPr>
              <w:fldChar w:fldCharType="begin"/>
            </w:r>
            <w:r>
              <w:rPr>
                <w:noProof/>
                <w:webHidden/>
              </w:rPr>
              <w:instrText xml:space="preserve"> PAGEREF _Toc201512481 \h </w:instrText>
            </w:r>
            <w:r>
              <w:rPr>
                <w:noProof/>
                <w:webHidden/>
              </w:rPr>
            </w:r>
            <w:r>
              <w:rPr>
                <w:noProof/>
                <w:webHidden/>
              </w:rPr>
              <w:fldChar w:fldCharType="separate"/>
            </w:r>
            <w:r w:rsidR="00C13E0E">
              <w:rPr>
                <w:noProof/>
                <w:webHidden/>
              </w:rPr>
              <w:t>62</w:t>
            </w:r>
            <w:r>
              <w:rPr>
                <w:noProof/>
                <w:webHidden/>
              </w:rPr>
              <w:fldChar w:fldCharType="end"/>
            </w:r>
          </w:hyperlink>
        </w:p>
        <w:p w14:paraId="187965CA" w14:textId="1AA60D2F" w:rsidR="004B0E10" w:rsidRDefault="004B0E10" w:rsidP="00CD71C7">
          <w:pPr>
            <w:pStyle w:val="TOC1"/>
            <w:tabs>
              <w:tab w:val="left" w:pos="720"/>
              <w:tab w:val="right" w:leader="dot" w:pos="9016"/>
            </w:tabs>
            <w:spacing w:line="240" w:lineRule="auto"/>
            <w:rPr>
              <w:rFonts w:eastAsiaTheme="minorEastAsia"/>
              <w:noProof/>
              <w:lang w:eastAsia="en-GB"/>
            </w:rPr>
          </w:pPr>
          <w:hyperlink w:anchor="_Toc201512482" w:history="1">
            <w:r w:rsidRPr="00704C0C">
              <w:rPr>
                <w:rStyle w:val="Hyperlink"/>
                <w:noProof/>
              </w:rPr>
              <w:t>10</w:t>
            </w:r>
            <w:r>
              <w:rPr>
                <w:rFonts w:eastAsiaTheme="minorEastAsia"/>
                <w:noProof/>
                <w:lang w:eastAsia="en-GB"/>
              </w:rPr>
              <w:tab/>
            </w:r>
            <w:r w:rsidRPr="00704C0C">
              <w:rPr>
                <w:rStyle w:val="Hyperlink"/>
                <w:noProof/>
              </w:rPr>
              <w:t>Colorectal Cancer</w:t>
            </w:r>
            <w:r>
              <w:rPr>
                <w:noProof/>
                <w:webHidden/>
              </w:rPr>
              <w:tab/>
            </w:r>
            <w:r>
              <w:rPr>
                <w:noProof/>
                <w:webHidden/>
              </w:rPr>
              <w:fldChar w:fldCharType="begin"/>
            </w:r>
            <w:r>
              <w:rPr>
                <w:noProof/>
                <w:webHidden/>
              </w:rPr>
              <w:instrText xml:space="preserve"> PAGEREF _Toc201512482 \h </w:instrText>
            </w:r>
            <w:r>
              <w:rPr>
                <w:noProof/>
                <w:webHidden/>
              </w:rPr>
            </w:r>
            <w:r>
              <w:rPr>
                <w:noProof/>
                <w:webHidden/>
              </w:rPr>
              <w:fldChar w:fldCharType="separate"/>
            </w:r>
            <w:r w:rsidR="00C13E0E">
              <w:rPr>
                <w:noProof/>
                <w:webHidden/>
              </w:rPr>
              <w:t>63</w:t>
            </w:r>
            <w:r>
              <w:rPr>
                <w:noProof/>
                <w:webHidden/>
              </w:rPr>
              <w:fldChar w:fldCharType="end"/>
            </w:r>
          </w:hyperlink>
        </w:p>
        <w:p w14:paraId="0442A6A4" w14:textId="6F5483E9"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83" w:history="1">
            <w:r w:rsidRPr="00704C0C">
              <w:rPr>
                <w:rStyle w:val="Hyperlink"/>
                <w:noProof/>
              </w:rPr>
              <w:t>10.1</w:t>
            </w:r>
            <w:r>
              <w:rPr>
                <w:rFonts w:eastAsiaTheme="minorEastAsia"/>
                <w:noProof/>
                <w:lang w:eastAsia="en-GB"/>
              </w:rPr>
              <w:tab/>
            </w:r>
            <w:r w:rsidRPr="00704C0C">
              <w:rPr>
                <w:rStyle w:val="Hyperlink"/>
                <w:noProof/>
              </w:rPr>
              <w:t>Colon &amp; Rectosigmoid junction C18-19</w:t>
            </w:r>
            <w:r>
              <w:rPr>
                <w:noProof/>
                <w:webHidden/>
              </w:rPr>
              <w:tab/>
            </w:r>
            <w:r>
              <w:rPr>
                <w:noProof/>
                <w:webHidden/>
              </w:rPr>
              <w:fldChar w:fldCharType="begin"/>
            </w:r>
            <w:r>
              <w:rPr>
                <w:noProof/>
                <w:webHidden/>
              </w:rPr>
              <w:instrText xml:space="preserve"> PAGEREF _Toc201512483 \h </w:instrText>
            </w:r>
            <w:r>
              <w:rPr>
                <w:noProof/>
                <w:webHidden/>
              </w:rPr>
            </w:r>
            <w:r>
              <w:rPr>
                <w:noProof/>
                <w:webHidden/>
              </w:rPr>
              <w:fldChar w:fldCharType="separate"/>
            </w:r>
            <w:r w:rsidR="00C13E0E">
              <w:rPr>
                <w:noProof/>
                <w:webHidden/>
              </w:rPr>
              <w:t>63</w:t>
            </w:r>
            <w:r>
              <w:rPr>
                <w:noProof/>
                <w:webHidden/>
              </w:rPr>
              <w:fldChar w:fldCharType="end"/>
            </w:r>
          </w:hyperlink>
        </w:p>
        <w:p w14:paraId="0BFF9429" w14:textId="1855788F"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84" w:history="1">
            <w:r w:rsidRPr="00704C0C">
              <w:rPr>
                <w:rStyle w:val="Hyperlink"/>
                <w:noProof/>
              </w:rPr>
              <w:t>10.1.1</w:t>
            </w:r>
            <w:r>
              <w:rPr>
                <w:rFonts w:eastAsiaTheme="minorEastAsia"/>
                <w:noProof/>
                <w:lang w:eastAsia="en-GB"/>
              </w:rPr>
              <w:tab/>
            </w:r>
            <w:r w:rsidRPr="00704C0C">
              <w:rPr>
                <w:rStyle w:val="Hyperlink"/>
                <w:noProof/>
              </w:rPr>
              <w:t>Incidence</w:t>
            </w:r>
            <w:r>
              <w:rPr>
                <w:noProof/>
                <w:webHidden/>
              </w:rPr>
              <w:tab/>
            </w:r>
            <w:r>
              <w:rPr>
                <w:noProof/>
                <w:webHidden/>
              </w:rPr>
              <w:fldChar w:fldCharType="begin"/>
            </w:r>
            <w:r>
              <w:rPr>
                <w:noProof/>
                <w:webHidden/>
              </w:rPr>
              <w:instrText xml:space="preserve"> PAGEREF _Toc201512484 \h </w:instrText>
            </w:r>
            <w:r>
              <w:rPr>
                <w:noProof/>
                <w:webHidden/>
              </w:rPr>
            </w:r>
            <w:r>
              <w:rPr>
                <w:noProof/>
                <w:webHidden/>
              </w:rPr>
              <w:fldChar w:fldCharType="separate"/>
            </w:r>
            <w:r w:rsidR="00C13E0E">
              <w:rPr>
                <w:noProof/>
                <w:webHidden/>
              </w:rPr>
              <w:t>64</w:t>
            </w:r>
            <w:r>
              <w:rPr>
                <w:noProof/>
                <w:webHidden/>
              </w:rPr>
              <w:fldChar w:fldCharType="end"/>
            </w:r>
          </w:hyperlink>
        </w:p>
        <w:p w14:paraId="66E38D4F" w14:textId="21FEC39E"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85" w:history="1">
            <w:r w:rsidRPr="00704C0C">
              <w:rPr>
                <w:rStyle w:val="Hyperlink"/>
                <w:noProof/>
              </w:rPr>
              <w:t>10.1.2</w:t>
            </w:r>
            <w:r>
              <w:rPr>
                <w:rFonts w:eastAsiaTheme="minorEastAsia"/>
                <w:noProof/>
                <w:lang w:eastAsia="en-GB"/>
              </w:rPr>
              <w:tab/>
            </w:r>
            <w:r w:rsidRPr="00704C0C">
              <w:rPr>
                <w:rStyle w:val="Hyperlink"/>
                <w:noProof/>
              </w:rPr>
              <w:t>Mortality</w:t>
            </w:r>
            <w:r>
              <w:rPr>
                <w:noProof/>
                <w:webHidden/>
              </w:rPr>
              <w:tab/>
            </w:r>
            <w:r>
              <w:rPr>
                <w:noProof/>
                <w:webHidden/>
              </w:rPr>
              <w:fldChar w:fldCharType="begin"/>
            </w:r>
            <w:r>
              <w:rPr>
                <w:noProof/>
                <w:webHidden/>
              </w:rPr>
              <w:instrText xml:space="preserve"> PAGEREF _Toc201512485 \h </w:instrText>
            </w:r>
            <w:r>
              <w:rPr>
                <w:noProof/>
                <w:webHidden/>
              </w:rPr>
            </w:r>
            <w:r>
              <w:rPr>
                <w:noProof/>
                <w:webHidden/>
              </w:rPr>
              <w:fldChar w:fldCharType="separate"/>
            </w:r>
            <w:r w:rsidR="00C13E0E">
              <w:rPr>
                <w:noProof/>
                <w:webHidden/>
              </w:rPr>
              <w:t>66</w:t>
            </w:r>
            <w:r>
              <w:rPr>
                <w:noProof/>
                <w:webHidden/>
              </w:rPr>
              <w:fldChar w:fldCharType="end"/>
            </w:r>
          </w:hyperlink>
        </w:p>
        <w:p w14:paraId="42B0F42E" w14:textId="45A34AAE"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86" w:history="1">
            <w:r w:rsidRPr="00704C0C">
              <w:rPr>
                <w:rStyle w:val="Hyperlink"/>
                <w:noProof/>
              </w:rPr>
              <w:t>10.1.3</w:t>
            </w:r>
            <w:r>
              <w:rPr>
                <w:rFonts w:eastAsiaTheme="minorEastAsia"/>
                <w:noProof/>
                <w:lang w:eastAsia="en-GB"/>
              </w:rPr>
              <w:tab/>
            </w:r>
            <w:r w:rsidRPr="00704C0C">
              <w:rPr>
                <w:rStyle w:val="Hyperlink"/>
                <w:noProof/>
              </w:rPr>
              <w:t>Survival</w:t>
            </w:r>
            <w:r>
              <w:rPr>
                <w:noProof/>
                <w:webHidden/>
              </w:rPr>
              <w:tab/>
            </w:r>
            <w:r>
              <w:rPr>
                <w:noProof/>
                <w:webHidden/>
              </w:rPr>
              <w:fldChar w:fldCharType="begin"/>
            </w:r>
            <w:r>
              <w:rPr>
                <w:noProof/>
                <w:webHidden/>
              </w:rPr>
              <w:instrText xml:space="preserve"> PAGEREF _Toc201512486 \h </w:instrText>
            </w:r>
            <w:r>
              <w:rPr>
                <w:noProof/>
                <w:webHidden/>
              </w:rPr>
            </w:r>
            <w:r>
              <w:rPr>
                <w:noProof/>
                <w:webHidden/>
              </w:rPr>
              <w:fldChar w:fldCharType="separate"/>
            </w:r>
            <w:r w:rsidR="00C13E0E">
              <w:rPr>
                <w:noProof/>
                <w:webHidden/>
              </w:rPr>
              <w:t>68</w:t>
            </w:r>
            <w:r>
              <w:rPr>
                <w:noProof/>
                <w:webHidden/>
              </w:rPr>
              <w:fldChar w:fldCharType="end"/>
            </w:r>
          </w:hyperlink>
        </w:p>
        <w:p w14:paraId="19945271" w14:textId="2474DD97"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87" w:history="1">
            <w:r w:rsidRPr="00704C0C">
              <w:rPr>
                <w:rStyle w:val="Hyperlink"/>
                <w:noProof/>
              </w:rPr>
              <w:t>10.1.4</w:t>
            </w:r>
            <w:r>
              <w:rPr>
                <w:rFonts w:eastAsiaTheme="minorEastAsia"/>
                <w:noProof/>
                <w:lang w:eastAsia="en-GB"/>
              </w:rPr>
              <w:tab/>
            </w:r>
            <w:r w:rsidRPr="00704C0C">
              <w:rPr>
                <w:rStyle w:val="Hyperlink"/>
                <w:noProof/>
              </w:rPr>
              <w:t>Population Attributable Fraction</w:t>
            </w:r>
            <w:r>
              <w:rPr>
                <w:noProof/>
                <w:webHidden/>
              </w:rPr>
              <w:tab/>
            </w:r>
            <w:r>
              <w:rPr>
                <w:noProof/>
                <w:webHidden/>
              </w:rPr>
              <w:fldChar w:fldCharType="begin"/>
            </w:r>
            <w:r>
              <w:rPr>
                <w:noProof/>
                <w:webHidden/>
              </w:rPr>
              <w:instrText xml:space="preserve"> PAGEREF _Toc201512487 \h </w:instrText>
            </w:r>
            <w:r>
              <w:rPr>
                <w:noProof/>
                <w:webHidden/>
              </w:rPr>
            </w:r>
            <w:r>
              <w:rPr>
                <w:noProof/>
                <w:webHidden/>
              </w:rPr>
              <w:fldChar w:fldCharType="separate"/>
            </w:r>
            <w:r w:rsidR="00C13E0E">
              <w:rPr>
                <w:noProof/>
                <w:webHidden/>
              </w:rPr>
              <w:t>68</w:t>
            </w:r>
            <w:r>
              <w:rPr>
                <w:noProof/>
                <w:webHidden/>
              </w:rPr>
              <w:fldChar w:fldCharType="end"/>
            </w:r>
          </w:hyperlink>
        </w:p>
        <w:p w14:paraId="6A2B88B3" w14:textId="32659E4E"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88" w:history="1">
            <w:r w:rsidRPr="00704C0C">
              <w:rPr>
                <w:rStyle w:val="Hyperlink"/>
                <w:noProof/>
              </w:rPr>
              <w:t>10.2</w:t>
            </w:r>
            <w:r>
              <w:rPr>
                <w:rFonts w:eastAsiaTheme="minorEastAsia"/>
                <w:noProof/>
                <w:lang w:eastAsia="en-GB"/>
              </w:rPr>
              <w:tab/>
            </w:r>
            <w:r w:rsidRPr="00704C0C">
              <w:rPr>
                <w:rStyle w:val="Hyperlink"/>
                <w:noProof/>
              </w:rPr>
              <w:t>Rectum C20</w:t>
            </w:r>
            <w:r>
              <w:rPr>
                <w:noProof/>
                <w:webHidden/>
              </w:rPr>
              <w:tab/>
            </w:r>
            <w:r>
              <w:rPr>
                <w:noProof/>
                <w:webHidden/>
              </w:rPr>
              <w:fldChar w:fldCharType="begin"/>
            </w:r>
            <w:r>
              <w:rPr>
                <w:noProof/>
                <w:webHidden/>
              </w:rPr>
              <w:instrText xml:space="preserve"> PAGEREF _Toc201512488 \h </w:instrText>
            </w:r>
            <w:r>
              <w:rPr>
                <w:noProof/>
                <w:webHidden/>
              </w:rPr>
            </w:r>
            <w:r>
              <w:rPr>
                <w:noProof/>
                <w:webHidden/>
              </w:rPr>
              <w:fldChar w:fldCharType="separate"/>
            </w:r>
            <w:r w:rsidR="00C13E0E">
              <w:rPr>
                <w:noProof/>
                <w:webHidden/>
              </w:rPr>
              <w:t>69</w:t>
            </w:r>
            <w:r>
              <w:rPr>
                <w:noProof/>
                <w:webHidden/>
              </w:rPr>
              <w:fldChar w:fldCharType="end"/>
            </w:r>
          </w:hyperlink>
        </w:p>
        <w:p w14:paraId="23281817" w14:textId="7F76F5DE"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89" w:history="1">
            <w:r w:rsidRPr="00704C0C">
              <w:rPr>
                <w:rStyle w:val="Hyperlink"/>
                <w:noProof/>
              </w:rPr>
              <w:t>10.2.1</w:t>
            </w:r>
            <w:r>
              <w:rPr>
                <w:rFonts w:eastAsiaTheme="minorEastAsia"/>
                <w:noProof/>
                <w:lang w:eastAsia="en-GB"/>
              </w:rPr>
              <w:tab/>
            </w:r>
            <w:r w:rsidRPr="00704C0C">
              <w:rPr>
                <w:rStyle w:val="Hyperlink"/>
                <w:noProof/>
              </w:rPr>
              <w:t>Incidence</w:t>
            </w:r>
            <w:r>
              <w:rPr>
                <w:noProof/>
                <w:webHidden/>
              </w:rPr>
              <w:tab/>
            </w:r>
            <w:r>
              <w:rPr>
                <w:noProof/>
                <w:webHidden/>
              </w:rPr>
              <w:fldChar w:fldCharType="begin"/>
            </w:r>
            <w:r>
              <w:rPr>
                <w:noProof/>
                <w:webHidden/>
              </w:rPr>
              <w:instrText xml:space="preserve"> PAGEREF _Toc201512489 \h </w:instrText>
            </w:r>
            <w:r>
              <w:rPr>
                <w:noProof/>
                <w:webHidden/>
              </w:rPr>
            </w:r>
            <w:r>
              <w:rPr>
                <w:noProof/>
                <w:webHidden/>
              </w:rPr>
              <w:fldChar w:fldCharType="separate"/>
            </w:r>
            <w:r w:rsidR="00C13E0E">
              <w:rPr>
                <w:noProof/>
                <w:webHidden/>
              </w:rPr>
              <w:t>70</w:t>
            </w:r>
            <w:r>
              <w:rPr>
                <w:noProof/>
                <w:webHidden/>
              </w:rPr>
              <w:fldChar w:fldCharType="end"/>
            </w:r>
          </w:hyperlink>
        </w:p>
        <w:p w14:paraId="5430F4C2" w14:textId="11C33632"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90" w:history="1">
            <w:r w:rsidRPr="00704C0C">
              <w:rPr>
                <w:rStyle w:val="Hyperlink"/>
                <w:noProof/>
              </w:rPr>
              <w:t>10.2.2</w:t>
            </w:r>
            <w:r>
              <w:rPr>
                <w:rFonts w:eastAsiaTheme="minorEastAsia"/>
                <w:noProof/>
                <w:lang w:eastAsia="en-GB"/>
              </w:rPr>
              <w:tab/>
            </w:r>
            <w:r w:rsidRPr="00704C0C">
              <w:rPr>
                <w:rStyle w:val="Hyperlink"/>
                <w:noProof/>
              </w:rPr>
              <w:t>Mortality</w:t>
            </w:r>
            <w:r>
              <w:rPr>
                <w:noProof/>
                <w:webHidden/>
              </w:rPr>
              <w:tab/>
            </w:r>
            <w:r>
              <w:rPr>
                <w:noProof/>
                <w:webHidden/>
              </w:rPr>
              <w:fldChar w:fldCharType="begin"/>
            </w:r>
            <w:r>
              <w:rPr>
                <w:noProof/>
                <w:webHidden/>
              </w:rPr>
              <w:instrText xml:space="preserve"> PAGEREF _Toc201512490 \h </w:instrText>
            </w:r>
            <w:r>
              <w:rPr>
                <w:noProof/>
                <w:webHidden/>
              </w:rPr>
            </w:r>
            <w:r>
              <w:rPr>
                <w:noProof/>
                <w:webHidden/>
              </w:rPr>
              <w:fldChar w:fldCharType="separate"/>
            </w:r>
            <w:r w:rsidR="00C13E0E">
              <w:rPr>
                <w:noProof/>
                <w:webHidden/>
              </w:rPr>
              <w:t>72</w:t>
            </w:r>
            <w:r>
              <w:rPr>
                <w:noProof/>
                <w:webHidden/>
              </w:rPr>
              <w:fldChar w:fldCharType="end"/>
            </w:r>
          </w:hyperlink>
        </w:p>
        <w:p w14:paraId="752A9E79" w14:textId="0902C90D"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91" w:history="1">
            <w:r w:rsidRPr="00704C0C">
              <w:rPr>
                <w:rStyle w:val="Hyperlink"/>
                <w:noProof/>
              </w:rPr>
              <w:t>10.2.3</w:t>
            </w:r>
            <w:r>
              <w:rPr>
                <w:rFonts w:eastAsiaTheme="minorEastAsia"/>
                <w:noProof/>
                <w:lang w:eastAsia="en-GB"/>
              </w:rPr>
              <w:tab/>
            </w:r>
            <w:r w:rsidRPr="00704C0C">
              <w:rPr>
                <w:rStyle w:val="Hyperlink"/>
                <w:noProof/>
              </w:rPr>
              <w:t>Survival</w:t>
            </w:r>
            <w:r>
              <w:rPr>
                <w:noProof/>
                <w:webHidden/>
              </w:rPr>
              <w:tab/>
            </w:r>
            <w:r>
              <w:rPr>
                <w:noProof/>
                <w:webHidden/>
              </w:rPr>
              <w:fldChar w:fldCharType="begin"/>
            </w:r>
            <w:r>
              <w:rPr>
                <w:noProof/>
                <w:webHidden/>
              </w:rPr>
              <w:instrText xml:space="preserve"> PAGEREF _Toc201512491 \h </w:instrText>
            </w:r>
            <w:r>
              <w:rPr>
                <w:noProof/>
                <w:webHidden/>
              </w:rPr>
            </w:r>
            <w:r>
              <w:rPr>
                <w:noProof/>
                <w:webHidden/>
              </w:rPr>
              <w:fldChar w:fldCharType="separate"/>
            </w:r>
            <w:r w:rsidR="00C13E0E">
              <w:rPr>
                <w:noProof/>
                <w:webHidden/>
              </w:rPr>
              <w:t>74</w:t>
            </w:r>
            <w:r>
              <w:rPr>
                <w:noProof/>
                <w:webHidden/>
              </w:rPr>
              <w:fldChar w:fldCharType="end"/>
            </w:r>
          </w:hyperlink>
        </w:p>
        <w:p w14:paraId="7F0E8CA7" w14:textId="4AE7A3A1"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92" w:history="1">
            <w:r w:rsidRPr="00704C0C">
              <w:rPr>
                <w:rStyle w:val="Hyperlink"/>
                <w:noProof/>
              </w:rPr>
              <w:t>10.2.4</w:t>
            </w:r>
            <w:r>
              <w:rPr>
                <w:rFonts w:eastAsiaTheme="minorEastAsia"/>
                <w:noProof/>
                <w:lang w:eastAsia="en-GB"/>
              </w:rPr>
              <w:tab/>
            </w:r>
            <w:r w:rsidRPr="00704C0C">
              <w:rPr>
                <w:rStyle w:val="Hyperlink"/>
                <w:noProof/>
              </w:rPr>
              <w:t>Population Attributable Fraction</w:t>
            </w:r>
            <w:r>
              <w:rPr>
                <w:noProof/>
                <w:webHidden/>
              </w:rPr>
              <w:tab/>
            </w:r>
            <w:r>
              <w:rPr>
                <w:noProof/>
                <w:webHidden/>
              </w:rPr>
              <w:fldChar w:fldCharType="begin"/>
            </w:r>
            <w:r>
              <w:rPr>
                <w:noProof/>
                <w:webHidden/>
              </w:rPr>
              <w:instrText xml:space="preserve"> PAGEREF _Toc201512492 \h </w:instrText>
            </w:r>
            <w:r>
              <w:rPr>
                <w:noProof/>
                <w:webHidden/>
              </w:rPr>
            </w:r>
            <w:r>
              <w:rPr>
                <w:noProof/>
                <w:webHidden/>
              </w:rPr>
              <w:fldChar w:fldCharType="separate"/>
            </w:r>
            <w:r w:rsidR="00C13E0E">
              <w:rPr>
                <w:noProof/>
                <w:webHidden/>
              </w:rPr>
              <w:t>74</w:t>
            </w:r>
            <w:r>
              <w:rPr>
                <w:noProof/>
                <w:webHidden/>
              </w:rPr>
              <w:fldChar w:fldCharType="end"/>
            </w:r>
          </w:hyperlink>
        </w:p>
        <w:p w14:paraId="6C36D6E1" w14:textId="337D4243" w:rsidR="004B0E10" w:rsidRDefault="004B0E10" w:rsidP="00CD71C7">
          <w:pPr>
            <w:pStyle w:val="TOC1"/>
            <w:tabs>
              <w:tab w:val="left" w:pos="720"/>
              <w:tab w:val="right" w:leader="dot" w:pos="9016"/>
            </w:tabs>
            <w:spacing w:line="240" w:lineRule="auto"/>
            <w:rPr>
              <w:rFonts w:eastAsiaTheme="minorEastAsia"/>
              <w:noProof/>
              <w:lang w:eastAsia="en-GB"/>
            </w:rPr>
          </w:pPr>
          <w:hyperlink w:anchor="_Toc201512493" w:history="1">
            <w:r w:rsidRPr="00704C0C">
              <w:rPr>
                <w:rStyle w:val="Hyperlink"/>
                <w:noProof/>
              </w:rPr>
              <w:t>11</w:t>
            </w:r>
            <w:r>
              <w:rPr>
                <w:rFonts w:eastAsiaTheme="minorEastAsia"/>
                <w:noProof/>
                <w:lang w:eastAsia="en-GB"/>
              </w:rPr>
              <w:tab/>
            </w:r>
            <w:r w:rsidRPr="00704C0C">
              <w:rPr>
                <w:rStyle w:val="Hyperlink"/>
                <w:noProof/>
              </w:rPr>
              <w:t>Liver (primary) C22</w:t>
            </w:r>
            <w:r>
              <w:rPr>
                <w:noProof/>
                <w:webHidden/>
              </w:rPr>
              <w:tab/>
            </w:r>
            <w:r>
              <w:rPr>
                <w:noProof/>
                <w:webHidden/>
              </w:rPr>
              <w:fldChar w:fldCharType="begin"/>
            </w:r>
            <w:r>
              <w:rPr>
                <w:noProof/>
                <w:webHidden/>
              </w:rPr>
              <w:instrText xml:space="preserve"> PAGEREF _Toc201512493 \h </w:instrText>
            </w:r>
            <w:r>
              <w:rPr>
                <w:noProof/>
                <w:webHidden/>
              </w:rPr>
            </w:r>
            <w:r>
              <w:rPr>
                <w:noProof/>
                <w:webHidden/>
              </w:rPr>
              <w:fldChar w:fldCharType="separate"/>
            </w:r>
            <w:r w:rsidR="00C13E0E">
              <w:rPr>
                <w:noProof/>
                <w:webHidden/>
              </w:rPr>
              <w:t>75</w:t>
            </w:r>
            <w:r>
              <w:rPr>
                <w:noProof/>
                <w:webHidden/>
              </w:rPr>
              <w:fldChar w:fldCharType="end"/>
            </w:r>
          </w:hyperlink>
        </w:p>
        <w:p w14:paraId="0EDE6B74" w14:textId="6763D7F5"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94" w:history="1">
            <w:r w:rsidRPr="00704C0C">
              <w:rPr>
                <w:rStyle w:val="Hyperlink"/>
                <w:noProof/>
              </w:rPr>
              <w:t>11.1</w:t>
            </w:r>
            <w:r>
              <w:rPr>
                <w:rFonts w:eastAsiaTheme="minorEastAsia"/>
                <w:noProof/>
                <w:lang w:eastAsia="en-GB"/>
              </w:rPr>
              <w:tab/>
            </w:r>
            <w:r w:rsidRPr="00704C0C">
              <w:rPr>
                <w:rStyle w:val="Hyperlink"/>
                <w:noProof/>
              </w:rPr>
              <w:t>Incidence</w:t>
            </w:r>
            <w:r>
              <w:rPr>
                <w:noProof/>
                <w:webHidden/>
              </w:rPr>
              <w:tab/>
            </w:r>
            <w:r>
              <w:rPr>
                <w:noProof/>
                <w:webHidden/>
              </w:rPr>
              <w:fldChar w:fldCharType="begin"/>
            </w:r>
            <w:r>
              <w:rPr>
                <w:noProof/>
                <w:webHidden/>
              </w:rPr>
              <w:instrText xml:space="preserve"> PAGEREF _Toc201512494 \h </w:instrText>
            </w:r>
            <w:r>
              <w:rPr>
                <w:noProof/>
                <w:webHidden/>
              </w:rPr>
            </w:r>
            <w:r>
              <w:rPr>
                <w:noProof/>
                <w:webHidden/>
              </w:rPr>
              <w:fldChar w:fldCharType="separate"/>
            </w:r>
            <w:r w:rsidR="00C13E0E">
              <w:rPr>
                <w:noProof/>
                <w:webHidden/>
              </w:rPr>
              <w:t>76</w:t>
            </w:r>
            <w:r>
              <w:rPr>
                <w:noProof/>
                <w:webHidden/>
              </w:rPr>
              <w:fldChar w:fldCharType="end"/>
            </w:r>
          </w:hyperlink>
        </w:p>
        <w:p w14:paraId="05CD0268" w14:textId="7C60C71D"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95" w:history="1">
            <w:r w:rsidRPr="00704C0C">
              <w:rPr>
                <w:rStyle w:val="Hyperlink"/>
                <w:noProof/>
              </w:rPr>
              <w:t>11.1.1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_Toc201512495 \h </w:instrText>
            </w:r>
            <w:r>
              <w:rPr>
                <w:noProof/>
                <w:webHidden/>
              </w:rPr>
            </w:r>
            <w:r>
              <w:rPr>
                <w:noProof/>
                <w:webHidden/>
              </w:rPr>
              <w:fldChar w:fldCharType="separate"/>
            </w:r>
            <w:r w:rsidR="00C13E0E">
              <w:rPr>
                <w:noProof/>
                <w:webHidden/>
              </w:rPr>
              <w:t>77</w:t>
            </w:r>
            <w:r>
              <w:rPr>
                <w:noProof/>
                <w:webHidden/>
              </w:rPr>
              <w:fldChar w:fldCharType="end"/>
            </w:r>
          </w:hyperlink>
        </w:p>
        <w:p w14:paraId="24E20B47" w14:textId="27C3A011"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96" w:history="1">
            <w:r w:rsidRPr="00704C0C">
              <w:rPr>
                <w:rStyle w:val="Hyperlink"/>
                <w:noProof/>
              </w:rPr>
              <w:t>11.1.2</w:t>
            </w:r>
            <w:r>
              <w:rPr>
                <w:rFonts w:eastAsiaTheme="minorEastAsia"/>
                <w:noProof/>
                <w:lang w:eastAsia="en-GB"/>
              </w:rPr>
              <w:tab/>
            </w:r>
            <w:r w:rsidRPr="00704C0C">
              <w:rPr>
                <w:rStyle w:val="Hyperlink"/>
                <w:noProof/>
              </w:rPr>
              <w:t>Variation by deprivation quintile</w:t>
            </w:r>
            <w:r>
              <w:rPr>
                <w:noProof/>
                <w:webHidden/>
              </w:rPr>
              <w:tab/>
            </w:r>
            <w:r>
              <w:rPr>
                <w:noProof/>
                <w:webHidden/>
              </w:rPr>
              <w:fldChar w:fldCharType="begin"/>
            </w:r>
            <w:r>
              <w:rPr>
                <w:noProof/>
                <w:webHidden/>
              </w:rPr>
              <w:instrText xml:space="preserve"> PAGEREF _Toc201512496 \h </w:instrText>
            </w:r>
            <w:r>
              <w:rPr>
                <w:noProof/>
                <w:webHidden/>
              </w:rPr>
            </w:r>
            <w:r>
              <w:rPr>
                <w:noProof/>
                <w:webHidden/>
              </w:rPr>
              <w:fldChar w:fldCharType="separate"/>
            </w:r>
            <w:r w:rsidR="00C13E0E">
              <w:rPr>
                <w:noProof/>
                <w:webHidden/>
              </w:rPr>
              <w:t>78</w:t>
            </w:r>
            <w:r>
              <w:rPr>
                <w:noProof/>
                <w:webHidden/>
              </w:rPr>
              <w:fldChar w:fldCharType="end"/>
            </w:r>
          </w:hyperlink>
        </w:p>
        <w:p w14:paraId="0ED75ED0" w14:textId="16E081D2"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97" w:history="1">
            <w:r w:rsidRPr="00704C0C">
              <w:rPr>
                <w:rStyle w:val="Hyperlink"/>
                <w:noProof/>
              </w:rPr>
              <w:t>11.2</w:t>
            </w:r>
            <w:r>
              <w:rPr>
                <w:rFonts w:eastAsiaTheme="minorEastAsia"/>
                <w:noProof/>
                <w:lang w:eastAsia="en-GB"/>
              </w:rPr>
              <w:tab/>
            </w:r>
            <w:r w:rsidRPr="00704C0C">
              <w:rPr>
                <w:rStyle w:val="Hyperlink"/>
                <w:noProof/>
              </w:rPr>
              <w:t>Mortality</w:t>
            </w:r>
            <w:r>
              <w:rPr>
                <w:noProof/>
                <w:webHidden/>
              </w:rPr>
              <w:tab/>
            </w:r>
            <w:r>
              <w:rPr>
                <w:noProof/>
                <w:webHidden/>
              </w:rPr>
              <w:fldChar w:fldCharType="begin"/>
            </w:r>
            <w:r>
              <w:rPr>
                <w:noProof/>
                <w:webHidden/>
              </w:rPr>
              <w:instrText xml:space="preserve"> PAGEREF _Toc201512497 \h </w:instrText>
            </w:r>
            <w:r>
              <w:rPr>
                <w:noProof/>
                <w:webHidden/>
              </w:rPr>
            </w:r>
            <w:r>
              <w:rPr>
                <w:noProof/>
                <w:webHidden/>
              </w:rPr>
              <w:fldChar w:fldCharType="separate"/>
            </w:r>
            <w:r w:rsidR="00C13E0E">
              <w:rPr>
                <w:noProof/>
                <w:webHidden/>
              </w:rPr>
              <w:t>78</w:t>
            </w:r>
            <w:r>
              <w:rPr>
                <w:noProof/>
                <w:webHidden/>
              </w:rPr>
              <w:fldChar w:fldCharType="end"/>
            </w:r>
          </w:hyperlink>
        </w:p>
        <w:p w14:paraId="775D17FE" w14:textId="3DE1205E"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98" w:history="1">
            <w:r w:rsidRPr="00704C0C">
              <w:rPr>
                <w:rStyle w:val="Hyperlink"/>
                <w:noProof/>
              </w:rPr>
              <w:t>11.2.1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_Toc201512498 \h </w:instrText>
            </w:r>
            <w:r>
              <w:rPr>
                <w:noProof/>
                <w:webHidden/>
              </w:rPr>
            </w:r>
            <w:r>
              <w:rPr>
                <w:noProof/>
                <w:webHidden/>
              </w:rPr>
              <w:fldChar w:fldCharType="separate"/>
            </w:r>
            <w:r w:rsidR="00C13E0E">
              <w:rPr>
                <w:noProof/>
                <w:webHidden/>
              </w:rPr>
              <w:t>79</w:t>
            </w:r>
            <w:r>
              <w:rPr>
                <w:noProof/>
                <w:webHidden/>
              </w:rPr>
              <w:fldChar w:fldCharType="end"/>
            </w:r>
          </w:hyperlink>
        </w:p>
        <w:p w14:paraId="496E6196" w14:textId="00A39024"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99" w:history="1">
            <w:r w:rsidRPr="00704C0C">
              <w:rPr>
                <w:rStyle w:val="Hyperlink"/>
                <w:noProof/>
              </w:rPr>
              <w:t>11.3</w:t>
            </w:r>
            <w:r>
              <w:rPr>
                <w:rFonts w:eastAsiaTheme="minorEastAsia"/>
                <w:noProof/>
                <w:lang w:eastAsia="en-GB"/>
              </w:rPr>
              <w:tab/>
            </w:r>
            <w:r w:rsidRPr="00704C0C">
              <w:rPr>
                <w:rStyle w:val="Hyperlink"/>
                <w:noProof/>
              </w:rPr>
              <w:t>Survival</w:t>
            </w:r>
            <w:r>
              <w:rPr>
                <w:noProof/>
                <w:webHidden/>
              </w:rPr>
              <w:tab/>
            </w:r>
            <w:r>
              <w:rPr>
                <w:noProof/>
                <w:webHidden/>
              </w:rPr>
              <w:fldChar w:fldCharType="begin"/>
            </w:r>
            <w:r>
              <w:rPr>
                <w:noProof/>
                <w:webHidden/>
              </w:rPr>
              <w:instrText xml:space="preserve"> PAGEREF _Toc201512499 \h </w:instrText>
            </w:r>
            <w:r>
              <w:rPr>
                <w:noProof/>
                <w:webHidden/>
              </w:rPr>
            </w:r>
            <w:r>
              <w:rPr>
                <w:noProof/>
                <w:webHidden/>
              </w:rPr>
              <w:fldChar w:fldCharType="separate"/>
            </w:r>
            <w:r w:rsidR="00C13E0E">
              <w:rPr>
                <w:noProof/>
                <w:webHidden/>
              </w:rPr>
              <w:t>80</w:t>
            </w:r>
            <w:r>
              <w:rPr>
                <w:noProof/>
                <w:webHidden/>
              </w:rPr>
              <w:fldChar w:fldCharType="end"/>
            </w:r>
          </w:hyperlink>
        </w:p>
        <w:p w14:paraId="2AA28A24" w14:textId="1DDD6E53"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00" w:history="1">
            <w:r w:rsidRPr="00704C0C">
              <w:rPr>
                <w:rStyle w:val="Hyperlink"/>
                <w:noProof/>
              </w:rPr>
              <w:t>11.4</w:t>
            </w:r>
            <w:r>
              <w:rPr>
                <w:rFonts w:eastAsiaTheme="minorEastAsia"/>
                <w:noProof/>
                <w:lang w:eastAsia="en-GB"/>
              </w:rPr>
              <w:tab/>
            </w:r>
            <w:r w:rsidRPr="00704C0C">
              <w:rPr>
                <w:rStyle w:val="Hyperlink"/>
                <w:noProof/>
              </w:rPr>
              <w:t>Population Attributable Fraction</w:t>
            </w:r>
            <w:r>
              <w:rPr>
                <w:noProof/>
                <w:webHidden/>
              </w:rPr>
              <w:tab/>
            </w:r>
            <w:r>
              <w:rPr>
                <w:noProof/>
                <w:webHidden/>
              </w:rPr>
              <w:fldChar w:fldCharType="begin"/>
            </w:r>
            <w:r>
              <w:rPr>
                <w:noProof/>
                <w:webHidden/>
              </w:rPr>
              <w:instrText xml:space="preserve"> PAGEREF _Toc201512500 \h </w:instrText>
            </w:r>
            <w:r>
              <w:rPr>
                <w:noProof/>
                <w:webHidden/>
              </w:rPr>
            </w:r>
            <w:r>
              <w:rPr>
                <w:noProof/>
                <w:webHidden/>
              </w:rPr>
              <w:fldChar w:fldCharType="separate"/>
            </w:r>
            <w:r w:rsidR="00C13E0E">
              <w:rPr>
                <w:noProof/>
                <w:webHidden/>
              </w:rPr>
              <w:t>80</w:t>
            </w:r>
            <w:r>
              <w:rPr>
                <w:noProof/>
                <w:webHidden/>
              </w:rPr>
              <w:fldChar w:fldCharType="end"/>
            </w:r>
          </w:hyperlink>
        </w:p>
        <w:p w14:paraId="389A47F8" w14:textId="52DE374D" w:rsidR="004B0E10" w:rsidRDefault="004B0E10" w:rsidP="00CD71C7">
          <w:pPr>
            <w:pStyle w:val="TOC1"/>
            <w:tabs>
              <w:tab w:val="left" w:pos="720"/>
              <w:tab w:val="right" w:leader="dot" w:pos="9016"/>
            </w:tabs>
            <w:spacing w:line="240" w:lineRule="auto"/>
            <w:rPr>
              <w:rFonts w:eastAsiaTheme="minorEastAsia"/>
              <w:noProof/>
              <w:lang w:eastAsia="en-GB"/>
            </w:rPr>
          </w:pPr>
          <w:hyperlink w:anchor="_Toc201512501" w:history="1">
            <w:r w:rsidRPr="00704C0C">
              <w:rPr>
                <w:rStyle w:val="Hyperlink"/>
                <w:noProof/>
              </w:rPr>
              <w:t>12</w:t>
            </w:r>
            <w:r>
              <w:rPr>
                <w:rFonts w:eastAsiaTheme="minorEastAsia"/>
                <w:noProof/>
                <w:lang w:eastAsia="en-GB"/>
              </w:rPr>
              <w:tab/>
            </w:r>
            <w:r w:rsidRPr="00704C0C">
              <w:rPr>
                <w:rStyle w:val="Hyperlink"/>
                <w:noProof/>
              </w:rPr>
              <w:t>Pancreas C25</w:t>
            </w:r>
            <w:r>
              <w:rPr>
                <w:noProof/>
                <w:webHidden/>
              </w:rPr>
              <w:tab/>
            </w:r>
            <w:r>
              <w:rPr>
                <w:noProof/>
                <w:webHidden/>
              </w:rPr>
              <w:fldChar w:fldCharType="begin"/>
            </w:r>
            <w:r>
              <w:rPr>
                <w:noProof/>
                <w:webHidden/>
              </w:rPr>
              <w:instrText xml:space="preserve"> PAGEREF _Toc201512501 \h </w:instrText>
            </w:r>
            <w:r>
              <w:rPr>
                <w:noProof/>
                <w:webHidden/>
              </w:rPr>
            </w:r>
            <w:r>
              <w:rPr>
                <w:noProof/>
                <w:webHidden/>
              </w:rPr>
              <w:fldChar w:fldCharType="separate"/>
            </w:r>
            <w:r w:rsidR="00C13E0E">
              <w:rPr>
                <w:noProof/>
                <w:webHidden/>
              </w:rPr>
              <w:t>81</w:t>
            </w:r>
            <w:r>
              <w:rPr>
                <w:noProof/>
                <w:webHidden/>
              </w:rPr>
              <w:fldChar w:fldCharType="end"/>
            </w:r>
          </w:hyperlink>
        </w:p>
        <w:p w14:paraId="11C7B41D" w14:textId="31FC5F73"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02" w:history="1">
            <w:r w:rsidRPr="00704C0C">
              <w:rPr>
                <w:rStyle w:val="Hyperlink"/>
                <w:noProof/>
              </w:rPr>
              <w:t>12.1</w:t>
            </w:r>
            <w:r>
              <w:rPr>
                <w:rFonts w:eastAsiaTheme="minorEastAsia"/>
                <w:noProof/>
                <w:lang w:eastAsia="en-GB"/>
              </w:rPr>
              <w:tab/>
            </w:r>
            <w:r w:rsidRPr="00704C0C">
              <w:rPr>
                <w:rStyle w:val="Hyperlink"/>
                <w:noProof/>
              </w:rPr>
              <w:t>Incidence</w:t>
            </w:r>
            <w:r>
              <w:rPr>
                <w:noProof/>
                <w:webHidden/>
              </w:rPr>
              <w:tab/>
            </w:r>
            <w:r>
              <w:rPr>
                <w:noProof/>
                <w:webHidden/>
              </w:rPr>
              <w:fldChar w:fldCharType="begin"/>
            </w:r>
            <w:r>
              <w:rPr>
                <w:noProof/>
                <w:webHidden/>
              </w:rPr>
              <w:instrText xml:space="preserve"> PAGEREF _Toc201512502 \h </w:instrText>
            </w:r>
            <w:r>
              <w:rPr>
                <w:noProof/>
                <w:webHidden/>
              </w:rPr>
            </w:r>
            <w:r>
              <w:rPr>
                <w:noProof/>
                <w:webHidden/>
              </w:rPr>
              <w:fldChar w:fldCharType="separate"/>
            </w:r>
            <w:r w:rsidR="00C13E0E">
              <w:rPr>
                <w:noProof/>
                <w:webHidden/>
              </w:rPr>
              <w:t>82</w:t>
            </w:r>
            <w:r>
              <w:rPr>
                <w:noProof/>
                <w:webHidden/>
              </w:rPr>
              <w:fldChar w:fldCharType="end"/>
            </w:r>
          </w:hyperlink>
        </w:p>
        <w:p w14:paraId="355566CC" w14:textId="39E69219"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03" w:history="1">
            <w:r w:rsidRPr="00704C0C">
              <w:rPr>
                <w:rStyle w:val="Hyperlink"/>
                <w:noProof/>
              </w:rPr>
              <w:t>12.1.1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_Toc201512503 \h </w:instrText>
            </w:r>
            <w:r>
              <w:rPr>
                <w:noProof/>
                <w:webHidden/>
              </w:rPr>
            </w:r>
            <w:r>
              <w:rPr>
                <w:noProof/>
                <w:webHidden/>
              </w:rPr>
              <w:fldChar w:fldCharType="separate"/>
            </w:r>
            <w:r w:rsidR="00C13E0E">
              <w:rPr>
                <w:noProof/>
                <w:webHidden/>
              </w:rPr>
              <w:t>82</w:t>
            </w:r>
            <w:r>
              <w:rPr>
                <w:noProof/>
                <w:webHidden/>
              </w:rPr>
              <w:fldChar w:fldCharType="end"/>
            </w:r>
          </w:hyperlink>
        </w:p>
        <w:p w14:paraId="285564AC" w14:textId="5D7FA252"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04" w:history="1">
            <w:r w:rsidRPr="00704C0C">
              <w:rPr>
                <w:rStyle w:val="Hyperlink"/>
                <w:noProof/>
              </w:rPr>
              <w:t>12.1.2</w:t>
            </w:r>
            <w:r>
              <w:rPr>
                <w:rFonts w:eastAsiaTheme="minorEastAsia"/>
                <w:noProof/>
                <w:lang w:eastAsia="en-GB"/>
              </w:rPr>
              <w:tab/>
            </w:r>
            <w:r w:rsidRPr="00704C0C">
              <w:rPr>
                <w:rStyle w:val="Hyperlink"/>
                <w:noProof/>
              </w:rPr>
              <w:t>Variation by deprivation quintile</w:t>
            </w:r>
            <w:r>
              <w:rPr>
                <w:noProof/>
                <w:webHidden/>
              </w:rPr>
              <w:tab/>
            </w:r>
            <w:r>
              <w:rPr>
                <w:noProof/>
                <w:webHidden/>
              </w:rPr>
              <w:fldChar w:fldCharType="begin"/>
            </w:r>
            <w:r>
              <w:rPr>
                <w:noProof/>
                <w:webHidden/>
              </w:rPr>
              <w:instrText xml:space="preserve"> PAGEREF _Toc201512504 \h </w:instrText>
            </w:r>
            <w:r>
              <w:rPr>
                <w:noProof/>
                <w:webHidden/>
              </w:rPr>
            </w:r>
            <w:r>
              <w:rPr>
                <w:noProof/>
                <w:webHidden/>
              </w:rPr>
              <w:fldChar w:fldCharType="separate"/>
            </w:r>
            <w:r w:rsidR="00C13E0E">
              <w:rPr>
                <w:noProof/>
                <w:webHidden/>
              </w:rPr>
              <w:t>83</w:t>
            </w:r>
            <w:r>
              <w:rPr>
                <w:noProof/>
                <w:webHidden/>
              </w:rPr>
              <w:fldChar w:fldCharType="end"/>
            </w:r>
          </w:hyperlink>
        </w:p>
        <w:p w14:paraId="6F03D5AD" w14:textId="04830A72"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05" w:history="1">
            <w:r w:rsidRPr="00704C0C">
              <w:rPr>
                <w:rStyle w:val="Hyperlink"/>
                <w:noProof/>
              </w:rPr>
              <w:t>12.2</w:t>
            </w:r>
            <w:r>
              <w:rPr>
                <w:rFonts w:eastAsiaTheme="minorEastAsia"/>
                <w:noProof/>
                <w:lang w:eastAsia="en-GB"/>
              </w:rPr>
              <w:tab/>
            </w:r>
            <w:r w:rsidRPr="00704C0C">
              <w:rPr>
                <w:rStyle w:val="Hyperlink"/>
                <w:noProof/>
              </w:rPr>
              <w:t>Mortality</w:t>
            </w:r>
            <w:r>
              <w:rPr>
                <w:noProof/>
                <w:webHidden/>
              </w:rPr>
              <w:tab/>
            </w:r>
            <w:r>
              <w:rPr>
                <w:noProof/>
                <w:webHidden/>
              </w:rPr>
              <w:fldChar w:fldCharType="begin"/>
            </w:r>
            <w:r>
              <w:rPr>
                <w:noProof/>
                <w:webHidden/>
              </w:rPr>
              <w:instrText xml:space="preserve"> PAGEREF _Toc201512505 \h </w:instrText>
            </w:r>
            <w:r>
              <w:rPr>
                <w:noProof/>
                <w:webHidden/>
              </w:rPr>
            </w:r>
            <w:r>
              <w:rPr>
                <w:noProof/>
                <w:webHidden/>
              </w:rPr>
              <w:fldChar w:fldCharType="separate"/>
            </w:r>
            <w:r w:rsidR="00C13E0E">
              <w:rPr>
                <w:noProof/>
                <w:webHidden/>
              </w:rPr>
              <w:t>83</w:t>
            </w:r>
            <w:r>
              <w:rPr>
                <w:noProof/>
                <w:webHidden/>
              </w:rPr>
              <w:fldChar w:fldCharType="end"/>
            </w:r>
          </w:hyperlink>
        </w:p>
        <w:p w14:paraId="01293AB9" w14:textId="3234650C"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06" w:history="1">
            <w:r w:rsidRPr="00704C0C">
              <w:rPr>
                <w:rStyle w:val="Hyperlink"/>
                <w:noProof/>
              </w:rPr>
              <w:t>12.2.1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_Toc201512506 \h </w:instrText>
            </w:r>
            <w:r>
              <w:rPr>
                <w:noProof/>
                <w:webHidden/>
              </w:rPr>
            </w:r>
            <w:r>
              <w:rPr>
                <w:noProof/>
                <w:webHidden/>
              </w:rPr>
              <w:fldChar w:fldCharType="separate"/>
            </w:r>
            <w:r w:rsidR="00C13E0E">
              <w:rPr>
                <w:noProof/>
                <w:webHidden/>
              </w:rPr>
              <w:t>84</w:t>
            </w:r>
            <w:r>
              <w:rPr>
                <w:noProof/>
                <w:webHidden/>
              </w:rPr>
              <w:fldChar w:fldCharType="end"/>
            </w:r>
          </w:hyperlink>
        </w:p>
        <w:p w14:paraId="25BE7BD6" w14:textId="1F154897"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07" w:history="1">
            <w:r w:rsidRPr="00704C0C">
              <w:rPr>
                <w:rStyle w:val="Hyperlink"/>
                <w:noProof/>
              </w:rPr>
              <w:t>12.3</w:t>
            </w:r>
            <w:r>
              <w:rPr>
                <w:rFonts w:eastAsiaTheme="minorEastAsia"/>
                <w:noProof/>
                <w:lang w:eastAsia="en-GB"/>
              </w:rPr>
              <w:tab/>
            </w:r>
            <w:r w:rsidRPr="00704C0C">
              <w:rPr>
                <w:rStyle w:val="Hyperlink"/>
                <w:noProof/>
              </w:rPr>
              <w:t>Survival</w:t>
            </w:r>
            <w:r>
              <w:rPr>
                <w:noProof/>
                <w:webHidden/>
              </w:rPr>
              <w:tab/>
            </w:r>
            <w:r>
              <w:rPr>
                <w:noProof/>
                <w:webHidden/>
              </w:rPr>
              <w:fldChar w:fldCharType="begin"/>
            </w:r>
            <w:r>
              <w:rPr>
                <w:noProof/>
                <w:webHidden/>
              </w:rPr>
              <w:instrText xml:space="preserve"> PAGEREF _Toc201512507 \h </w:instrText>
            </w:r>
            <w:r>
              <w:rPr>
                <w:noProof/>
                <w:webHidden/>
              </w:rPr>
            </w:r>
            <w:r>
              <w:rPr>
                <w:noProof/>
                <w:webHidden/>
              </w:rPr>
              <w:fldChar w:fldCharType="separate"/>
            </w:r>
            <w:r w:rsidR="00C13E0E">
              <w:rPr>
                <w:noProof/>
                <w:webHidden/>
              </w:rPr>
              <w:t>85</w:t>
            </w:r>
            <w:r>
              <w:rPr>
                <w:noProof/>
                <w:webHidden/>
              </w:rPr>
              <w:fldChar w:fldCharType="end"/>
            </w:r>
          </w:hyperlink>
        </w:p>
        <w:p w14:paraId="17A1962A" w14:textId="0E8E8A6C"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08" w:history="1">
            <w:r w:rsidRPr="00704C0C">
              <w:rPr>
                <w:rStyle w:val="Hyperlink"/>
                <w:noProof/>
              </w:rPr>
              <w:t>12.4</w:t>
            </w:r>
            <w:r>
              <w:rPr>
                <w:rFonts w:eastAsiaTheme="minorEastAsia"/>
                <w:noProof/>
                <w:lang w:eastAsia="en-GB"/>
              </w:rPr>
              <w:tab/>
            </w:r>
            <w:r w:rsidRPr="00704C0C">
              <w:rPr>
                <w:rStyle w:val="Hyperlink"/>
                <w:noProof/>
              </w:rPr>
              <w:t>Population Attributable Fraction</w:t>
            </w:r>
            <w:r>
              <w:rPr>
                <w:noProof/>
                <w:webHidden/>
              </w:rPr>
              <w:tab/>
            </w:r>
            <w:r>
              <w:rPr>
                <w:noProof/>
                <w:webHidden/>
              </w:rPr>
              <w:fldChar w:fldCharType="begin"/>
            </w:r>
            <w:r>
              <w:rPr>
                <w:noProof/>
                <w:webHidden/>
              </w:rPr>
              <w:instrText xml:space="preserve"> PAGEREF _Toc201512508 \h </w:instrText>
            </w:r>
            <w:r>
              <w:rPr>
                <w:noProof/>
                <w:webHidden/>
              </w:rPr>
            </w:r>
            <w:r>
              <w:rPr>
                <w:noProof/>
                <w:webHidden/>
              </w:rPr>
              <w:fldChar w:fldCharType="separate"/>
            </w:r>
            <w:r w:rsidR="00C13E0E">
              <w:rPr>
                <w:noProof/>
                <w:webHidden/>
              </w:rPr>
              <w:t>85</w:t>
            </w:r>
            <w:r>
              <w:rPr>
                <w:noProof/>
                <w:webHidden/>
              </w:rPr>
              <w:fldChar w:fldCharType="end"/>
            </w:r>
          </w:hyperlink>
        </w:p>
        <w:p w14:paraId="2D0A8AEF" w14:textId="0D61023E" w:rsidR="004B0E10" w:rsidRDefault="004B0E10" w:rsidP="00CD71C7">
          <w:pPr>
            <w:pStyle w:val="TOC1"/>
            <w:tabs>
              <w:tab w:val="left" w:pos="720"/>
              <w:tab w:val="right" w:leader="dot" w:pos="9016"/>
            </w:tabs>
            <w:spacing w:line="240" w:lineRule="auto"/>
            <w:rPr>
              <w:rFonts w:eastAsiaTheme="minorEastAsia"/>
              <w:noProof/>
              <w:lang w:eastAsia="en-GB"/>
            </w:rPr>
          </w:pPr>
          <w:hyperlink w:anchor="_Toc201512509" w:history="1">
            <w:r w:rsidRPr="00704C0C">
              <w:rPr>
                <w:rStyle w:val="Hyperlink"/>
                <w:noProof/>
              </w:rPr>
              <w:t>13</w:t>
            </w:r>
            <w:r>
              <w:rPr>
                <w:rFonts w:eastAsiaTheme="minorEastAsia"/>
                <w:noProof/>
                <w:lang w:eastAsia="en-GB"/>
              </w:rPr>
              <w:tab/>
            </w:r>
            <w:r w:rsidRPr="00704C0C">
              <w:rPr>
                <w:rStyle w:val="Hyperlink"/>
                <w:noProof/>
              </w:rPr>
              <w:t>Sino-nasal C30-31</w:t>
            </w:r>
            <w:r>
              <w:rPr>
                <w:noProof/>
                <w:webHidden/>
              </w:rPr>
              <w:tab/>
            </w:r>
            <w:r>
              <w:rPr>
                <w:noProof/>
                <w:webHidden/>
              </w:rPr>
              <w:fldChar w:fldCharType="begin"/>
            </w:r>
            <w:r>
              <w:rPr>
                <w:noProof/>
                <w:webHidden/>
              </w:rPr>
              <w:instrText xml:space="preserve"> PAGEREF _Toc201512509 \h </w:instrText>
            </w:r>
            <w:r>
              <w:rPr>
                <w:noProof/>
                <w:webHidden/>
              </w:rPr>
            </w:r>
            <w:r>
              <w:rPr>
                <w:noProof/>
                <w:webHidden/>
              </w:rPr>
              <w:fldChar w:fldCharType="separate"/>
            </w:r>
            <w:r w:rsidR="00C13E0E">
              <w:rPr>
                <w:noProof/>
                <w:webHidden/>
              </w:rPr>
              <w:t>86</w:t>
            </w:r>
            <w:r>
              <w:rPr>
                <w:noProof/>
                <w:webHidden/>
              </w:rPr>
              <w:fldChar w:fldCharType="end"/>
            </w:r>
          </w:hyperlink>
        </w:p>
        <w:p w14:paraId="0880C177" w14:textId="5D9FB00E"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10" w:history="1">
            <w:r w:rsidRPr="00704C0C">
              <w:rPr>
                <w:rStyle w:val="Hyperlink"/>
                <w:noProof/>
              </w:rPr>
              <w:t>13.1</w:t>
            </w:r>
            <w:r>
              <w:rPr>
                <w:rFonts w:eastAsiaTheme="minorEastAsia"/>
                <w:noProof/>
                <w:lang w:eastAsia="en-GB"/>
              </w:rPr>
              <w:tab/>
            </w:r>
            <w:r w:rsidRPr="00704C0C">
              <w:rPr>
                <w:rStyle w:val="Hyperlink"/>
                <w:noProof/>
              </w:rPr>
              <w:t>Incidence</w:t>
            </w:r>
            <w:r>
              <w:rPr>
                <w:noProof/>
                <w:webHidden/>
              </w:rPr>
              <w:tab/>
            </w:r>
            <w:r>
              <w:rPr>
                <w:noProof/>
                <w:webHidden/>
              </w:rPr>
              <w:fldChar w:fldCharType="begin"/>
            </w:r>
            <w:r>
              <w:rPr>
                <w:noProof/>
                <w:webHidden/>
              </w:rPr>
              <w:instrText xml:space="preserve"> PAGEREF _Toc201512510 \h </w:instrText>
            </w:r>
            <w:r>
              <w:rPr>
                <w:noProof/>
                <w:webHidden/>
              </w:rPr>
            </w:r>
            <w:r>
              <w:rPr>
                <w:noProof/>
                <w:webHidden/>
              </w:rPr>
              <w:fldChar w:fldCharType="separate"/>
            </w:r>
            <w:r w:rsidR="00C13E0E">
              <w:rPr>
                <w:noProof/>
                <w:webHidden/>
              </w:rPr>
              <w:t>87</w:t>
            </w:r>
            <w:r>
              <w:rPr>
                <w:noProof/>
                <w:webHidden/>
              </w:rPr>
              <w:fldChar w:fldCharType="end"/>
            </w:r>
          </w:hyperlink>
        </w:p>
        <w:p w14:paraId="4E8AAAC3" w14:textId="5231F761"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11" w:history="1">
            <w:r w:rsidRPr="00704C0C">
              <w:rPr>
                <w:rStyle w:val="Hyperlink"/>
                <w:noProof/>
              </w:rPr>
              <w:t>13.1.1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_Toc201512511 \h </w:instrText>
            </w:r>
            <w:r>
              <w:rPr>
                <w:noProof/>
                <w:webHidden/>
              </w:rPr>
            </w:r>
            <w:r>
              <w:rPr>
                <w:noProof/>
                <w:webHidden/>
              </w:rPr>
              <w:fldChar w:fldCharType="separate"/>
            </w:r>
            <w:r w:rsidR="00C13E0E">
              <w:rPr>
                <w:noProof/>
                <w:webHidden/>
              </w:rPr>
              <w:t>87</w:t>
            </w:r>
            <w:r>
              <w:rPr>
                <w:noProof/>
                <w:webHidden/>
              </w:rPr>
              <w:fldChar w:fldCharType="end"/>
            </w:r>
          </w:hyperlink>
        </w:p>
        <w:p w14:paraId="38C5E9B2" w14:textId="61EC2C76"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12" w:history="1">
            <w:r w:rsidRPr="00704C0C">
              <w:rPr>
                <w:rStyle w:val="Hyperlink"/>
                <w:noProof/>
              </w:rPr>
              <w:t>13.1.2</w:t>
            </w:r>
            <w:r>
              <w:rPr>
                <w:rFonts w:eastAsiaTheme="minorEastAsia"/>
                <w:noProof/>
                <w:lang w:eastAsia="en-GB"/>
              </w:rPr>
              <w:tab/>
            </w:r>
            <w:r w:rsidRPr="00704C0C">
              <w:rPr>
                <w:rStyle w:val="Hyperlink"/>
                <w:noProof/>
              </w:rPr>
              <w:t>Variation by deprivation</w:t>
            </w:r>
            <w:r>
              <w:rPr>
                <w:noProof/>
                <w:webHidden/>
              </w:rPr>
              <w:tab/>
            </w:r>
            <w:r>
              <w:rPr>
                <w:noProof/>
                <w:webHidden/>
              </w:rPr>
              <w:fldChar w:fldCharType="begin"/>
            </w:r>
            <w:r>
              <w:rPr>
                <w:noProof/>
                <w:webHidden/>
              </w:rPr>
              <w:instrText xml:space="preserve"> PAGEREF _Toc201512512 \h </w:instrText>
            </w:r>
            <w:r>
              <w:rPr>
                <w:noProof/>
                <w:webHidden/>
              </w:rPr>
            </w:r>
            <w:r>
              <w:rPr>
                <w:noProof/>
                <w:webHidden/>
              </w:rPr>
              <w:fldChar w:fldCharType="separate"/>
            </w:r>
            <w:r w:rsidR="00C13E0E">
              <w:rPr>
                <w:noProof/>
                <w:webHidden/>
              </w:rPr>
              <w:t>88</w:t>
            </w:r>
            <w:r>
              <w:rPr>
                <w:noProof/>
                <w:webHidden/>
              </w:rPr>
              <w:fldChar w:fldCharType="end"/>
            </w:r>
          </w:hyperlink>
        </w:p>
        <w:p w14:paraId="1BA33492" w14:textId="3C729E1C"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13" w:history="1">
            <w:r w:rsidRPr="00704C0C">
              <w:rPr>
                <w:rStyle w:val="Hyperlink"/>
                <w:noProof/>
              </w:rPr>
              <w:t>13.2</w:t>
            </w:r>
            <w:r>
              <w:rPr>
                <w:rFonts w:eastAsiaTheme="minorEastAsia"/>
                <w:noProof/>
                <w:lang w:eastAsia="en-GB"/>
              </w:rPr>
              <w:tab/>
            </w:r>
            <w:r w:rsidRPr="00704C0C">
              <w:rPr>
                <w:rStyle w:val="Hyperlink"/>
                <w:noProof/>
              </w:rPr>
              <w:t>Mortality</w:t>
            </w:r>
            <w:r>
              <w:rPr>
                <w:noProof/>
                <w:webHidden/>
              </w:rPr>
              <w:tab/>
            </w:r>
            <w:r>
              <w:rPr>
                <w:noProof/>
                <w:webHidden/>
              </w:rPr>
              <w:fldChar w:fldCharType="begin"/>
            </w:r>
            <w:r>
              <w:rPr>
                <w:noProof/>
                <w:webHidden/>
              </w:rPr>
              <w:instrText xml:space="preserve"> PAGEREF _Toc201512513 \h </w:instrText>
            </w:r>
            <w:r>
              <w:rPr>
                <w:noProof/>
                <w:webHidden/>
              </w:rPr>
            </w:r>
            <w:r>
              <w:rPr>
                <w:noProof/>
                <w:webHidden/>
              </w:rPr>
              <w:fldChar w:fldCharType="separate"/>
            </w:r>
            <w:r w:rsidR="00C13E0E">
              <w:rPr>
                <w:noProof/>
                <w:webHidden/>
              </w:rPr>
              <w:t>88</w:t>
            </w:r>
            <w:r>
              <w:rPr>
                <w:noProof/>
                <w:webHidden/>
              </w:rPr>
              <w:fldChar w:fldCharType="end"/>
            </w:r>
          </w:hyperlink>
        </w:p>
        <w:p w14:paraId="5F2495E3" w14:textId="14285996"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14" w:history="1">
            <w:r w:rsidRPr="00704C0C">
              <w:rPr>
                <w:rStyle w:val="Hyperlink"/>
                <w:noProof/>
              </w:rPr>
              <w:t>13.2.1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_Toc201512514 \h </w:instrText>
            </w:r>
            <w:r>
              <w:rPr>
                <w:noProof/>
                <w:webHidden/>
              </w:rPr>
            </w:r>
            <w:r>
              <w:rPr>
                <w:noProof/>
                <w:webHidden/>
              </w:rPr>
              <w:fldChar w:fldCharType="separate"/>
            </w:r>
            <w:r w:rsidR="00C13E0E">
              <w:rPr>
                <w:noProof/>
                <w:webHidden/>
              </w:rPr>
              <w:t>89</w:t>
            </w:r>
            <w:r>
              <w:rPr>
                <w:noProof/>
                <w:webHidden/>
              </w:rPr>
              <w:fldChar w:fldCharType="end"/>
            </w:r>
          </w:hyperlink>
        </w:p>
        <w:p w14:paraId="1996FEEF" w14:textId="6B0198EB"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15" w:history="1">
            <w:r w:rsidRPr="00704C0C">
              <w:rPr>
                <w:rStyle w:val="Hyperlink"/>
                <w:noProof/>
              </w:rPr>
              <w:t>13.3</w:t>
            </w:r>
            <w:r>
              <w:rPr>
                <w:rFonts w:eastAsiaTheme="minorEastAsia"/>
                <w:noProof/>
                <w:lang w:eastAsia="en-GB"/>
              </w:rPr>
              <w:tab/>
            </w:r>
            <w:r w:rsidRPr="00704C0C">
              <w:rPr>
                <w:rStyle w:val="Hyperlink"/>
                <w:noProof/>
              </w:rPr>
              <w:t>Survival</w:t>
            </w:r>
            <w:r>
              <w:rPr>
                <w:noProof/>
                <w:webHidden/>
              </w:rPr>
              <w:tab/>
            </w:r>
            <w:r>
              <w:rPr>
                <w:noProof/>
                <w:webHidden/>
              </w:rPr>
              <w:fldChar w:fldCharType="begin"/>
            </w:r>
            <w:r>
              <w:rPr>
                <w:noProof/>
                <w:webHidden/>
              </w:rPr>
              <w:instrText xml:space="preserve"> PAGEREF _Toc201512515 \h </w:instrText>
            </w:r>
            <w:r>
              <w:rPr>
                <w:noProof/>
                <w:webHidden/>
              </w:rPr>
            </w:r>
            <w:r>
              <w:rPr>
                <w:noProof/>
                <w:webHidden/>
              </w:rPr>
              <w:fldChar w:fldCharType="separate"/>
            </w:r>
            <w:r w:rsidR="00C13E0E">
              <w:rPr>
                <w:noProof/>
                <w:webHidden/>
              </w:rPr>
              <w:t>90</w:t>
            </w:r>
            <w:r>
              <w:rPr>
                <w:noProof/>
                <w:webHidden/>
              </w:rPr>
              <w:fldChar w:fldCharType="end"/>
            </w:r>
          </w:hyperlink>
        </w:p>
        <w:p w14:paraId="50BEC5A7" w14:textId="37546FE0"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16" w:history="1">
            <w:r w:rsidRPr="00704C0C">
              <w:rPr>
                <w:rStyle w:val="Hyperlink"/>
                <w:noProof/>
              </w:rPr>
              <w:t>13.4</w:t>
            </w:r>
            <w:r>
              <w:rPr>
                <w:rFonts w:eastAsiaTheme="minorEastAsia"/>
                <w:noProof/>
                <w:lang w:eastAsia="en-GB"/>
              </w:rPr>
              <w:tab/>
            </w:r>
            <w:r w:rsidRPr="00704C0C">
              <w:rPr>
                <w:rStyle w:val="Hyperlink"/>
                <w:noProof/>
              </w:rPr>
              <w:t>Population Attributable Fraction</w:t>
            </w:r>
            <w:r>
              <w:rPr>
                <w:noProof/>
                <w:webHidden/>
              </w:rPr>
              <w:tab/>
            </w:r>
            <w:r>
              <w:rPr>
                <w:noProof/>
                <w:webHidden/>
              </w:rPr>
              <w:fldChar w:fldCharType="begin"/>
            </w:r>
            <w:r>
              <w:rPr>
                <w:noProof/>
                <w:webHidden/>
              </w:rPr>
              <w:instrText xml:space="preserve"> PAGEREF _Toc201512516 \h </w:instrText>
            </w:r>
            <w:r>
              <w:rPr>
                <w:noProof/>
                <w:webHidden/>
              </w:rPr>
            </w:r>
            <w:r>
              <w:rPr>
                <w:noProof/>
                <w:webHidden/>
              </w:rPr>
              <w:fldChar w:fldCharType="separate"/>
            </w:r>
            <w:r w:rsidR="00C13E0E">
              <w:rPr>
                <w:noProof/>
                <w:webHidden/>
              </w:rPr>
              <w:t>90</w:t>
            </w:r>
            <w:r>
              <w:rPr>
                <w:noProof/>
                <w:webHidden/>
              </w:rPr>
              <w:fldChar w:fldCharType="end"/>
            </w:r>
          </w:hyperlink>
        </w:p>
        <w:p w14:paraId="41B185AA" w14:textId="3D54ABA2" w:rsidR="004B0E10" w:rsidRDefault="004B0E10" w:rsidP="00CD71C7">
          <w:pPr>
            <w:pStyle w:val="TOC1"/>
            <w:tabs>
              <w:tab w:val="left" w:pos="720"/>
              <w:tab w:val="right" w:leader="dot" w:pos="9016"/>
            </w:tabs>
            <w:spacing w:line="240" w:lineRule="auto"/>
            <w:rPr>
              <w:rFonts w:eastAsiaTheme="minorEastAsia"/>
              <w:noProof/>
              <w:lang w:eastAsia="en-GB"/>
            </w:rPr>
          </w:pPr>
          <w:hyperlink w:anchor="_Toc201512517" w:history="1">
            <w:r w:rsidRPr="00704C0C">
              <w:rPr>
                <w:rStyle w:val="Hyperlink"/>
                <w:noProof/>
              </w:rPr>
              <w:t>14</w:t>
            </w:r>
            <w:r>
              <w:rPr>
                <w:rFonts w:eastAsiaTheme="minorEastAsia"/>
                <w:noProof/>
                <w:lang w:eastAsia="en-GB"/>
              </w:rPr>
              <w:tab/>
            </w:r>
            <w:r w:rsidRPr="00704C0C">
              <w:rPr>
                <w:rStyle w:val="Hyperlink"/>
                <w:noProof/>
              </w:rPr>
              <w:t>Larynx C32</w:t>
            </w:r>
            <w:r>
              <w:rPr>
                <w:noProof/>
                <w:webHidden/>
              </w:rPr>
              <w:tab/>
            </w:r>
            <w:r>
              <w:rPr>
                <w:noProof/>
                <w:webHidden/>
              </w:rPr>
              <w:fldChar w:fldCharType="begin"/>
            </w:r>
            <w:r>
              <w:rPr>
                <w:noProof/>
                <w:webHidden/>
              </w:rPr>
              <w:instrText xml:space="preserve"> PAGEREF _Toc201512517 \h </w:instrText>
            </w:r>
            <w:r>
              <w:rPr>
                <w:noProof/>
                <w:webHidden/>
              </w:rPr>
            </w:r>
            <w:r>
              <w:rPr>
                <w:noProof/>
                <w:webHidden/>
              </w:rPr>
              <w:fldChar w:fldCharType="separate"/>
            </w:r>
            <w:r w:rsidR="00C13E0E">
              <w:rPr>
                <w:noProof/>
                <w:webHidden/>
              </w:rPr>
              <w:t>91</w:t>
            </w:r>
            <w:r>
              <w:rPr>
                <w:noProof/>
                <w:webHidden/>
              </w:rPr>
              <w:fldChar w:fldCharType="end"/>
            </w:r>
          </w:hyperlink>
        </w:p>
        <w:p w14:paraId="5261971C" w14:textId="744935B9"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18" w:history="1">
            <w:r w:rsidRPr="00704C0C">
              <w:rPr>
                <w:rStyle w:val="Hyperlink"/>
                <w:noProof/>
              </w:rPr>
              <w:t>14.1</w:t>
            </w:r>
            <w:r>
              <w:rPr>
                <w:rFonts w:eastAsiaTheme="minorEastAsia"/>
                <w:noProof/>
                <w:lang w:eastAsia="en-GB"/>
              </w:rPr>
              <w:tab/>
            </w:r>
            <w:r w:rsidRPr="00704C0C">
              <w:rPr>
                <w:rStyle w:val="Hyperlink"/>
                <w:noProof/>
              </w:rPr>
              <w:t>Incidence</w:t>
            </w:r>
            <w:r>
              <w:rPr>
                <w:noProof/>
                <w:webHidden/>
              </w:rPr>
              <w:tab/>
            </w:r>
            <w:r>
              <w:rPr>
                <w:noProof/>
                <w:webHidden/>
              </w:rPr>
              <w:fldChar w:fldCharType="begin"/>
            </w:r>
            <w:r>
              <w:rPr>
                <w:noProof/>
                <w:webHidden/>
              </w:rPr>
              <w:instrText xml:space="preserve"> PAGEREF _Toc201512518 \h </w:instrText>
            </w:r>
            <w:r>
              <w:rPr>
                <w:noProof/>
                <w:webHidden/>
              </w:rPr>
            </w:r>
            <w:r>
              <w:rPr>
                <w:noProof/>
                <w:webHidden/>
              </w:rPr>
              <w:fldChar w:fldCharType="separate"/>
            </w:r>
            <w:r w:rsidR="00C13E0E">
              <w:rPr>
                <w:noProof/>
                <w:webHidden/>
              </w:rPr>
              <w:t>92</w:t>
            </w:r>
            <w:r>
              <w:rPr>
                <w:noProof/>
                <w:webHidden/>
              </w:rPr>
              <w:fldChar w:fldCharType="end"/>
            </w:r>
          </w:hyperlink>
        </w:p>
        <w:p w14:paraId="04EEEA89" w14:textId="379EEC2C"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19" w:history="1">
            <w:r w:rsidRPr="00704C0C">
              <w:rPr>
                <w:rStyle w:val="Hyperlink"/>
                <w:noProof/>
              </w:rPr>
              <w:t>14.1.1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_Toc201512519 \h </w:instrText>
            </w:r>
            <w:r>
              <w:rPr>
                <w:noProof/>
                <w:webHidden/>
              </w:rPr>
            </w:r>
            <w:r>
              <w:rPr>
                <w:noProof/>
                <w:webHidden/>
              </w:rPr>
              <w:fldChar w:fldCharType="separate"/>
            </w:r>
            <w:r w:rsidR="00C13E0E">
              <w:rPr>
                <w:noProof/>
                <w:webHidden/>
              </w:rPr>
              <w:t>92</w:t>
            </w:r>
            <w:r>
              <w:rPr>
                <w:noProof/>
                <w:webHidden/>
              </w:rPr>
              <w:fldChar w:fldCharType="end"/>
            </w:r>
          </w:hyperlink>
        </w:p>
        <w:p w14:paraId="5CA849AF" w14:textId="66D73876"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20" w:history="1">
            <w:r w:rsidRPr="00704C0C">
              <w:rPr>
                <w:rStyle w:val="Hyperlink"/>
                <w:noProof/>
              </w:rPr>
              <w:t>14.1.2</w:t>
            </w:r>
            <w:r>
              <w:rPr>
                <w:rFonts w:eastAsiaTheme="minorEastAsia"/>
                <w:noProof/>
                <w:lang w:eastAsia="en-GB"/>
              </w:rPr>
              <w:tab/>
            </w:r>
            <w:r w:rsidRPr="00704C0C">
              <w:rPr>
                <w:rStyle w:val="Hyperlink"/>
                <w:noProof/>
              </w:rPr>
              <w:t>Variation in incidence by deprivation quintile</w:t>
            </w:r>
            <w:r>
              <w:rPr>
                <w:noProof/>
                <w:webHidden/>
              </w:rPr>
              <w:tab/>
            </w:r>
            <w:r>
              <w:rPr>
                <w:noProof/>
                <w:webHidden/>
              </w:rPr>
              <w:fldChar w:fldCharType="begin"/>
            </w:r>
            <w:r>
              <w:rPr>
                <w:noProof/>
                <w:webHidden/>
              </w:rPr>
              <w:instrText xml:space="preserve"> PAGEREF _Toc201512520 \h </w:instrText>
            </w:r>
            <w:r>
              <w:rPr>
                <w:noProof/>
                <w:webHidden/>
              </w:rPr>
            </w:r>
            <w:r>
              <w:rPr>
                <w:noProof/>
                <w:webHidden/>
              </w:rPr>
              <w:fldChar w:fldCharType="separate"/>
            </w:r>
            <w:r w:rsidR="00C13E0E">
              <w:rPr>
                <w:noProof/>
                <w:webHidden/>
              </w:rPr>
              <w:t>93</w:t>
            </w:r>
            <w:r>
              <w:rPr>
                <w:noProof/>
                <w:webHidden/>
              </w:rPr>
              <w:fldChar w:fldCharType="end"/>
            </w:r>
          </w:hyperlink>
        </w:p>
        <w:p w14:paraId="3F1F9617" w14:textId="699DF6F5"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21" w:history="1">
            <w:r w:rsidRPr="00704C0C">
              <w:rPr>
                <w:rStyle w:val="Hyperlink"/>
                <w:noProof/>
              </w:rPr>
              <w:t>14.2</w:t>
            </w:r>
            <w:r>
              <w:rPr>
                <w:rFonts w:eastAsiaTheme="minorEastAsia"/>
                <w:noProof/>
                <w:lang w:eastAsia="en-GB"/>
              </w:rPr>
              <w:tab/>
            </w:r>
            <w:r w:rsidRPr="00704C0C">
              <w:rPr>
                <w:rStyle w:val="Hyperlink"/>
                <w:noProof/>
              </w:rPr>
              <w:t>Mortality</w:t>
            </w:r>
            <w:r>
              <w:rPr>
                <w:noProof/>
                <w:webHidden/>
              </w:rPr>
              <w:tab/>
            </w:r>
            <w:r>
              <w:rPr>
                <w:noProof/>
                <w:webHidden/>
              </w:rPr>
              <w:fldChar w:fldCharType="begin"/>
            </w:r>
            <w:r>
              <w:rPr>
                <w:noProof/>
                <w:webHidden/>
              </w:rPr>
              <w:instrText xml:space="preserve"> PAGEREF _Toc201512521 \h </w:instrText>
            </w:r>
            <w:r>
              <w:rPr>
                <w:noProof/>
                <w:webHidden/>
              </w:rPr>
            </w:r>
            <w:r>
              <w:rPr>
                <w:noProof/>
                <w:webHidden/>
              </w:rPr>
              <w:fldChar w:fldCharType="separate"/>
            </w:r>
            <w:r w:rsidR="00C13E0E">
              <w:rPr>
                <w:noProof/>
                <w:webHidden/>
              </w:rPr>
              <w:t>93</w:t>
            </w:r>
            <w:r>
              <w:rPr>
                <w:noProof/>
                <w:webHidden/>
              </w:rPr>
              <w:fldChar w:fldCharType="end"/>
            </w:r>
          </w:hyperlink>
        </w:p>
        <w:p w14:paraId="39CDD031" w14:textId="6C180B03"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22" w:history="1">
            <w:r w:rsidRPr="00704C0C">
              <w:rPr>
                <w:rStyle w:val="Hyperlink"/>
                <w:noProof/>
              </w:rPr>
              <w:t>14.2.1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_Toc201512522 \h </w:instrText>
            </w:r>
            <w:r>
              <w:rPr>
                <w:noProof/>
                <w:webHidden/>
              </w:rPr>
            </w:r>
            <w:r>
              <w:rPr>
                <w:noProof/>
                <w:webHidden/>
              </w:rPr>
              <w:fldChar w:fldCharType="separate"/>
            </w:r>
            <w:r w:rsidR="00C13E0E">
              <w:rPr>
                <w:noProof/>
                <w:webHidden/>
              </w:rPr>
              <w:t>94</w:t>
            </w:r>
            <w:r>
              <w:rPr>
                <w:noProof/>
                <w:webHidden/>
              </w:rPr>
              <w:fldChar w:fldCharType="end"/>
            </w:r>
          </w:hyperlink>
        </w:p>
        <w:p w14:paraId="27B8A77E" w14:textId="716B7583"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23" w:history="1">
            <w:r w:rsidRPr="00704C0C">
              <w:rPr>
                <w:rStyle w:val="Hyperlink"/>
                <w:noProof/>
              </w:rPr>
              <w:t>14.3</w:t>
            </w:r>
            <w:r>
              <w:rPr>
                <w:rFonts w:eastAsiaTheme="minorEastAsia"/>
                <w:noProof/>
                <w:lang w:eastAsia="en-GB"/>
              </w:rPr>
              <w:tab/>
            </w:r>
            <w:r w:rsidRPr="00704C0C">
              <w:rPr>
                <w:rStyle w:val="Hyperlink"/>
                <w:noProof/>
              </w:rPr>
              <w:t>Survival</w:t>
            </w:r>
            <w:r>
              <w:rPr>
                <w:noProof/>
                <w:webHidden/>
              </w:rPr>
              <w:tab/>
            </w:r>
            <w:r>
              <w:rPr>
                <w:noProof/>
                <w:webHidden/>
              </w:rPr>
              <w:fldChar w:fldCharType="begin"/>
            </w:r>
            <w:r>
              <w:rPr>
                <w:noProof/>
                <w:webHidden/>
              </w:rPr>
              <w:instrText xml:space="preserve"> PAGEREF _Toc201512523 \h </w:instrText>
            </w:r>
            <w:r>
              <w:rPr>
                <w:noProof/>
                <w:webHidden/>
              </w:rPr>
            </w:r>
            <w:r>
              <w:rPr>
                <w:noProof/>
                <w:webHidden/>
              </w:rPr>
              <w:fldChar w:fldCharType="separate"/>
            </w:r>
            <w:r w:rsidR="00C13E0E">
              <w:rPr>
                <w:noProof/>
                <w:webHidden/>
              </w:rPr>
              <w:t>95</w:t>
            </w:r>
            <w:r>
              <w:rPr>
                <w:noProof/>
                <w:webHidden/>
              </w:rPr>
              <w:fldChar w:fldCharType="end"/>
            </w:r>
          </w:hyperlink>
        </w:p>
        <w:p w14:paraId="71FE4F62" w14:textId="42881382"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24" w:history="1">
            <w:r w:rsidRPr="00704C0C">
              <w:rPr>
                <w:rStyle w:val="Hyperlink"/>
                <w:noProof/>
              </w:rPr>
              <w:t>14.4</w:t>
            </w:r>
            <w:r>
              <w:rPr>
                <w:rFonts w:eastAsiaTheme="minorEastAsia"/>
                <w:noProof/>
                <w:lang w:eastAsia="en-GB"/>
              </w:rPr>
              <w:tab/>
            </w:r>
            <w:r w:rsidRPr="00704C0C">
              <w:rPr>
                <w:rStyle w:val="Hyperlink"/>
                <w:noProof/>
              </w:rPr>
              <w:t>Population Attributable Fraction</w:t>
            </w:r>
            <w:r>
              <w:rPr>
                <w:noProof/>
                <w:webHidden/>
              </w:rPr>
              <w:tab/>
            </w:r>
            <w:r>
              <w:rPr>
                <w:noProof/>
                <w:webHidden/>
              </w:rPr>
              <w:fldChar w:fldCharType="begin"/>
            </w:r>
            <w:r>
              <w:rPr>
                <w:noProof/>
                <w:webHidden/>
              </w:rPr>
              <w:instrText xml:space="preserve"> PAGEREF _Toc201512524 \h </w:instrText>
            </w:r>
            <w:r>
              <w:rPr>
                <w:noProof/>
                <w:webHidden/>
              </w:rPr>
            </w:r>
            <w:r>
              <w:rPr>
                <w:noProof/>
                <w:webHidden/>
              </w:rPr>
              <w:fldChar w:fldCharType="separate"/>
            </w:r>
            <w:r w:rsidR="00C13E0E">
              <w:rPr>
                <w:noProof/>
                <w:webHidden/>
              </w:rPr>
              <w:t>95</w:t>
            </w:r>
            <w:r>
              <w:rPr>
                <w:noProof/>
                <w:webHidden/>
              </w:rPr>
              <w:fldChar w:fldCharType="end"/>
            </w:r>
          </w:hyperlink>
        </w:p>
        <w:p w14:paraId="44384ECC" w14:textId="796131DF" w:rsidR="004B0E10" w:rsidRDefault="004B0E10" w:rsidP="00CD71C7">
          <w:pPr>
            <w:pStyle w:val="TOC1"/>
            <w:tabs>
              <w:tab w:val="left" w:pos="720"/>
              <w:tab w:val="right" w:leader="dot" w:pos="9016"/>
            </w:tabs>
            <w:spacing w:line="240" w:lineRule="auto"/>
            <w:rPr>
              <w:rFonts w:eastAsiaTheme="minorEastAsia"/>
              <w:noProof/>
              <w:lang w:eastAsia="en-GB"/>
            </w:rPr>
          </w:pPr>
          <w:hyperlink w:anchor="_Toc201512525" w:history="1">
            <w:r w:rsidRPr="00704C0C">
              <w:rPr>
                <w:rStyle w:val="Hyperlink"/>
                <w:noProof/>
              </w:rPr>
              <w:t>15</w:t>
            </w:r>
            <w:r>
              <w:rPr>
                <w:rFonts w:eastAsiaTheme="minorEastAsia"/>
                <w:noProof/>
                <w:lang w:eastAsia="en-GB"/>
              </w:rPr>
              <w:tab/>
            </w:r>
            <w:r w:rsidRPr="00704C0C">
              <w:rPr>
                <w:rStyle w:val="Hyperlink"/>
                <w:noProof/>
              </w:rPr>
              <w:t>Lung C33-34</w:t>
            </w:r>
            <w:r>
              <w:rPr>
                <w:noProof/>
                <w:webHidden/>
              </w:rPr>
              <w:tab/>
            </w:r>
            <w:r>
              <w:rPr>
                <w:noProof/>
                <w:webHidden/>
              </w:rPr>
              <w:fldChar w:fldCharType="begin"/>
            </w:r>
            <w:r>
              <w:rPr>
                <w:noProof/>
                <w:webHidden/>
              </w:rPr>
              <w:instrText xml:space="preserve"> PAGEREF _Toc201512525 \h </w:instrText>
            </w:r>
            <w:r>
              <w:rPr>
                <w:noProof/>
                <w:webHidden/>
              </w:rPr>
            </w:r>
            <w:r>
              <w:rPr>
                <w:noProof/>
                <w:webHidden/>
              </w:rPr>
              <w:fldChar w:fldCharType="separate"/>
            </w:r>
            <w:r w:rsidR="00C13E0E">
              <w:rPr>
                <w:noProof/>
                <w:webHidden/>
              </w:rPr>
              <w:t>96</w:t>
            </w:r>
            <w:r>
              <w:rPr>
                <w:noProof/>
                <w:webHidden/>
              </w:rPr>
              <w:fldChar w:fldCharType="end"/>
            </w:r>
          </w:hyperlink>
        </w:p>
        <w:p w14:paraId="3F33CD0A" w14:textId="20C33B70"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26" w:history="1">
            <w:r w:rsidRPr="00704C0C">
              <w:rPr>
                <w:rStyle w:val="Hyperlink"/>
                <w:noProof/>
              </w:rPr>
              <w:t>15.1</w:t>
            </w:r>
            <w:r>
              <w:rPr>
                <w:rFonts w:eastAsiaTheme="minorEastAsia"/>
                <w:noProof/>
                <w:lang w:eastAsia="en-GB"/>
              </w:rPr>
              <w:tab/>
            </w:r>
            <w:r w:rsidRPr="00704C0C">
              <w:rPr>
                <w:rStyle w:val="Hyperlink"/>
                <w:noProof/>
              </w:rPr>
              <w:t>Incidence</w:t>
            </w:r>
            <w:r>
              <w:rPr>
                <w:noProof/>
                <w:webHidden/>
              </w:rPr>
              <w:tab/>
            </w:r>
            <w:r>
              <w:rPr>
                <w:noProof/>
                <w:webHidden/>
              </w:rPr>
              <w:fldChar w:fldCharType="begin"/>
            </w:r>
            <w:r>
              <w:rPr>
                <w:noProof/>
                <w:webHidden/>
              </w:rPr>
              <w:instrText xml:space="preserve"> PAGEREF _Toc201512526 \h </w:instrText>
            </w:r>
            <w:r>
              <w:rPr>
                <w:noProof/>
                <w:webHidden/>
              </w:rPr>
            </w:r>
            <w:r>
              <w:rPr>
                <w:noProof/>
                <w:webHidden/>
              </w:rPr>
              <w:fldChar w:fldCharType="separate"/>
            </w:r>
            <w:r w:rsidR="00C13E0E">
              <w:rPr>
                <w:noProof/>
                <w:webHidden/>
              </w:rPr>
              <w:t>97</w:t>
            </w:r>
            <w:r>
              <w:rPr>
                <w:noProof/>
                <w:webHidden/>
              </w:rPr>
              <w:fldChar w:fldCharType="end"/>
            </w:r>
          </w:hyperlink>
        </w:p>
        <w:p w14:paraId="414DC5CF" w14:textId="7CCC023D"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27" w:history="1">
            <w:r w:rsidRPr="00704C0C">
              <w:rPr>
                <w:rStyle w:val="Hyperlink"/>
                <w:noProof/>
              </w:rPr>
              <w:t>15.1.1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_Toc201512527 \h </w:instrText>
            </w:r>
            <w:r>
              <w:rPr>
                <w:noProof/>
                <w:webHidden/>
              </w:rPr>
            </w:r>
            <w:r>
              <w:rPr>
                <w:noProof/>
                <w:webHidden/>
              </w:rPr>
              <w:fldChar w:fldCharType="separate"/>
            </w:r>
            <w:r w:rsidR="00C13E0E">
              <w:rPr>
                <w:noProof/>
                <w:webHidden/>
              </w:rPr>
              <w:t>97</w:t>
            </w:r>
            <w:r>
              <w:rPr>
                <w:noProof/>
                <w:webHidden/>
              </w:rPr>
              <w:fldChar w:fldCharType="end"/>
            </w:r>
          </w:hyperlink>
        </w:p>
        <w:p w14:paraId="5FAA737C" w14:textId="397ED419"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28" w:history="1">
            <w:r w:rsidRPr="00704C0C">
              <w:rPr>
                <w:rStyle w:val="Hyperlink"/>
                <w:noProof/>
              </w:rPr>
              <w:t>15.1.2</w:t>
            </w:r>
            <w:r>
              <w:rPr>
                <w:rFonts w:eastAsiaTheme="minorEastAsia"/>
                <w:noProof/>
                <w:lang w:eastAsia="en-GB"/>
              </w:rPr>
              <w:tab/>
            </w:r>
            <w:r w:rsidRPr="00704C0C">
              <w:rPr>
                <w:rStyle w:val="Hyperlink"/>
                <w:noProof/>
              </w:rPr>
              <w:t>Variation by deprivation quintile</w:t>
            </w:r>
            <w:r>
              <w:rPr>
                <w:noProof/>
                <w:webHidden/>
              </w:rPr>
              <w:tab/>
            </w:r>
            <w:r>
              <w:rPr>
                <w:noProof/>
                <w:webHidden/>
              </w:rPr>
              <w:fldChar w:fldCharType="begin"/>
            </w:r>
            <w:r>
              <w:rPr>
                <w:noProof/>
                <w:webHidden/>
              </w:rPr>
              <w:instrText xml:space="preserve"> PAGEREF _Toc201512528 \h </w:instrText>
            </w:r>
            <w:r>
              <w:rPr>
                <w:noProof/>
                <w:webHidden/>
              </w:rPr>
            </w:r>
            <w:r>
              <w:rPr>
                <w:noProof/>
                <w:webHidden/>
              </w:rPr>
              <w:fldChar w:fldCharType="separate"/>
            </w:r>
            <w:r w:rsidR="00C13E0E">
              <w:rPr>
                <w:noProof/>
                <w:webHidden/>
              </w:rPr>
              <w:t>98</w:t>
            </w:r>
            <w:r>
              <w:rPr>
                <w:noProof/>
                <w:webHidden/>
              </w:rPr>
              <w:fldChar w:fldCharType="end"/>
            </w:r>
          </w:hyperlink>
        </w:p>
        <w:p w14:paraId="291D3B5B" w14:textId="519B9953"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29" w:history="1">
            <w:r w:rsidRPr="00704C0C">
              <w:rPr>
                <w:rStyle w:val="Hyperlink"/>
                <w:noProof/>
              </w:rPr>
              <w:t>15.2</w:t>
            </w:r>
            <w:r>
              <w:rPr>
                <w:rFonts w:eastAsiaTheme="minorEastAsia"/>
                <w:noProof/>
                <w:lang w:eastAsia="en-GB"/>
              </w:rPr>
              <w:tab/>
            </w:r>
            <w:r w:rsidRPr="00704C0C">
              <w:rPr>
                <w:rStyle w:val="Hyperlink"/>
                <w:noProof/>
              </w:rPr>
              <w:t>Mortality</w:t>
            </w:r>
            <w:r>
              <w:rPr>
                <w:noProof/>
                <w:webHidden/>
              </w:rPr>
              <w:tab/>
            </w:r>
            <w:r>
              <w:rPr>
                <w:noProof/>
                <w:webHidden/>
              </w:rPr>
              <w:fldChar w:fldCharType="begin"/>
            </w:r>
            <w:r>
              <w:rPr>
                <w:noProof/>
                <w:webHidden/>
              </w:rPr>
              <w:instrText xml:space="preserve"> PAGEREF _Toc201512529 \h </w:instrText>
            </w:r>
            <w:r>
              <w:rPr>
                <w:noProof/>
                <w:webHidden/>
              </w:rPr>
            </w:r>
            <w:r>
              <w:rPr>
                <w:noProof/>
                <w:webHidden/>
              </w:rPr>
              <w:fldChar w:fldCharType="separate"/>
            </w:r>
            <w:r w:rsidR="00C13E0E">
              <w:rPr>
                <w:noProof/>
                <w:webHidden/>
              </w:rPr>
              <w:t>98</w:t>
            </w:r>
            <w:r>
              <w:rPr>
                <w:noProof/>
                <w:webHidden/>
              </w:rPr>
              <w:fldChar w:fldCharType="end"/>
            </w:r>
          </w:hyperlink>
        </w:p>
        <w:p w14:paraId="617AEDB2" w14:textId="5955E19D"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30" w:history="1">
            <w:r w:rsidRPr="00704C0C">
              <w:rPr>
                <w:rStyle w:val="Hyperlink"/>
                <w:noProof/>
              </w:rPr>
              <w:t>15.2.1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_Toc201512530 \h </w:instrText>
            </w:r>
            <w:r>
              <w:rPr>
                <w:noProof/>
                <w:webHidden/>
              </w:rPr>
            </w:r>
            <w:r>
              <w:rPr>
                <w:noProof/>
                <w:webHidden/>
              </w:rPr>
              <w:fldChar w:fldCharType="separate"/>
            </w:r>
            <w:r w:rsidR="00C13E0E">
              <w:rPr>
                <w:noProof/>
                <w:webHidden/>
              </w:rPr>
              <w:t>99</w:t>
            </w:r>
            <w:r>
              <w:rPr>
                <w:noProof/>
                <w:webHidden/>
              </w:rPr>
              <w:fldChar w:fldCharType="end"/>
            </w:r>
          </w:hyperlink>
        </w:p>
        <w:p w14:paraId="43FDA51F" w14:textId="4EBD236B"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31" w:history="1">
            <w:r w:rsidRPr="00704C0C">
              <w:rPr>
                <w:rStyle w:val="Hyperlink"/>
                <w:noProof/>
              </w:rPr>
              <w:t>15.3</w:t>
            </w:r>
            <w:r>
              <w:rPr>
                <w:rFonts w:eastAsiaTheme="minorEastAsia"/>
                <w:noProof/>
                <w:lang w:eastAsia="en-GB"/>
              </w:rPr>
              <w:tab/>
            </w:r>
            <w:r w:rsidRPr="00704C0C">
              <w:rPr>
                <w:rStyle w:val="Hyperlink"/>
                <w:noProof/>
              </w:rPr>
              <w:t>Survival</w:t>
            </w:r>
            <w:r>
              <w:rPr>
                <w:noProof/>
                <w:webHidden/>
              </w:rPr>
              <w:tab/>
            </w:r>
            <w:r>
              <w:rPr>
                <w:noProof/>
                <w:webHidden/>
              </w:rPr>
              <w:fldChar w:fldCharType="begin"/>
            </w:r>
            <w:r>
              <w:rPr>
                <w:noProof/>
                <w:webHidden/>
              </w:rPr>
              <w:instrText xml:space="preserve"> PAGEREF _Toc201512531 \h </w:instrText>
            </w:r>
            <w:r>
              <w:rPr>
                <w:noProof/>
                <w:webHidden/>
              </w:rPr>
            </w:r>
            <w:r>
              <w:rPr>
                <w:noProof/>
                <w:webHidden/>
              </w:rPr>
              <w:fldChar w:fldCharType="separate"/>
            </w:r>
            <w:r w:rsidR="00C13E0E">
              <w:rPr>
                <w:noProof/>
                <w:webHidden/>
              </w:rPr>
              <w:t>100</w:t>
            </w:r>
            <w:r>
              <w:rPr>
                <w:noProof/>
                <w:webHidden/>
              </w:rPr>
              <w:fldChar w:fldCharType="end"/>
            </w:r>
          </w:hyperlink>
        </w:p>
        <w:p w14:paraId="74B47FD5" w14:textId="4904A27A"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32" w:history="1">
            <w:r w:rsidRPr="00704C0C">
              <w:rPr>
                <w:rStyle w:val="Hyperlink"/>
                <w:noProof/>
              </w:rPr>
              <w:t>15.4</w:t>
            </w:r>
            <w:r>
              <w:rPr>
                <w:rFonts w:eastAsiaTheme="minorEastAsia"/>
                <w:noProof/>
                <w:lang w:eastAsia="en-GB"/>
              </w:rPr>
              <w:tab/>
            </w:r>
            <w:r w:rsidRPr="00704C0C">
              <w:rPr>
                <w:rStyle w:val="Hyperlink"/>
                <w:noProof/>
              </w:rPr>
              <w:t>Population Attributable Fraction</w:t>
            </w:r>
            <w:r>
              <w:rPr>
                <w:noProof/>
                <w:webHidden/>
              </w:rPr>
              <w:tab/>
            </w:r>
            <w:r>
              <w:rPr>
                <w:noProof/>
                <w:webHidden/>
              </w:rPr>
              <w:fldChar w:fldCharType="begin"/>
            </w:r>
            <w:r>
              <w:rPr>
                <w:noProof/>
                <w:webHidden/>
              </w:rPr>
              <w:instrText xml:space="preserve"> PAGEREF _Toc201512532 \h </w:instrText>
            </w:r>
            <w:r>
              <w:rPr>
                <w:noProof/>
                <w:webHidden/>
              </w:rPr>
            </w:r>
            <w:r>
              <w:rPr>
                <w:noProof/>
                <w:webHidden/>
              </w:rPr>
              <w:fldChar w:fldCharType="separate"/>
            </w:r>
            <w:r w:rsidR="00C13E0E">
              <w:rPr>
                <w:noProof/>
                <w:webHidden/>
              </w:rPr>
              <w:t>100</w:t>
            </w:r>
            <w:r>
              <w:rPr>
                <w:noProof/>
                <w:webHidden/>
              </w:rPr>
              <w:fldChar w:fldCharType="end"/>
            </w:r>
          </w:hyperlink>
        </w:p>
        <w:p w14:paraId="4B990BF5" w14:textId="51D9FDA8" w:rsidR="004B0E10" w:rsidRDefault="004B0E10" w:rsidP="00CD71C7">
          <w:pPr>
            <w:pStyle w:val="TOC1"/>
            <w:tabs>
              <w:tab w:val="left" w:pos="720"/>
              <w:tab w:val="right" w:leader="dot" w:pos="9016"/>
            </w:tabs>
            <w:spacing w:line="240" w:lineRule="auto"/>
            <w:rPr>
              <w:rFonts w:eastAsiaTheme="minorEastAsia"/>
              <w:noProof/>
              <w:lang w:eastAsia="en-GB"/>
            </w:rPr>
          </w:pPr>
          <w:hyperlink w:anchor="_Toc201512533" w:history="1">
            <w:r w:rsidRPr="00704C0C">
              <w:rPr>
                <w:rStyle w:val="Hyperlink"/>
                <w:noProof/>
              </w:rPr>
              <w:t>16</w:t>
            </w:r>
            <w:r>
              <w:rPr>
                <w:rFonts w:eastAsiaTheme="minorEastAsia"/>
                <w:noProof/>
                <w:lang w:eastAsia="en-GB"/>
              </w:rPr>
              <w:tab/>
            </w:r>
            <w:r w:rsidRPr="00704C0C">
              <w:rPr>
                <w:rStyle w:val="Hyperlink"/>
                <w:noProof/>
              </w:rPr>
              <w:t>Breast (Female Breast Cancer)  C50</w:t>
            </w:r>
            <w:r>
              <w:rPr>
                <w:noProof/>
                <w:webHidden/>
              </w:rPr>
              <w:tab/>
            </w:r>
            <w:r>
              <w:rPr>
                <w:noProof/>
                <w:webHidden/>
              </w:rPr>
              <w:fldChar w:fldCharType="begin"/>
            </w:r>
            <w:r>
              <w:rPr>
                <w:noProof/>
                <w:webHidden/>
              </w:rPr>
              <w:instrText xml:space="preserve"> PAGEREF _Toc201512533 \h </w:instrText>
            </w:r>
            <w:r>
              <w:rPr>
                <w:noProof/>
                <w:webHidden/>
              </w:rPr>
            </w:r>
            <w:r>
              <w:rPr>
                <w:noProof/>
                <w:webHidden/>
              </w:rPr>
              <w:fldChar w:fldCharType="separate"/>
            </w:r>
            <w:r w:rsidR="00C13E0E">
              <w:rPr>
                <w:noProof/>
                <w:webHidden/>
              </w:rPr>
              <w:t>101</w:t>
            </w:r>
            <w:r>
              <w:rPr>
                <w:noProof/>
                <w:webHidden/>
              </w:rPr>
              <w:fldChar w:fldCharType="end"/>
            </w:r>
          </w:hyperlink>
        </w:p>
        <w:p w14:paraId="496CA054" w14:textId="32E4FFFB"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34" w:history="1">
            <w:r w:rsidRPr="00704C0C">
              <w:rPr>
                <w:rStyle w:val="Hyperlink"/>
                <w:noProof/>
              </w:rPr>
              <w:t>16.1</w:t>
            </w:r>
            <w:r>
              <w:rPr>
                <w:rFonts w:eastAsiaTheme="minorEastAsia"/>
                <w:noProof/>
                <w:lang w:eastAsia="en-GB"/>
              </w:rPr>
              <w:tab/>
            </w:r>
            <w:r w:rsidRPr="00704C0C">
              <w:rPr>
                <w:rStyle w:val="Hyperlink"/>
                <w:noProof/>
              </w:rPr>
              <w:t>Incidence</w:t>
            </w:r>
            <w:r>
              <w:rPr>
                <w:noProof/>
                <w:webHidden/>
              </w:rPr>
              <w:tab/>
            </w:r>
            <w:r>
              <w:rPr>
                <w:noProof/>
                <w:webHidden/>
              </w:rPr>
              <w:fldChar w:fldCharType="begin"/>
            </w:r>
            <w:r>
              <w:rPr>
                <w:noProof/>
                <w:webHidden/>
              </w:rPr>
              <w:instrText xml:space="preserve"> PAGEREF _Toc201512534 \h </w:instrText>
            </w:r>
            <w:r>
              <w:rPr>
                <w:noProof/>
                <w:webHidden/>
              </w:rPr>
            </w:r>
            <w:r>
              <w:rPr>
                <w:noProof/>
                <w:webHidden/>
              </w:rPr>
              <w:fldChar w:fldCharType="separate"/>
            </w:r>
            <w:r w:rsidR="00C13E0E">
              <w:rPr>
                <w:noProof/>
                <w:webHidden/>
              </w:rPr>
              <w:t>102</w:t>
            </w:r>
            <w:r>
              <w:rPr>
                <w:noProof/>
                <w:webHidden/>
              </w:rPr>
              <w:fldChar w:fldCharType="end"/>
            </w:r>
          </w:hyperlink>
        </w:p>
        <w:p w14:paraId="674F86B0" w14:textId="163D13E2"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35" w:history="1">
            <w:r w:rsidRPr="00704C0C">
              <w:rPr>
                <w:rStyle w:val="Hyperlink"/>
                <w:noProof/>
              </w:rPr>
              <w:t>16.1.1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_Toc201512535 \h </w:instrText>
            </w:r>
            <w:r>
              <w:rPr>
                <w:noProof/>
                <w:webHidden/>
              </w:rPr>
            </w:r>
            <w:r>
              <w:rPr>
                <w:noProof/>
                <w:webHidden/>
              </w:rPr>
              <w:fldChar w:fldCharType="separate"/>
            </w:r>
            <w:r w:rsidR="00C13E0E">
              <w:rPr>
                <w:noProof/>
                <w:webHidden/>
              </w:rPr>
              <w:t>102</w:t>
            </w:r>
            <w:r>
              <w:rPr>
                <w:noProof/>
                <w:webHidden/>
              </w:rPr>
              <w:fldChar w:fldCharType="end"/>
            </w:r>
          </w:hyperlink>
        </w:p>
        <w:p w14:paraId="70EEF569" w14:textId="40307475"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36" w:history="1">
            <w:r w:rsidRPr="00704C0C">
              <w:rPr>
                <w:rStyle w:val="Hyperlink"/>
                <w:noProof/>
              </w:rPr>
              <w:t>16.1.2</w:t>
            </w:r>
            <w:r>
              <w:rPr>
                <w:rFonts w:eastAsiaTheme="minorEastAsia"/>
                <w:noProof/>
                <w:lang w:eastAsia="en-GB"/>
              </w:rPr>
              <w:tab/>
            </w:r>
            <w:r w:rsidRPr="00704C0C">
              <w:rPr>
                <w:rStyle w:val="Hyperlink"/>
                <w:noProof/>
              </w:rPr>
              <w:t>Variation by deprivation quintile</w:t>
            </w:r>
            <w:r>
              <w:rPr>
                <w:noProof/>
                <w:webHidden/>
              </w:rPr>
              <w:tab/>
            </w:r>
            <w:r>
              <w:rPr>
                <w:noProof/>
                <w:webHidden/>
              </w:rPr>
              <w:fldChar w:fldCharType="begin"/>
            </w:r>
            <w:r>
              <w:rPr>
                <w:noProof/>
                <w:webHidden/>
              </w:rPr>
              <w:instrText xml:space="preserve"> PAGEREF _Toc201512536 \h </w:instrText>
            </w:r>
            <w:r>
              <w:rPr>
                <w:noProof/>
                <w:webHidden/>
              </w:rPr>
            </w:r>
            <w:r>
              <w:rPr>
                <w:noProof/>
                <w:webHidden/>
              </w:rPr>
              <w:fldChar w:fldCharType="separate"/>
            </w:r>
            <w:r w:rsidR="00C13E0E">
              <w:rPr>
                <w:noProof/>
                <w:webHidden/>
              </w:rPr>
              <w:t>103</w:t>
            </w:r>
            <w:r>
              <w:rPr>
                <w:noProof/>
                <w:webHidden/>
              </w:rPr>
              <w:fldChar w:fldCharType="end"/>
            </w:r>
          </w:hyperlink>
        </w:p>
        <w:p w14:paraId="1A49B76E" w14:textId="1DF07E8E"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37" w:history="1">
            <w:r w:rsidRPr="00704C0C">
              <w:rPr>
                <w:rStyle w:val="Hyperlink"/>
                <w:noProof/>
              </w:rPr>
              <w:t>16.2</w:t>
            </w:r>
            <w:r>
              <w:rPr>
                <w:rFonts w:eastAsiaTheme="minorEastAsia"/>
                <w:noProof/>
                <w:lang w:eastAsia="en-GB"/>
              </w:rPr>
              <w:tab/>
            </w:r>
            <w:r w:rsidRPr="00704C0C">
              <w:rPr>
                <w:rStyle w:val="Hyperlink"/>
                <w:noProof/>
              </w:rPr>
              <w:t>Mortality</w:t>
            </w:r>
            <w:r>
              <w:rPr>
                <w:noProof/>
                <w:webHidden/>
              </w:rPr>
              <w:tab/>
            </w:r>
            <w:r>
              <w:rPr>
                <w:noProof/>
                <w:webHidden/>
              </w:rPr>
              <w:fldChar w:fldCharType="begin"/>
            </w:r>
            <w:r>
              <w:rPr>
                <w:noProof/>
                <w:webHidden/>
              </w:rPr>
              <w:instrText xml:space="preserve"> PAGEREF _Toc201512537 \h </w:instrText>
            </w:r>
            <w:r>
              <w:rPr>
                <w:noProof/>
                <w:webHidden/>
              </w:rPr>
            </w:r>
            <w:r>
              <w:rPr>
                <w:noProof/>
                <w:webHidden/>
              </w:rPr>
              <w:fldChar w:fldCharType="separate"/>
            </w:r>
            <w:r w:rsidR="00C13E0E">
              <w:rPr>
                <w:noProof/>
                <w:webHidden/>
              </w:rPr>
              <w:t>103</w:t>
            </w:r>
            <w:r>
              <w:rPr>
                <w:noProof/>
                <w:webHidden/>
              </w:rPr>
              <w:fldChar w:fldCharType="end"/>
            </w:r>
          </w:hyperlink>
        </w:p>
        <w:p w14:paraId="190EBB39" w14:textId="2E33BD18"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38" w:history="1">
            <w:r w:rsidRPr="00704C0C">
              <w:rPr>
                <w:rStyle w:val="Hyperlink"/>
                <w:noProof/>
              </w:rPr>
              <w:t>16.2.1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_Toc201512538 \h </w:instrText>
            </w:r>
            <w:r>
              <w:rPr>
                <w:noProof/>
                <w:webHidden/>
              </w:rPr>
            </w:r>
            <w:r>
              <w:rPr>
                <w:noProof/>
                <w:webHidden/>
              </w:rPr>
              <w:fldChar w:fldCharType="separate"/>
            </w:r>
            <w:r w:rsidR="00C13E0E">
              <w:rPr>
                <w:noProof/>
                <w:webHidden/>
              </w:rPr>
              <w:t>104</w:t>
            </w:r>
            <w:r>
              <w:rPr>
                <w:noProof/>
                <w:webHidden/>
              </w:rPr>
              <w:fldChar w:fldCharType="end"/>
            </w:r>
          </w:hyperlink>
        </w:p>
        <w:p w14:paraId="65313F63" w14:textId="11E9FB57"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39" w:history="1">
            <w:r w:rsidRPr="00704C0C">
              <w:rPr>
                <w:rStyle w:val="Hyperlink"/>
                <w:noProof/>
              </w:rPr>
              <w:t>16.3</w:t>
            </w:r>
            <w:r>
              <w:rPr>
                <w:rFonts w:eastAsiaTheme="minorEastAsia"/>
                <w:noProof/>
                <w:lang w:eastAsia="en-GB"/>
              </w:rPr>
              <w:tab/>
            </w:r>
            <w:r w:rsidRPr="00704C0C">
              <w:rPr>
                <w:rStyle w:val="Hyperlink"/>
                <w:noProof/>
              </w:rPr>
              <w:t>Survival</w:t>
            </w:r>
            <w:r>
              <w:rPr>
                <w:noProof/>
                <w:webHidden/>
              </w:rPr>
              <w:tab/>
            </w:r>
            <w:r>
              <w:rPr>
                <w:noProof/>
                <w:webHidden/>
              </w:rPr>
              <w:fldChar w:fldCharType="begin"/>
            </w:r>
            <w:r>
              <w:rPr>
                <w:noProof/>
                <w:webHidden/>
              </w:rPr>
              <w:instrText xml:space="preserve"> PAGEREF _Toc201512539 \h </w:instrText>
            </w:r>
            <w:r>
              <w:rPr>
                <w:noProof/>
                <w:webHidden/>
              </w:rPr>
            </w:r>
            <w:r>
              <w:rPr>
                <w:noProof/>
                <w:webHidden/>
              </w:rPr>
              <w:fldChar w:fldCharType="separate"/>
            </w:r>
            <w:r w:rsidR="00C13E0E">
              <w:rPr>
                <w:noProof/>
                <w:webHidden/>
              </w:rPr>
              <w:t>105</w:t>
            </w:r>
            <w:r>
              <w:rPr>
                <w:noProof/>
                <w:webHidden/>
              </w:rPr>
              <w:fldChar w:fldCharType="end"/>
            </w:r>
          </w:hyperlink>
        </w:p>
        <w:p w14:paraId="2D59B652" w14:textId="585C063B"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40" w:history="1">
            <w:r w:rsidRPr="00704C0C">
              <w:rPr>
                <w:rStyle w:val="Hyperlink"/>
                <w:noProof/>
              </w:rPr>
              <w:t>16.4</w:t>
            </w:r>
            <w:r>
              <w:rPr>
                <w:rFonts w:eastAsiaTheme="minorEastAsia"/>
                <w:noProof/>
                <w:lang w:eastAsia="en-GB"/>
              </w:rPr>
              <w:tab/>
            </w:r>
            <w:r w:rsidRPr="00704C0C">
              <w:rPr>
                <w:rStyle w:val="Hyperlink"/>
                <w:noProof/>
              </w:rPr>
              <w:t>Population Attributable Fraction</w:t>
            </w:r>
            <w:r>
              <w:rPr>
                <w:noProof/>
                <w:webHidden/>
              </w:rPr>
              <w:tab/>
            </w:r>
            <w:r>
              <w:rPr>
                <w:noProof/>
                <w:webHidden/>
              </w:rPr>
              <w:fldChar w:fldCharType="begin"/>
            </w:r>
            <w:r>
              <w:rPr>
                <w:noProof/>
                <w:webHidden/>
              </w:rPr>
              <w:instrText xml:space="preserve"> PAGEREF _Toc201512540 \h </w:instrText>
            </w:r>
            <w:r>
              <w:rPr>
                <w:noProof/>
                <w:webHidden/>
              </w:rPr>
            </w:r>
            <w:r>
              <w:rPr>
                <w:noProof/>
                <w:webHidden/>
              </w:rPr>
              <w:fldChar w:fldCharType="separate"/>
            </w:r>
            <w:r w:rsidR="00C13E0E">
              <w:rPr>
                <w:noProof/>
                <w:webHidden/>
              </w:rPr>
              <w:t>105</w:t>
            </w:r>
            <w:r>
              <w:rPr>
                <w:noProof/>
                <w:webHidden/>
              </w:rPr>
              <w:fldChar w:fldCharType="end"/>
            </w:r>
          </w:hyperlink>
        </w:p>
        <w:p w14:paraId="65B43D35" w14:textId="5D67E62A" w:rsidR="004B0E10" w:rsidRDefault="004B0E10" w:rsidP="00CD71C7">
          <w:pPr>
            <w:pStyle w:val="TOC1"/>
            <w:tabs>
              <w:tab w:val="left" w:pos="720"/>
              <w:tab w:val="right" w:leader="dot" w:pos="9016"/>
            </w:tabs>
            <w:spacing w:line="240" w:lineRule="auto"/>
            <w:rPr>
              <w:rFonts w:eastAsiaTheme="minorEastAsia"/>
              <w:noProof/>
              <w:lang w:eastAsia="en-GB"/>
            </w:rPr>
          </w:pPr>
          <w:hyperlink w:anchor="_Toc201512541" w:history="1">
            <w:r w:rsidRPr="00704C0C">
              <w:rPr>
                <w:rStyle w:val="Hyperlink"/>
                <w:noProof/>
              </w:rPr>
              <w:t>17</w:t>
            </w:r>
            <w:r>
              <w:rPr>
                <w:rFonts w:eastAsiaTheme="minorEastAsia"/>
                <w:noProof/>
                <w:lang w:eastAsia="en-GB"/>
              </w:rPr>
              <w:tab/>
            </w:r>
            <w:r w:rsidRPr="00704C0C">
              <w:rPr>
                <w:rStyle w:val="Hyperlink"/>
                <w:noProof/>
              </w:rPr>
              <w:t>Cervix C53</w:t>
            </w:r>
            <w:r>
              <w:rPr>
                <w:noProof/>
                <w:webHidden/>
              </w:rPr>
              <w:tab/>
            </w:r>
            <w:r>
              <w:rPr>
                <w:noProof/>
                <w:webHidden/>
              </w:rPr>
              <w:fldChar w:fldCharType="begin"/>
            </w:r>
            <w:r>
              <w:rPr>
                <w:noProof/>
                <w:webHidden/>
              </w:rPr>
              <w:instrText xml:space="preserve"> PAGEREF _Toc201512541 \h </w:instrText>
            </w:r>
            <w:r>
              <w:rPr>
                <w:noProof/>
                <w:webHidden/>
              </w:rPr>
            </w:r>
            <w:r>
              <w:rPr>
                <w:noProof/>
                <w:webHidden/>
              </w:rPr>
              <w:fldChar w:fldCharType="separate"/>
            </w:r>
            <w:r w:rsidR="00C13E0E">
              <w:rPr>
                <w:noProof/>
                <w:webHidden/>
              </w:rPr>
              <w:t>106</w:t>
            </w:r>
            <w:r>
              <w:rPr>
                <w:noProof/>
                <w:webHidden/>
              </w:rPr>
              <w:fldChar w:fldCharType="end"/>
            </w:r>
          </w:hyperlink>
        </w:p>
        <w:p w14:paraId="4E9CF6CA" w14:textId="75F5C633"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42" w:history="1">
            <w:r w:rsidRPr="00704C0C">
              <w:rPr>
                <w:rStyle w:val="Hyperlink"/>
                <w:noProof/>
              </w:rPr>
              <w:t>17.1</w:t>
            </w:r>
            <w:r>
              <w:rPr>
                <w:rFonts w:eastAsiaTheme="minorEastAsia"/>
                <w:noProof/>
                <w:lang w:eastAsia="en-GB"/>
              </w:rPr>
              <w:tab/>
            </w:r>
            <w:r w:rsidRPr="00704C0C">
              <w:rPr>
                <w:rStyle w:val="Hyperlink"/>
                <w:noProof/>
              </w:rPr>
              <w:t>Incidence</w:t>
            </w:r>
            <w:r>
              <w:rPr>
                <w:noProof/>
                <w:webHidden/>
              </w:rPr>
              <w:tab/>
            </w:r>
            <w:r>
              <w:rPr>
                <w:noProof/>
                <w:webHidden/>
              </w:rPr>
              <w:fldChar w:fldCharType="begin"/>
            </w:r>
            <w:r>
              <w:rPr>
                <w:noProof/>
                <w:webHidden/>
              </w:rPr>
              <w:instrText xml:space="preserve"> PAGEREF _Toc201512542 \h </w:instrText>
            </w:r>
            <w:r>
              <w:rPr>
                <w:noProof/>
                <w:webHidden/>
              </w:rPr>
            </w:r>
            <w:r>
              <w:rPr>
                <w:noProof/>
                <w:webHidden/>
              </w:rPr>
              <w:fldChar w:fldCharType="separate"/>
            </w:r>
            <w:r w:rsidR="00C13E0E">
              <w:rPr>
                <w:noProof/>
                <w:webHidden/>
              </w:rPr>
              <w:t>107</w:t>
            </w:r>
            <w:r>
              <w:rPr>
                <w:noProof/>
                <w:webHidden/>
              </w:rPr>
              <w:fldChar w:fldCharType="end"/>
            </w:r>
          </w:hyperlink>
        </w:p>
        <w:p w14:paraId="76B489BB" w14:textId="70C196C6"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43" w:history="1">
            <w:r w:rsidRPr="00704C0C">
              <w:rPr>
                <w:rStyle w:val="Hyperlink"/>
                <w:noProof/>
              </w:rPr>
              <w:t>17.1.1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_Toc201512543 \h </w:instrText>
            </w:r>
            <w:r>
              <w:rPr>
                <w:noProof/>
                <w:webHidden/>
              </w:rPr>
            </w:r>
            <w:r>
              <w:rPr>
                <w:noProof/>
                <w:webHidden/>
              </w:rPr>
              <w:fldChar w:fldCharType="separate"/>
            </w:r>
            <w:r w:rsidR="00C13E0E">
              <w:rPr>
                <w:noProof/>
                <w:webHidden/>
              </w:rPr>
              <w:t>107</w:t>
            </w:r>
            <w:r>
              <w:rPr>
                <w:noProof/>
                <w:webHidden/>
              </w:rPr>
              <w:fldChar w:fldCharType="end"/>
            </w:r>
          </w:hyperlink>
        </w:p>
        <w:p w14:paraId="0714CFC9" w14:textId="4DC21AB2"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44" w:history="1">
            <w:r w:rsidRPr="00704C0C">
              <w:rPr>
                <w:rStyle w:val="Hyperlink"/>
                <w:noProof/>
              </w:rPr>
              <w:t>17.1.2</w:t>
            </w:r>
            <w:r>
              <w:rPr>
                <w:rFonts w:eastAsiaTheme="minorEastAsia"/>
                <w:noProof/>
                <w:lang w:eastAsia="en-GB"/>
              </w:rPr>
              <w:tab/>
            </w:r>
            <w:r w:rsidRPr="00704C0C">
              <w:rPr>
                <w:rStyle w:val="Hyperlink"/>
                <w:noProof/>
              </w:rPr>
              <w:t>Variation by deprivation quintile</w:t>
            </w:r>
            <w:r>
              <w:rPr>
                <w:noProof/>
                <w:webHidden/>
              </w:rPr>
              <w:tab/>
            </w:r>
            <w:r>
              <w:rPr>
                <w:noProof/>
                <w:webHidden/>
              </w:rPr>
              <w:fldChar w:fldCharType="begin"/>
            </w:r>
            <w:r>
              <w:rPr>
                <w:noProof/>
                <w:webHidden/>
              </w:rPr>
              <w:instrText xml:space="preserve"> PAGEREF _Toc201512544 \h </w:instrText>
            </w:r>
            <w:r>
              <w:rPr>
                <w:noProof/>
                <w:webHidden/>
              </w:rPr>
            </w:r>
            <w:r>
              <w:rPr>
                <w:noProof/>
                <w:webHidden/>
              </w:rPr>
              <w:fldChar w:fldCharType="separate"/>
            </w:r>
            <w:r w:rsidR="00C13E0E">
              <w:rPr>
                <w:noProof/>
                <w:webHidden/>
              </w:rPr>
              <w:t>108</w:t>
            </w:r>
            <w:r>
              <w:rPr>
                <w:noProof/>
                <w:webHidden/>
              </w:rPr>
              <w:fldChar w:fldCharType="end"/>
            </w:r>
          </w:hyperlink>
        </w:p>
        <w:p w14:paraId="44740772" w14:textId="2A8706BE"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45" w:history="1">
            <w:r w:rsidRPr="00704C0C">
              <w:rPr>
                <w:rStyle w:val="Hyperlink"/>
                <w:noProof/>
              </w:rPr>
              <w:t>17.2</w:t>
            </w:r>
            <w:r>
              <w:rPr>
                <w:rFonts w:eastAsiaTheme="minorEastAsia"/>
                <w:noProof/>
                <w:lang w:eastAsia="en-GB"/>
              </w:rPr>
              <w:tab/>
            </w:r>
            <w:r w:rsidRPr="00704C0C">
              <w:rPr>
                <w:rStyle w:val="Hyperlink"/>
                <w:noProof/>
              </w:rPr>
              <w:t>Mortality</w:t>
            </w:r>
            <w:r>
              <w:rPr>
                <w:noProof/>
                <w:webHidden/>
              </w:rPr>
              <w:tab/>
            </w:r>
            <w:r>
              <w:rPr>
                <w:noProof/>
                <w:webHidden/>
              </w:rPr>
              <w:fldChar w:fldCharType="begin"/>
            </w:r>
            <w:r>
              <w:rPr>
                <w:noProof/>
                <w:webHidden/>
              </w:rPr>
              <w:instrText xml:space="preserve"> PAGEREF _Toc201512545 \h </w:instrText>
            </w:r>
            <w:r>
              <w:rPr>
                <w:noProof/>
                <w:webHidden/>
              </w:rPr>
            </w:r>
            <w:r>
              <w:rPr>
                <w:noProof/>
                <w:webHidden/>
              </w:rPr>
              <w:fldChar w:fldCharType="separate"/>
            </w:r>
            <w:r w:rsidR="00C13E0E">
              <w:rPr>
                <w:noProof/>
                <w:webHidden/>
              </w:rPr>
              <w:t>108</w:t>
            </w:r>
            <w:r>
              <w:rPr>
                <w:noProof/>
                <w:webHidden/>
              </w:rPr>
              <w:fldChar w:fldCharType="end"/>
            </w:r>
          </w:hyperlink>
        </w:p>
        <w:p w14:paraId="324E6772" w14:textId="191A65F7"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46" w:history="1">
            <w:r w:rsidRPr="00704C0C">
              <w:rPr>
                <w:rStyle w:val="Hyperlink"/>
                <w:noProof/>
              </w:rPr>
              <w:t>17.2.1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_Toc201512546 \h </w:instrText>
            </w:r>
            <w:r>
              <w:rPr>
                <w:noProof/>
                <w:webHidden/>
              </w:rPr>
            </w:r>
            <w:r>
              <w:rPr>
                <w:noProof/>
                <w:webHidden/>
              </w:rPr>
              <w:fldChar w:fldCharType="separate"/>
            </w:r>
            <w:r w:rsidR="00C13E0E">
              <w:rPr>
                <w:noProof/>
                <w:webHidden/>
              </w:rPr>
              <w:t>109</w:t>
            </w:r>
            <w:r>
              <w:rPr>
                <w:noProof/>
                <w:webHidden/>
              </w:rPr>
              <w:fldChar w:fldCharType="end"/>
            </w:r>
          </w:hyperlink>
        </w:p>
        <w:p w14:paraId="04E361C0" w14:textId="24C67E63"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47" w:history="1">
            <w:r w:rsidRPr="00704C0C">
              <w:rPr>
                <w:rStyle w:val="Hyperlink"/>
                <w:noProof/>
              </w:rPr>
              <w:t>17.3</w:t>
            </w:r>
            <w:r>
              <w:rPr>
                <w:rFonts w:eastAsiaTheme="minorEastAsia"/>
                <w:noProof/>
                <w:lang w:eastAsia="en-GB"/>
              </w:rPr>
              <w:tab/>
            </w:r>
            <w:r w:rsidRPr="00704C0C">
              <w:rPr>
                <w:rStyle w:val="Hyperlink"/>
                <w:noProof/>
              </w:rPr>
              <w:t>Survival</w:t>
            </w:r>
            <w:r>
              <w:rPr>
                <w:noProof/>
                <w:webHidden/>
              </w:rPr>
              <w:tab/>
            </w:r>
            <w:r>
              <w:rPr>
                <w:noProof/>
                <w:webHidden/>
              </w:rPr>
              <w:fldChar w:fldCharType="begin"/>
            </w:r>
            <w:r>
              <w:rPr>
                <w:noProof/>
                <w:webHidden/>
              </w:rPr>
              <w:instrText xml:space="preserve"> PAGEREF _Toc201512547 \h </w:instrText>
            </w:r>
            <w:r>
              <w:rPr>
                <w:noProof/>
                <w:webHidden/>
              </w:rPr>
            </w:r>
            <w:r>
              <w:rPr>
                <w:noProof/>
                <w:webHidden/>
              </w:rPr>
              <w:fldChar w:fldCharType="separate"/>
            </w:r>
            <w:r w:rsidR="00C13E0E">
              <w:rPr>
                <w:noProof/>
                <w:webHidden/>
              </w:rPr>
              <w:t>110</w:t>
            </w:r>
            <w:r>
              <w:rPr>
                <w:noProof/>
                <w:webHidden/>
              </w:rPr>
              <w:fldChar w:fldCharType="end"/>
            </w:r>
          </w:hyperlink>
        </w:p>
        <w:p w14:paraId="2229B45B" w14:textId="6DEB64A5"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48" w:history="1">
            <w:r w:rsidRPr="00704C0C">
              <w:rPr>
                <w:rStyle w:val="Hyperlink"/>
                <w:noProof/>
              </w:rPr>
              <w:t>17.4</w:t>
            </w:r>
            <w:r>
              <w:rPr>
                <w:rFonts w:eastAsiaTheme="minorEastAsia"/>
                <w:noProof/>
                <w:lang w:eastAsia="en-GB"/>
              </w:rPr>
              <w:tab/>
            </w:r>
            <w:r w:rsidRPr="00704C0C">
              <w:rPr>
                <w:rStyle w:val="Hyperlink"/>
                <w:noProof/>
              </w:rPr>
              <w:t>Population Attributable Fraction</w:t>
            </w:r>
            <w:r>
              <w:rPr>
                <w:noProof/>
                <w:webHidden/>
              </w:rPr>
              <w:tab/>
            </w:r>
            <w:r>
              <w:rPr>
                <w:noProof/>
                <w:webHidden/>
              </w:rPr>
              <w:fldChar w:fldCharType="begin"/>
            </w:r>
            <w:r>
              <w:rPr>
                <w:noProof/>
                <w:webHidden/>
              </w:rPr>
              <w:instrText xml:space="preserve"> PAGEREF _Toc201512548 \h </w:instrText>
            </w:r>
            <w:r>
              <w:rPr>
                <w:noProof/>
                <w:webHidden/>
              </w:rPr>
            </w:r>
            <w:r>
              <w:rPr>
                <w:noProof/>
                <w:webHidden/>
              </w:rPr>
              <w:fldChar w:fldCharType="separate"/>
            </w:r>
            <w:r w:rsidR="00C13E0E">
              <w:rPr>
                <w:noProof/>
                <w:webHidden/>
              </w:rPr>
              <w:t>110</w:t>
            </w:r>
            <w:r>
              <w:rPr>
                <w:noProof/>
                <w:webHidden/>
              </w:rPr>
              <w:fldChar w:fldCharType="end"/>
            </w:r>
          </w:hyperlink>
        </w:p>
        <w:p w14:paraId="34F8C3FA" w14:textId="7A80EF1F" w:rsidR="004B0E10" w:rsidRDefault="004B0E10" w:rsidP="00CD71C7">
          <w:pPr>
            <w:pStyle w:val="TOC1"/>
            <w:tabs>
              <w:tab w:val="left" w:pos="720"/>
              <w:tab w:val="right" w:leader="dot" w:pos="9016"/>
            </w:tabs>
            <w:spacing w:line="240" w:lineRule="auto"/>
            <w:rPr>
              <w:rFonts w:eastAsiaTheme="minorEastAsia"/>
              <w:noProof/>
              <w:lang w:eastAsia="en-GB"/>
            </w:rPr>
          </w:pPr>
          <w:hyperlink w:anchor="_Toc201512549" w:history="1">
            <w:r w:rsidRPr="00704C0C">
              <w:rPr>
                <w:rStyle w:val="Hyperlink"/>
                <w:noProof/>
              </w:rPr>
              <w:t>18</w:t>
            </w:r>
            <w:r>
              <w:rPr>
                <w:rFonts w:eastAsiaTheme="minorEastAsia"/>
                <w:noProof/>
                <w:lang w:eastAsia="en-GB"/>
              </w:rPr>
              <w:tab/>
            </w:r>
            <w:r w:rsidRPr="00704C0C">
              <w:rPr>
                <w:rStyle w:val="Hyperlink"/>
                <w:noProof/>
              </w:rPr>
              <w:t>Ovary (mucinous) C56-57, C48</w:t>
            </w:r>
            <w:r>
              <w:rPr>
                <w:noProof/>
                <w:webHidden/>
              </w:rPr>
              <w:tab/>
            </w:r>
            <w:r>
              <w:rPr>
                <w:noProof/>
                <w:webHidden/>
              </w:rPr>
              <w:fldChar w:fldCharType="begin"/>
            </w:r>
            <w:r>
              <w:rPr>
                <w:noProof/>
                <w:webHidden/>
              </w:rPr>
              <w:instrText xml:space="preserve"> PAGEREF _Toc201512549 \h </w:instrText>
            </w:r>
            <w:r>
              <w:rPr>
                <w:noProof/>
                <w:webHidden/>
              </w:rPr>
            </w:r>
            <w:r>
              <w:rPr>
                <w:noProof/>
                <w:webHidden/>
              </w:rPr>
              <w:fldChar w:fldCharType="separate"/>
            </w:r>
            <w:r w:rsidR="00C13E0E">
              <w:rPr>
                <w:noProof/>
                <w:webHidden/>
              </w:rPr>
              <w:t>111</w:t>
            </w:r>
            <w:r>
              <w:rPr>
                <w:noProof/>
                <w:webHidden/>
              </w:rPr>
              <w:fldChar w:fldCharType="end"/>
            </w:r>
          </w:hyperlink>
        </w:p>
        <w:p w14:paraId="46831B25" w14:textId="3F6268BB"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50" w:history="1">
            <w:r w:rsidRPr="00704C0C">
              <w:rPr>
                <w:rStyle w:val="Hyperlink"/>
                <w:noProof/>
              </w:rPr>
              <w:t>18.1</w:t>
            </w:r>
            <w:r>
              <w:rPr>
                <w:rFonts w:eastAsiaTheme="minorEastAsia"/>
                <w:noProof/>
                <w:lang w:eastAsia="en-GB"/>
              </w:rPr>
              <w:tab/>
            </w:r>
            <w:r w:rsidRPr="00704C0C">
              <w:rPr>
                <w:rStyle w:val="Hyperlink"/>
                <w:noProof/>
              </w:rPr>
              <w:t>Incidence</w:t>
            </w:r>
            <w:r>
              <w:rPr>
                <w:noProof/>
                <w:webHidden/>
              </w:rPr>
              <w:tab/>
            </w:r>
            <w:r>
              <w:rPr>
                <w:noProof/>
                <w:webHidden/>
              </w:rPr>
              <w:fldChar w:fldCharType="begin"/>
            </w:r>
            <w:r>
              <w:rPr>
                <w:noProof/>
                <w:webHidden/>
              </w:rPr>
              <w:instrText xml:space="preserve"> PAGEREF _Toc201512550 \h </w:instrText>
            </w:r>
            <w:r>
              <w:rPr>
                <w:noProof/>
                <w:webHidden/>
              </w:rPr>
            </w:r>
            <w:r>
              <w:rPr>
                <w:noProof/>
                <w:webHidden/>
              </w:rPr>
              <w:fldChar w:fldCharType="separate"/>
            </w:r>
            <w:r w:rsidR="00C13E0E">
              <w:rPr>
                <w:noProof/>
                <w:webHidden/>
              </w:rPr>
              <w:t>112</w:t>
            </w:r>
            <w:r>
              <w:rPr>
                <w:noProof/>
                <w:webHidden/>
              </w:rPr>
              <w:fldChar w:fldCharType="end"/>
            </w:r>
          </w:hyperlink>
        </w:p>
        <w:p w14:paraId="2EB545AA" w14:textId="3D589A23"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51" w:history="1">
            <w:r w:rsidRPr="00704C0C">
              <w:rPr>
                <w:rStyle w:val="Hyperlink"/>
                <w:noProof/>
              </w:rPr>
              <w:t>18.1.1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_Toc201512551 \h </w:instrText>
            </w:r>
            <w:r>
              <w:rPr>
                <w:noProof/>
                <w:webHidden/>
              </w:rPr>
            </w:r>
            <w:r>
              <w:rPr>
                <w:noProof/>
                <w:webHidden/>
              </w:rPr>
              <w:fldChar w:fldCharType="separate"/>
            </w:r>
            <w:r w:rsidR="00C13E0E">
              <w:rPr>
                <w:noProof/>
                <w:webHidden/>
              </w:rPr>
              <w:t>112</w:t>
            </w:r>
            <w:r>
              <w:rPr>
                <w:noProof/>
                <w:webHidden/>
              </w:rPr>
              <w:fldChar w:fldCharType="end"/>
            </w:r>
          </w:hyperlink>
        </w:p>
        <w:p w14:paraId="7B3E61D2" w14:textId="0B1E0024"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52" w:history="1">
            <w:r w:rsidRPr="00704C0C">
              <w:rPr>
                <w:rStyle w:val="Hyperlink"/>
                <w:noProof/>
              </w:rPr>
              <w:t>18.1.2</w:t>
            </w:r>
            <w:r>
              <w:rPr>
                <w:rFonts w:eastAsiaTheme="minorEastAsia"/>
                <w:noProof/>
                <w:lang w:eastAsia="en-GB"/>
              </w:rPr>
              <w:tab/>
            </w:r>
            <w:r w:rsidRPr="00704C0C">
              <w:rPr>
                <w:rStyle w:val="Hyperlink"/>
                <w:noProof/>
              </w:rPr>
              <w:t>Variation by Deprivation</w:t>
            </w:r>
            <w:r>
              <w:rPr>
                <w:noProof/>
                <w:webHidden/>
              </w:rPr>
              <w:tab/>
            </w:r>
            <w:r>
              <w:rPr>
                <w:noProof/>
                <w:webHidden/>
              </w:rPr>
              <w:fldChar w:fldCharType="begin"/>
            </w:r>
            <w:r>
              <w:rPr>
                <w:noProof/>
                <w:webHidden/>
              </w:rPr>
              <w:instrText xml:space="preserve"> PAGEREF _Toc201512552 \h </w:instrText>
            </w:r>
            <w:r>
              <w:rPr>
                <w:noProof/>
                <w:webHidden/>
              </w:rPr>
            </w:r>
            <w:r>
              <w:rPr>
                <w:noProof/>
                <w:webHidden/>
              </w:rPr>
              <w:fldChar w:fldCharType="separate"/>
            </w:r>
            <w:r w:rsidR="00C13E0E">
              <w:rPr>
                <w:noProof/>
                <w:webHidden/>
              </w:rPr>
              <w:t>113</w:t>
            </w:r>
            <w:r>
              <w:rPr>
                <w:noProof/>
                <w:webHidden/>
              </w:rPr>
              <w:fldChar w:fldCharType="end"/>
            </w:r>
          </w:hyperlink>
        </w:p>
        <w:p w14:paraId="233BB80B" w14:textId="18F82D3D"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53" w:history="1">
            <w:r w:rsidRPr="00704C0C">
              <w:rPr>
                <w:rStyle w:val="Hyperlink"/>
                <w:noProof/>
              </w:rPr>
              <w:t>18.2</w:t>
            </w:r>
            <w:r>
              <w:rPr>
                <w:rFonts w:eastAsiaTheme="minorEastAsia"/>
                <w:noProof/>
                <w:lang w:eastAsia="en-GB"/>
              </w:rPr>
              <w:tab/>
            </w:r>
            <w:r w:rsidRPr="00704C0C">
              <w:rPr>
                <w:rStyle w:val="Hyperlink"/>
                <w:noProof/>
              </w:rPr>
              <w:t>Mortality</w:t>
            </w:r>
            <w:r>
              <w:rPr>
                <w:noProof/>
                <w:webHidden/>
              </w:rPr>
              <w:tab/>
            </w:r>
            <w:r>
              <w:rPr>
                <w:noProof/>
                <w:webHidden/>
              </w:rPr>
              <w:fldChar w:fldCharType="begin"/>
            </w:r>
            <w:r>
              <w:rPr>
                <w:noProof/>
                <w:webHidden/>
              </w:rPr>
              <w:instrText xml:space="preserve"> PAGEREF _Toc201512553 \h </w:instrText>
            </w:r>
            <w:r>
              <w:rPr>
                <w:noProof/>
                <w:webHidden/>
              </w:rPr>
            </w:r>
            <w:r>
              <w:rPr>
                <w:noProof/>
                <w:webHidden/>
              </w:rPr>
              <w:fldChar w:fldCharType="separate"/>
            </w:r>
            <w:r w:rsidR="00C13E0E">
              <w:rPr>
                <w:noProof/>
                <w:webHidden/>
              </w:rPr>
              <w:t>113</w:t>
            </w:r>
            <w:r>
              <w:rPr>
                <w:noProof/>
                <w:webHidden/>
              </w:rPr>
              <w:fldChar w:fldCharType="end"/>
            </w:r>
          </w:hyperlink>
        </w:p>
        <w:p w14:paraId="45103020" w14:textId="03EC2D91"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54" w:history="1">
            <w:r w:rsidRPr="00704C0C">
              <w:rPr>
                <w:rStyle w:val="Hyperlink"/>
                <w:noProof/>
              </w:rPr>
              <w:t>18.3</w:t>
            </w:r>
            <w:r>
              <w:rPr>
                <w:rFonts w:eastAsiaTheme="minorEastAsia"/>
                <w:noProof/>
                <w:lang w:eastAsia="en-GB"/>
              </w:rPr>
              <w:tab/>
            </w:r>
            <w:r w:rsidRPr="00704C0C">
              <w:rPr>
                <w:rStyle w:val="Hyperlink"/>
                <w:noProof/>
              </w:rPr>
              <w:t>Survival</w:t>
            </w:r>
            <w:r>
              <w:rPr>
                <w:noProof/>
                <w:webHidden/>
              </w:rPr>
              <w:tab/>
            </w:r>
            <w:r>
              <w:rPr>
                <w:noProof/>
                <w:webHidden/>
              </w:rPr>
              <w:fldChar w:fldCharType="begin"/>
            </w:r>
            <w:r>
              <w:rPr>
                <w:noProof/>
                <w:webHidden/>
              </w:rPr>
              <w:instrText xml:space="preserve"> PAGEREF _Toc201512554 \h </w:instrText>
            </w:r>
            <w:r>
              <w:rPr>
                <w:noProof/>
                <w:webHidden/>
              </w:rPr>
            </w:r>
            <w:r>
              <w:rPr>
                <w:noProof/>
                <w:webHidden/>
              </w:rPr>
              <w:fldChar w:fldCharType="separate"/>
            </w:r>
            <w:r w:rsidR="00C13E0E">
              <w:rPr>
                <w:noProof/>
                <w:webHidden/>
              </w:rPr>
              <w:t>114</w:t>
            </w:r>
            <w:r>
              <w:rPr>
                <w:noProof/>
                <w:webHidden/>
              </w:rPr>
              <w:fldChar w:fldCharType="end"/>
            </w:r>
          </w:hyperlink>
        </w:p>
        <w:p w14:paraId="191302F6" w14:textId="169CD431"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55" w:history="1">
            <w:r w:rsidRPr="00704C0C">
              <w:rPr>
                <w:rStyle w:val="Hyperlink"/>
                <w:noProof/>
              </w:rPr>
              <w:t>18.4</w:t>
            </w:r>
            <w:r>
              <w:rPr>
                <w:rFonts w:eastAsiaTheme="minorEastAsia"/>
                <w:noProof/>
                <w:lang w:eastAsia="en-GB"/>
              </w:rPr>
              <w:tab/>
            </w:r>
            <w:r w:rsidRPr="00704C0C">
              <w:rPr>
                <w:rStyle w:val="Hyperlink"/>
                <w:noProof/>
              </w:rPr>
              <w:t>Population Attributable Fraction</w:t>
            </w:r>
            <w:r>
              <w:rPr>
                <w:noProof/>
                <w:webHidden/>
              </w:rPr>
              <w:tab/>
            </w:r>
            <w:r>
              <w:rPr>
                <w:noProof/>
                <w:webHidden/>
              </w:rPr>
              <w:fldChar w:fldCharType="begin"/>
            </w:r>
            <w:r>
              <w:rPr>
                <w:noProof/>
                <w:webHidden/>
              </w:rPr>
              <w:instrText xml:space="preserve"> PAGEREF _Toc201512555 \h </w:instrText>
            </w:r>
            <w:r>
              <w:rPr>
                <w:noProof/>
                <w:webHidden/>
              </w:rPr>
            </w:r>
            <w:r>
              <w:rPr>
                <w:noProof/>
                <w:webHidden/>
              </w:rPr>
              <w:fldChar w:fldCharType="separate"/>
            </w:r>
            <w:r w:rsidR="00C13E0E">
              <w:rPr>
                <w:noProof/>
                <w:webHidden/>
              </w:rPr>
              <w:t>114</w:t>
            </w:r>
            <w:r>
              <w:rPr>
                <w:noProof/>
                <w:webHidden/>
              </w:rPr>
              <w:fldChar w:fldCharType="end"/>
            </w:r>
          </w:hyperlink>
        </w:p>
        <w:p w14:paraId="096547D9" w14:textId="19851E57" w:rsidR="004B0E10" w:rsidRDefault="004B0E10" w:rsidP="00CD71C7">
          <w:pPr>
            <w:pStyle w:val="TOC1"/>
            <w:tabs>
              <w:tab w:val="left" w:pos="720"/>
              <w:tab w:val="right" w:leader="dot" w:pos="9016"/>
            </w:tabs>
            <w:spacing w:line="240" w:lineRule="auto"/>
            <w:rPr>
              <w:rFonts w:eastAsiaTheme="minorEastAsia"/>
              <w:noProof/>
              <w:lang w:eastAsia="en-GB"/>
            </w:rPr>
          </w:pPr>
          <w:hyperlink w:anchor="_Toc201512556" w:history="1">
            <w:r w:rsidRPr="00704C0C">
              <w:rPr>
                <w:rStyle w:val="Hyperlink"/>
                <w:noProof/>
              </w:rPr>
              <w:t>19</w:t>
            </w:r>
            <w:r>
              <w:rPr>
                <w:rFonts w:eastAsiaTheme="minorEastAsia"/>
                <w:noProof/>
                <w:lang w:eastAsia="en-GB"/>
              </w:rPr>
              <w:tab/>
            </w:r>
            <w:r w:rsidRPr="00704C0C">
              <w:rPr>
                <w:rStyle w:val="Hyperlink"/>
                <w:noProof/>
              </w:rPr>
              <w:t>Kidney C64-66, C68</w:t>
            </w:r>
            <w:r>
              <w:rPr>
                <w:noProof/>
                <w:webHidden/>
              </w:rPr>
              <w:tab/>
            </w:r>
            <w:r>
              <w:rPr>
                <w:noProof/>
                <w:webHidden/>
              </w:rPr>
              <w:fldChar w:fldCharType="begin"/>
            </w:r>
            <w:r>
              <w:rPr>
                <w:noProof/>
                <w:webHidden/>
              </w:rPr>
              <w:instrText xml:space="preserve"> PAGEREF _Toc201512556 \h </w:instrText>
            </w:r>
            <w:r>
              <w:rPr>
                <w:noProof/>
                <w:webHidden/>
              </w:rPr>
            </w:r>
            <w:r>
              <w:rPr>
                <w:noProof/>
                <w:webHidden/>
              </w:rPr>
              <w:fldChar w:fldCharType="separate"/>
            </w:r>
            <w:r w:rsidR="00C13E0E">
              <w:rPr>
                <w:noProof/>
                <w:webHidden/>
              </w:rPr>
              <w:t>115</w:t>
            </w:r>
            <w:r>
              <w:rPr>
                <w:noProof/>
                <w:webHidden/>
              </w:rPr>
              <w:fldChar w:fldCharType="end"/>
            </w:r>
          </w:hyperlink>
        </w:p>
        <w:p w14:paraId="0D821751" w14:textId="22E9AE79"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57" w:history="1">
            <w:r w:rsidRPr="00704C0C">
              <w:rPr>
                <w:rStyle w:val="Hyperlink"/>
                <w:noProof/>
              </w:rPr>
              <w:t>19.1</w:t>
            </w:r>
            <w:r>
              <w:rPr>
                <w:rFonts w:eastAsiaTheme="minorEastAsia"/>
                <w:noProof/>
                <w:lang w:eastAsia="en-GB"/>
              </w:rPr>
              <w:tab/>
            </w:r>
            <w:r w:rsidRPr="00704C0C">
              <w:rPr>
                <w:rStyle w:val="Hyperlink"/>
                <w:noProof/>
              </w:rPr>
              <w:t>Incidence</w:t>
            </w:r>
            <w:r>
              <w:rPr>
                <w:noProof/>
                <w:webHidden/>
              </w:rPr>
              <w:tab/>
            </w:r>
            <w:r>
              <w:rPr>
                <w:noProof/>
                <w:webHidden/>
              </w:rPr>
              <w:fldChar w:fldCharType="begin"/>
            </w:r>
            <w:r>
              <w:rPr>
                <w:noProof/>
                <w:webHidden/>
              </w:rPr>
              <w:instrText xml:space="preserve"> PAGEREF _Toc201512557 \h </w:instrText>
            </w:r>
            <w:r>
              <w:rPr>
                <w:noProof/>
                <w:webHidden/>
              </w:rPr>
            </w:r>
            <w:r>
              <w:rPr>
                <w:noProof/>
                <w:webHidden/>
              </w:rPr>
              <w:fldChar w:fldCharType="separate"/>
            </w:r>
            <w:r w:rsidR="00C13E0E">
              <w:rPr>
                <w:noProof/>
                <w:webHidden/>
              </w:rPr>
              <w:t>116</w:t>
            </w:r>
            <w:r>
              <w:rPr>
                <w:noProof/>
                <w:webHidden/>
              </w:rPr>
              <w:fldChar w:fldCharType="end"/>
            </w:r>
          </w:hyperlink>
        </w:p>
        <w:p w14:paraId="52C53CD7" w14:textId="79D71AA4"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58" w:history="1">
            <w:r w:rsidRPr="00704C0C">
              <w:rPr>
                <w:rStyle w:val="Hyperlink"/>
                <w:noProof/>
              </w:rPr>
              <w:t>19.1.1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_Toc201512558 \h </w:instrText>
            </w:r>
            <w:r>
              <w:rPr>
                <w:noProof/>
                <w:webHidden/>
              </w:rPr>
            </w:r>
            <w:r>
              <w:rPr>
                <w:noProof/>
                <w:webHidden/>
              </w:rPr>
              <w:fldChar w:fldCharType="separate"/>
            </w:r>
            <w:r w:rsidR="00C13E0E">
              <w:rPr>
                <w:noProof/>
                <w:webHidden/>
              </w:rPr>
              <w:t>117</w:t>
            </w:r>
            <w:r>
              <w:rPr>
                <w:noProof/>
                <w:webHidden/>
              </w:rPr>
              <w:fldChar w:fldCharType="end"/>
            </w:r>
          </w:hyperlink>
        </w:p>
        <w:p w14:paraId="73BBE9B5" w14:textId="4C25F8BE"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59" w:history="1">
            <w:r w:rsidRPr="00704C0C">
              <w:rPr>
                <w:rStyle w:val="Hyperlink"/>
                <w:noProof/>
              </w:rPr>
              <w:t>19.1.2</w:t>
            </w:r>
            <w:r>
              <w:rPr>
                <w:rFonts w:eastAsiaTheme="minorEastAsia"/>
                <w:noProof/>
                <w:lang w:eastAsia="en-GB"/>
              </w:rPr>
              <w:tab/>
            </w:r>
            <w:r w:rsidRPr="00704C0C">
              <w:rPr>
                <w:rStyle w:val="Hyperlink"/>
                <w:rFonts w:cstheme="minorHAnsi"/>
                <w:noProof/>
              </w:rPr>
              <w:t>Va</w:t>
            </w:r>
            <w:r w:rsidRPr="00704C0C">
              <w:rPr>
                <w:rStyle w:val="Hyperlink"/>
                <w:noProof/>
              </w:rPr>
              <w:t>riation by deprivation quintile</w:t>
            </w:r>
            <w:r>
              <w:rPr>
                <w:noProof/>
                <w:webHidden/>
              </w:rPr>
              <w:tab/>
            </w:r>
            <w:r>
              <w:rPr>
                <w:noProof/>
                <w:webHidden/>
              </w:rPr>
              <w:fldChar w:fldCharType="begin"/>
            </w:r>
            <w:r>
              <w:rPr>
                <w:noProof/>
                <w:webHidden/>
              </w:rPr>
              <w:instrText xml:space="preserve"> PAGEREF _Toc201512559 \h </w:instrText>
            </w:r>
            <w:r>
              <w:rPr>
                <w:noProof/>
                <w:webHidden/>
              </w:rPr>
            </w:r>
            <w:r>
              <w:rPr>
                <w:noProof/>
                <w:webHidden/>
              </w:rPr>
              <w:fldChar w:fldCharType="separate"/>
            </w:r>
            <w:r w:rsidR="00C13E0E">
              <w:rPr>
                <w:noProof/>
                <w:webHidden/>
              </w:rPr>
              <w:t>118</w:t>
            </w:r>
            <w:r>
              <w:rPr>
                <w:noProof/>
                <w:webHidden/>
              </w:rPr>
              <w:fldChar w:fldCharType="end"/>
            </w:r>
          </w:hyperlink>
        </w:p>
        <w:p w14:paraId="0B01AA49" w14:textId="67C471E7"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60" w:history="1">
            <w:r w:rsidRPr="00704C0C">
              <w:rPr>
                <w:rStyle w:val="Hyperlink"/>
                <w:noProof/>
              </w:rPr>
              <w:t>19.2</w:t>
            </w:r>
            <w:r>
              <w:rPr>
                <w:rFonts w:eastAsiaTheme="minorEastAsia"/>
                <w:noProof/>
                <w:lang w:eastAsia="en-GB"/>
              </w:rPr>
              <w:tab/>
            </w:r>
            <w:r w:rsidRPr="00704C0C">
              <w:rPr>
                <w:rStyle w:val="Hyperlink"/>
                <w:noProof/>
              </w:rPr>
              <w:t>Mortality</w:t>
            </w:r>
            <w:r>
              <w:rPr>
                <w:noProof/>
                <w:webHidden/>
              </w:rPr>
              <w:tab/>
            </w:r>
            <w:r>
              <w:rPr>
                <w:noProof/>
                <w:webHidden/>
              </w:rPr>
              <w:fldChar w:fldCharType="begin"/>
            </w:r>
            <w:r>
              <w:rPr>
                <w:noProof/>
                <w:webHidden/>
              </w:rPr>
              <w:instrText xml:space="preserve"> PAGEREF _Toc201512560 \h </w:instrText>
            </w:r>
            <w:r>
              <w:rPr>
                <w:noProof/>
                <w:webHidden/>
              </w:rPr>
            </w:r>
            <w:r>
              <w:rPr>
                <w:noProof/>
                <w:webHidden/>
              </w:rPr>
              <w:fldChar w:fldCharType="separate"/>
            </w:r>
            <w:r w:rsidR="00C13E0E">
              <w:rPr>
                <w:noProof/>
                <w:webHidden/>
              </w:rPr>
              <w:t>118</w:t>
            </w:r>
            <w:r>
              <w:rPr>
                <w:noProof/>
                <w:webHidden/>
              </w:rPr>
              <w:fldChar w:fldCharType="end"/>
            </w:r>
          </w:hyperlink>
        </w:p>
        <w:p w14:paraId="59EE6ACA" w14:textId="7652A5CC"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61" w:history="1">
            <w:r w:rsidRPr="00704C0C">
              <w:rPr>
                <w:rStyle w:val="Hyperlink"/>
                <w:noProof/>
              </w:rPr>
              <w:t>19.2.1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_Toc201512561 \h </w:instrText>
            </w:r>
            <w:r>
              <w:rPr>
                <w:noProof/>
                <w:webHidden/>
              </w:rPr>
            </w:r>
            <w:r>
              <w:rPr>
                <w:noProof/>
                <w:webHidden/>
              </w:rPr>
              <w:fldChar w:fldCharType="separate"/>
            </w:r>
            <w:r w:rsidR="00C13E0E">
              <w:rPr>
                <w:noProof/>
                <w:webHidden/>
              </w:rPr>
              <w:t>119</w:t>
            </w:r>
            <w:r>
              <w:rPr>
                <w:noProof/>
                <w:webHidden/>
              </w:rPr>
              <w:fldChar w:fldCharType="end"/>
            </w:r>
          </w:hyperlink>
        </w:p>
        <w:p w14:paraId="2A83B109" w14:textId="5BAF7F1D"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62" w:history="1">
            <w:r w:rsidRPr="00704C0C">
              <w:rPr>
                <w:rStyle w:val="Hyperlink"/>
                <w:noProof/>
              </w:rPr>
              <w:t>19.3</w:t>
            </w:r>
            <w:r>
              <w:rPr>
                <w:rFonts w:eastAsiaTheme="minorEastAsia"/>
                <w:noProof/>
                <w:lang w:eastAsia="en-GB"/>
              </w:rPr>
              <w:tab/>
            </w:r>
            <w:r w:rsidRPr="00704C0C">
              <w:rPr>
                <w:rStyle w:val="Hyperlink"/>
                <w:noProof/>
              </w:rPr>
              <w:t>Survival</w:t>
            </w:r>
            <w:r>
              <w:rPr>
                <w:noProof/>
                <w:webHidden/>
              </w:rPr>
              <w:tab/>
            </w:r>
            <w:r>
              <w:rPr>
                <w:noProof/>
                <w:webHidden/>
              </w:rPr>
              <w:fldChar w:fldCharType="begin"/>
            </w:r>
            <w:r>
              <w:rPr>
                <w:noProof/>
                <w:webHidden/>
              </w:rPr>
              <w:instrText xml:space="preserve"> PAGEREF _Toc201512562 \h </w:instrText>
            </w:r>
            <w:r>
              <w:rPr>
                <w:noProof/>
                <w:webHidden/>
              </w:rPr>
            </w:r>
            <w:r>
              <w:rPr>
                <w:noProof/>
                <w:webHidden/>
              </w:rPr>
              <w:fldChar w:fldCharType="separate"/>
            </w:r>
            <w:r w:rsidR="00C13E0E">
              <w:rPr>
                <w:noProof/>
                <w:webHidden/>
              </w:rPr>
              <w:t>120</w:t>
            </w:r>
            <w:r>
              <w:rPr>
                <w:noProof/>
                <w:webHidden/>
              </w:rPr>
              <w:fldChar w:fldCharType="end"/>
            </w:r>
          </w:hyperlink>
        </w:p>
        <w:p w14:paraId="192B5E18" w14:textId="76AC6D0C"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63" w:history="1">
            <w:r w:rsidRPr="00704C0C">
              <w:rPr>
                <w:rStyle w:val="Hyperlink"/>
                <w:noProof/>
              </w:rPr>
              <w:t>19.4</w:t>
            </w:r>
            <w:r>
              <w:rPr>
                <w:rFonts w:eastAsiaTheme="minorEastAsia"/>
                <w:noProof/>
                <w:lang w:eastAsia="en-GB"/>
              </w:rPr>
              <w:tab/>
            </w:r>
            <w:r w:rsidRPr="00704C0C">
              <w:rPr>
                <w:rStyle w:val="Hyperlink"/>
                <w:noProof/>
              </w:rPr>
              <w:t>Population Attributable Fraction</w:t>
            </w:r>
            <w:r>
              <w:rPr>
                <w:noProof/>
                <w:webHidden/>
              </w:rPr>
              <w:tab/>
            </w:r>
            <w:r>
              <w:rPr>
                <w:noProof/>
                <w:webHidden/>
              </w:rPr>
              <w:fldChar w:fldCharType="begin"/>
            </w:r>
            <w:r>
              <w:rPr>
                <w:noProof/>
                <w:webHidden/>
              </w:rPr>
              <w:instrText xml:space="preserve"> PAGEREF _Toc201512563 \h </w:instrText>
            </w:r>
            <w:r>
              <w:rPr>
                <w:noProof/>
                <w:webHidden/>
              </w:rPr>
            </w:r>
            <w:r>
              <w:rPr>
                <w:noProof/>
                <w:webHidden/>
              </w:rPr>
              <w:fldChar w:fldCharType="separate"/>
            </w:r>
            <w:r w:rsidR="00C13E0E">
              <w:rPr>
                <w:noProof/>
                <w:webHidden/>
              </w:rPr>
              <w:t>120</w:t>
            </w:r>
            <w:r>
              <w:rPr>
                <w:noProof/>
                <w:webHidden/>
              </w:rPr>
              <w:fldChar w:fldCharType="end"/>
            </w:r>
          </w:hyperlink>
        </w:p>
        <w:p w14:paraId="2FC57E8F" w14:textId="4FE06CAE" w:rsidR="004B0E10" w:rsidRDefault="004B0E10" w:rsidP="00CD71C7">
          <w:pPr>
            <w:pStyle w:val="TOC1"/>
            <w:tabs>
              <w:tab w:val="left" w:pos="720"/>
              <w:tab w:val="right" w:leader="dot" w:pos="9016"/>
            </w:tabs>
            <w:spacing w:line="240" w:lineRule="auto"/>
            <w:rPr>
              <w:rFonts w:eastAsiaTheme="minorEastAsia"/>
              <w:noProof/>
              <w:lang w:eastAsia="en-GB"/>
            </w:rPr>
          </w:pPr>
          <w:hyperlink w:anchor="_Toc201512564" w:history="1">
            <w:r w:rsidRPr="00704C0C">
              <w:rPr>
                <w:rStyle w:val="Hyperlink"/>
                <w:noProof/>
              </w:rPr>
              <w:t>20</w:t>
            </w:r>
            <w:r>
              <w:rPr>
                <w:rFonts w:eastAsiaTheme="minorEastAsia"/>
                <w:noProof/>
                <w:lang w:eastAsia="en-GB"/>
              </w:rPr>
              <w:tab/>
            </w:r>
            <w:r w:rsidRPr="00704C0C">
              <w:rPr>
                <w:rStyle w:val="Hyperlink"/>
                <w:noProof/>
              </w:rPr>
              <w:t>Bladder &amp; Non-Muscle Invasive Bladder Cancer (C67, D090, D414)</w:t>
            </w:r>
            <w:r>
              <w:rPr>
                <w:noProof/>
                <w:webHidden/>
              </w:rPr>
              <w:tab/>
            </w:r>
            <w:r>
              <w:rPr>
                <w:noProof/>
                <w:webHidden/>
              </w:rPr>
              <w:fldChar w:fldCharType="begin"/>
            </w:r>
            <w:r>
              <w:rPr>
                <w:noProof/>
                <w:webHidden/>
              </w:rPr>
              <w:instrText xml:space="preserve"> PAGEREF _Toc201512564 \h </w:instrText>
            </w:r>
            <w:r>
              <w:rPr>
                <w:noProof/>
                <w:webHidden/>
              </w:rPr>
            </w:r>
            <w:r>
              <w:rPr>
                <w:noProof/>
                <w:webHidden/>
              </w:rPr>
              <w:fldChar w:fldCharType="separate"/>
            </w:r>
            <w:r w:rsidR="00C13E0E">
              <w:rPr>
                <w:noProof/>
                <w:webHidden/>
              </w:rPr>
              <w:t>121</w:t>
            </w:r>
            <w:r>
              <w:rPr>
                <w:noProof/>
                <w:webHidden/>
              </w:rPr>
              <w:fldChar w:fldCharType="end"/>
            </w:r>
          </w:hyperlink>
        </w:p>
        <w:p w14:paraId="4695047F" w14:textId="6FB62AD8"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65" w:history="1">
            <w:r w:rsidRPr="00704C0C">
              <w:rPr>
                <w:rStyle w:val="Hyperlink"/>
                <w:noProof/>
              </w:rPr>
              <w:t>20.1</w:t>
            </w:r>
            <w:r>
              <w:rPr>
                <w:rFonts w:eastAsiaTheme="minorEastAsia"/>
                <w:noProof/>
                <w:lang w:eastAsia="en-GB"/>
              </w:rPr>
              <w:tab/>
            </w:r>
            <w:r w:rsidRPr="00704C0C">
              <w:rPr>
                <w:rStyle w:val="Hyperlink"/>
                <w:noProof/>
              </w:rPr>
              <w:t>Incidence</w:t>
            </w:r>
            <w:r>
              <w:rPr>
                <w:noProof/>
                <w:webHidden/>
              </w:rPr>
              <w:tab/>
            </w:r>
            <w:r>
              <w:rPr>
                <w:noProof/>
                <w:webHidden/>
              </w:rPr>
              <w:fldChar w:fldCharType="begin"/>
            </w:r>
            <w:r>
              <w:rPr>
                <w:noProof/>
                <w:webHidden/>
              </w:rPr>
              <w:instrText xml:space="preserve"> PAGEREF _Toc201512565 \h </w:instrText>
            </w:r>
            <w:r>
              <w:rPr>
                <w:noProof/>
                <w:webHidden/>
              </w:rPr>
            </w:r>
            <w:r>
              <w:rPr>
                <w:noProof/>
                <w:webHidden/>
              </w:rPr>
              <w:fldChar w:fldCharType="separate"/>
            </w:r>
            <w:r w:rsidR="00C13E0E">
              <w:rPr>
                <w:noProof/>
                <w:webHidden/>
              </w:rPr>
              <w:t>122</w:t>
            </w:r>
            <w:r>
              <w:rPr>
                <w:noProof/>
                <w:webHidden/>
              </w:rPr>
              <w:fldChar w:fldCharType="end"/>
            </w:r>
          </w:hyperlink>
        </w:p>
        <w:p w14:paraId="5DDA6017" w14:textId="3A96A64B"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66" w:history="1">
            <w:r w:rsidRPr="00704C0C">
              <w:rPr>
                <w:rStyle w:val="Hyperlink"/>
                <w:noProof/>
              </w:rPr>
              <w:t>20.1.1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_Toc201512566 \h </w:instrText>
            </w:r>
            <w:r>
              <w:rPr>
                <w:noProof/>
                <w:webHidden/>
              </w:rPr>
            </w:r>
            <w:r>
              <w:rPr>
                <w:noProof/>
                <w:webHidden/>
              </w:rPr>
              <w:fldChar w:fldCharType="separate"/>
            </w:r>
            <w:r w:rsidR="00C13E0E">
              <w:rPr>
                <w:noProof/>
                <w:webHidden/>
              </w:rPr>
              <w:t>122</w:t>
            </w:r>
            <w:r>
              <w:rPr>
                <w:noProof/>
                <w:webHidden/>
              </w:rPr>
              <w:fldChar w:fldCharType="end"/>
            </w:r>
          </w:hyperlink>
        </w:p>
        <w:p w14:paraId="1DA53809" w14:textId="40764E9B"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67" w:history="1">
            <w:r w:rsidRPr="00704C0C">
              <w:rPr>
                <w:rStyle w:val="Hyperlink"/>
                <w:noProof/>
              </w:rPr>
              <w:t>20.1.2</w:t>
            </w:r>
            <w:r>
              <w:rPr>
                <w:rFonts w:eastAsiaTheme="minorEastAsia"/>
                <w:noProof/>
                <w:lang w:eastAsia="en-GB"/>
              </w:rPr>
              <w:tab/>
            </w:r>
            <w:r w:rsidRPr="00704C0C">
              <w:rPr>
                <w:rStyle w:val="Hyperlink"/>
                <w:rFonts w:cstheme="minorHAnsi"/>
                <w:noProof/>
              </w:rPr>
              <w:t>Va</w:t>
            </w:r>
            <w:r w:rsidRPr="00704C0C">
              <w:rPr>
                <w:rStyle w:val="Hyperlink"/>
                <w:noProof/>
              </w:rPr>
              <w:t>riation by deprivation quintile</w:t>
            </w:r>
            <w:r>
              <w:rPr>
                <w:noProof/>
                <w:webHidden/>
              </w:rPr>
              <w:tab/>
            </w:r>
            <w:r>
              <w:rPr>
                <w:noProof/>
                <w:webHidden/>
              </w:rPr>
              <w:fldChar w:fldCharType="begin"/>
            </w:r>
            <w:r>
              <w:rPr>
                <w:noProof/>
                <w:webHidden/>
              </w:rPr>
              <w:instrText xml:space="preserve"> PAGEREF _Toc201512567 \h </w:instrText>
            </w:r>
            <w:r>
              <w:rPr>
                <w:noProof/>
                <w:webHidden/>
              </w:rPr>
            </w:r>
            <w:r>
              <w:rPr>
                <w:noProof/>
                <w:webHidden/>
              </w:rPr>
              <w:fldChar w:fldCharType="separate"/>
            </w:r>
            <w:r w:rsidR="00C13E0E">
              <w:rPr>
                <w:noProof/>
                <w:webHidden/>
              </w:rPr>
              <w:t>123</w:t>
            </w:r>
            <w:r>
              <w:rPr>
                <w:noProof/>
                <w:webHidden/>
              </w:rPr>
              <w:fldChar w:fldCharType="end"/>
            </w:r>
          </w:hyperlink>
        </w:p>
        <w:p w14:paraId="66637767" w14:textId="15B27577"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68" w:history="1">
            <w:r w:rsidRPr="00704C0C">
              <w:rPr>
                <w:rStyle w:val="Hyperlink"/>
                <w:noProof/>
              </w:rPr>
              <w:t>20.2</w:t>
            </w:r>
            <w:r>
              <w:rPr>
                <w:rFonts w:eastAsiaTheme="minorEastAsia"/>
                <w:noProof/>
                <w:lang w:eastAsia="en-GB"/>
              </w:rPr>
              <w:tab/>
            </w:r>
            <w:r w:rsidRPr="00704C0C">
              <w:rPr>
                <w:rStyle w:val="Hyperlink"/>
                <w:noProof/>
              </w:rPr>
              <w:t>Mortality</w:t>
            </w:r>
            <w:r>
              <w:rPr>
                <w:noProof/>
                <w:webHidden/>
              </w:rPr>
              <w:tab/>
            </w:r>
            <w:r>
              <w:rPr>
                <w:noProof/>
                <w:webHidden/>
              </w:rPr>
              <w:fldChar w:fldCharType="begin"/>
            </w:r>
            <w:r>
              <w:rPr>
                <w:noProof/>
                <w:webHidden/>
              </w:rPr>
              <w:instrText xml:space="preserve"> PAGEREF _Toc201512568 \h </w:instrText>
            </w:r>
            <w:r>
              <w:rPr>
                <w:noProof/>
                <w:webHidden/>
              </w:rPr>
            </w:r>
            <w:r>
              <w:rPr>
                <w:noProof/>
                <w:webHidden/>
              </w:rPr>
              <w:fldChar w:fldCharType="separate"/>
            </w:r>
            <w:r w:rsidR="00C13E0E">
              <w:rPr>
                <w:noProof/>
                <w:webHidden/>
              </w:rPr>
              <w:t>123</w:t>
            </w:r>
            <w:r>
              <w:rPr>
                <w:noProof/>
                <w:webHidden/>
              </w:rPr>
              <w:fldChar w:fldCharType="end"/>
            </w:r>
          </w:hyperlink>
        </w:p>
        <w:p w14:paraId="10E884DC" w14:textId="7A5111F2"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69" w:history="1">
            <w:r w:rsidRPr="00704C0C">
              <w:rPr>
                <w:rStyle w:val="Hyperlink"/>
                <w:noProof/>
              </w:rPr>
              <w:t>20.2.1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_Toc201512569 \h </w:instrText>
            </w:r>
            <w:r>
              <w:rPr>
                <w:noProof/>
                <w:webHidden/>
              </w:rPr>
            </w:r>
            <w:r>
              <w:rPr>
                <w:noProof/>
                <w:webHidden/>
              </w:rPr>
              <w:fldChar w:fldCharType="separate"/>
            </w:r>
            <w:r w:rsidR="00C13E0E">
              <w:rPr>
                <w:noProof/>
                <w:webHidden/>
              </w:rPr>
              <w:t>124</w:t>
            </w:r>
            <w:r>
              <w:rPr>
                <w:noProof/>
                <w:webHidden/>
              </w:rPr>
              <w:fldChar w:fldCharType="end"/>
            </w:r>
          </w:hyperlink>
        </w:p>
        <w:p w14:paraId="433DA89D" w14:textId="132A6834"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70" w:history="1">
            <w:r w:rsidRPr="00704C0C">
              <w:rPr>
                <w:rStyle w:val="Hyperlink"/>
                <w:noProof/>
              </w:rPr>
              <w:t>20.3</w:t>
            </w:r>
            <w:r>
              <w:rPr>
                <w:rFonts w:eastAsiaTheme="minorEastAsia"/>
                <w:noProof/>
                <w:lang w:eastAsia="en-GB"/>
              </w:rPr>
              <w:tab/>
            </w:r>
            <w:r w:rsidRPr="00704C0C">
              <w:rPr>
                <w:rStyle w:val="Hyperlink"/>
                <w:noProof/>
              </w:rPr>
              <w:t>Survival</w:t>
            </w:r>
            <w:r>
              <w:rPr>
                <w:noProof/>
                <w:webHidden/>
              </w:rPr>
              <w:tab/>
            </w:r>
            <w:r>
              <w:rPr>
                <w:noProof/>
                <w:webHidden/>
              </w:rPr>
              <w:fldChar w:fldCharType="begin"/>
            </w:r>
            <w:r>
              <w:rPr>
                <w:noProof/>
                <w:webHidden/>
              </w:rPr>
              <w:instrText xml:space="preserve"> PAGEREF _Toc201512570 \h </w:instrText>
            </w:r>
            <w:r>
              <w:rPr>
                <w:noProof/>
                <w:webHidden/>
              </w:rPr>
            </w:r>
            <w:r>
              <w:rPr>
                <w:noProof/>
                <w:webHidden/>
              </w:rPr>
              <w:fldChar w:fldCharType="separate"/>
            </w:r>
            <w:r w:rsidR="00C13E0E">
              <w:rPr>
                <w:noProof/>
                <w:webHidden/>
              </w:rPr>
              <w:t>125</w:t>
            </w:r>
            <w:r>
              <w:rPr>
                <w:noProof/>
                <w:webHidden/>
              </w:rPr>
              <w:fldChar w:fldCharType="end"/>
            </w:r>
          </w:hyperlink>
        </w:p>
        <w:p w14:paraId="2F7A6DD2" w14:textId="5CEC4CF5"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71" w:history="1">
            <w:r w:rsidRPr="00704C0C">
              <w:rPr>
                <w:rStyle w:val="Hyperlink"/>
                <w:noProof/>
              </w:rPr>
              <w:t>20.4</w:t>
            </w:r>
            <w:r>
              <w:rPr>
                <w:rFonts w:eastAsiaTheme="minorEastAsia"/>
                <w:noProof/>
                <w:lang w:eastAsia="en-GB"/>
              </w:rPr>
              <w:tab/>
            </w:r>
            <w:r w:rsidRPr="00704C0C">
              <w:rPr>
                <w:rStyle w:val="Hyperlink"/>
                <w:noProof/>
              </w:rPr>
              <w:t>Population Attributable Fraction</w:t>
            </w:r>
            <w:r>
              <w:rPr>
                <w:noProof/>
                <w:webHidden/>
              </w:rPr>
              <w:tab/>
            </w:r>
            <w:r>
              <w:rPr>
                <w:noProof/>
                <w:webHidden/>
              </w:rPr>
              <w:fldChar w:fldCharType="begin"/>
            </w:r>
            <w:r>
              <w:rPr>
                <w:noProof/>
                <w:webHidden/>
              </w:rPr>
              <w:instrText xml:space="preserve"> PAGEREF _Toc201512571 \h </w:instrText>
            </w:r>
            <w:r>
              <w:rPr>
                <w:noProof/>
                <w:webHidden/>
              </w:rPr>
            </w:r>
            <w:r>
              <w:rPr>
                <w:noProof/>
                <w:webHidden/>
              </w:rPr>
              <w:fldChar w:fldCharType="separate"/>
            </w:r>
            <w:r w:rsidR="00C13E0E">
              <w:rPr>
                <w:noProof/>
                <w:webHidden/>
              </w:rPr>
              <w:t>125</w:t>
            </w:r>
            <w:r>
              <w:rPr>
                <w:noProof/>
                <w:webHidden/>
              </w:rPr>
              <w:fldChar w:fldCharType="end"/>
            </w:r>
          </w:hyperlink>
        </w:p>
        <w:p w14:paraId="06D3E284" w14:textId="70514A70" w:rsidR="004B0E10" w:rsidRDefault="004B0E10" w:rsidP="00CD71C7">
          <w:pPr>
            <w:pStyle w:val="TOC1"/>
            <w:tabs>
              <w:tab w:val="left" w:pos="720"/>
              <w:tab w:val="right" w:leader="dot" w:pos="9016"/>
            </w:tabs>
            <w:spacing w:line="240" w:lineRule="auto"/>
            <w:rPr>
              <w:rFonts w:eastAsiaTheme="minorEastAsia"/>
              <w:noProof/>
              <w:lang w:eastAsia="en-GB"/>
            </w:rPr>
          </w:pPr>
          <w:hyperlink w:anchor="_Toc201512572" w:history="1">
            <w:r w:rsidRPr="00704C0C">
              <w:rPr>
                <w:rStyle w:val="Hyperlink"/>
                <w:noProof/>
              </w:rPr>
              <w:t>21</w:t>
            </w:r>
            <w:r>
              <w:rPr>
                <w:rFonts w:eastAsiaTheme="minorEastAsia"/>
                <w:noProof/>
                <w:lang w:eastAsia="en-GB"/>
              </w:rPr>
              <w:tab/>
            </w:r>
            <w:r w:rsidRPr="00704C0C">
              <w:rPr>
                <w:rStyle w:val="Hyperlink"/>
                <w:noProof/>
              </w:rPr>
              <w:t>Acute myeloid leukaemia C92.0, C92.4-C92.6, C92.8, C93.0, C94.0, C94.2</w:t>
            </w:r>
            <w:r>
              <w:rPr>
                <w:noProof/>
                <w:webHidden/>
              </w:rPr>
              <w:tab/>
            </w:r>
            <w:r>
              <w:rPr>
                <w:noProof/>
                <w:webHidden/>
              </w:rPr>
              <w:fldChar w:fldCharType="begin"/>
            </w:r>
            <w:r>
              <w:rPr>
                <w:noProof/>
                <w:webHidden/>
              </w:rPr>
              <w:instrText xml:space="preserve"> PAGEREF _Toc201512572 \h </w:instrText>
            </w:r>
            <w:r>
              <w:rPr>
                <w:noProof/>
                <w:webHidden/>
              </w:rPr>
            </w:r>
            <w:r>
              <w:rPr>
                <w:noProof/>
                <w:webHidden/>
              </w:rPr>
              <w:fldChar w:fldCharType="separate"/>
            </w:r>
            <w:r w:rsidR="00C13E0E">
              <w:rPr>
                <w:noProof/>
                <w:webHidden/>
              </w:rPr>
              <w:t>126</w:t>
            </w:r>
            <w:r>
              <w:rPr>
                <w:noProof/>
                <w:webHidden/>
              </w:rPr>
              <w:fldChar w:fldCharType="end"/>
            </w:r>
          </w:hyperlink>
        </w:p>
        <w:p w14:paraId="09A59189" w14:textId="79A1990E"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73" w:history="1">
            <w:r w:rsidRPr="00704C0C">
              <w:rPr>
                <w:rStyle w:val="Hyperlink"/>
                <w:noProof/>
              </w:rPr>
              <w:t>21.1</w:t>
            </w:r>
            <w:r>
              <w:rPr>
                <w:rFonts w:eastAsiaTheme="minorEastAsia"/>
                <w:noProof/>
                <w:lang w:eastAsia="en-GB"/>
              </w:rPr>
              <w:tab/>
            </w:r>
            <w:r w:rsidRPr="00704C0C">
              <w:rPr>
                <w:rStyle w:val="Hyperlink"/>
                <w:noProof/>
              </w:rPr>
              <w:t>Incidence</w:t>
            </w:r>
            <w:r>
              <w:rPr>
                <w:noProof/>
                <w:webHidden/>
              </w:rPr>
              <w:tab/>
            </w:r>
            <w:r>
              <w:rPr>
                <w:noProof/>
                <w:webHidden/>
              </w:rPr>
              <w:fldChar w:fldCharType="begin"/>
            </w:r>
            <w:r>
              <w:rPr>
                <w:noProof/>
                <w:webHidden/>
              </w:rPr>
              <w:instrText xml:space="preserve"> PAGEREF _Toc201512573 \h </w:instrText>
            </w:r>
            <w:r>
              <w:rPr>
                <w:noProof/>
                <w:webHidden/>
              </w:rPr>
            </w:r>
            <w:r>
              <w:rPr>
                <w:noProof/>
                <w:webHidden/>
              </w:rPr>
              <w:fldChar w:fldCharType="separate"/>
            </w:r>
            <w:r w:rsidR="00C13E0E">
              <w:rPr>
                <w:noProof/>
                <w:webHidden/>
              </w:rPr>
              <w:t>127</w:t>
            </w:r>
            <w:r>
              <w:rPr>
                <w:noProof/>
                <w:webHidden/>
              </w:rPr>
              <w:fldChar w:fldCharType="end"/>
            </w:r>
          </w:hyperlink>
        </w:p>
        <w:p w14:paraId="2FCCF55C" w14:textId="47799D5B"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74" w:history="1">
            <w:r w:rsidRPr="00704C0C">
              <w:rPr>
                <w:rStyle w:val="Hyperlink"/>
                <w:noProof/>
              </w:rPr>
              <w:t>21.1.1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_Toc201512574 \h </w:instrText>
            </w:r>
            <w:r>
              <w:rPr>
                <w:noProof/>
                <w:webHidden/>
              </w:rPr>
            </w:r>
            <w:r>
              <w:rPr>
                <w:noProof/>
                <w:webHidden/>
              </w:rPr>
              <w:fldChar w:fldCharType="separate"/>
            </w:r>
            <w:r w:rsidR="00C13E0E">
              <w:rPr>
                <w:noProof/>
                <w:webHidden/>
              </w:rPr>
              <w:t>127</w:t>
            </w:r>
            <w:r>
              <w:rPr>
                <w:noProof/>
                <w:webHidden/>
              </w:rPr>
              <w:fldChar w:fldCharType="end"/>
            </w:r>
          </w:hyperlink>
        </w:p>
        <w:p w14:paraId="64ED93ED" w14:textId="1F967BDC"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75" w:history="1">
            <w:r w:rsidRPr="00704C0C">
              <w:rPr>
                <w:rStyle w:val="Hyperlink"/>
                <w:noProof/>
              </w:rPr>
              <w:t>21.1.2</w:t>
            </w:r>
            <w:r>
              <w:rPr>
                <w:rFonts w:eastAsiaTheme="minorEastAsia"/>
                <w:noProof/>
                <w:lang w:eastAsia="en-GB"/>
              </w:rPr>
              <w:tab/>
            </w:r>
            <w:r w:rsidRPr="00704C0C">
              <w:rPr>
                <w:rStyle w:val="Hyperlink"/>
                <w:rFonts w:cstheme="minorHAnsi"/>
                <w:noProof/>
              </w:rPr>
              <w:t>Va</w:t>
            </w:r>
            <w:r w:rsidRPr="00704C0C">
              <w:rPr>
                <w:rStyle w:val="Hyperlink"/>
                <w:noProof/>
              </w:rPr>
              <w:t>riation by deprivation quintile</w:t>
            </w:r>
            <w:r>
              <w:rPr>
                <w:noProof/>
                <w:webHidden/>
              </w:rPr>
              <w:tab/>
            </w:r>
            <w:r>
              <w:rPr>
                <w:noProof/>
                <w:webHidden/>
              </w:rPr>
              <w:fldChar w:fldCharType="begin"/>
            </w:r>
            <w:r>
              <w:rPr>
                <w:noProof/>
                <w:webHidden/>
              </w:rPr>
              <w:instrText xml:space="preserve"> PAGEREF _Toc201512575 \h </w:instrText>
            </w:r>
            <w:r>
              <w:rPr>
                <w:noProof/>
                <w:webHidden/>
              </w:rPr>
            </w:r>
            <w:r>
              <w:rPr>
                <w:noProof/>
                <w:webHidden/>
              </w:rPr>
              <w:fldChar w:fldCharType="separate"/>
            </w:r>
            <w:r w:rsidR="00C13E0E">
              <w:rPr>
                <w:noProof/>
                <w:webHidden/>
              </w:rPr>
              <w:t>128</w:t>
            </w:r>
            <w:r>
              <w:rPr>
                <w:noProof/>
                <w:webHidden/>
              </w:rPr>
              <w:fldChar w:fldCharType="end"/>
            </w:r>
          </w:hyperlink>
        </w:p>
        <w:p w14:paraId="0950CC35" w14:textId="6B1A6B8E"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76" w:history="1">
            <w:r w:rsidRPr="00704C0C">
              <w:rPr>
                <w:rStyle w:val="Hyperlink"/>
                <w:noProof/>
              </w:rPr>
              <w:t>21.2</w:t>
            </w:r>
            <w:r>
              <w:rPr>
                <w:rFonts w:eastAsiaTheme="minorEastAsia"/>
                <w:noProof/>
                <w:lang w:eastAsia="en-GB"/>
              </w:rPr>
              <w:tab/>
            </w:r>
            <w:r w:rsidRPr="00704C0C">
              <w:rPr>
                <w:rStyle w:val="Hyperlink"/>
                <w:noProof/>
              </w:rPr>
              <w:t>Mortality</w:t>
            </w:r>
            <w:r>
              <w:rPr>
                <w:noProof/>
                <w:webHidden/>
              </w:rPr>
              <w:tab/>
            </w:r>
            <w:r>
              <w:rPr>
                <w:noProof/>
                <w:webHidden/>
              </w:rPr>
              <w:fldChar w:fldCharType="begin"/>
            </w:r>
            <w:r>
              <w:rPr>
                <w:noProof/>
                <w:webHidden/>
              </w:rPr>
              <w:instrText xml:space="preserve"> PAGEREF _Toc201512576 \h </w:instrText>
            </w:r>
            <w:r>
              <w:rPr>
                <w:noProof/>
                <w:webHidden/>
              </w:rPr>
            </w:r>
            <w:r>
              <w:rPr>
                <w:noProof/>
                <w:webHidden/>
              </w:rPr>
              <w:fldChar w:fldCharType="separate"/>
            </w:r>
            <w:r w:rsidR="00C13E0E">
              <w:rPr>
                <w:noProof/>
                <w:webHidden/>
              </w:rPr>
              <w:t>128</w:t>
            </w:r>
            <w:r>
              <w:rPr>
                <w:noProof/>
                <w:webHidden/>
              </w:rPr>
              <w:fldChar w:fldCharType="end"/>
            </w:r>
          </w:hyperlink>
        </w:p>
        <w:p w14:paraId="7BB6D050" w14:textId="6F9D0F1C"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77" w:history="1">
            <w:r w:rsidRPr="00704C0C">
              <w:rPr>
                <w:rStyle w:val="Hyperlink"/>
                <w:noProof/>
              </w:rPr>
              <w:t>21.3</w:t>
            </w:r>
            <w:r>
              <w:rPr>
                <w:rFonts w:eastAsiaTheme="minorEastAsia"/>
                <w:noProof/>
                <w:lang w:eastAsia="en-GB"/>
              </w:rPr>
              <w:tab/>
            </w:r>
            <w:r w:rsidRPr="00704C0C">
              <w:rPr>
                <w:rStyle w:val="Hyperlink"/>
                <w:noProof/>
              </w:rPr>
              <w:t>Survival</w:t>
            </w:r>
            <w:r>
              <w:rPr>
                <w:noProof/>
                <w:webHidden/>
              </w:rPr>
              <w:tab/>
            </w:r>
            <w:r>
              <w:rPr>
                <w:noProof/>
                <w:webHidden/>
              </w:rPr>
              <w:fldChar w:fldCharType="begin"/>
            </w:r>
            <w:r>
              <w:rPr>
                <w:noProof/>
                <w:webHidden/>
              </w:rPr>
              <w:instrText xml:space="preserve"> PAGEREF _Toc201512577 \h </w:instrText>
            </w:r>
            <w:r>
              <w:rPr>
                <w:noProof/>
                <w:webHidden/>
              </w:rPr>
            </w:r>
            <w:r>
              <w:rPr>
                <w:noProof/>
                <w:webHidden/>
              </w:rPr>
              <w:fldChar w:fldCharType="separate"/>
            </w:r>
            <w:r w:rsidR="00C13E0E">
              <w:rPr>
                <w:noProof/>
                <w:webHidden/>
              </w:rPr>
              <w:t>128</w:t>
            </w:r>
            <w:r>
              <w:rPr>
                <w:noProof/>
                <w:webHidden/>
              </w:rPr>
              <w:fldChar w:fldCharType="end"/>
            </w:r>
          </w:hyperlink>
        </w:p>
        <w:p w14:paraId="2F627CB5" w14:textId="77598DFE"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78" w:history="1">
            <w:r w:rsidRPr="00704C0C">
              <w:rPr>
                <w:rStyle w:val="Hyperlink"/>
                <w:noProof/>
              </w:rPr>
              <w:t>21.4</w:t>
            </w:r>
            <w:r>
              <w:rPr>
                <w:rFonts w:eastAsiaTheme="minorEastAsia"/>
                <w:noProof/>
                <w:lang w:eastAsia="en-GB"/>
              </w:rPr>
              <w:tab/>
            </w:r>
            <w:r w:rsidRPr="00704C0C">
              <w:rPr>
                <w:rStyle w:val="Hyperlink"/>
                <w:noProof/>
              </w:rPr>
              <w:t>Population Attributable Fraction</w:t>
            </w:r>
            <w:r>
              <w:rPr>
                <w:noProof/>
                <w:webHidden/>
              </w:rPr>
              <w:tab/>
            </w:r>
            <w:r>
              <w:rPr>
                <w:noProof/>
                <w:webHidden/>
              </w:rPr>
              <w:fldChar w:fldCharType="begin"/>
            </w:r>
            <w:r>
              <w:rPr>
                <w:noProof/>
                <w:webHidden/>
              </w:rPr>
              <w:instrText xml:space="preserve"> PAGEREF _Toc201512578 \h </w:instrText>
            </w:r>
            <w:r>
              <w:rPr>
                <w:noProof/>
                <w:webHidden/>
              </w:rPr>
            </w:r>
            <w:r>
              <w:rPr>
                <w:noProof/>
                <w:webHidden/>
              </w:rPr>
              <w:fldChar w:fldCharType="separate"/>
            </w:r>
            <w:r w:rsidR="00C13E0E">
              <w:rPr>
                <w:noProof/>
                <w:webHidden/>
              </w:rPr>
              <w:t>129</w:t>
            </w:r>
            <w:r>
              <w:rPr>
                <w:noProof/>
                <w:webHidden/>
              </w:rPr>
              <w:fldChar w:fldCharType="end"/>
            </w:r>
          </w:hyperlink>
        </w:p>
        <w:p w14:paraId="7056F81A" w14:textId="41A94DF9" w:rsidR="004B0E10" w:rsidRDefault="004B0E10" w:rsidP="00CD71C7">
          <w:pPr>
            <w:pStyle w:val="TOC1"/>
            <w:tabs>
              <w:tab w:val="left" w:pos="720"/>
              <w:tab w:val="right" w:leader="dot" w:pos="9016"/>
            </w:tabs>
            <w:spacing w:line="240" w:lineRule="auto"/>
            <w:rPr>
              <w:rFonts w:eastAsiaTheme="minorEastAsia"/>
              <w:noProof/>
              <w:lang w:eastAsia="en-GB"/>
            </w:rPr>
          </w:pPr>
          <w:hyperlink w:anchor="_Toc201512579" w:history="1">
            <w:r w:rsidRPr="00704C0C">
              <w:rPr>
                <w:rStyle w:val="Hyperlink"/>
                <w:noProof/>
              </w:rPr>
              <w:t>22</w:t>
            </w:r>
            <w:r>
              <w:rPr>
                <w:rFonts w:eastAsiaTheme="minorEastAsia"/>
                <w:noProof/>
                <w:lang w:eastAsia="en-GB"/>
              </w:rPr>
              <w:tab/>
            </w:r>
            <w:r w:rsidRPr="00704C0C">
              <w:rPr>
                <w:rStyle w:val="Hyperlink"/>
                <w:noProof/>
              </w:rPr>
              <w:t>Discussion</w:t>
            </w:r>
            <w:r>
              <w:rPr>
                <w:noProof/>
                <w:webHidden/>
              </w:rPr>
              <w:tab/>
            </w:r>
            <w:r>
              <w:rPr>
                <w:noProof/>
                <w:webHidden/>
              </w:rPr>
              <w:fldChar w:fldCharType="begin"/>
            </w:r>
            <w:r>
              <w:rPr>
                <w:noProof/>
                <w:webHidden/>
              </w:rPr>
              <w:instrText xml:space="preserve"> PAGEREF _Toc201512579 \h </w:instrText>
            </w:r>
            <w:r>
              <w:rPr>
                <w:noProof/>
                <w:webHidden/>
              </w:rPr>
            </w:r>
            <w:r>
              <w:rPr>
                <w:noProof/>
                <w:webHidden/>
              </w:rPr>
              <w:fldChar w:fldCharType="separate"/>
            </w:r>
            <w:r w:rsidR="00C13E0E">
              <w:rPr>
                <w:noProof/>
                <w:webHidden/>
              </w:rPr>
              <w:t>130</w:t>
            </w:r>
            <w:r>
              <w:rPr>
                <w:noProof/>
                <w:webHidden/>
              </w:rPr>
              <w:fldChar w:fldCharType="end"/>
            </w:r>
          </w:hyperlink>
        </w:p>
        <w:p w14:paraId="5379012B" w14:textId="1721174F"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80" w:history="1">
            <w:r w:rsidRPr="00704C0C">
              <w:rPr>
                <w:rStyle w:val="Hyperlink"/>
                <w:noProof/>
              </w:rPr>
              <w:t>22.1</w:t>
            </w:r>
            <w:r>
              <w:rPr>
                <w:rFonts w:eastAsiaTheme="minorEastAsia"/>
                <w:noProof/>
                <w:lang w:eastAsia="en-GB"/>
              </w:rPr>
              <w:tab/>
            </w:r>
            <w:r w:rsidRPr="00704C0C">
              <w:rPr>
                <w:rStyle w:val="Hyperlink"/>
                <w:noProof/>
              </w:rPr>
              <w:t>Incidence and Mortality</w:t>
            </w:r>
            <w:r>
              <w:rPr>
                <w:noProof/>
                <w:webHidden/>
              </w:rPr>
              <w:tab/>
            </w:r>
            <w:r>
              <w:rPr>
                <w:noProof/>
                <w:webHidden/>
              </w:rPr>
              <w:fldChar w:fldCharType="begin"/>
            </w:r>
            <w:r>
              <w:rPr>
                <w:noProof/>
                <w:webHidden/>
              </w:rPr>
              <w:instrText xml:space="preserve"> PAGEREF _Toc201512580 \h </w:instrText>
            </w:r>
            <w:r>
              <w:rPr>
                <w:noProof/>
                <w:webHidden/>
              </w:rPr>
            </w:r>
            <w:r>
              <w:rPr>
                <w:noProof/>
                <w:webHidden/>
              </w:rPr>
              <w:fldChar w:fldCharType="separate"/>
            </w:r>
            <w:r w:rsidR="00C13E0E">
              <w:rPr>
                <w:noProof/>
                <w:webHidden/>
              </w:rPr>
              <w:t>130</w:t>
            </w:r>
            <w:r>
              <w:rPr>
                <w:noProof/>
                <w:webHidden/>
              </w:rPr>
              <w:fldChar w:fldCharType="end"/>
            </w:r>
          </w:hyperlink>
        </w:p>
        <w:p w14:paraId="642EB50C" w14:textId="6B8800F9"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81" w:history="1">
            <w:r w:rsidRPr="00704C0C">
              <w:rPr>
                <w:rStyle w:val="Hyperlink"/>
                <w:noProof/>
              </w:rPr>
              <w:t>22.2</w:t>
            </w:r>
            <w:r>
              <w:rPr>
                <w:rFonts w:eastAsiaTheme="minorEastAsia"/>
                <w:noProof/>
                <w:lang w:eastAsia="en-GB"/>
              </w:rPr>
              <w:tab/>
            </w:r>
            <w:r w:rsidRPr="00704C0C">
              <w:rPr>
                <w:rStyle w:val="Hyperlink"/>
                <w:noProof/>
              </w:rPr>
              <w:t>Variation in incidence according to deprivation</w:t>
            </w:r>
            <w:r>
              <w:rPr>
                <w:noProof/>
                <w:webHidden/>
              </w:rPr>
              <w:tab/>
            </w:r>
            <w:r>
              <w:rPr>
                <w:noProof/>
                <w:webHidden/>
              </w:rPr>
              <w:fldChar w:fldCharType="begin"/>
            </w:r>
            <w:r>
              <w:rPr>
                <w:noProof/>
                <w:webHidden/>
              </w:rPr>
              <w:instrText xml:space="preserve"> PAGEREF _Toc201512581 \h </w:instrText>
            </w:r>
            <w:r>
              <w:rPr>
                <w:noProof/>
                <w:webHidden/>
              </w:rPr>
            </w:r>
            <w:r>
              <w:rPr>
                <w:noProof/>
                <w:webHidden/>
              </w:rPr>
              <w:fldChar w:fldCharType="separate"/>
            </w:r>
            <w:r w:rsidR="00C13E0E">
              <w:rPr>
                <w:noProof/>
                <w:webHidden/>
              </w:rPr>
              <w:t>132</w:t>
            </w:r>
            <w:r>
              <w:rPr>
                <w:noProof/>
                <w:webHidden/>
              </w:rPr>
              <w:fldChar w:fldCharType="end"/>
            </w:r>
          </w:hyperlink>
        </w:p>
        <w:p w14:paraId="6EE472CF" w14:textId="5B9A310A"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82" w:history="1">
            <w:r w:rsidRPr="00704C0C">
              <w:rPr>
                <w:rStyle w:val="Hyperlink"/>
                <w:noProof/>
              </w:rPr>
              <w:t>22.3</w:t>
            </w:r>
            <w:r>
              <w:rPr>
                <w:rFonts w:eastAsiaTheme="minorEastAsia"/>
                <w:noProof/>
                <w:lang w:eastAsia="en-GB"/>
              </w:rPr>
              <w:tab/>
            </w:r>
            <w:r w:rsidRPr="00704C0C">
              <w:rPr>
                <w:rStyle w:val="Hyperlink"/>
                <w:noProof/>
              </w:rPr>
              <w:t>Survival</w:t>
            </w:r>
            <w:r>
              <w:rPr>
                <w:noProof/>
                <w:webHidden/>
              </w:rPr>
              <w:tab/>
            </w:r>
            <w:r>
              <w:rPr>
                <w:noProof/>
                <w:webHidden/>
              </w:rPr>
              <w:fldChar w:fldCharType="begin"/>
            </w:r>
            <w:r>
              <w:rPr>
                <w:noProof/>
                <w:webHidden/>
              </w:rPr>
              <w:instrText xml:space="preserve"> PAGEREF _Toc201512582 \h </w:instrText>
            </w:r>
            <w:r>
              <w:rPr>
                <w:noProof/>
                <w:webHidden/>
              </w:rPr>
            </w:r>
            <w:r>
              <w:rPr>
                <w:noProof/>
                <w:webHidden/>
              </w:rPr>
              <w:fldChar w:fldCharType="separate"/>
            </w:r>
            <w:r w:rsidR="00C13E0E">
              <w:rPr>
                <w:noProof/>
                <w:webHidden/>
              </w:rPr>
              <w:t>132</w:t>
            </w:r>
            <w:r>
              <w:rPr>
                <w:noProof/>
                <w:webHidden/>
              </w:rPr>
              <w:fldChar w:fldCharType="end"/>
            </w:r>
          </w:hyperlink>
        </w:p>
        <w:p w14:paraId="4D156D27" w14:textId="45582BB8"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83" w:history="1">
            <w:r w:rsidRPr="00704C0C">
              <w:rPr>
                <w:rStyle w:val="Hyperlink"/>
                <w:noProof/>
              </w:rPr>
              <w:t>22.4</w:t>
            </w:r>
            <w:r>
              <w:rPr>
                <w:rFonts w:eastAsiaTheme="minorEastAsia"/>
                <w:noProof/>
                <w:lang w:eastAsia="en-GB"/>
              </w:rPr>
              <w:tab/>
            </w:r>
            <w:r w:rsidRPr="00704C0C">
              <w:rPr>
                <w:rStyle w:val="Hyperlink"/>
                <w:noProof/>
              </w:rPr>
              <w:t>Sex</w:t>
            </w:r>
            <w:r>
              <w:rPr>
                <w:noProof/>
                <w:webHidden/>
              </w:rPr>
              <w:tab/>
            </w:r>
            <w:r>
              <w:rPr>
                <w:noProof/>
                <w:webHidden/>
              </w:rPr>
              <w:fldChar w:fldCharType="begin"/>
            </w:r>
            <w:r>
              <w:rPr>
                <w:noProof/>
                <w:webHidden/>
              </w:rPr>
              <w:instrText xml:space="preserve"> PAGEREF _Toc201512583 \h </w:instrText>
            </w:r>
            <w:r>
              <w:rPr>
                <w:noProof/>
                <w:webHidden/>
              </w:rPr>
            </w:r>
            <w:r>
              <w:rPr>
                <w:noProof/>
                <w:webHidden/>
              </w:rPr>
              <w:fldChar w:fldCharType="separate"/>
            </w:r>
            <w:r w:rsidR="00C13E0E">
              <w:rPr>
                <w:noProof/>
                <w:webHidden/>
              </w:rPr>
              <w:t>133</w:t>
            </w:r>
            <w:r>
              <w:rPr>
                <w:noProof/>
                <w:webHidden/>
              </w:rPr>
              <w:fldChar w:fldCharType="end"/>
            </w:r>
          </w:hyperlink>
        </w:p>
        <w:p w14:paraId="4A09580B" w14:textId="6291F893"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84" w:history="1">
            <w:r w:rsidRPr="00704C0C">
              <w:rPr>
                <w:rStyle w:val="Hyperlink"/>
                <w:noProof/>
              </w:rPr>
              <w:t>22.5</w:t>
            </w:r>
            <w:r>
              <w:rPr>
                <w:rFonts w:eastAsiaTheme="minorEastAsia"/>
                <w:noProof/>
                <w:lang w:eastAsia="en-GB"/>
              </w:rPr>
              <w:tab/>
            </w:r>
            <w:r w:rsidRPr="00704C0C">
              <w:rPr>
                <w:rStyle w:val="Hyperlink"/>
                <w:noProof/>
              </w:rPr>
              <w:t>Population attributable fraction</w:t>
            </w:r>
            <w:r>
              <w:rPr>
                <w:noProof/>
                <w:webHidden/>
              </w:rPr>
              <w:tab/>
            </w:r>
            <w:r>
              <w:rPr>
                <w:noProof/>
                <w:webHidden/>
              </w:rPr>
              <w:fldChar w:fldCharType="begin"/>
            </w:r>
            <w:r>
              <w:rPr>
                <w:noProof/>
                <w:webHidden/>
              </w:rPr>
              <w:instrText xml:space="preserve"> PAGEREF _Toc201512584 \h </w:instrText>
            </w:r>
            <w:r>
              <w:rPr>
                <w:noProof/>
                <w:webHidden/>
              </w:rPr>
            </w:r>
            <w:r>
              <w:rPr>
                <w:noProof/>
                <w:webHidden/>
              </w:rPr>
              <w:fldChar w:fldCharType="separate"/>
            </w:r>
            <w:r w:rsidR="00C13E0E">
              <w:rPr>
                <w:noProof/>
                <w:webHidden/>
              </w:rPr>
              <w:t>133</w:t>
            </w:r>
            <w:r>
              <w:rPr>
                <w:noProof/>
                <w:webHidden/>
              </w:rPr>
              <w:fldChar w:fldCharType="end"/>
            </w:r>
          </w:hyperlink>
        </w:p>
        <w:p w14:paraId="638386E5" w14:textId="14FA0B3A"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85" w:history="1">
            <w:r w:rsidRPr="00704C0C">
              <w:rPr>
                <w:rStyle w:val="Hyperlink"/>
                <w:noProof/>
              </w:rPr>
              <w:t>22.6</w:t>
            </w:r>
            <w:r>
              <w:rPr>
                <w:rFonts w:eastAsiaTheme="minorEastAsia"/>
                <w:noProof/>
                <w:lang w:eastAsia="en-GB"/>
              </w:rPr>
              <w:tab/>
            </w:r>
            <w:r w:rsidRPr="00704C0C">
              <w:rPr>
                <w:rStyle w:val="Hyperlink"/>
                <w:noProof/>
              </w:rPr>
              <w:t>Strengths and limitations</w:t>
            </w:r>
            <w:r>
              <w:rPr>
                <w:noProof/>
                <w:webHidden/>
              </w:rPr>
              <w:tab/>
            </w:r>
            <w:r>
              <w:rPr>
                <w:noProof/>
                <w:webHidden/>
              </w:rPr>
              <w:fldChar w:fldCharType="begin"/>
            </w:r>
            <w:r>
              <w:rPr>
                <w:noProof/>
                <w:webHidden/>
              </w:rPr>
              <w:instrText xml:space="preserve"> PAGEREF _Toc201512585 \h </w:instrText>
            </w:r>
            <w:r>
              <w:rPr>
                <w:noProof/>
                <w:webHidden/>
              </w:rPr>
            </w:r>
            <w:r>
              <w:rPr>
                <w:noProof/>
                <w:webHidden/>
              </w:rPr>
              <w:fldChar w:fldCharType="separate"/>
            </w:r>
            <w:r w:rsidR="00C13E0E">
              <w:rPr>
                <w:noProof/>
                <w:webHidden/>
              </w:rPr>
              <w:t>133</w:t>
            </w:r>
            <w:r>
              <w:rPr>
                <w:noProof/>
                <w:webHidden/>
              </w:rPr>
              <w:fldChar w:fldCharType="end"/>
            </w:r>
          </w:hyperlink>
        </w:p>
        <w:p w14:paraId="47DAE46B" w14:textId="578D7228"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86" w:history="1">
            <w:r w:rsidRPr="00704C0C">
              <w:rPr>
                <w:rStyle w:val="Hyperlink"/>
                <w:noProof/>
              </w:rPr>
              <w:t>22.7</w:t>
            </w:r>
            <w:r>
              <w:rPr>
                <w:rFonts w:eastAsiaTheme="minorEastAsia"/>
                <w:noProof/>
                <w:lang w:eastAsia="en-GB"/>
              </w:rPr>
              <w:tab/>
            </w:r>
            <w:r w:rsidRPr="00704C0C">
              <w:rPr>
                <w:rStyle w:val="Hyperlink"/>
                <w:noProof/>
                <w:shd w:val="clear" w:color="auto" w:fill="FFFFFF"/>
              </w:rPr>
              <w:t>Policy implications</w:t>
            </w:r>
            <w:r>
              <w:rPr>
                <w:noProof/>
                <w:webHidden/>
              </w:rPr>
              <w:tab/>
            </w:r>
            <w:r>
              <w:rPr>
                <w:noProof/>
                <w:webHidden/>
              </w:rPr>
              <w:fldChar w:fldCharType="begin"/>
            </w:r>
            <w:r>
              <w:rPr>
                <w:noProof/>
                <w:webHidden/>
              </w:rPr>
              <w:instrText xml:space="preserve"> PAGEREF _Toc201512586 \h </w:instrText>
            </w:r>
            <w:r>
              <w:rPr>
                <w:noProof/>
                <w:webHidden/>
              </w:rPr>
            </w:r>
            <w:r>
              <w:rPr>
                <w:noProof/>
                <w:webHidden/>
              </w:rPr>
              <w:fldChar w:fldCharType="separate"/>
            </w:r>
            <w:r w:rsidR="00C13E0E">
              <w:rPr>
                <w:noProof/>
                <w:webHidden/>
              </w:rPr>
              <w:t>134</w:t>
            </w:r>
            <w:r>
              <w:rPr>
                <w:noProof/>
                <w:webHidden/>
              </w:rPr>
              <w:fldChar w:fldCharType="end"/>
            </w:r>
          </w:hyperlink>
        </w:p>
        <w:p w14:paraId="3379C5EC" w14:textId="68614A4F" w:rsidR="004B0E10" w:rsidRDefault="004B0E10" w:rsidP="00CD71C7">
          <w:pPr>
            <w:pStyle w:val="TOC1"/>
            <w:tabs>
              <w:tab w:val="left" w:pos="720"/>
              <w:tab w:val="right" w:leader="dot" w:pos="9016"/>
            </w:tabs>
            <w:spacing w:line="240" w:lineRule="auto"/>
            <w:rPr>
              <w:rFonts w:eastAsiaTheme="minorEastAsia"/>
              <w:noProof/>
              <w:lang w:eastAsia="en-GB"/>
            </w:rPr>
          </w:pPr>
          <w:hyperlink w:anchor="_Toc201512587" w:history="1">
            <w:r w:rsidRPr="00704C0C">
              <w:rPr>
                <w:rStyle w:val="Hyperlink"/>
                <w:noProof/>
                <w:lang w:eastAsia="en-GB"/>
              </w:rPr>
              <w:t>23</w:t>
            </w:r>
            <w:r>
              <w:rPr>
                <w:rFonts w:eastAsiaTheme="minorEastAsia"/>
                <w:noProof/>
                <w:lang w:eastAsia="en-GB"/>
              </w:rPr>
              <w:tab/>
            </w:r>
            <w:r w:rsidRPr="00704C0C">
              <w:rPr>
                <w:rStyle w:val="Hyperlink"/>
                <w:noProof/>
                <w:lang w:eastAsia="en-GB"/>
              </w:rPr>
              <w:t>Conclusion</w:t>
            </w:r>
            <w:r>
              <w:rPr>
                <w:noProof/>
                <w:webHidden/>
              </w:rPr>
              <w:tab/>
            </w:r>
            <w:r>
              <w:rPr>
                <w:noProof/>
                <w:webHidden/>
              </w:rPr>
              <w:fldChar w:fldCharType="begin"/>
            </w:r>
            <w:r>
              <w:rPr>
                <w:noProof/>
                <w:webHidden/>
              </w:rPr>
              <w:instrText xml:space="preserve"> PAGEREF _Toc201512587 \h </w:instrText>
            </w:r>
            <w:r>
              <w:rPr>
                <w:noProof/>
                <w:webHidden/>
              </w:rPr>
            </w:r>
            <w:r>
              <w:rPr>
                <w:noProof/>
                <w:webHidden/>
              </w:rPr>
              <w:fldChar w:fldCharType="separate"/>
            </w:r>
            <w:r w:rsidR="00C13E0E">
              <w:rPr>
                <w:noProof/>
                <w:webHidden/>
              </w:rPr>
              <w:t>136</w:t>
            </w:r>
            <w:r>
              <w:rPr>
                <w:noProof/>
                <w:webHidden/>
              </w:rPr>
              <w:fldChar w:fldCharType="end"/>
            </w:r>
          </w:hyperlink>
        </w:p>
        <w:p w14:paraId="61AABB89" w14:textId="776CBA79" w:rsidR="004B0E10" w:rsidRDefault="004B0E10" w:rsidP="00CD71C7">
          <w:pPr>
            <w:pStyle w:val="TOC1"/>
            <w:tabs>
              <w:tab w:val="left" w:pos="720"/>
              <w:tab w:val="right" w:leader="dot" w:pos="9016"/>
            </w:tabs>
            <w:spacing w:line="240" w:lineRule="auto"/>
            <w:rPr>
              <w:rFonts w:eastAsiaTheme="minorEastAsia"/>
              <w:noProof/>
              <w:lang w:eastAsia="en-GB"/>
            </w:rPr>
          </w:pPr>
          <w:hyperlink w:anchor="_Toc201512588" w:history="1">
            <w:r w:rsidRPr="00704C0C">
              <w:rPr>
                <w:rStyle w:val="Hyperlink"/>
                <w:noProof/>
              </w:rPr>
              <w:t>24</w:t>
            </w:r>
            <w:r>
              <w:rPr>
                <w:rFonts w:eastAsiaTheme="minorEastAsia"/>
                <w:noProof/>
                <w:lang w:eastAsia="en-GB"/>
              </w:rPr>
              <w:tab/>
            </w:r>
            <w:r w:rsidRPr="00704C0C">
              <w:rPr>
                <w:rStyle w:val="Hyperlink"/>
                <w:noProof/>
              </w:rPr>
              <w:t>References</w:t>
            </w:r>
            <w:r>
              <w:rPr>
                <w:noProof/>
                <w:webHidden/>
              </w:rPr>
              <w:tab/>
            </w:r>
            <w:r>
              <w:rPr>
                <w:noProof/>
                <w:webHidden/>
              </w:rPr>
              <w:fldChar w:fldCharType="begin"/>
            </w:r>
            <w:r>
              <w:rPr>
                <w:noProof/>
                <w:webHidden/>
              </w:rPr>
              <w:instrText xml:space="preserve"> PAGEREF _Toc201512588 \h </w:instrText>
            </w:r>
            <w:r>
              <w:rPr>
                <w:noProof/>
                <w:webHidden/>
              </w:rPr>
            </w:r>
            <w:r>
              <w:rPr>
                <w:noProof/>
                <w:webHidden/>
              </w:rPr>
              <w:fldChar w:fldCharType="separate"/>
            </w:r>
            <w:r w:rsidR="00C13E0E">
              <w:rPr>
                <w:noProof/>
                <w:webHidden/>
              </w:rPr>
              <w:t>137</w:t>
            </w:r>
            <w:r>
              <w:rPr>
                <w:noProof/>
                <w:webHidden/>
              </w:rPr>
              <w:fldChar w:fldCharType="end"/>
            </w:r>
          </w:hyperlink>
        </w:p>
        <w:p w14:paraId="6DE95793" w14:textId="213AA4E0" w:rsidR="004B0E10" w:rsidRDefault="004B0E10" w:rsidP="00CD71C7">
          <w:pPr>
            <w:pStyle w:val="TOC1"/>
            <w:tabs>
              <w:tab w:val="right" w:leader="dot" w:pos="9016"/>
            </w:tabs>
            <w:spacing w:line="240" w:lineRule="auto"/>
            <w:rPr>
              <w:rFonts w:eastAsiaTheme="minorEastAsia"/>
              <w:noProof/>
              <w:lang w:eastAsia="en-GB"/>
            </w:rPr>
          </w:pPr>
          <w:hyperlink w:anchor="_Toc201512589" w:history="1">
            <w:r w:rsidRPr="00704C0C">
              <w:rPr>
                <w:rStyle w:val="Hyperlink"/>
                <w:rFonts w:asciiTheme="majorHAnsi" w:eastAsiaTheme="majorEastAsia" w:hAnsiTheme="majorHAnsi" w:cstheme="majorBidi"/>
                <w:noProof/>
              </w:rPr>
              <w:t>Appendix 1</w:t>
            </w:r>
            <w:r>
              <w:rPr>
                <w:noProof/>
                <w:webHidden/>
              </w:rPr>
              <w:tab/>
            </w:r>
            <w:r>
              <w:rPr>
                <w:noProof/>
                <w:webHidden/>
              </w:rPr>
              <w:fldChar w:fldCharType="begin"/>
            </w:r>
            <w:r>
              <w:rPr>
                <w:noProof/>
                <w:webHidden/>
              </w:rPr>
              <w:instrText xml:space="preserve"> PAGEREF _Toc201512589 \h </w:instrText>
            </w:r>
            <w:r>
              <w:rPr>
                <w:noProof/>
                <w:webHidden/>
              </w:rPr>
            </w:r>
            <w:r>
              <w:rPr>
                <w:noProof/>
                <w:webHidden/>
              </w:rPr>
              <w:fldChar w:fldCharType="separate"/>
            </w:r>
            <w:r w:rsidR="00C13E0E">
              <w:rPr>
                <w:noProof/>
                <w:webHidden/>
              </w:rPr>
              <w:t>146</w:t>
            </w:r>
            <w:r>
              <w:rPr>
                <w:noProof/>
                <w:webHidden/>
              </w:rPr>
              <w:fldChar w:fldCharType="end"/>
            </w:r>
          </w:hyperlink>
        </w:p>
        <w:p w14:paraId="6D5DBE66" w14:textId="2BD19651" w:rsidR="00554B40" w:rsidRDefault="00554B40" w:rsidP="00CD71C7">
          <w:pPr>
            <w:spacing w:line="240" w:lineRule="auto"/>
          </w:pPr>
          <w:r>
            <w:rPr>
              <w:b/>
              <w:bCs/>
              <w:noProof/>
            </w:rPr>
            <w:fldChar w:fldCharType="end"/>
          </w:r>
        </w:p>
      </w:sdtContent>
    </w:sdt>
    <w:p w14:paraId="62092A1C" w14:textId="5EEFAC44" w:rsidR="003E2932" w:rsidRDefault="003E2932" w:rsidP="003E2932">
      <w:pPr>
        <w:spacing w:line="240" w:lineRule="auto"/>
        <w:sectPr w:rsidR="003E2932" w:rsidSect="002746C0">
          <w:pgSz w:w="11906" w:h="16838"/>
          <w:pgMar w:top="1440" w:right="1440" w:bottom="1440" w:left="1440" w:header="708" w:footer="708" w:gutter="0"/>
          <w:cols w:space="708"/>
          <w:docGrid w:linePitch="360"/>
        </w:sectPr>
      </w:pPr>
    </w:p>
    <w:p w14:paraId="14A14EEA" w14:textId="77777777" w:rsidR="003E2932" w:rsidRPr="0075645A" w:rsidRDefault="003E2932" w:rsidP="00A64503">
      <w:pPr>
        <w:pStyle w:val="Heading1"/>
        <w:spacing w:before="0" w:after="0" w:line="240" w:lineRule="auto"/>
      </w:pPr>
      <w:bookmarkStart w:id="4" w:name="_Toc197557017"/>
      <w:bookmarkStart w:id="5" w:name="_Toc201512410"/>
      <w:r w:rsidRPr="0075645A">
        <w:t>Introduction</w:t>
      </w:r>
      <w:bookmarkEnd w:id="1"/>
      <w:bookmarkEnd w:id="4"/>
      <w:bookmarkEnd w:id="5"/>
    </w:p>
    <w:p w14:paraId="0B5D1937" w14:textId="74285574" w:rsidR="003E2932" w:rsidRDefault="003E2932" w:rsidP="00A64503">
      <w:pPr>
        <w:autoSpaceDE w:val="0"/>
        <w:autoSpaceDN w:val="0"/>
        <w:adjustRightInd w:val="0"/>
        <w:spacing w:after="0" w:line="240" w:lineRule="auto"/>
      </w:pPr>
      <w:r w:rsidRPr="005F62C9">
        <w:t>Tobacco smoking remains the leading preventable cause of cancer accounting for 25% of all cancer deaths globally.</w:t>
      </w:r>
      <w:r>
        <w:fldChar w:fldCharType="begin"/>
      </w:r>
      <w:r w:rsidR="00A5309E">
        <w:instrText xml:space="preserve"> ADDIN ZOTERO_ITEM CSL_CITATION {"citationID":"CWtoK5PC","properties":{"formattedCitation":"(1)","plainCitation":"(1)","noteIndex":0},"citationItems":[{"id":93,"uris":["http://zotero.org/users/local/fxpU1WWH/items/CSLCXSSR"],"itemData":{"id":93,"type":"webpage","abstract":"On World Cancer Day, marked on 4 February, WHO/Europe is focusing on the need to minimize exposure to both alcohol and tobacco. While many people understand the risks of developing cancer associated with smoking, many remain unaware that alcohol also causes cancer.“This is not only a problem of public awareness, it is a sign that policies to prevent cancer across the WHO European Region can and should be bolder,” highlights Dr Nino Berdzuli, Director of the Division of Country Health Programmes.Around 40% of cancers can be prevented, and public awareness of these 2 modifiable risk factors – tobacco and alcohol – needs to increase. Information about the health hazards linked to drinking alcohol and smoking should be combined with effective WHO-recommended health policies, which limit exposure to health-harming products as well as their affordability.Cancer is the second-highest cause of morbidity and mortality in the Region, resulting in more than 3.7 million cases and 1.9 million deaths each year. In 2018, cancer caused 10 million deaths worldwide. Over the next 20 years, cancer rates are expected to rise by at least 60%.Tobacco and cancer: non-smokers also at riskTobacco use accounts for 25% of all cancer deaths globally and is the primary cause of lung cancer. It remains a public health issue of the utmost importance in the Region, where an estimated 186 million people (or 26% of the adult population) currently use tobacco. For men, tobacco use is associated with 92% of trachea, bronchus and lung cancers; for women, this association rate is 62%.People who use both alcohol and tobacco have a 5-fold increased risk of developing cancers of the oral cavity, oropharynx, larynx and oesophagus compared to people who use either alcohol or tobacco alone. For heavy users, the risk is up to 30 times higher.Smokers are up to 22 times more likely to develop lung cancer in their lifetime compared to non-smokers. However, people who do not use tobacco but who are exposed to second-hand smoke at home, work or in other public places also have an increased risk of developing lung diseases, including chronic respiratory diseases and lung cancer.The good news, however, is that lung cancer is largely preventable and almost 9 out of 10 cases can be prevented if current smokers quit. The benefits of quitting tobacco are almost immediate. After just 20 minutes of quitting smoking, heart rate drops. Within 2–12 weeks, circulation improves and lung function increases. Within 1–9 months, coughing and shortness of breath decrease. After 10 years of quitting smoking, the risk of lung cancer falls to about half that of a smoker.These are undoubtedly strong arguments for making tobacco control a priority among the risk-factor reduction strategies for cancer.Alcohol and cancer: no safe levelAccording to a recent factsheet produced by the WHO European Office for the Prevention and Control of Noncommunicable Diseases, in 2018 alone, around 180 000 cases of cancer and 92 000 cancer deaths were causally linked to alcohol in the Region.There is no safe level of alcohol consumption – regardless of the type of beverage, its quality or price – because the primary compound that can cause cancer is alcohol itself.Almost 11% of all cancer cases causally linked to alcohol across the Region in 2018 were due to drinking no more than 1 large bottle of beer (500 ml), 2 glasses of wine (200 ml) or 60 ml of spirits per day. Cancer risks start from the first gram of alcohol consumed and increase with the amount that people drink.How countries can protect consumers’ healthAll 53 countries of the WHO European Region have signed on to the European Programme of Work (2020–2025), a document that promotes united action for better health. It contributes to actions aimed at decreasing cancer morbidity and deaths.“Well chosen public-health policy measures can raise public awareness and open new ways to protect consumers’ health,” explains Dr Berdzuli. “WHO-recommended ‘best-buy’ measures are cost-effective and easy to implement. They emphasize increasing taxes and prices for harmful products, enforcing marketing restrictions, and limiting their physical availability.”WHO also strongly supports adding warnings on labels for health-harming products. As Dr Berdzuli notes, “Concentrating on preventable health risks is the fastest and easiest way to ensure the health and well-being of people in our Region.”WHO report on cancer: setting priorities, investing wisely and providing care for allEuropean tobacco use: Trends report 2019Alcohol and cancer in the WHO European Region: an appeal for better preventionEuropean action plan to reduce the harmful use of alcohol 2012–2020","language":"en","title":"World Cancer Day: know the facts – tobacco and alcohol both cause cancer","title-short":"World Cancer Day","URL":"https://www.who.int/europe/news/item/03-02-2021-world-cancer-day-know-the-facts-tobacco-and-alcohol-both-cause-cancer","accessed":{"date-parts":[["2025",4,30]]}}}],"schema":"https://github.com/citation-style-language/schema/raw/master/csl-citation.json"} </w:instrText>
      </w:r>
      <w:r>
        <w:fldChar w:fldCharType="separate"/>
      </w:r>
      <w:r w:rsidR="00A5309E" w:rsidRPr="00A5309E">
        <w:rPr>
          <w:rFonts w:ascii="Aptos" w:hAnsi="Aptos"/>
        </w:rPr>
        <w:t>(1)</w:t>
      </w:r>
      <w:r>
        <w:fldChar w:fldCharType="end"/>
      </w:r>
      <w:r>
        <w:t xml:space="preserve"> </w:t>
      </w:r>
      <w:r w:rsidRPr="00A27AAF">
        <w:t xml:space="preserve">This report describes the burden of tobacco-related cancers in Ireland from 1994 to 2022. </w:t>
      </w:r>
      <w:r>
        <w:t xml:space="preserve"> </w:t>
      </w:r>
      <w:r w:rsidRPr="00A27AAF">
        <w:t xml:space="preserve">This is the first report to comprehensively describe trends over time </w:t>
      </w:r>
      <w:r>
        <w:t>in</w:t>
      </w:r>
      <w:r w:rsidRPr="00A27AAF">
        <w:t xml:space="preserve"> incidence, mortality and survival for tobacco-related cancers</w:t>
      </w:r>
      <w:r>
        <w:t xml:space="preserve"> in Ireland. </w:t>
      </w:r>
      <w:r w:rsidRPr="005F62C9">
        <w:t xml:space="preserve">We </w:t>
      </w:r>
      <w:r>
        <w:t>also</w:t>
      </w:r>
      <w:r w:rsidRPr="005F62C9">
        <w:t xml:space="preserve"> estimate the </w:t>
      </w:r>
      <w:r w:rsidR="00F52D16">
        <w:t>p</w:t>
      </w:r>
      <w:r w:rsidRPr="005F62C9">
        <w:t xml:space="preserve">opulation </w:t>
      </w:r>
      <w:r w:rsidR="00F52D16">
        <w:t>a</w:t>
      </w:r>
      <w:r w:rsidRPr="005F62C9">
        <w:t xml:space="preserve">ttributable </w:t>
      </w:r>
      <w:r w:rsidR="00F52D16">
        <w:t>f</w:t>
      </w:r>
      <w:r w:rsidRPr="005F62C9">
        <w:t>raction</w:t>
      </w:r>
      <w:r>
        <w:t xml:space="preserve"> (PAF)</w:t>
      </w:r>
      <w:r w:rsidRPr="005F62C9">
        <w:t xml:space="preserve"> for </w:t>
      </w:r>
      <w:r>
        <w:t>these</w:t>
      </w:r>
      <w:r w:rsidRPr="005F62C9">
        <w:t xml:space="preserve"> cancers </w:t>
      </w:r>
      <w:r>
        <w:t>in the Irish population in</w:t>
      </w:r>
      <w:r w:rsidRPr="005F62C9">
        <w:t xml:space="preserve"> 2022.</w:t>
      </w:r>
      <w:r>
        <w:t xml:space="preserve"> </w:t>
      </w:r>
    </w:p>
    <w:p w14:paraId="0D9CFAEC" w14:textId="77777777" w:rsidR="003E2932" w:rsidRDefault="003E2932" w:rsidP="00A64503">
      <w:pPr>
        <w:autoSpaceDE w:val="0"/>
        <w:autoSpaceDN w:val="0"/>
        <w:adjustRightInd w:val="0"/>
        <w:spacing w:after="0" w:line="240" w:lineRule="auto"/>
        <w:rPr>
          <w:rFonts w:ascii="Calibri" w:hAnsi="Calibri" w:cs="Calibri"/>
          <w:sz w:val="23"/>
          <w:szCs w:val="23"/>
        </w:rPr>
      </w:pPr>
    </w:p>
    <w:p w14:paraId="5A52DC17" w14:textId="77777777" w:rsidR="003E2932" w:rsidRDefault="003E2932" w:rsidP="00A64503">
      <w:pPr>
        <w:pStyle w:val="Heading2"/>
        <w:spacing w:before="0" w:after="0" w:line="240" w:lineRule="auto"/>
      </w:pPr>
      <w:bookmarkStart w:id="6" w:name="_Toc194488666"/>
      <w:bookmarkStart w:id="7" w:name="_Toc197557018"/>
      <w:bookmarkStart w:id="8" w:name="_Toc201512411"/>
      <w:r w:rsidRPr="004C1369">
        <w:t>Smoking Prevalence in Ireland</w:t>
      </w:r>
      <w:bookmarkEnd w:id="6"/>
      <w:bookmarkEnd w:id="7"/>
      <w:bookmarkEnd w:id="8"/>
    </w:p>
    <w:p w14:paraId="37D24C93" w14:textId="69C58A0B" w:rsidR="003E2932" w:rsidRDefault="003E2932" w:rsidP="00A64503">
      <w:pPr>
        <w:spacing w:after="0" w:line="240" w:lineRule="auto"/>
      </w:pPr>
      <w:r w:rsidRPr="00650A51">
        <w:t>I</w:t>
      </w:r>
      <w:r w:rsidRPr="00BC3DFD">
        <w:t xml:space="preserve">n Ireland </w:t>
      </w:r>
      <w:r>
        <w:t>there has been a marked decrease in the prevalence of smoking</w:t>
      </w:r>
      <w:r w:rsidRPr="004C1369">
        <w:t xml:space="preserve"> </w:t>
      </w:r>
      <w:r w:rsidRPr="00BC3DFD">
        <w:t>o</w:t>
      </w:r>
      <w:r>
        <w:t>ver recent decades.</w:t>
      </w:r>
      <w:r>
        <w:rPr>
          <w:vertAlign w:val="superscript"/>
        </w:rPr>
        <w:t>3</w:t>
      </w:r>
      <w:r>
        <w:t xml:space="preserve"> In 2024, s</w:t>
      </w:r>
      <w:r w:rsidRPr="00E5293B">
        <w:t xml:space="preserve">moking prevalence </w:t>
      </w:r>
      <w:r>
        <w:t xml:space="preserve">data from the national representative survey Healthy Ireland indicated that </w:t>
      </w:r>
      <w:r w:rsidRPr="00E5293B">
        <w:t>1</w:t>
      </w:r>
      <w:r>
        <w:t>7</w:t>
      </w:r>
      <w:r w:rsidRPr="00E5293B">
        <w:t>%</w:t>
      </w:r>
      <w:r>
        <w:t xml:space="preserve"> of the Irish population aged 15+ </w:t>
      </w:r>
      <w:r w:rsidR="00561E96">
        <w:t xml:space="preserve">years </w:t>
      </w:r>
      <w:r>
        <w:t>are current smokers (14% daily; 4% occasional).</w:t>
      </w:r>
      <w:r>
        <w:fldChar w:fldCharType="begin"/>
      </w:r>
      <w:r w:rsidR="00A5309E">
        <w:instrText xml:space="preserve"> ADDIN ZOTERO_ITEM CSL_CITATION {"citationID":"NIk8zytB","properties":{"formattedCitation":"(2)","plainCitation":"(2)","noteIndex":0},"citationItems":[{"id":17,"uris":["http://zotero.org/users/local/fxpU1WWH/items/FBZFBELG"],"itemData":{"id":17,"type":"webpage","abstract":"For the 2024 Survey, a representative sample of 7,398 people, aged 15 and older and living in Ireland were interviewed between October 2023 and April 2024","container-title":"gov.ie","language":"en","title":"Healthy Ireland Survey 2024","URL":"https://gov.ie/en/healthy-ireland/publications/healthy-ireland-survey-2024/","accessed":{"date-parts":[["2025",4,30]]}}}],"schema":"https://github.com/citation-style-language/schema/raw/master/csl-citation.json"} </w:instrText>
      </w:r>
      <w:r>
        <w:fldChar w:fldCharType="separate"/>
      </w:r>
      <w:r w:rsidR="00A5309E" w:rsidRPr="00A5309E">
        <w:rPr>
          <w:rFonts w:ascii="Aptos" w:hAnsi="Aptos"/>
        </w:rPr>
        <w:t>(2)</w:t>
      </w:r>
      <w:r>
        <w:fldChar w:fldCharType="end"/>
      </w:r>
      <w:r>
        <w:t xml:space="preserve"> By contrast,</w:t>
      </w:r>
      <w:r w:rsidRPr="00E27792">
        <w:t xml:space="preserve"> </w:t>
      </w:r>
      <w:r>
        <w:t xml:space="preserve">it is estimated that </w:t>
      </w:r>
      <w:r w:rsidRPr="00E27792">
        <w:t xml:space="preserve">38.2 % </w:t>
      </w:r>
      <w:r>
        <w:t xml:space="preserve">of the Irish population were smokers in 1980, </w:t>
      </w:r>
      <w:r w:rsidRPr="00E27792">
        <w:t xml:space="preserve">falling to 32.3% </w:t>
      </w:r>
      <w:r>
        <w:t>by</w:t>
      </w:r>
      <w:r w:rsidRPr="00E27792">
        <w:t xml:space="preserve"> 1996</w:t>
      </w:r>
      <w:r>
        <w:t xml:space="preserve"> and decreasing further to just under one third of the population (29%) by 2007.</w:t>
      </w:r>
      <w:r>
        <w:fldChar w:fldCharType="begin"/>
      </w:r>
      <w:r w:rsidR="00A5309E">
        <w:instrText xml:space="preserve"> ADDIN ZOTERO_ITEM CSL_CITATION {"citationID":"BXDGjMNw","properties":{"formattedCitation":"(3)","plainCitation":"(3)","noteIndex":0},"citationItems":[{"id":34,"uris":["http://zotero.org/users/local/fxpU1WWH/items/B8WNLKE4"],"itemData":{"id":34,"type":"webpage","title":"Smoking Prevalence and Cigarette Consumption in 187 Countries, 1980-2012 | Tobacco and e-Cigarettes | JAMA | JAMA Network","URL":"https://jamanetwork.com/journals/jama/fullarticle/1812960","accessed":{"date-parts":[["2025",4,30]]}}}],"schema":"https://github.com/citation-style-language/schema/raw/master/csl-citation.json"} </w:instrText>
      </w:r>
      <w:r>
        <w:fldChar w:fldCharType="separate"/>
      </w:r>
      <w:r w:rsidR="00A5309E" w:rsidRPr="00A5309E">
        <w:rPr>
          <w:rFonts w:ascii="Aptos" w:hAnsi="Aptos"/>
        </w:rPr>
        <w:t>(3)</w:t>
      </w:r>
      <w:r>
        <w:fldChar w:fldCharType="end"/>
      </w:r>
      <w:r>
        <w:t xml:space="preserve"> In 2023, 33% of the Irish population reported that they had previously smoked.</w:t>
      </w:r>
      <w:r>
        <w:fldChar w:fldCharType="begin"/>
      </w:r>
      <w:r w:rsidR="00A5309E">
        <w:instrText xml:space="preserve"> ADDIN ZOTERO_ITEM CSL_CITATION {"citationID":"uZ6LcA5B","properties":{"formattedCitation":"(4)","plainCitation":"(4)","noteIndex":0},"citationItems":[{"id":7,"uris":["http://zotero.org/users/local/fxpU1WWH/items/DVGWVXWX"],"itemData":{"id":7,"type":"report","abstract":"Irish drugs and alcohol research, data, policy and sources of evidence on prevention, treatment, rehabilitation, crime and consequences.","event-place":"Dublin","genre":"Report","language":"en","note":"number-of-pages: 60 p.","publisher":"Healthy Ireland, Department of Health","publisher-place":"Dublin","source":"www.drugsandalcohol.ie","title":"Healthy Ireland survey 2023 - summary report.","URL":"https://www.drugsandalcohol.ie/39977/","accessed":{"date-parts":[["2025",4,30]]},"issued":{"date-parts":[["2023",11]]}}}],"schema":"https://github.com/citation-style-language/schema/raw/master/csl-citation.json"} </w:instrText>
      </w:r>
      <w:r>
        <w:fldChar w:fldCharType="separate"/>
      </w:r>
      <w:r w:rsidR="00A5309E" w:rsidRPr="00A5309E">
        <w:rPr>
          <w:rFonts w:ascii="Aptos" w:hAnsi="Aptos"/>
        </w:rPr>
        <w:t>(4)</w:t>
      </w:r>
      <w:r>
        <w:fldChar w:fldCharType="end"/>
      </w:r>
    </w:p>
    <w:p w14:paraId="19D084A9" w14:textId="77777777" w:rsidR="003E2932" w:rsidRPr="007A2F1B" w:rsidRDefault="003E2932" w:rsidP="00A64503">
      <w:pPr>
        <w:spacing w:after="0" w:line="240" w:lineRule="auto"/>
      </w:pPr>
    </w:p>
    <w:p w14:paraId="6F7E1864" w14:textId="2C43B260" w:rsidR="003E2932" w:rsidRDefault="003E2932" w:rsidP="00A64503">
      <w:pPr>
        <w:autoSpaceDE w:val="0"/>
        <w:autoSpaceDN w:val="0"/>
        <w:adjustRightInd w:val="0"/>
        <w:spacing w:after="0" w:line="240" w:lineRule="auto"/>
      </w:pPr>
      <w:r>
        <w:t>According to data from the Eurostat Database (EHIS) from 2019</w:t>
      </w:r>
      <w:r w:rsidR="00EC4A35">
        <w:t>,</w:t>
      </w:r>
      <w:r>
        <w:t xml:space="preserve"> </w:t>
      </w:r>
      <w:r w:rsidRPr="007A2F1B">
        <w:t>Ireland ha</w:t>
      </w:r>
      <w:r w:rsidR="00581671">
        <w:t>d</w:t>
      </w:r>
      <w:r w:rsidRPr="007A2F1B">
        <w:t xml:space="preserve"> the </w:t>
      </w:r>
      <w:r>
        <w:t>8</w:t>
      </w:r>
      <w:r w:rsidRPr="00192ECA">
        <w:t>th</w:t>
      </w:r>
      <w:r w:rsidRPr="007A2F1B">
        <w:t xml:space="preserve"> </w:t>
      </w:r>
      <w:r>
        <w:t>lowest prevalence of daily smokers compared to other European countries.</w:t>
      </w:r>
      <w:r>
        <w:fldChar w:fldCharType="begin"/>
      </w:r>
      <w:r w:rsidR="00A5309E">
        <w:instrText xml:space="preserve"> ADDIN ZOTERO_ITEM CSL_CITATION {"citationID":"S7zAOOip","properties":{"formattedCitation":"(5,6)","plainCitation":"(5,6)","noteIndex":0},"citationItems":[{"id":4,"uris":["http://zotero.org/users/local/fxpU1WWH/items/U3SVGNQA"],"itemData":{"id":4,"type":"webpage","abstract":"This profile identifies strengths, challenges and specific areas of action on cancer prevention and care as part of the European Cancer Inequalities Registry, a flagship initiative of Europe’s Beating Cancer Plan. It provides a short synthesis of: the national cancer burden; risk factors for cancer (focusing on behavioural and environmental risk factors); early detection programmes; and cancer care performance (focusing on accessibility, care quality, costs and quality of life).","container-title":"OECD","language":"en","title":"EU Country Cancer Profile: Ireland 2025","title-short":"EU Country Cancer Profile","URL":"https://www.oecd.org/en/publications/eu-country-cancer-profile-ireland-2025_7d8d0798-en.html","accessed":{"date-parts":[["2025",4,29]]},"issued":{"date-parts":[["2025",2,3]]}}},{"id":66,"uris":["http://zotero.org/users/local/fxpU1WWH/items/HDPQBQIX"],"itemData":{"id":66,"type":"webpage","abstract":"description","language":"en","title":"Tobacco consumption statistics","URL":"https://ec.europa.eu/eurostat/statistics-explained/index.php?title=Tobacco_consumption_statistics","accessed":{"date-parts":[["2025",4,30]]}}}],"schema":"https://github.com/citation-style-language/schema/raw/master/csl-citation.json"} </w:instrText>
      </w:r>
      <w:r>
        <w:fldChar w:fldCharType="separate"/>
      </w:r>
      <w:r w:rsidR="00A5309E" w:rsidRPr="00A5309E">
        <w:rPr>
          <w:rFonts w:ascii="Aptos" w:hAnsi="Aptos"/>
        </w:rPr>
        <w:t>(5,6)</w:t>
      </w:r>
      <w:r>
        <w:fldChar w:fldCharType="end"/>
      </w:r>
      <w:r w:rsidRPr="007A2F1B">
        <w:t xml:space="preserve"> </w:t>
      </w:r>
      <w:r>
        <w:t xml:space="preserve">According to these data </w:t>
      </w:r>
      <w:r w:rsidR="006E7262">
        <w:t xml:space="preserve">in 2019 </w:t>
      </w:r>
      <w:r>
        <w:t>the estimated prevalence of d</w:t>
      </w:r>
      <w:r w:rsidRPr="007A2F1B">
        <w:t xml:space="preserve">aily smokers </w:t>
      </w:r>
      <w:r>
        <w:t xml:space="preserve">in Ireland was </w:t>
      </w:r>
      <w:r w:rsidRPr="007A2F1B">
        <w:t xml:space="preserve">14% </w:t>
      </w:r>
      <w:r>
        <w:t xml:space="preserve">- </w:t>
      </w:r>
      <w:r w:rsidRPr="007A2F1B">
        <w:t>below the EU average of 18%.</w:t>
      </w:r>
      <w:r>
        <w:fldChar w:fldCharType="begin"/>
      </w:r>
      <w:r w:rsidR="00A5309E">
        <w:instrText xml:space="preserve"> ADDIN ZOTERO_ITEM CSL_CITATION {"citationID":"MKi0PeLY","properties":{"formattedCitation":"(5)","plainCitation":"(5)","noteIndex":0},"citationItems":[{"id":4,"uris":["http://zotero.org/users/local/fxpU1WWH/items/U3SVGNQA"],"itemData":{"id":4,"type":"webpage","abstract":"This profile identifies strengths, challenges and specific areas of action on cancer prevention and care as part of the European Cancer Inequalities Registry, a flagship initiative of Europe’s Beating Cancer Plan. It provides a short synthesis of: the national cancer burden; risk factors for cancer (focusing on behavioural and environmental risk factors); early detection programmes; and cancer care performance (focusing on accessibility, care quality, costs and quality of life).","container-title":"OECD","language":"en","title":"EU Country Cancer Profile: Ireland 2025","title-short":"EU Country Cancer Profile","URL":"https://www.oecd.org/en/publications/eu-country-cancer-profile-ireland-2025_7d8d0798-en.html","accessed":{"date-parts":[["2025",4,29]]},"issued":{"date-parts":[["2025",2,3]]}}}],"schema":"https://github.com/citation-style-language/schema/raw/master/csl-citation.json"} </w:instrText>
      </w:r>
      <w:r>
        <w:fldChar w:fldCharType="separate"/>
      </w:r>
      <w:r w:rsidR="00A5309E" w:rsidRPr="00A5309E">
        <w:rPr>
          <w:rFonts w:ascii="Aptos" w:hAnsi="Aptos"/>
        </w:rPr>
        <w:t>(5)</w:t>
      </w:r>
      <w:r>
        <w:fldChar w:fldCharType="end"/>
      </w:r>
      <w:r w:rsidRPr="007A2F1B">
        <w:t xml:space="preserve"> </w:t>
      </w:r>
    </w:p>
    <w:p w14:paraId="537A9BBA" w14:textId="77777777" w:rsidR="003E2932" w:rsidRDefault="003E2932" w:rsidP="00A64503">
      <w:pPr>
        <w:autoSpaceDE w:val="0"/>
        <w:autoSpaceDN w:val="0"/>
        <w:adjustRightInd w:val="0"/>
        <w:spacing w:after="0" w:line="240" w:lineRule="auto"/>
      </w:pPr>
    </w:p>
    <w:p w14:paraId="5D5601AE" w14:textId="76D5F153" w:rsidR="00A35D20" w:rsidRDefault="003E2932" w:rsidP="00A64503">
      <w:pPr>
        <w:pStyle w:val="paragraph"/>
        <w:spacing w:before="0" w:beforeAutospacing="0" w:after="0" w:afterAutospacing="0"/>
        <w:textAlignment w:val="baseline"/>
        <w:rPr>
          <w:rFonts w:asciiTheme="minorHAnsi" w:eastAsiaTheme="minorHAnsi" w:hAnsiTheme="minorHAnsi" w:cstheme="minorBidi"/>
          <w:kern w:val="2"/>
          <w:lang w:eastAsia="en-US"/>
          <w14:ligatures w14:val="standardContextual"/>
        </w:rPr>
      </w:pPr>
      <w:r w:rsidRPr="003211A3">
        <w:rPr>
          <w:rFonts w:asciiTheme="minorHAnsi" w:eastAsiaTheme="minorHAnsi" w:hAnsiTheme="minorHAnsi" w:cstheme="minorBidi"/>
          <w:kern w:val="2"/>
          <w:lang w:eastAsia="en-US"/>
          <w14:ligatures w14:val="standardContextual"/>
        </w:rPr>
        <w:t>Ireland has a rapidly growing and ageing population with projections suggesting up to a doubling of cancer rates by 204</w:t>
      </w:r>
      <w:r w:rsidR="00791FAE">
        <w:rPr>
          <w:rFonts w:asciiTheme="minorHAnsi" w:eastAsiaTheme="minorHAnsi" w:hAnsiTheme="minorHAnsi" w:cstheme="minorBidi"/>
          <w:kern w:val="2"/>
          <w:lang w:eastAsia="en-US"/>
          <w14:ligatures w14:val="standardContextual"/>
        </w:rPr>
        <w:t>5</w:t>
      </w:r>
      <w:r w:rsidRPr="003211A3">
        <w:rPr>
          <w:rFonts w:asciiTheme="minorHAnsi" w:eastAsiaTheme="minorHAnsi" w:hAnsiTheme="minorHAnsi" w:cstheme="minorBidi"/>
          <w:kern w:val="2"/>
          <w:lang w:eastAsia="en-US"/>
          <w14:ligatures w14:val="standardContextual"/>
        </w:rPr>
        <w:t>.</w:t>
      </w:r>
      <w:r w:rsidR="00956899">
        <w:rPr>
          <w:rFonts w:asciiTheme="minorHAnsi" w:eastAsiaTheme="minorHAnsi" w:hAnsiTheme="minorHAnsi" w:cstheme="minorBidi"/>
          <w:kern w:val="2"/>
          <w:lang w:eastAsia="en-US"/>
          <w14:ligatures w14:val="standardContextual"/>
        </w:rPr>
        <w:fldChar w:fldCharType="begin"/>
      </w:r>
      <w:r w:rsidR="00A5309E">
        <w:rPr>
          <w:rFonts w:asciiTheme="minorHAnsi" w:eastAsiaTheme="minorHAnsi" w:hAnsiTheme="minorHAnsi" w:cstheme="minorBidi"/>
          <w:kern w:val="2"/>
          <w:lang w:eastAsia="en-US"/>
          <w14:ligatures w14:val="standardContextual"/>
        </w:rPr>
        <w:instrText xml:space="preserve"> ADDIN ZOTERO_ITEM CSL_CITATION {"citationID":"a19as0t78n4","properties":{"formattedCitation":"(7)","plainCitation":"(7)","noteIndex":0},"citationItems":[{"id":269,"uris":["http://zotero.org/users/local/fxpU1WWH/items/X9VX3SF9"],"itemData":{"id":269,"type":"webpage","language":"en","title":"Cancer Incidence Projections for Ireland 2020-2045 | National Cancer Registry Ireland","URL":"https://www.ncri.ie/en/reports-publications/reports/cancer-incidence-projections-for-ireland-2020-2045","accessed":{"date-parts":[["2025",6,22]]},"issued":{"date-parts":[["2019",4,8]]}}}],"schema":"https://github.com/citation-style-language/schema/raw/master/csl-citation.json"} </w:instrText>
      </w:r>
      <w:r w:rsidR="00956899">
        <w:rPr>
          <w:rFonts w:asciiTheme="minorHAnsi" w:eastAsiaTheme="minorHAnsi" w:hAnsiTheme="minorHAnsi" w:cstheme="minorBidi"/>
          <w:kern w:val="2"/>
          <w:lang w:eastAsia="en-US"/>
          <w14:ligatures w14:val="standardContextual"/>
        </w:rPr>
        <w:fldChar w:fldCharType="separate"/>
      </w:r>
      <w:r w:rsidR="00A5309E" w:rsidRPr="00A5309E">
        <w:rPr>
          <w:rFonts w:ascii="Aptos" w:hAnsi="Aptos"/>
        </w:rPr>
        <w:t>(7)</w:t>
      </w:r>
      <w:r w:rsidR="00956899">
        <w:rPr>
          <w:rFonts w:asciiTheme="minorHAnsi" w:eastAsiaTheme="minorHAnsi" w:hAnsiTheme="minorHAnsi" w:cstheme="minorBidi"/>
          <w:kern w:val="2"/>
          <w:lang w:eastAsia="en-US"/>
          <w14:ligatures w14:val="standardContextual"/>
        </w:rPr>
        <w:fldChar w:fldCharType="end"/>
      </w:r>
      <w:r>
        <w:rPr>
          <w:rFonts w:asciiTheme="minorHAnsi" w:eastAsiaTheme="minorHAnsi" w:hAnsiTheme="minorHAnsi" w:cstheme="minorBidi"/>
          <w:kern w:val="2"/>
          <w:lang w:eastAsia="en-US"/>
          <w14:ligatures w14:val="standardContextual"/>
        </w:rPr>
        <w:t xml:space="preserve">  </w:t>
      </w:r>
      <w:r w:rsidR="0004335B" w:rsidRPr="006C1190">
        <w:rPr>
          <w:rFonts w:asciiTheme="minorHAnsi" w:eastAsiaTheme="minorHAnsi" w:hAnsiTheme="minorHAnsi" w:cstheme="minorBidi"/>
          <w:kern w:val="2"/>
          <w:lang w:eastAsia="en-US"/>
          <w14:ligatures w14:val="standardContextual"/>
        </w:rPr>
        <w:t>There was a 16% increase in the Irish population between 2014 and 2024.</w:t>
      </w:r>
      <w:r w:rsidR="00956899">
        <w:rPr>
          <w:rFonts w:asciiTheme="minorHAnsi" w:eastAsiaTheme="minorHAnsi" w:hAnsiTheme="minorHAnsi" w:cstheme="minorBidi"/>
          <w:kern w:val="2"/>
          <w:lang w:eastAsia="en-US"/>
          <w14:ligatures w14:val="standardContextual"/>
        </w:rPr>
        <w:fldChar w:fldCharType="begin"/>
      </w:r>
      <w:r w:rsidR="00A5309E">
        <w:rPr>
          <w:rFonts w:asciiTheme="minorHAnsi" w:eastAsiaTheme="minorHAnsi" w:hAnsiTheme="minorHAnsi" w:cstheme="minorBidi"/>
          <w:kern w:val="2"/>
          <w:lang w:eastAsia="en-US"/>
          <w14:ligatures w14:val="standardContextual"/>
        </w:rPr>
        <w:instrText xml:space="preserve"> ADDIN ZOTERO_ITEM CSL_CITATION {"citationID":"a1otlt626q6","properties":{"formattedCitation":"(8)","plainCitation":"(8)","noteIndex":0},"citationItems":[{"id":267,"uris":["http://zotero.org/users/local/fxpU1WWH/items/82UBEG7H"],"itemData":{"id":267,"type":"webpage","language":"en","note":"publisher: CSO","title":"Society Measuring Ireland's Progress 2023 - Central Statistics Office","URL":"https://www.cso.ie/en/releasesandpublications/ep/p-mip/measuringirelandsprogress2023/society/","accessed":{"date-parts":[["2025",6,22]]},"issued":{"date-parts":[["2025",4,4]]}}}],"schema":"https://github.com/citation-style-language/schema/raw/master/csl-citation.json"} </w:instrText>
      </w:r>
      <w:r w:rsidR="00956899">
        <w:rPr>
          <w:rFonts w:asciiTheme="minorHAnsi" w:eastAsiaTheme="minorHAnsi" w:hAnsiTheme="minorHAnsi" w:cstheme="minorBidi"/>
          <w:kern w:val="2"/>
          <w:lang w:eastAsia="en-US"/>
          <w14:ligatures w14:val="standardContextual"/>
        </w:rPr>
        <w:fldChar w:fldCharType="separate"/>
      </w:r>
      <w:r w:rsidR="00A5309E" w:rsidRPr="00A5309E">
        <w:rPr>
          <w:rFonts w:ascii="Aptos" w:hAnsi="Aptos"/>
        </w:rPr>
        <w:t>(8)</w:t>
      </w:r>
      <w:r w:rsidR="00956899">
        <w:rPr>
          <w:rFonts w:asciiTheme="minorHAnsi" w:eastAsiaTheme="minorHAnsi" w:hAnsiTheme="minorHAnsi" w:cstheme="minorBidi"/>
          <w:kern w:val="2"/>
          <w:lang w:eastAsia="en-US"/>
          <w14:ligatures w14:val="standardContextual"/>
        </w:rPr>
        <w:fldChar w:fldCharType="end"/>
      </w:r>
      <w:r w:rsidR="0004335B" w:rsidRPr="006C1190">
        <w:rPr>
          <w:rFonts w:asciiTheme="minorHAnsi" w:eastAsiaTheme="minorHAnsi" w:hAnsiTheme="minorHAnsi" w:cstheme="minorBidi"/>
          <w:kern w:val="2"/>
          <w:lang w:eastAsia="en-US"/>
          <w14:ligatures w14:val="standardContextual"/>
        </w:rPr>
        <w:t xml:space="preserve"> The proportion of the population aged 65 years or over increased from 12.7% in 2014 to 15.5% in 2024.</w:t>
      </w:r>
      <w:r w:rsidR="00956899">
        <w:rPr>
          <w:rFonts w:asciiTheme="minorHAnsi" w:eastAsiaTheme="minorHAnsi" w:hAnsiTheme="minorHAnsi" w:cstheme="minorBidi"/>
          <w:kern w:val="2"/>
          <w:lang w:eastAsia="en-US"/>
          <w14:ligatures w14:val="standardContextual"/>
        </w:rPr>
        <w:fldChar w:fldCharType="begin"/>
      </w:r>
      <w:r w:rsidR="00A5309E">
        <w:rPr>
          <w:rFonts w:asciiTheme="minorHAnsi" w:eastAsiaTheme="minorHAnsi" w:hAnsiTheme="minorHAnsi" w:cstheme="minorBidi"/>
          <w:kern w:val="2"/>
          <w:lang w:eastAsia="en-US"/>
          <w14:ligatures w14:val="standardContextual"/>
        </w:rPr>
        <w:instrText xml:space="preserve"> ADDIN ZOTERO_ITEM CSL_CITATION {"citationID":"a2akg56fuco","properties":{"formattedCitation":"(8)","plainCitation":"(8)","noteIndex":0},"citationItems":[{"id":267,"uris":["http://zotero.org/users/local/fxpU1WWH/items/82UBEG7H"],"itemData":{"id":267,"type":"webpage","language":"en","note":"publisher: CSO","title":"Society Measuring Ireland's Progress 2023 - Central Statistics Office","URL":"https://www.cso.ie/en/releasesandpublications/ep/p-mip/measuringirelandsprogress2023/society/","accessed":{"date-parts":[["2025",6,22]]},"issued":{"date-parts":[["2025",4,4]]}}}],"schema":"https://github.com/citation-style-language/schema/raw/master/csl-citation.json"} </w:instrText>
      </w:r>
      <w:r w:rsidR="00956899">
        <w:rPr>
          <w:rFonts w:asciiTheme="minorHAnsi" w:eastAsiaTheme="minorHAnsi" w:hAnsiTheme="minorHAnsi" w:cstheme="minorBidi"/>
          <w:kern w:val="2"/>
          <w:lang w:eastAsia="en-US"/>
          <w14:ligatures w14:val="standardContextual"/>
        </w:rPr>
        <w:fldChar w:fldCharType="separate"/>
      </w:r>
      <w:r w:rsidR="00A5309E" w:rsidRPr="00A5309E">
        <w:rPr>
          <w:rFonts w:ascii="Aptos" w:hAnsi="Aptos"/>
        </w:rPr>
        <w:t>(8)</w:t>
      </w:r>
      <w:r w:rsidR="00956899">
        <w:rPr>
          <w:rFonts w:asciiTheme="minorHAnsi" w:eastAsiaTheme="minorHAnsi" w:hAnsiTheme="minorHAnsi" w:cstheme="minorBidi"/>
          <w:kern w:val="2"/>
          <w:lang w:eastAsia="en-US"/>
          <w14:ligatures w14:val="standardContextual"/>
        </w:rPr>
        <w:fldChar w:fldCharType="end"/>
      </w:r>
      <w:r w:rsidR="0004335B" w:rsidRPr="006C1190">
        <w:rPr>
          <w:rFonts w:asciiTheme="minorHAnsi" w:eastAsiaTheme="minorHAnsi" w:hAnsiTheme="minorHAnsi" w:cstheme="minorBidi"/>
          <w:kern w:val="2"/>
          <w:lang w:eastAsia="en-US"/>
          <w14:ligatures w14:val="standardContextual"/>
        </w:rPr>
        <w:t xml:space="preserve"> The proportion aged 45-64 years also increased</w:t>
      </w:r>
      <w:r w:rsidR="0004335B">
        <w:rPr>
          <w:rFonts w:asciiTheme="minorHAnsi" w:eastAsiaTheme="minorHAnsi" w:hAnsiTheme="minorHAnsi" w:cstheme="minorBidi"/>
          <w:kern w:val="2"/>
          <w:lang w:eastAsia="en-US"/>
          <w14:ligatures w14:val="standardContextual"/>
        </w:rPr>
        <w:t>,</w:t>
      </w:r>
      <w:r w:rsidR="0004335B" w:rsidRPr="006C1190">
        <w:rPr>
          <w:rFonts w:asciiTheme="minorHAnsi" w:eastAsiaTheme="minorHAnsi" w:hAnsiTheme="minorHAnsi" w:cstheme="minorBidi"/>
          <w:kern w:val="2"/>
          <w:lang w:eastAsia="en-US"/>
          <w14:ligatures w14:val="standardContextual"/>
        </w:rPr>
        <w:t xml:space="preserve"> from 23.3% in 2014 to 25.6% in 2024.</w:t>
      </w:r>
      <w:r w:rsidR="00956899">
        <w:rPr>
          <w:rFonts w:asciiTheme="minorHAnsi" w:eastAsiaTheme="minorHAnsi" w:hAnsiTheme="minorHAnsi" w:cstheme="minorBidi"/>
          <w:kern w:val="2"/>
          <w:lang w:eastAsia="en-US"/>
          <w14:ligatures w14:val="standardContextual"/>
        </w:rPr>
        <w:fldChar w:fldCharType="begin"/>
      </w:r>
      <w:r w:rsidR="00A5309E">
        <w:rPr>
          <w:rFonts w:asciiTheme="minorHAnsi" w:eastAsiaTheme="minorHAnsi" w:hAnsiTheme="minorHAnsi" w:cstheme="minorBidi"/>
          <w:kern w:val="2"/>
          <w:lang w:eastAsia="en-US"/>
          <w14:ligatures w14:val="standardContextual"/>
        </w:rPr>
        <w:instrText xml:space="preserve"> ADDIN ZOTERO_ITEM CSL_CITATION {"citationID":"a1gm5hj5mcp","properties":{"formattedCitation":"(8)","plainCitation":"(8)","noteIndex":0},"citationItems":[{"id":267,"uris":["http://zotero.org/users/local/fxpU1WWH/items/82UBEG7H"],"itemData":{"id":267,"type":"webpage","language":"en","note":"publisher: CSO","title":"Society Measuring Ireland's Progress 2023 - Central Statistics Office","URL":"https://www.cso.ie/en/releasesandpublications/ep/p-mip/measuringirelandsprogress2023/society/","accessed":{"date-parts":[["2025",6,22]]},"issued":{"date-parts":[["2025",4,4]]}}}],"schema":"https://github.com/citation-style-language/schema/raw/master/csl-citation.json"} </w:instrText>
      </w:r>
      <w:r w:rsidR="00956899">
        <w:rPr>
          <w:rFonts w:asciiTheme="minorHAnsi" w:eastAsiaTheme="minorHAnsi" w:hAnsiTheme="minorHAnsi" w:cstheme="minorBidi"/>
          <w:kern w:val="2"/>
          <w:lang w:eastAsia="en-US"/>
          <w14:ligatures w14:val="standardContextual"/>
        </w:rPr>
        <w:fldChar w:fldCharType="separate"/>
      </w:r>
      <w:r w:rsidR="00A5309E" w:rsidRPr="00A5309E">
        <w:rPr>
          <w:rFonts w:ascii="Aptos" w:hAnsi="Aptos"/>
        </w:rPr>
        <w:t>(8)</w:t>
      </w:r>
      <w:r w:rsidR="00956899">
        <w:rPr>
          <w:rFonts w:asciiTheme="minorHAnsi" w:eastAsiaTheme="minorHAnsi" w:hAnsiTheme="minorHAnsi" w:cstheme="minorBidi"/>
          <w:kern w:val="2"/>
          <w:lang w:eastAsia="en-US"/>
          <w14:ligatures w14:val="standardContextual"/>
        </w:rPr>
        <w:fldChar w:fldCharType="end"/>
      </w:r>
      <w:r w:rsidR="0004335B" w:rsidRPr="006C1190">
        <w:rPr>
          <w:rFonts w:asciiTheme="minorHAnsi" w:eastAsiaTheme="minorHAnsi" w:hAnsiTheme="minorHAnsi" w:cstheme="minorBidi"/>
          <w:kern w:val="2"/>
          <w:lang w:eastAsia="en-US"/>
          <w14:ligatures w14:val="standardContextual"/>
        </w:rPr>
        <w:t xml:space="preserve"> </w:t>
      </w:r>
      <w:r w:rsidRPr="003211A3">
        <w:rPr>
          <w:rFonts w:asciiTheme="minorHAnsi" w:eastAsiaTheme="minorHAnsi" w:hAnsiTheme="minorHAnsi" w:cstheme="minorBidi"/>
          <w:kern w:val="2"/>
          <w:lang w:eastAsia="en-US"/>
          <w14:ligatures w14:val="standardContextual"/>
        </w:rPr>
        <w:t xml:space="preserve">These demographic trends further </w:t>
      </w:r>
      <w:r>
        <w:rPr>
          <w:rFonts w:asciiTheme="minorHAnsi" w:eastAsiaTheme="minorHAnsi" w:hAnsiTheme="minorHAnsi" w:cstheme="minorBidi"/>
          <w:kern w:val="2"/>
          <w:lang w:eastAsia="en-US"/>
          <w14:ligatures w14:val="standardContextual"/>
        </w:rPr>
        <w:t>underscore the need to</w:t>
      </w:r>
      <w:r w:rsidRPr="003211A3">
        <w:rPr>
          <w:rFonts w:asciiTheme="minorHAnsi" w:eastAsiaTheme="minorHAnsi" w:hAnsiTheme="minorHAnsi" w:cstheme="minorBidi"/>
          <w:kern w:val="2"/>
          <w:lang w:eastAsia="en-US"/>
          <w14:ligatures w14:val="standardContextual"/>
        </w:rPr>
        <w:t xml:space="preserve"> </w:t>
      </w:r>
      <w:r>
        <w:rPr>
          <w:rFonts w:asciiTheme="minorHAnsi" w:eastAsiaTheme="minorHAnsi" w:hAnsiTheme="minorHAnsi" w:cstheme="minorBidi"/>
          <w:kern w:val="2"/>
          <w:lang w:eastAsia="en-US"/>
          <w14:ligatures w14:val="standardContextual"/>
        </w:rPr>
        <w:t>accelerate</w:t>
      </w:r>
      <w:r w:rsidRPr="003211A3">
        <w:rPr>
          <w:rFonts w:asciiTheme="minorHAnsi" w:eastAsiaTheme="minorHAnsi" w:hAnsiTheme="minorHAnsi" w:cstheme="minorBidi"/>
          <w:kern w:val="2"/>
          <w:lang w:eastAsia="en-US"/>
          <w14:ligatures w14:val="standardContextual"/>
        </w:rPr>
        <w:t xml:space="preserve"> progress on control of modifiable risk factors for cancer </w:t>
      </w:r>
      <w:r>
        <w:rPr>
          <w:rFonts w:asciiTheme="minorHAnsi" w:eastAsiaTheme="minorHAnsi" w:hAnsiTheme="minorHAnsi" w:cstheme="minorBidi"/>
          <w:kern w:val="2"/>
          <w:lang w:eastAsia="en-US"/>
          <w14:ligatures w14:val="standardContextual"/>
        </w:rPr>
        <w:t>including</w:t>
      </w:r>
      <w:r w:rsidRPr="003211A3">
        <w:rPr>
          <w:rFonts w:asciiTheme="minorHAnsi" w:eastAsiaTheme="minorHAnsi" w:hAnsiTheme="minorHAnsi" w:cstheme="minorBidi"/>
          <w:kern w:val="2"/>
          <w:lang w:eastAsia="en-US"/>
          <w14:ligatures w14:val="standardContextual"/>
        </w:rPr>
        <w:t xml:space="preserve"> tobacco-smoking</w:t>
      </w:r>
      <w:r>
        <w:rPr>
          <w:rFonts w:asciiTheme="minorHAnsi" w:eastAsiaTheme="minorHAnsi" w:hAnsiTheme="minorHAnsi" w:cstheme="minorBidi"/>
          <w:kern w:val="2"/>
          <w:lang w:eastAsia="en-US"/>
          <w14:ligatures w14:val="standardContextual"/>
        </w:rPr>
        <w:t xml:space="preserve">. </w:t>
      </w:r>
    </w:p>
    <w:p w14:paraId="5D93772E" w14:textId="77777777" w:rsidR="00A35D20" w:rsidRDefault="00A35D20" w:rsidP="00A64503">
      <w:pPr>
        <w:pStyle w:val="paragraph"/>
        <w:spacing w:before="0" w:beforeAutospacing="0" w:after="0" w:afterAutospacing="0"/>
        <w:textAlignment w:val="baseline"/>
        <w:rPr>
          <w:rFonts w:asciiTheme="minorHAnsi" w:eastAsiaTheme="minorHAnsi" w:hAnsiTheme="minorHAnsi" w:cstheme="minorBidi"/>
          <w:kern w:val="2"/>
          <w:lang w:eastAsia="en-US"/>
          <w14:ligatures w14:val="standardContextual"/>
        </w:rPr>
      </w:pPr>
    </w:p>
    <w:p w14:paraId="3D094F24" w14:textId="4D0AAF36" w:rsidR="003E2932" w:rsidRPr="005F09AD" w:rsidRDefault="003E2932" w:rsidP="00A64503">
      <w:pPr>
        <w:pStyle w:val="paragraph"/>
        <w:spacing w:before="0" w:beforeAutospacing="0" w:after="0" w:afterAutospacing="0"/>
        <w:textAlignment w:val="baseline"/>
        <w:rPr>
          <w:rFonts w:asciiTheme="minorHAnsi" w:eastAsiaTheme="minorHAnsi" w:hAnsiTheme="minorHAnsi" w:cstheme="minorBidi"/>
          <w:kern w:val="2"/>
          <w:lang w:eastAsia="en-US"/>
          <w14:ligatures w14:val="standardContextual"/>
        </w:rPr>
      </w:pPr>
      <w:r w:rsidRPr="005F09AD">
        <w:rPr>
          <w:rFonts w:asciiTheme="minorHAnsi" w:eastAsiaTheme="minorHAnsi" w:hAnsiTheme="minorHAnsi" w:cstheme="minorBidi"/>
          <w:kern w:val="2"/>
          <w:lang w:eastAsia="en-US"/>
          <w14:ligatures w14:val="standardContextual"/>
        </w:rPr>
        <w:t xml:space="preserve">Despite reducing smoking </w:t>
      </w:r>
      <w:r w:rsidRPr="005E6F2B">
        <w:rPr>
          <w:rFonts w:asciiTheme="minorHAnsi" w:eastAsiaTheme="minorHAnsi" w:hAnsiTheme="minorHAnsi" w:cstheme="minorBidi"/>
          <w:kern w:val="2"/>
          <w:lang w:eastAsia="en-US"/>
          <w14:ligatures w14:val="standardContextual"/>
        </w:rPr>
        <w:t>prevalence</w:t>
      </w:r>
      <w:r>
        <w:rPr>
          <w:rFonts w:asciiTheme="minorHAnsi" w:eastAsiaTheme="minorHAnsi" w:hAnsiTheme="minorHAnsi" w:cstheme="minorBidi"/>
          <w:kern w:val="2"/>
          <w:lang w:eastAsia="en-US"/>
          <w14:ligatures w14:val="standardContextual"/>
        </w:rPr>
        <w:t xml:space="preserve"> over</w:t>
      </w:r>
      <w:r w:rsidRPr="005E6F2B">
        <w:rPr>
          <w:rFonts w:asciiTheme="minorHAnsi" w:eastAsiaTheme="minorHAnsi" w:hAnsiTheme="minorHAnsi" w:cstheme="minorBidi"/>
          <w:kern w:val="2"/>
          <w:lang w:eastAsia="en-US"/>
          <w14:ligatures w14:val="standardContextual"/>
        </w:rPr>
        <w:t xml:space="preserve"> </w:t>
      </w:r>
      <w:r w:rsidRPr="005F09AD">
        <w:rPr>
          <w:rFonts w:asciiTheme="minorHAnsi" w:eastAsiaTheme="minorHAnsi" w:hAnsiTheme="minorHAnsi" w:cstheme="minorBidi"/>
          <w:kern w:val="2"/>
          <w:lang w:eastAsia="en-US"/>
          <w14:ligatures w14:val="standardContextual"/>
        </w:rPr>
        <w:t>the last decades, it is estimated that Ireland had 818,789 smokers in 2019 relative to 871,354 almost 30 years earlier in 1990.</w:t>
      </w:r>
      <w:r>
        <w:fldChar w:fldCharType="begin"/>
      </w:r>
      <w:r w:rsidR="00A5309E">
        <w:instrText xml:space="preserve"> ADDIN ZOTERO_ITEM CSL_CITATION {"citationID":"roE4fys9","properties":{"formattedCitation":"(9)","plainCitation":"(9)","noteIndex":0},"citationItems":[{"id":6,"uris":["http://zotero.org/users/local/fxpU1WWH/items/FIRC93GL"],"itemData":{"id":6,"type":"dataset","abstract":"The Global Burden of Disease Study 2019 (GBD 2019), coordinated by the Institute for Health Metrics and Evaluation (IHME), estimated the burden of diseases, injuries, and risk factors for 204 countries and territories and selected subnational locations.\n\nEstimates of smoking tobacco use and the burden attributable to this risk factor were produced by sex, age group, and year for 204 countries and territories for 1990-2019. Files available in this record include estimates of the prevalence of smoking tobacco use, number of people that currently use smoked tobacco products, and supply-side tobacco availability and consumption. Estimates of disease burden attributable to smoking tobacco use are available through the GBD Results Tool.","DOI":"10.6069/FVQE-GR75","publisher":"Institute for Health Metrics and Evaluation (IHME)","source":"DOI.org (Datacite)","title":"Global Burden of Disease Study 2019 (GBD 2019) Smoking Tobacco Use Prevalence 1990-2019","URL":"http://ghdx.healthdata.org/record/ihme-data/gbd-2019-smoking-tobacco-use-prevalence-1990-2019","author":[{"literal":"Global Burden of Disease Collaborative Network"}],"accessed":{"date-parts":[["2025",4,30]]},"issued":{"date-parts":[["2021"]]}}}],"schema":"https://github.com/citation-style-language/schema/raw/master/csl-citation.json"} </w:instrText>
      </w:r>
      <w:r>
        <w:fldChar w:fldCharType="separate"/>
      </w:r>
      <w:r w:rsidR="00A5309E" w:rsidRPr="00A5309E">
        <w:rPr>
          <w:rFonts w:ascii="Aptos" w:hAnsi="Aptos"/>
        </w:rPr>
        <w:t>(9)</w:t>
      </w:r>
      <w:r>
        <w:fldChar w:fldCharType="end"/>
      </w:r>
      <w:r>
        <w:t xml:space="preserve"> </w:t>
      </w:r>
      <w:r w:rsidRPr="005E6F2B">
        <w:rPr>
          <w:rFonts w:asciiTheme="minorHAnsi" w:eastAsiaTheme="minorHAnsi" w:hAnsiTheme="minorHAnsi" w:cstheme="minorBidi"/>
          <w:kern w:val="2"/>
          <w:lang w:eastAsia="en-US"/>
          <w14:ligatures w14:val="standardContextual"/>
        </w:rPr>
        <w:t>Furthermore, in</w:t>
      </w:r>
      <w:r w:rsidRPr="005F09AD">
        <w:rPr>
          <w:rFonts w:asciiTheme="minorHAnsi" w:eastAsiaTheme="minorHAnsi" w:hAnsiTheme="minorHAnsi" w:cstheme="minorBidi"/>
          <w:kern w:val="2"/>
          <w:lang w:eastAsia="en-US"/>
          <w14:ligatures w14:val="standardContextual"/>
        </w:rPr>
        <w:t xml:space="preserve"> the last 5 years progress in reducing smoking prevalence has stalled.</w:t>
      </w:r>
      <w:r>
        <w:rPr>
          <w:rFonts w:asciiTheme="minorHAnsi" w:eastAsiaTheme="minorHAnsi" w:hAnsiTheme="minorHAnsi" w:cstheme="minorBidi"/>
          <w:kern w:val="2"/>
          <w:lang w:eastAsia="en-US"/>
          <w14:ligatures w14:val="standardContextual"/>
        </w:rPr>
        <w:t xml:space="preserve"> According to </w:t>
      </w:r>
      <w:r w:rsidR="006E7262">
        <w:rPr>
          <w:rFonts w:asciiTheme="minorHAnsi" w:eastAsiaTheme="minorHAnsi" w:hAnsiTheme="minorHAnsi" w:cstheme="minorBidi"/>
          <w:kern w:val="2"/>
          <w:lang w:eastAsia="en-US"/>
          <w14:ligatures w14:val="standardContextual"/>
        </w:rPr>
        <w:t xml:space="preserve">estimates from the </w:t>
      </w:r>
      <w:r>
        <w:rPr>
          <w:rFonts w:asciiTheme="minorHAnsi" w:eastAsiaTheme="minorHAnsi" w:hAnsiTheme="minorHAnsi" w:cstheme="minorBidi"/>
          <w:kern w:val="2"/>
          <w:lang w:eastAsia="en-US"/>
          <w14:ligatures w14:val="standardContextual"/>
        </w:rPr>
        <w:t xml:space="preserve">Healthy Ireland </w:t>
      </w:r>
      <w:r w:rsidR="006E7262">
        <w:rPr>
          <w:rFonts w:asciiTheme="minorHAnsi" w:eastAsiaTheme="minorHAnsi" w:hAnsiTheme="minorHAnsi" w:cstheme="minorBidi"/>
          <w:kern w:val="2"/>
          <w:lang w:eastAsia="en-US"/>
          <w14:ligatures w14:val="standardContextual"/>
        </w:rPr>
        <w:t xml:space="preserve">survey, </w:t>
      </w:r>
      <w:r>
        <w:rPr>
          <w:rFonts w:asciiTheme="minorHAnsi" w:eastAsiaTheme="minorHAnsi" w:hAnsiTheme="minorHAnsi" w:cstheme="minorBidi"/>
          <w:kern w:val="2"/>
          <w:lang w:eastAsia="en-US"/>
          <w14:ligatures w14:val="standardContextual"/>
        </w:rPr>
        <w:t>i</w:t>
      </w:r>
      <w:r w:rsidRPr="005F09AD">
        <w:rPr>
          <w:rFonts w:asciiTheme="minorHAnsi" w:eastAsiaTheme="minorHAnsi" w:hAnsiTheme="minorHAnsi" w:cstheme="minorBidi"/>
          <w:kern w:val="2"/>
          <w:lang w:eastAsia="en-US"/>
          <w14:ligatures w14:val="standardContextual"/>
        </w:rPr>
        <w:t xml:space="preserve">n 2019 smoking prevalence was 17% </w:t>
      </w:r>
      <w:r w:rsidR="006E7262">
        <w:rPr>
          <w:rFonts w:asciiTheme="minorHAnsi" w:eastAsiaTheme="minorHAnsi" w:hAnsiTheme="minorHAnsi" w:cstheme="minorBidi"/>
          <w:kern w:val="2"/>
          <w:lang w:eastAsia="en-US"/>
          <w14:ligatures w14:val="standardContextual"/>
        </w:rPr>
        <w:t xml:space="preserve">and </w:t>
      </w:r>
      <w:r w:rsidRPr="005F09AD">
        <w:rPr>
          <w:rFonts w:asciiTheme="minorHAnsi" w:eastAsiaTheme="minorHAnsi" w:hAnsiTheme="minorHAnsi" w:cstheme="minorBidi"/>
          <w:kern w:val="2"/>
          <w:lang w:eastAsia="en-US"/>
          <w14:ligatures w14:val="standardContextual"/>
        </w:rPr>
        <w:t>remain</w:t>
      </w:r>
      <w:r w:rsidR="006E7262">
        <w:rPr>
          <w:rFonts w:asciiTheme="minorHAnsi" w:eastAsiaTheme="minorHAnsi" w:hAnsiTheme="minorHAnsi" w:cstheme="minorBidi"/>
          <w:kern w:val="2"/>
          <w:lang w:eastAsia="en-US"/>
          <w14:ligatures w14:val="standardContextual"/>
        </w:rPr>
        <w:t>ed</w:t>
      </w:r>
      <w:r w:rsidRPr="005F09AD">
        <w:rPr>
          <w:rFonts w:asciiTheme="minorHAnsi" w:eastAsiaTheme="minorHAnsi" w:hAnsiTheme="minorHAnsi" w:cstheme="minorBidi"/>
          <w:kern w:val="2"/>
          <w:lang w:eastAsia="en-US"/>
          <w14:ligatures w14:val="standardContextual"/>
        </w:rPr>
        <w:t xml:space="preserve"> at 17% in 2024.</w:t>
      </w:r>
      <w:r w:rsidR="00CE0B47">
        <w:rPr>
          <w:rFonts w:asciiTheme="minorHAnsi" w:eastAsiaTheme="minorHAnsi" w:hAnsiTheme="minorHAnsi" w:cstheme="minorBidi"/>
          <w:kern w:val="2"/>
          <w:lang w:eastAsia="en-US"/>
          <w14:ligatures w14:val="standardContextual"/>
        </w:rPr>
        <w:fldChar w:fldCharType="begin"/>
      </w:r>
      <w:r w:rsidR="00A5309E">
        <w:rPr>
          <w:rFonts w:asciiTheme="minorHAnsi" w:eastAsiaTheme="minorHAnsi" w:hAnsiTheme="minorHAnsi" w:cstheme="minorBidi"/>
          <w:kern w:val="2"/>
          <w:lang w:eastAsia="en-US"/>
          <w14:ligatures w14:val="standardContextual"/>
        </w:rPr>
        <w:instrText xml:space="preserve"> ADDIN ZOTERO_ITEM CSL_CITATION {"citationID":"NXBTPA9g","properties":{"formattedCitation":"(2,10)","plainCitation":"(2,10)","noteIndex":0},"citationItems":[{"id":17,"uris":["http://zotero.org/users/local/fxpU1WWH/items/FBZFBELG"],"itemData":{"id":17,"type":"webpage","abstract":"For the 2024 Survey, a representative sample of 7,398 people, aged 15 and older and living in Ireland were interviewed between October 2023 and April 2024","container-title":"gov.ie","language":"en","title":"Healthy Ireland Survey 2024","URL":"https://gov.ie/en/healthy-ireland/publications/healthy-ireland-survey-2024/","accessed":{"date-parts":[["2025",4,30]]}}},{"id":260,"uris":["http://zotero.org/users/local/fxpU1WWH/items/N8VPSS3D"],"itemData":{"id":260,"type":"report","abstract":"Irish drugs and alcohol research, data, policy and sources of evidence on prevention, treatment, rehabilitation, crime and consequences.","event-place":"Dublin","genre":"Report","language":"en","note":"number-of-pages: 36 p.","publisher":"Government Publications","publisher-place":"Dublin","source":"www.drugsandalcohol.ie","title":"Healthy Ireland survey 2019 summary of findings.","URL":"https://www.drugsandalcohol.ie/31349/","accessed":{"date-parts":[["2025",6,5]]},"issued":{"date-parts":[["2019",11]]}}}],"schema":"https://github.com/citation-style-language/schema/raw/master/csl-citation.json"} </w:instrText>
      </w:r>
      <w:r w:rsidR="00CE0B47">
        <w:rPr>
          <w:rFonts w:asciiTheme="minorHAnsi" w:eastAsiaTheme="minorHAnsi" w:hAnsiTheme="minorHAnsi" w:cstheme="minorBidi"/>
          <w:kern w:val="2"/>
          <w:lang w:eastAsia="en-US"/>
          <w14:ligatures w14:val="standardContextual"/>
        </w:rPr>
        <w:fldChar w:fldCharType="separate"/>
      </w:r>
      <w:r w:rsidR="00A5309E" w:rsidRPr="00A5309E">
        <w:rPr>
          <w:rFonts w:ascii="Aptos" w:hAnsi="Aptos"/>
        </w:rPr>
        <w:t>(2,10)</w:t>
      </w:r>
      <w:r w:rsidR="00CE0B47">
        <w:rPr>
          <w:rFonts w:asciiTheme="minorHAnsi" w:eastAsiaTheme="minorHAnsi" w:hAnsiTheme="minorHAnsi" w:cstheme="minorBidi"/>
          <w:kern w:val="2"/>
          <w:lang w:eastAsia="en-US"/>
          <w14:ligatures w14:val="standardContextual"/>
        </w:rPr>
        <w:fldChar w:fldCharType="end"/>
      </w:r>
      <w:r w:rsidRPr="005F09AD">
        <w:rPr>
          <w:rFonts w:asciiTheme="minorHAnsi" w:eastAsiaTheme="minorHAnsi" w:hAnsiTheme="minorHAnsi" w:cstheme="minorBidi"/>
          <w:kern w:val="2"/>
          <w:lang w:eastAsia="en-US"/>
          <w14:ligatures w14:val="standardContextual"/>
        </w:rPr>
        <w:t xml:space="preserve"> While there have been clear decline</w:t>
      </w:r>
      <w:r w:rsidR="006E7262">
        <w:rPr>
          <w:rFonts w:asciiTheme="minorHAnsi" w:eastAsiaTheme="minorHAnsi" w:hAnsiTheme="minorHAnsi" w:cstheme="minorBidi"/>
          <w:kern w:val="2"/>
          <w:lang w:eastAsia="en-US"/>
          <w14:ligatures w14:val="standardContextual"/>
        </w:rPr>
        <w:t>s over the longer term</w:t>
      </w:r>
      <w:r w:rsidRPr="005F09AD">
        <w:rPr>
          <w:rFonts w:asciiTheme="minorHAnsi" w:eastAsiaTheme="minorHAnsi" w:hAnsiTheme="minorHAnsi" w:cstheme="minorBidi"/>
          <w:kern w:val="2"/>
          <w:lang w:eastAsia="en-US"/>
          <w14:ligatures w14:val="standardContextual"/>
        </w:rPr>
        <w:t xml:space="preserve"> in smoking prevalence, population growth and population ageing mean that the absolute number of smokers remains high</w:t>
      </w:r>
      <w:r>
        <w:t>.</w:t>
      </w:r>
      <w:r>
        <w:fldChar w:fldCharType="begin"/>
      </w:r>
      <w:r w:rsidR="00A5309E">
        <w:instrText xml:space="preserve"> ADDIN ZOTERO_ITEM CSL_CITATION {"citationID":"TooVcER3","properties":{"formattedCitation":"(11)","plainCitation":"(11)","noteIndex":0},"citationItems":[{"id":64,"uris":["http://zotero.org/users/local/fxpU1WWH/items/3NJ2DKM5"],"itemData":{"id":64,"type":"chapter","abstract":"Tobacco comes in many forms, and tobacco use has long been established to cause multiple types of cancer and other major noncommunicable diseases. Cigarettecigarettes smokingsmoking causes attobacco smoking least 20 different types of cancer [1,2]. An estimated 1.3 billion people use tobacco productstobacco products worldwide [3]. Together, cigarettescigarettes and other tobacco products are estimated to cause 2.4 million tobacco-related cancer deaths worldwide per year [4]. Moreover, tobacco use causes even more deaths from vascular conditions (3.1 million deaths per year) and respiratory conditions (606 000 deaths per year from respiratory infections and tuberculosis; 1.5 million deaths per year from chronic respiratory disease) than from cancer [4].","container-title":"World Cancer Report: Cancer research for cancer prevention","language":"en","publisher":"International Agency for Research on Cancer","source":"www.ncbi.nlm.nih.gov","title":"Tobacco products","URL":"https://www.ncbi.nlm.nih.gov/books/NBK606465/","author":[{"family":"Freedman","given":"Neal D."},{"family":"Thun","given":"Michael J."},{"family":"Phillips","given":"David H."},{"family":"Sauvaget","given":"Catherine"}],"accessed":{"date-parts":[["2025",4,30]]},"issued":{"date-parts":[["2020"]]}}}],"schema":"https://github.com/citation-style-language/schema/raw/master/csl-citation.json"} </w:instrText>
      </w:r>
      <w:r>
        <w:fldChar w:fldCharType="separate"/>
      </w:r>
      <w:r w:rsidR="00A5309E" w:rsidRPr="00A5309E">
        <w:rPr>
          <w:rFonts w:ascii="Aptos" w:hAnsi="Aptos"/>
        </w:rPr>
        <w:t>(11)</w:t>
      </w:r>
      <w:r>
        <w:fldChar w:fldCharType="end"/>
      </w:r>
      <w:r w:rsidRPr="00BB5638">
        <w:rPr>
          <w:rStyle w:val="normaltextrun"/>
          <w:rFonts w:ascii="Aptos" w:eastAsiaTheme="minorEastAsia" w:hAnsi="Aptos" w:cs="Segoe UI"/>
          <w:kern w:val="2"/>
          <w:lang w:eastAsia="en-US"/>
          <w14:ligatures w14:val="standardContextual"/>
        </w:rPr>
        <w:t xml:space="preserve"> </w:t>
      </w:r>
    </w:p>
    <w:p w14:paraId="292DF298" w14:textId="77777777" w:rsidR="003E2932" w:rsidRPr="007A2F1B" w:rsidRDefault="003E2932" w:rsidP="00A64503">
      <w:pPr>
        <w:autoSpaceDE w:val="0"/>
        <w:autoSpaceDN w:val="0"/>
        <w:adjustRightInd w:val="0"/>
        <w:spacing w:after="0" w:line="240" w:lineRule="auto"/>
      </w:pPr>
    </w:p>
    <w:p w14:paraId="62C074E1" w14:textId="77777777" w:rsidR="003E2932" w:rsidRDefault="003E2932" w:rsidP="00A64503">
      <w:pPr>
        <w:pStyle w:val="Heading3"/>
        <w:spacing w:before="0" w:after="0" w:line="240" w:lineRule="auto"/>
      </w:pPr>
      <w:bookmarkStart w:id="9" w:name="_Toc194488667"/>
      <w:bookmarkStart w:id="10" w:name="_Toc197557019"/>
      <w:bookmarkStart w:id="11" w:name="_Toc201512412"/>
      <w:r>
        <w:t>Tobacco-smoking and Gender</w:t>
      </w:r>
      <w:bookmarkEnd w:id="9"/>
      <w:bookmarkEnd w:id="10"/>
      <w:bookmarkEnd w:id="11"/>
    </w:p>
    <w:p w14:paraId="0C50B668" w14:textId="70EA87F9" w:rsidR="003E2932" w:rsidRDefault="003E2932" w:rsidP="00A64503">
      <w:pPr>
        <w:autoSpaceDE w:val="0"/>
        <w:autoSpaceDN w:val="0"/>
        <w:adjustRightInd w:val="0"/>
        <w:spacing w:after="0" w:line="240" w:lineRule="auto"/>
      </w:pPr>
      <w:r w:rsidRPr="008464DA">
        <w:t xml:space="preserve">The prevalence of smoking </w:t>
      </w:r>
      <w:r w:rsidR="00E977E9">
        <w:t xml:space="preserve">(daily and occasional) </w:t>
      </w:r>
      <w:r w:rsidR="007E2504">
        <w:t>is</w:t>
      </w:r>
      <w:r w:rsidRPr="008464DA">
        <w:t xml:space="preserve"> higher in men than women (</w:t>
      </w:r>
      <w:r>
        <w:t>20</w:t>
      </w:r>
      <w:r w:rsidRPr="008464DA">
        <w:t xml:space="preserve">% vs. </w:t>
      </w:r>
      <w:r>
        <w:t>15</w:t>
      </w:r>
      <w:r w:rsidRPr="008464DA">
        <w:t>% in 20</w:t>
      </w:r>
      <w:r>
        <w:t>24 according to Healthy Ireland data</w:t>
      </w:r>
      <w:r w:rsidRPr="008464DA">
        <w:t>).</w:t>
      </w:r>
      <w:r>
        <w:fldChar w:fldCharType="begin"/>
      </w:r>
      <w:r w:rsidR="00A5309E">
        <w:instrText xml:space="preserve"> ADDIN ZOTERO_ITEM CSL_CITATION {"citationID":"BqHQnuUm","properties":{"formattedCitation":"(2)","plainCitation":"(2)","noteIndex":0},"citationItems":[{"id":17,"uris":["http://zotero.org/users/local/fxpU1WWH/items/FBZFBELG"],"itemData":{"id":17,"type":"webpage","abstract":"For the 2024 Survey, a representative sample of 7,398 people, aged 15 and older and living in Ireland were interviewed between October 2023 and April 2024","container-title":"gov.ie","language":"en","title":"Healthy Ireland Survey 2024","URL":"https://gov.ie/en/healthy-ireland/publications/healthy-ireland-survey-2024/","accessed":{"date-parts":[["2025",4,30]]}}}],"schema":"https://github.com/citation-style-language/schema/raw/master/csl-citation.json"} </w:instrText>
      </w:r>
      <w:r>
        <w:fldChar w:fldCharType="separate"/>
      </w:r>
      <w:r w:rsidR="00A5309E" w:rsidRPr="00A5309E">
        <w:rPr>
          <w:rFonts w:ascii="Aptos" w:hAnsi="Aptos"/>
        </w:rPr>
        <w:t>(2)</w:t>
      </w:r>
      <w:r>
        <w:fldChar w:fldCharType="end"/>
      </w:r>
      <w:r>
        <w:t xml:space="preserve"> Compared to data available at EU level, daily smoking prevalence among males</w:t>
      </w:r>
      <w:r w:rsidRPr="008464DA">
        <w:t xml:space="preserve"> </w:t>
      </w:r>
      <w:r w:rsidRPr="007A2F1B">
        <w:t xml:space="preserve">aged 15 and over in Ireland </w:t>
      </w:r>
      <w:r>
        <w:t xml:space="preserve">in 2019 </w:t>
      </w:r>
      <w:r w:rsidRPr="007A2F1B">
        <w:t>was 16%</w:t>
      </w:r>
      <w:r>
        <w:t xml:space="preserve">, lower than the European average of </w:t>
      </w:r>
      <w:r w:rsidRPr="007A2F1B">
        <w:t>23%</w:t>
      </w:r>
      <w:r>
        <w:t>.</w:t>
      </w:r>
      <w:r>
        <w:fldChar w:fldCharType="begin"/>
      </w:r>
      <w:r w:rsidR="00A5309E">
        <w:instrText xml:space="preserve"> ADDIN ZOTERO_ITEM CSL_CITATION {"citationID":"z6oWax4E","properties":{"formattedCitation":"(5)","plainCitation":"(5)","noteIndex":0},"citationItems":[{"id":4,"uris":["http://zotero.org/users/local/fxpU1WWH/items/U3SVGNQA"],"itemData":{"id":4,"type":"webpage","abstract":"This profile identifies strengths, challenges and specific areas of action on cancer prevention and care as part of the European Cancer Inequalities Registry, a flagship initiative of Europe’s Beating Cancer Plan. It provides a short synthesis of: the national cancer burden; risk factors for cancer (focusing on behavioural and environmental risk factors); early detection programmes; and cancer care performance (focusing on accessibility, care quality, costs and quality of life).","container-title":"OECD","language":"en","title":"EU Country Cancer Profile: Ireland 2025","title-short":"EU Country Cancer Profile","URL":"https://www.oecd.org/en/publications/eu-country-cancer-profile-ireland-2025_7d8d0798-en.html","accessed":{"date-parts":[["2025",4,29]]},"issued":{"date-parts":[["2025",2,3]]}}}],"schema":"https://github.com/citation-style-language/schema/raw/master/csl-citation.json"} </w:instrText>
      </w:r>
      <w:r>
        <w:fldChar w:fldCharType="separate"/>
      </w:r>
      <w:r w:rsidR="00A5309E" w:rsidRPr="00A5309E">
        <w:rPr>
          <w:rFonts w:ascii="Aptos" w:hAnsi="Aptos"/>
        </w:rPr>
        <w:t>(5)</w:t>
      </w:r>
      <w:r>
        <w:fldChar w:fldCharType="end"/>
      </w:r>
      <w:r>
        <w:t xml:space="preserve"> The p</w:t>
      </w:r>
      <w:r w:rsidRPr="008464DA">
        <w:t xml:space="preserve">revalence </w:t>
      </w:r>
      <w:r>
        <w:t xml:space="preserve">of daily smoking among </w:t>
      </w:r>
      <w:r w:rsidRPr="008464DA">
        <w:t xml:space="preserve">Irish women </w:t>
      </w:r>
      <w:r w:rsidR="007E2504">
        <w:t>wa</w:t>
      </w:r>
      <w:r w:rsidRPr="008464DA">
        <w:t>s</w:t>
      </w:r>
      <w:r>
        <w:t xml:space="preserve"> also</w:t>
      </w:r>
      <w:r w:rsidRPr="008464DA">
        <w:t xml:space="preserve"> lower than the EU average (12% vs.14%). </w:t>
      </w:r>
      <w:r>
        <w:t>Previously,</w:t>
      </w:r>
      <w:r w:rsidRPr="008464DA">
        <w:t xml:space="preserve"> smoking rates among Irish women exceeded those in most EU countries</w:t>
      </w:r>
      <w:r>
        <w:t>.</w:t>
      </w:r>
      <w:r>
        <w:fldChar w:fldCharType="begin"/>
      </w:r>
      <w:r w:rsidR="00A5309E">
        <w:instrText xml:space="preserve"> ADDIN ZOTERO_ITEM CSL_CITATION {"citationID":"9tt9oBHo","properties":{"formattedCitation":"(5)","plainCitation":"(5)","noteIndex":0},"citationItems":[{"id":4,"uris":["http://zotero.org/users/local/fxpU1WWH/items/U3SVGNQA"],"itemData":{"id":4,"type":"webpage","abstract":"This profile identifies strengths, challenges and specific areas of action on cancer prevention and care as part of the European Cancer Inequalities Registry, a flagship initiative of Europe’s Beating Cancer Plan. It provides a short synthesis of: the national cancer burden; risk factors for cancer (focusing on behavioural and environmental risk factors); early detection programmes; and cancer care performance (focusing on accessibility, care quality, costs and quality of life).","container-title":"OECD","language":"en","title":"EU Country Cancer Profile: Ireland 2025","title-short":"EU Country Cancer Profile","URL":"https://www.oecd.org/en/publications/eu-country-cancer-profile-ireland-2025_7d8d0798-en.html","accessed":{"date-parts":[["2025",4,29]]},"issued":{"date-parts":[["2025",2,3]]}}}],"schema":"https://github.com/citation-style-language/schema/raw/master/csl-citation.json"} </w:instrText>
      </w:r>
      <w:r>
        <w:fldChar w:fldCharType="separate"/>
      </w:r>
      <w:r w:rsidR="00A5309E" w:rsidRPr="00A5309E">
        <w:rPr>
          <w:rFonts w:ascii="Aptos" w:hAnsi="Aptos"/>
        </w:rPr>
        <w:t>(5)</w:t>
      </w:r>
      <w:r>
        <w:fldChar w:fldCharType="end"/>
      </w:r>
      <w:r>
        <w:t xml:space="preserve"> </w:t>
      </w:r>
    </w:p>
    <w:p w14:paraId="0F725F05" w14:textId="77777777" w:rsidR="003E2932" w:rsidRPr="00C9184B" w:rsidRDefault="003E2932" w:rsidP="00A64503">
      <w:pPr>
        <w:autoSpaceDE w:val="0"/>
        <w:autoSpaceDN w:val="0"/>
        <w:adjustRightInd w:val="0"/>
        <w:spacing w:after="0" w:line="240" w:lineRule="auto"/>
      </w:pPr>
    </w:p>
    <w:p w14:paraId="31B3EEE0" w14:textId="3B535E76" w:rsidR="003E2932" w:rsidRPr="008464DA" w:rsidRDefault="003E2932" w:rsidP="00A64503">
      <w:pPr>
        <w:pStyle w:val="pf0"/>
        <w:spacing w:before="0" w:beforeAutospacing="0" w:after="0" w:afterAutospacing="0"/>
      </w:pPr>
      <w:r w:rsidRPr="001610AA">
        <w:rPr>
          <w:rFonts w:asciiTheme="minorHAnsi" w:eastAsiaTheme="minorHAnsi" w:hAnsiTheme="minorHAnsi" w:cstheme="minorBidi"/>
          <w:kern w:val="2"/>
          <w:lang w:eastAsia="en-US"/>
          <w14:ligatures w14:val="standardContextual"/>
        </w:rPr>
        <w:t>Prevalence trends indicate an approximate 4% decline for both sexes between 2015 and 2021.</w:t>
      </w:r>
      <w:r>
        <w:fldChar w:fldCharType="begin"/>
      </w:r>
      <w:r w:rsidR="00A5309E">
        <w:instrText xml:space="preserve"> ADDIN ZOTERO_ITEM CSL_CITATION {"citationID":"4wmS4GzD","properties":{"formattedCitation":"(12)","plainCitation":"(12)","noteIndex":0},"citationItems":[{"id":82,"uris":["http://zotero.org/users/local/fxpU1WWH/items/C9MZN9NT"],"itemData":{"id":82,"type":"webpage","container-title":"HSE.ie","language":"en","title":"Tobacco Free Ireland Programme","URL":"https://www.hse.ie/eng/about/who/tobaccocontrol/tobaccocontrolprogramme.html","accessed":{"date-parts":[["2025",4,30]]}}}],"schema":"https://github.com/citation-style-language/schema/raw/master/csl-citation.json"} </w:instrText>
      </w:r>
      <w:r>
        <w:fldChar w:fldCharType="separate"/>
      </w:r>
      <w:r w:rsidR="00A5309E" w:rsidRPr="00A5309E">
        <w:rPr>
          <w:rFonts w:ascii="Aptos" w:hAnsi="Aptos"/>
        </w:rPr>
        <w:t>(12)</w:t>
      </w:r>
      <w:r>
        <w:fldChar w:fldCharType="end"/>
      </w:r>
      <w:r w:rsidRPr="00742A36">
        <w:t xml:space="preserve"> </w:t>
      </w:r>
      <w:r w:rsidRPr="001610AA">
        <w:rPr>
          <w:rFonts w:asciiTheme="minorHAnsi" w:eastAsiaTheme="minorHAnsi" w:hAnsiTheme="minorHAnsi" w:cstheme="minorBidi"/>
          <w:kern w:val="2"/>
          <w:lang w:eastAsia="en-US"/>
          <w14:ligatures w14:val="standardContextual"/>
        </w:rPr>
        <w:t>Data from the GBD on longer term trends indicate that the percentage change in prevalence in smoking in Ireland since 1990 has been greater among men than among women.</w:t>
      </w:r>
      <w:r w:rsidRPr="001610AA">
        <w:rPr>
          <w:rFonts w:asciiTheme="minorHAnsi" w:eastAsiaTheme="minorHAnsi" w:hAnsiTheme="minorHAnsi" w:cstheme="minorBidi"/>
          <w:kern w:val="2"/>
          <w:vertAlign w:val="superscript"/>
          <w:lang w:eastAsia="en-US"/>
          <w14:ligatures w14:val="standardContextual"/>
        </w:rPr>
        <w:fldChar w:fldCharType="begin"/>
      </w:r>
      <w:r w:rsidR="00A5309E">
        <w:rPr>
          <w:rFonts w:asciiTheme="minorHAnsi" w:eastAsiaTheme="minorHAnsi" w:hAnsiTheme="minorHAnsi" w:cstheme="minorBidi"/>
          <w:kern w:val="2"/>
          <w:vertAlign w:val="superscript"/>
          <w:lang w:eastAsia="en-US"/>
          <w14:ligatures w14:val="standardContextual"/>
        </w:rPr>
        <w:instrText xml:space="preserve"> ADDIN ZOTERO_ITEM CSL_CITATION {"citationID":"2G6gzeKb","properties":{"formattedCitation":"(9)","plainCitation":"(9)","noteIndex":0},"citationItems":[{"id":6,"uris":["http://zotero.org/users/local/fxpU1WWH/items/FIRC93GL"],"itemData":{"id":6,"type":"dataset","abstract":"The Global Burden of Disease Study 2019 (GBD 2019), coordinated by the Institute for Health Metrics and Evaluation (IHME), estimated the burden of diseases, injuries, and risk factors for 204 countries and territories and selected subnational locations.\n\nEstimates of smoking tobacco use and the burden attributable to this risk factor were produced by sex, age group, and year for 204 countries and territories for 1990-2019. Files available in this record include estimates of the prevalence of smoking tobacco use, number of people that currently use smoked tobacco products, and supply-side tobacco availability and consumption. Estimates of disease burden attributable to smoking tobacco use are available through the GBD Results Tool.","DOI":"10.6069/FVQE-GR75","publisher":"Institute for Health Metrics and Evaluation (IHME)","source":"DOI.org (Datacite)","title":"Global Burden of Disease Study 2019 (GBD 2019) Smoking Tobacco Use Prevalence 1990-2019","URL":"http://ghdx.healthdata.org/record/ihme-data/gbd-2019-smoking-tobacco-use-prevalence-1990-2019","author":[{"literal":"Global Burden of Disease Collaborative Network"}],"accessed":{"date-parts":[["2025",4,30]]},"issued":{"date-parts":[["2021"]]}}}],"schema":"https://github.com/citation-style-language/schema/raw/master/csl-citation.json"} </w:instrText>
      </w:r>
      <w:r w:rsidRPr="001610AA">
        <w:rPr>
          <w:rFonts w:asciiTheme="minorHAnsi" w:eastAsiaTheme="minorHAnsi" w:hAnsiTheme="minorHAnsi" w:cstheme="minorBidi"/>
          <w:kern w:val="2"/>
          <w:vertAlign w:val="superscript"/>
          <w:lang w:eastAsia="en-US"/>
          <w14:ligatures w14:val="standardContextual"/>
        </w:rPr>
        <w:fldChar w:fldCharType="separate"/>
      </w:r>
      <w:r w:rsidR="00A5309E" w:rsidRPr="00A5309E">
        <w:rPr>
          <w:rFonts w:ascii="Aptos" w:hAnsi="Aptos"/>
        </w:rPr>
        <w:t>(9)</w:t>
      </w:r>
      <w:r w:rsidRPr="001610AA">
        <w:rPr>
          <w:rFonts w:asciiTheme="minorHAnsi" w:eastAsiaTheme="minorHAnsi" w:hAnsiTheme="minorHAnsi" w:cstheme="minorBidi"/>
          <w:kern w:val="2"/>
          <w:vertAlign w:val="superscript"/>
          <w:lang w:eastAsia="en-US"/>
          <w14:ligatures w14:val="standardContextual"/>
        </w:rPr>
        <w:fldChar w:fldCharType="end"/>
      </w:r>
      <w:r w:rsidRPr="001610AA">
        <w:rPr>
          <w:rFonts w:asciiTheme="minorHAnsi" w:eastAsiaTheme="minorHAnsi" w:hAnsiTheme="minorHAnsi" w:cstheme="minorBidi"/>
          <w:kern w:val="2"/>
          <w:lang w:eastAsia="en-US"/>
          <w14:ligatures w14:val="standardContextual"/>
        </w:rPr>
        <w:t xml:space="preserve"> This is in line with trends in </w:t>
      </w:r>
      <w:r w:rsidR="00F21CFD">
        <w:rPr>
          <w:rFonts w:asciiTheme="minorHAnsi" w:eastAsiaTheme="minorHAnsi" w:hAnsiTheme="minorHAnsi" w:cstheme="minorBidi"/>
          <w:kern w:val="2"/>
          <w:lang w:eastAsia="en-US"/>
          <w14:ligatures w14:val="standardContextual"/>
        </w:rPr>
        <w:t xml:space="preserve">the </w:t>
      </w:r>
      <w:r w:rsidRPr="001610AA">
        <w:rPr>
          <w:rFonts w:asciiTheme="minorHAnsi" w:eastAsiaTheme="minorHAnsi" w:hAnsiTheme="minorHAnsi" w:cstheme="minorBidi"/>
          <w:kern w:val="2"/>
          <w:lang w:eastAsia="en-US"/>
          <w14:ligatures w14:val="standardContextual"/>
        </w:rPr>
        <w:t xml:space="preserve">larger European region where declines in smoking prevalence among women have in general been slower. In Ireland women are at an earlier stage of the tobacco epidemic than men. </w:t>
      </w:r>
      <w:bookmarkStart w:id="12" w:name="_Hlk196918429"/>
      <w:r w:rsidRPr="001610AA">
        <w:rPr>
          <w:rFonts w:asciiTheme="minorHAnsi" w:eastAsiaTheme="minorHAnsi" w:hAnsiTheme="minorHAnsi" w:cstheme="minorBidi"/>
          <w:kern w:val="2"/>
          <w:lang w:eastAsia="en-US"/>
          <w14:ligatures w14:val="standardContextual"/>
        </w:rPr>
        <w:t>The ‘Lopez curve’, used internationally to describe the stages of the tobacco epidemic, dictates that as uptake of tobacco smoking among women occurs later than among men, the peak in tobacco-related female morbidity and mortality will also occur later than for males</w:t>
      </w:r>
      <w:r>
        <w:t>.</w:t>
      </w:r>
      <w:bookmarkEnd w:id="12"/>
      <w:r>
        <w:fldChar w:fldCharType="begin"/>
      </w:r>
      <w:r w:rsidR="00A5309E">
        <w:instrText xml:space="preserve"> ADDIN ZOTERO_ITEM CSL_CITATION {"citationID":"BdPE5Ias","properties":{"formattedCitation":"(13)","plainCitation":"(13)","noteIndex":0},"citationItems":[{"id":68,"uris":["http://zotero.org/users/local/fxpU1WWH/items/3CU82PT3"],"itemData":{"id":68,"type":"report","abstract":"Publicaciones de la Organización Mundial de la Salud","language":"en","title":"Through a gender lens: women and tobacco in the WHO European Region","title-short":"Through a gender lens","URL":"https://www.who.int/europe/publications/i/item/WHO-EURO-2021-1847-41598-56811","author":[{"literal":"WHO"}],"accessed":{"date-parts":[["2025",4,30]]},"issued":{"date-parts":[["2021"]]}}}],"schema":"https://github.com/citation-style-language/schema/raw/master/csl-citation.json"} </w:instrText>
      </w:r>
      <w:r>
        <w:fldChar w:fldCharType="separate"/>
      </w:r>
      <w:r w:rsidR="00A5309E" w:rsidRPr="00A5309E">
        <w:rPr>
          <w:rFonts w:ascii="Aptos" w:hAnsi="Aptos"/>
        </w:rPr>
        <w:t>(13)</w:t>
      </w:r>
      <w:r>
        <w:fldChar w:fldCharType="end"/>
      </w:r>
    </w:p>
    <w:p w14:paraId="5EDFD9B8" w14:textId="64095BF7" w:rsidR="003E2932" w:rsidRPr="00214EFC" w:rsidRDefault="003E2932" w:rsidP="00A64503">
      <w:pPr>
        <w:autoSpaceDE w:val="0"/>
        <w:autoSpaceDN w:val="0"/>
        <w:adjustRightInd w:val="0"/>
        <w:spacing w:after="0" w:line="240" w:lineRule="auto"/>
        <w:rPr>
          <w:rFonts w:ascii="Flama-Light" w:hAnsi="Flama-Light" w:cs="Flama-Light"/>
          <w:kern w:val="0"/>
          <w:sz w:val="20"/>
          <w:szCs w:val="20"/>
        </w:rPr>
      </w:pPr>
    </w:p>
    <w:p w14:paraId="4CB05996" w14:textId="77777777" w:rsidR="003E2932" w:rsidRDefault="003E2932" w:rsidP="00A64503">
      <w:pPr>
        <w:pStyle w:val="Heading3"/>
        <w:spacing w:before="0" w:after="0" w:line="240" w:lineRule="auto"/>
      </w:pPr>
      <w:bookmarkStart w:id="13" w:name="_Toc194488668"/>
      <w:bookmarkStart w:id="14" w:name="_Toc197557020"/>
      <w:bookmarkStart w:id="15" w:name="_Toc201512413"/>
      <w:r w:rsidRPr="007C1D2C">
        <w:t xml:space="preserve">Tobacco-smoking and </w:t>
      </w:r>
      <w:r>
        <w:t>Socioeconomic Disadvantage</w:t>
      </w:r>
      <w:bookmarkEnd w:id="13"/>
      <w:bookmarkEnd w:id="14"/>
      <w:bookmarkEnd w:id="15"/>
    </w:p>
    <w:p w14:paraId="24699EFE" w14:textId="7DDF226A" w:rsidR="003E2932" w:rsidRDefault="003E2932" w:rsidP="00A64503">
      <w:pPr>
        <w:spacing w:after="0" w:line="240" w:lineRule="auto"/>
      </w:pPr>
      <w:r w:rsidRPr="0008253C">
        <w:t>Tobacco smoking is the single leading cause of health inequalities.</w:t>
      </w:r>
      <w:r w:rsidR="00FE259E">
        <w:fldChar w:fldCharType="begin"/>
      </w:r>
      <w:r w:rsidR="00A5309E">
        <w:instrText xml:space="preserve"> ADDIN ZOTERO_ITEM CSL_CITATION {"citationID":"6FAWIQaD","properties":{"formattedCitation":"(14)","plainCitation":"(14)","noteIndex":0},"citationItems":[{"id":220,"uris":["http://zotero.org/users/local/fxpU1WWH/items/D545XMIG"],"itemData":{"id":220,"type":"webpage","title":"Smoking Profile - Smoking and inequalities | Fingertips | Department of Health and Social Care","URL":"https://fingertips.phe.org.uk/profile/tobacco-control/supporting-information/smokingandinequalities","accessed":{"date-parts":[["2025",6,4]]}}}],"schema":"https://github.com/citation-style-language/schema/raw/master/csl-citation.json"} </w:instrText>
      </w:r>
      <w:r w:rsidR="00FE259E">
        <w:fldChar w:fldCharType="separate"/>
      </w:r>
      <w:r w:rsidR="00A5309E" w:rsidRPr="00A5309E">
        <w:rPr>
          <w:rFonts w:ascii="Aptos" w:hAnsi="Aptos"/>
        </w:rPr>
        <w:t>(14)</w:t>
      </w:r>
      <w:r w:rsidR="00FE259E">
        <w:fldChar w:fldCharType="end"/>
      </w:r>
      <w:r w:rsidR="005F36DB">
        <w:t xml:space="preserve"> </w:t>
      </w:r>
      <w:r>
        <w:t>Progress in reducing the prevalence of smoking in Ireland has not been uniform across socioeconomic groups. A 2024 report from the Royal College of Surgeons</w:t>
      </w:r>
      <w:r w:rsidR="00F21CFD">
        <w:t xml:space="preserve"> in</w:t>
      </w:r>
      <w:r>
        <w:t xml:space="preserve"> Ireland and a 2022 HSE report on tobacco-control in Ireland both found that the prevalence of smoking was higher in those of lower socioeconomic position with evidence of increasing disparities over time.</w:t>
      </w:r>
      <w:r>
        <w:fldChar w:fldCharType="begin"/>
      </w:r>
      <w:r w:rsidR="00A5309E">
        <w:instrText xml:space="preserve"> ADDIN ZOTERO_ITEM CSL_CITATION {"citationID":"ads235721g","properties":{"formattedCitation":"(12,15)","plainCitation":"(12,15)","noteIndex":0},"citationItems":[{"id":84,"uris":["http://zotero.org/users/local/fxpU1WWH/items/LBRYNHZY"],"itemData":{"id":84,"type":"article-journal","abstract":"Differences in smoking prevalence across socioeconomic groups are a major driver of health inequalities. Although smoking prevalence continues to decline across most developed countries, socioeconomic inequalities in smoking still persist. While Ireland is among a small number of countries with a tobacco-endgame goal set to achieve a smoking prevalence of 5% by 2025, the challenge this presents by socioeconomic status is uncharted.We analyzed how differences in smoking status across various socioeconomic groups have changed over time in the adult population in Ireland. We used cross-sectional smoking data from the national population-based Healthy Ireland Survey for 2015–2022 (n</w:instrText>
      </w:r>
      <w:r w:rsidR="00A5309E">
        <w:rPr>
          <w:rFonts w:ascii="Arial" w:hAnsi="Arial" w:cs="Arial"/>
        </w:rPr>
        <w:instrText> </w:instrText>
      </w:r>
      <w:r w:rsidR="00A5309E">
        <w:instrText>=</w:instrText>
      </w:r>
      <w:r w:rsidR="00A5309E">
        <w:rPr>
          <w:rFonts w:ascii="Arial" w:hAnsi="Arial" w:cs="Arial"/>
        </w:rPr>
        <w:instrText> </w:instrText>
      </w:r>
      <w:r w:rsidR="00A5309E">
        <w:instrText>52</w:instrText>
      </w:r>
      <w:r w:rsidR="00A5309E">
        <w:rPr>
          <w:rFonts w:ascii="Aptos" w:hAnsi="Aptos" w:cs="Aptos"/>
        </w:rPr>
        <w:instrText> </w:instrText>
      </w:r>
      <w:r w:rsidR="00A5309E">
        <w:instrText>494). Educational attainment and area-based deprivation were used as socioeconomic indicators. Socioeconomic differences and changes in inequality over time were identified using the relative index of inequality (RII). Multinomial logistic regression was used to analyze the association between socioeconomic status and daily smoking, occasional smoking, former smoking, and never smoking with adjustment for sex, age, and survey year. We observed the highest daily smoking rates among the least educated (OR</w:instrText>
      </w:r>
      <w:r w:rsidR="00A5309E">
        <w:rPr>
          <w:rFonts w:ascii="Arial" w:hAnsi="Arial" w:cs="Arial"/>
        </w:rPr>
        <w:instrText> </w:instrText>
      </w:r>
      <w:r w:rsidR="00A5309E">
        <w:instrText>=</w:instrText>
      </w:r>
      <w:r w:rsidR="00A5309E">
        <w:rPr>
          <w:rFonts w:ascii="Arial" w:hAnsi="Arial" w:cs="Arial"/>
        </w:rPr>
        <w:instrText> </w:instrText>
      </w:r>
      <w:r w:rsidR="00A5309E">
        <w:instrText>11.62; 95% CI</w:instrText>
      </w:r>
      <w:r w:rsidR="00A5309E">
        <w:rPr>
          <w:rFonts w:ascii="Arial" w:hAnsi="Arial" w:cs="Arial"/>
        </w:rPr>
        <w:instrText> </w:instrText>
      </w:r>
      <w:r w:rsidR="00A5309E">
        <w:instrText>=</w:instrText>
      </w:r>
      <w:r w:rsidR="00A5309E">
        <w:rPr>
          <w:rFonts w:ascii="Arial" w:hAnsi="Arial" w:cs="Arial"/>
        </w:rPr>
        <w:instrText> </w:instrText>
      </w:r>
      <w:r w:rsidR="00A5309E">
        <w:instrText>9.91, 13.63) and individuals living in the most deprived areas (OR</w:instrText>
      </w:r>
      <w:r w:rsidR="00A5309E">
        <w:rPr>
          <w:rFonts w:ascii="Arial" w:hAnsi="Arial" w:cs="Arial"/>
        </w:rPr>
        <w:instrText> </w:instrText>
      </w:r>
      <w:r w:rsidR="00A5309E">
        <w:instrText>=</w:instrText>
      </w:r>
      <w:r w:rsidR="00A5309E">
        <w:rPr>
          <w:rFonts w:ascii="Arial" w:hAnsi="Arial" w:cs="Arial"/>
        </w:rPr>
        <w:instrText> </w:instrText>
      </w:r>
      <w:r w:rsidR="00A5309E">
        <w:instrText>4.23; 95% CI</w:instrText>
      </w:r>
      <w:r w:rsidR="00A5309E">
        <w:rPr>
          <w:rFonts w:ascii="Arial" w:hAnsi="Arial" w:cs="Arial"/>
        </w:rPr>
        <w:instrText> </w:instrText>
      </w:r>
      <w:r w:rsidR="00A5309E">
        <w:instrText>=</w:instrText>
      </w:r>
      <w:r w:rsidR="00A5309E">
        <w:rPr>
          <w:rFonts w:ascii="Arial" w:hAnsi="Arial" w:cs="Arial"/>
        </w:rPr>
        <w:instrText> </w:instrText>
      </w:r>
      <w:r w:rsidR="00A5309E">
        <w:instrText>3.55, 5.04). Additionally, we identified significant relative smoking inequalities over the observation period continued to increase, among the least educated (RII</w:instrText>
      </w:r>
      <w:r w:rsidR="00A5309E">
        <w:rPr>
          <w:rFonts w:ascii="Arial" w:hAnsi="Arial" w:cs="Arial"/>
        </w:rPr>
        <w:instrText> </w:instrText>
      </w:r>
      <w:r w:rsidR="00A5309E">
        <w:instrText>=</w:instrText>
      </w:r>
      <w:r w:rsidR="00A5309E">
        <w:rPr>
          <w:rFonts w:ascii="Arial" w:hAnsi="Arial" w:cs="Arial"/>
        </w:rPr>
        <w:instrText> </w:instrText>
      </w:r>
      <w:r w:rsidR="00A5309E">
        <w:instrText>2.86, 95%CI</w:instrText>
      </w:r>
      <w:r w:rsidR="00A5309E">
        <w:rPr>
          <w:rFonts w:ascii="Arial" w:hAnsi="Arial" w:cs="Arial"/>
        </w:rPr>
        <w:instrText> </w:instrText>
      </w:r>
      <w:r w:rsidR="00A5309E">
        <w:instrText>=</w:instrText>
      </w:r>
      <w:r w:rsidR="00A5309E">
        <w:rPr>
          <w:rFonts w:ascii="Arial" w:hAnsi="Arial" w:cs="Arial"/>
        </w:rPr>
        <w:instrText> </w:instrText>
      </w:r>
      <w:r w:rsidR="00A5309E">
        <w:instrText>2.63, 3.09) and individuals living in the most deprived areas (RII</w:instrText>
      </w:r>
      <w:r w:rsidR="00A5309E">
        <w:rPr>
          <w:rFonts w:ascii="Arial" w:hAnsi="Arial" w:cs="Arial"/>
        </w:rPr>
        <w:instrText> </w:instrText>
      </w:r>
      <w:r w:rsidR="00A5309E">
        <w:instrText>=</w:instrText>
      </w:r>
      <w:r w:rsidR="00A5309E">
        <w:rPr>
          <w:rFonts w:ascii="Arial" w:hAnsi="Arial" w:cs="Arial"/>
        </w:rPr>
        <w:instrText> </w:instrText>
      </w:r>
      <w:r w:rsidR="00A5309E">
        <w:instrText>2.64, 95% CI</w:instrText>
      </w:r>
      <w:r w:rsidR="00A5309E">
        <w:rPr>
          <w:rFonts w:ascii="Arial" w:hAnsi="Arial" w:cs="Arial"/>
        </w:rPr>
        <w:instrText> </w:instrText>
      </w:r>
      <w:r w:rsidR="00A5309E">
        <w:instrText>=</w:instrText>
      </w:r>
      <w:r w:rsidR="00A5309E">
        <w:rPr>
          <w:rFonts w:ascii="Arial" w:hAnsi="Arial" w:cs="Arial"/>
        </w:rPr>
        <w:instrText> </w:instrText>
      </w:r>
      <w:r w:rsidR="00A5309E">
        <w:instrText xml:space="preserve">2.36, 2.93) Despite generally reducing smoking prevalence, socioeconomic inequalities continue to widen among the smoking population in Ireland.As the tobacco endgame deadline of 2025 is fast approaching, this study highlights the urgent need to consider potential effects across the lowest socioeconomic status groups when implementing equity-oriented tobacco control policies.","container-title":"Nicotine &amp; Tobacco Research","DOI":"10.1093/ntr/ntae245","ISSN":"1469-994X","journalAbbreviation":"Nicotine &amp; Tobacco Research","page":"ntae245","source":"Silverchair","title":"Socioeconomic Variation in Tobacco Smoking Among the Adult Population in Ireland","author":[{"family":"Valentelyte","given":"Gintare"},{"family":"Sheridan","given":"Aishling"},{"family":"Kavanagh","given":"Paul"},{"family":"Doyle","given":"Frank"},{"family":"Sorensen","given":"Jan"}],"issued":{"date-parts":[["2024",11,21]]}}},{"id":82,"uris":["http://zotero.org/users/local/fxpU1WWH/items/C9MZN9NT"],"itemData":{"id":82,"type":"webpage","container-title":"HSE.ie","language":"en","title":"Tobacco Free Ireland Programme","URL":"https://www.hse.ie/eng/about/who/tobaccocontrol/tobaccocontrolprogramme.html","accessed":{"date-parts":[["2025",4,30]]}}}],"schema":"https://github.com/citation-style-language/schema/raw/master/csl-citation.json"} </w:instrText>
      </w:r>
      <w:r>
        <w:fldChar w:fldCharType="separate"/>
      </w:r>
      <w:r w:rsidR="00A5309E" w:rsidRPr="00A5309E">
        <w:rPr>
          <w:rFonts w:ascii="Aptos" w:hAnsi="Aptos"/>
        </w:rPr>
        <w:t>(12,15)</w:t>
      </w:r>
      <w:r>
        <w:fldChar w:fldCharType="end"/>
      </w:r>
    </w:p>
    <w:p w14:paraId="03054567" w14:textId="77777777" w:rsidR="003E2932" w:rsidRDefault="003E2932" w:rsidP="00A64503">
      <w:pPr>
        <w:spacing w:after="0" w:line="240" w:lineRule="auto"/>
      </w:pPr>
    </w:p>
    <w:p w14:paraId="7C442CB2" w14:textId="735D7D30" w:rsidR="003E2932" w:rsidRDefault="003E2932" w:rsidP="00A64503">
      <w:pPr>
        <w:spacing w:after="0" w:line="240" w:lineRule="auto"/>
      </w:pPr>
      <w:r>
        <w:t>Adolescence is considered a critical risk period for smoking initiation.</w:t>
      </w:r>
      <w:r>
        <w:fldChar w:fldCharType="begin"/>
      </w:r>
      <w:r w:rsidR="00A5309E">
        <w:instrText xml:space="preserve"> ADDIN ZOTERO_ITEM CSL_CITATION {"citationID":"ZfoIbWAJ","properties":{"formattedCitation":"(16)","plainCitation":"(16)","noteIndex":0},"citationItems":[{"id":87,"uris":["http://zotero.org/users/local/fxpU1WWH/items/VR2RABJ9"],"itemData":{"id":87,"type":"article-journal","abstract":"AbstractAbsolute prevalence of tobacco smoking has fallen in recent decades but inequalities by socioeconomic position (SEP) persist. Adolescence is a critical period for smoking initiation and habits formed during this period likely continue into adulthood. Explanations for inequalities in adolescent smoking have tended to focus on individualistic theories based on differentials in knowledge and psychology. These have been criticised for their blindness to processes of social stratification and social context that influence smoking behaviours. Based on previous social theories, we put forward, and test empirically, two potential structural explanations for inequalities in smoking, using nationally representative longitudinal cohort data on 6039 Irish young people aged 9–18 years. Descriptive analyses confirmed the adverse SEP gradient in smoking prevalence as well as SEP gradients in variables representing individual</w:instrText>
      </w:r>
      <w:r w:rsidR="00A5309E">
        <w:rPr>
          <w:rFonts w:ascii="Cambria Math" w:hAnsi="Cambria Math" w:cs="Cambria Math"/>
        </w:rPr>
        <w:instrText>‐</w:instrText>
      </w:r>
      <w:r w:rsidR="00A5309E">
        <w:instrText>level characteristics and structural</w:instrText>
      </w:r>
      <w:r w:rsidR="00A5309E">
        <w:rPr>
          <w:rFonts w:ascii="Cambria Math" w:hAnsi="Cambria Math" w:cs="Cambria Math"/>
        </w:rPr>
        <w:instrText>‐</w:instrText>
      </w:r>
      <w:r w:rsidR="00A5309E">
        <w:instrText>level explanations. Despite lower self</w:instrText>
      </w:r>
      <w:r w:rsidR="00A5309E">
        <w:rPr>
          <w:rFonts w:ascii="Cambria Math" w:hAnsi="Cambria Math" w:cs="Cambria Math"/>
        </w:rPr>
        <w:instrText>‐</w:instrText>
      </w:r>
      <w:r w:rsidR="00A5309E">
        <w:instrText>esteem being associated with a higher likelihood of smoking, there was no significant indirect pathway between SEP and smoking via self</w:instrText>
      </w:r>
      <w:r w:rsidR="00A5309E">
        <w:rPr>
          <w:rFonts w:ascii="Cambria Math" w:hAnsi="Cambria Math" w:cs="Cambria Math"/>
        </w:rPr>
        <w:instrText>‐</w:instrText>
      </w:r>
      <w:r w:rsidR="00A5309E">
        <w:instrText>esteem. Path analyses found that differentials in exposure to parental smoking and levels of oppositional values mediate the relationship between SEP and smoking. Our results favour structural and group</w:instrText>
      </w:r>
      <w:r w:rsidR="00A5309E">
        <w:rPr>
          <w:rFonts w:ascii="Cambria Math" w:hAnsi="Cambria Math" w:cs="Cambria Math"/>
        </w:rPr>
        <w:instrText>‐</w:instrText>
      </w:r>
      <w:r w:rsidR="00A5309E">
        <w:instrText xml:space="preserve">based explanations for inequalities, that is, the </w:instrText>
      </w:r>
      <w:r w:rsidR="00A5309E">
        <w:rPr>
          <w:rFonts w:ascii="Aptos" w:hAnsi="Aptos" w:cs="Aptos"/>
        </w:rPr>
        <w:instrText>‘</w:instrText>
      </w:r>
      <w:r w:rsidR="00A5309E">
        <w:instrText>smoking exposure</w:instrText>
      </w:r>
      <w:r w:rsidR="00A5309E">
        <w:rPr>
          <w:rFonts w:ascii="Aptos" w:hAnsi="Aptos" w:cs="Aptos"/>
        </w:rPr>
        <w:instrText>’</w:instrText>
      </w:r>
      <w:r w:rsidR="00A5309E">
        <w:instrText xml:space="preserve"> and </w:instrText>
      </w:r>
      <w:r w:rsidR="00A5309E">
        <w:rPr>
          <w:rFonts w:ascii="Aptos" w:hAnsi="Aptos" w:cs="Aptos"/>
        </w:rPr>
        <w:instrText>‘</w:instrText>
      </w:r>
      <w:r w:rsidR="00A5309E">
        <w:instrText>social resistance</w:instrText>
      </w:r>
      <w:r w:rsidR="00A5309E">
        <w:rPr>
          <w:rFonts w:ascii="Aptos" w:hAnsi="Aptos" w:cs="Aptos"/>
        </w:rPr>
        <w:instrText>’</w:instrText>
      </w:r>
      <w:r w:rsidR="00A5309E">
        <w:instrText xml:space="preserve"> models, over explanations based on individual psychology.","container-title":"Sociology of Health &amp; Illness","DOI":"10.1111/1467-9566.13858","ISSN":"0141-9889, 1467-9566","issue":"2","journalAbbreviation":"Sociology Health &amp;amp; Illness","language":"en","license":"http://creativecommons.org/licenses/by/4.0/","note":"publisher: Wiley","source":"Crossref","title":"Bringing the group back in: Social class and resistance in adolescent smoking","title-short":"Bringing the group back in","URL":"https://onlinelibrary.wiley.com/doi/10.1111/1467-9566.13858","volume":"47","author":[{"family":"McEvoy","given":"Olivia"},{"family":"Layte","given":"Richard"}],"accessed":{"date-parts":[["2025",4,30]]},"issued":{"date-parts":[["2025",2]]}}}],"schema":"https://github.com/citation-style-language/schema/raw/master/csl-citation.json"} </w:instrText>
      </w:r>
      <w:r>
        <w:fldChar w:fldCharType="separate"/>
      </w:r>
      <w:r w:rsidR="00A5309E" w:rsidRPr="00A5309E">
        <w:rPr>
          <w:rFonts w:ascii="Aptos" w:hAnsi="Aptos"/>
        </w:rPr>
        <w:t>(16)</w:t>
      </w:r>
      <w:r>
        <w:fldChar w:fldCharType="end"/>
      </w:r>
      <w:r>
        <w:t xml:space="preserve">  </w:t>
      </w:r>
      <w:r w:rsidRPr="00A36736">
        <w:t xml:space="preserve">Among </w:t>
      </w:r>
      <w:r>
        <w:t xml:space="preserve">Irish </w:t>
      </w:r>
      <w:r w:rsidRPr="00A36736">
        <w:t>15</w:t>
      </w:r>
      <w:r w:rsidRPr="008464DA">
        <w:rPr>
          <w:rFonts w:ascii="Cambria Math" w:hAnsi="Cambria Math" w:cs="Cambria Math"/>
        </w:rPr>
        <w:t>‑</w:t>
      </w:r>
      <w:r w:rsidRPr="00A36736">
        <w:t>year</w:t>
      </w:r>
      <w:r w:rsidRPr="008464DA">
        <w:rPr>
          <w:rFonts w:ascii="Cambria Math" w:hAnsi="Cambria Math" w:cs="Cambria Math"/>
        </w:rPr>
        <w:t>‑</w:t>
      </w:r>
      <w:r w:rsidRPr="00A36736">
        <w:t>olds,</w:t>
      </w:r>
      <w:r>
        <w:t xml:space="preserve"> </w:t>
      </w:r>
      <w:r w:rsidR="007E2504">
        <w:t xml:space="preserve">a </w:t>
      </w:r>
      <w:r w:rsidR="00892356">
        <w:t xml:space="preserve">decline </w:t>
      </w:r>
      <w:r w:rsidR="00A86D51">
        <w:t>in</w:t>
      </w:r>
      <w:r w:rsidRPr="00A36736">
        <w:t xml:space="preserve"> </w:t>
      </w:r>
      <w:r w:rsidR="00860681">
        <w:t xml:space="preserve">the proportion reporting </w:t>
      </w:r>
      <w:r w:rsidRPr="00A36736">
        <w:t xml:space="preserve">tobacco </w:t>
      </w:r>
      <w:r w:rsidR="00A86D51">
        <w:t>use</w:t>
      </w:r>
      <w:r w:rsidR="00A86D51" w:rsidRPr="00A36736">
        <w:t xml:space="preserve"> </w:t>
      </w:r>
      <w:r w:rsidR="00B1030B">
        <w:t xml:space="preserve">in the past </w:t>
      </w:r>
      <w:r w:rsidRPr="00A36736">
        <w:t xml:space="preserve">30 days </w:t>
      </w:r>
      <w:r>
        <w:t>(</w:t>
      </w:r>
      <w:r w:rsidRPr="00A36736">
        <w:t xml:space="preserve">9.5% in 2014 </w:t>
      </w:r>
      <w:r>
        <w:t>vs.</w:t>
      </w:r>
      <w:r w:rsidRPr="00A36736">
        <w:t xml:space="preserve"> 7.0% in 2022</w:t>
      </w:r>
      <w:r>
        <w:t>) ha</w:t>
      </w:r>
      <w:r w:rsidR="007E2504">
        <w:t>s</w:t>
      </w:r>
      <w:r>
        <w:t xml:space="preserve"> been observed.</w:t>
      </w:r>
      <w:r>
        <w:fldChar w:fldCharType="begin"/>
      </w:r>
      <w:r w:rsidR="00A5309E">
        <w:instrText xml:space="preserve"> ADDIN ZOTERO_ITEM CSL_CITATION {"citationID":"STTUnWWU","properties":{"formattedCitation":"(5)","plainCitation":"(5)","noteIndex":0},"citationItems":[{"id":4,"uris":["http://zotero.org/users/local/fxpU1WWH/items/U3SVGNQA"],"itemData":{"id":4,"type":"webpage","abstract":"This profile identifies strengths, challenges and specific areas of action on cancer prevention and care as part of the European Cancer Inequalities Registry, a flagship initiative of Europe’s Beating Cancer Plan. It provides a short synthesis of: the national cancer burden; risk factors for cancer (focusing on behavioural and environmental risk factors); early detection programmes; and cancer care performance (focusing on accessibility, care quality, costs and quality of life).","container-title":"OECD","language":"en","title":"EU Country Cancer Profile: Ireland 2025","title-short":"EU Country Cancer Profile","URL":"https://www.oecd.org/en/publications/eu-country-cancer-profile-ireland-2025_7d8d0798-en.html","accessed":{"date-parts":[["2025",4,29]]},"issued":{"date-parts":[["2025",2,3]]}}}],"schema":"https://github.com/citation-style-language/schema/raw/master/csl-citation.json"} </w:instrText>
      </w:r>
      <w:r>
        <w:fldChar w:fldCharType="separate"/>
      </w:r>
      <w:r w:rsidR="00A5309E" w:rsidRPr="00A5309E">
        <w:rPr>
          <w:rFonts w:ascii="Aptos" w:hAnsi="Aptos"/>
        </w:rPr>
        <w:t>(5)</w:t>
      </w:r>
      <w:r>
        <w:fldChar w:fldCharType="end"/>
      </w:r>
      <w:r>
        <w:t xml:space="preserve"> The prevalence of tobacco smoking among </w:t>
      </w:r>
      <w:r w:rsidR="007E2504">
        <w:t xml:space="preserve">Irish </w:t>
      </w:r>
      <w:r>
        <w:t xml:space="preserve">15-year-olds was </w:t>
      </w:r>
      <w:r w:rsidRPr="00A36736">
        <w:t>substantially lower than</w:t>
      </w:r>
      <w:r>
        <w:t xml:space="preserve"> their </w:t>
      </w:r>
      <w:r w:rsidRPr="00A36736">
        <w:t xml:space="preserve">EU </w:t>
      </w:r>
      <w:r>
        <w:t>counterparts, but socioeconomic disparities persist.</w:t>
      </w:r>
      <w:r>
        <w:fldChar w:fldCharType="begin"/>
      </w:r>
      <w:r w:rsidR="00A5309E">
        <w:instrText xml:space="preserve"> ADDIN ZOTERO_ITEM CSL_CITATION {"citationID":"uNrxKcRc","properties":{"formattedCitation":"(5)","plainCitation":"(5)","noteIndex":0},"citationItems":[{"id":4,"uris":["http://zotero.org/users/local/fxpU1WWH/items/U3SVGNQA"],"itemData":{"id":4,"type":"webpage","abstract":"This profile identifies strengths, challenges and specific areas of action on cancer prevention and care as part of the European Cancer Inequalities Registry, a flagship initiative of Europe’s Beating Cancer Plan. It provides a short synthesis of: the national cancer burden; risk factors for cancer (focusing on behavioural and environmental risk factors); early detection programmes; and cancer care performance (focusing on accessibility, care quality, costs and quality of life).","container-title":"OECD","language":"en","title":"EU Country Cancer Profile: Ireland 2025","title-short":"EU Country Cancer Profile","URL":"https://www.oecd.org/en/publications/eu-country-cancer-profile-ireland-2025_7d8d0798-en.html","accessed":{"date-parts":[["2025",4,29]]},"issued":{"date-parts":[["2025",2,3]]}}}],"schema":"https://github.com/citation-style-language/schema/raw/master/csl-citation.json"} </w:instrText>
      </w:r>
      <w:r>
        <w:fldChar w:fldCharType="separate"/>
      </w:r>
      <w:r w:rsidR="00A5309E" w:rsidRPr="00A5309E">
        <w:rPr>
          <w:rFonts w:ascii="Aptos" w:hAnsi="Aptos"/>
        </w:rPr>
        <w:t>(5)</w:t>
      </w:r>
      <w:r>
        <w:fldChar w:fldCharType="end"/>
      </w:r>
      <w:r>
        <w:t xml:space="preserve"> The prevalence of smoking a</w:t>
      </w:r>
      <w:r w:rsidRPr="00A36736">
        <w:t>mong school-age</w:t>
      </w:r>
      <w:r>
        <w:t>d</w:t>
      </w:r>
      <w:r w:rsidRPr="00A36736">
        <w:t xml:space="preserve"> children in</w:t>
      </w:r>
      <w:r>
        <w:t xml:space="preserve"> </w:t>
      </w:r>
      <w:r w:rsidRPr="00A36736">
        <w:t>t</w:t>
      </w:r>
      <w:r>
        <w:t>he most socioeconomically disadvantaged quintile (defined by the ‘Family Affluence Scale’)</w:t>
      </w:r>
      <w:r>
        <w:fldChar w:fldCharType="begin"/>
      </w:r>
      <w:r w:rsidR="00A5309E">
        <w:instrText xml:space="preserve"> ADDIN ZOTERO_ITEM CSL_CITATION {"citationID":"LEGTvwRD","properties":{"formattedCitation":"(17)","plainCitation":"(17)","noteIndex":0},"citationItems":[{"id":42,"uris":["http://zotero.org/users/local/fxpU1WWH/items/ZFZCSSDL"],"itemData":{"id":42,"type":"article-journal","abstract":"Socioeconomic inequalities in adolescent health have been little studied until recently, partly due to the lack of appropriate and agreed upon measures for this age group. The difficulties of measuring adolescent socioeconomic status (SES) are both conceptual and methodological. Conceptually, it is unclear whether parental SES should be used as a proxy, and if so, which aspect of SES is most relevant. Methodologically, parental SES information is difficult to obtain from adolescents resulting in high levels of missing data. These issues led to the development of a new measure, the Family Affluence Scale (FAS), in the context of an international study on adolescent health, the Health Behaviour in School-Aged Children (HBSC) Study. The paper reviews the evolution of the measure over the past 10 years and its utility in examining and explaining health related inequalities at national and cross-national levels in over 30 countries in Europe and North America. We present an overview of HBSC papers published to date that examine FAS-related socioeconomic inequalities in health and health behaviour, using data from the HBSC study. Findings suggest consistent inequalities in self-reported health, psychosomatic symptoms, physical activity and aspects of eating habits at both the individual and country level. FAS has recently been adopted, and in some cases adapted, by other research and policy related studies and this work is also reviewed. Finally, ongoing FAS validation work is described together with ideas for future development of the measure.","container-title":"Social Science &amp; Medicine (1982)","DOI":"10.1016/j.socscimed.2007.11.024","ISSN":"0277-9536","issue":"6","journalAbbreviation":"Soc Sci Med","language":"eng","note":"PMID: 18179852","page":"1429-1436","source":"PubMed","title":"Researching health inequalities in adolescents: the development of the Health Behaviour in School-Aged Children (HBSC) family affluence scale","title-short":"Researching health inequalities in adolescents","volume":"66","author":[{"family":"Currie","given":"Candace"},{"family":"Molcho","given":"Michal"},{"family":"Boyce","given":"William"},{"family":"Holstein","given":"Bjørn"},{"family":"Torsheim","given":"Torbjørn"},{"family":"Richter","given":"Matthias"}],"issued":{"date-parts":[["2008",3]]}}}],"schema":"https://github.com/citation-style-language/schema/raw/master/csl-citation.json"} </w:instrText>
      </w:r>
      <w:r>
        <w:fldChar w:fldCharType="separate"/>
      </w:r>
      <w:r w:rsidR="00A5309E" w:rsidRPr="00A5309E">
        <w:rPr>
          <w:rFonts w:ascii="Aptos" w:hAnsi="Aptos"/>
        </w:rPr>
        <w:t>(17)</w:t>
      </w:r>
      <w:r>
        <w:fldChar w:fldCharType="end"/>
      </w:r>
      <w:r>
        <w:t xml:space="preserve"> was </w:t>
      </w:r>
      <w:r w:rsidRPr="00A36736">
        <w:t>significantly higher than</w:t>
      </w:r>
      <w:r>
        <w:t xml:space="preserve"> among the most advantaged quintile (4.4% vs. </w:t>
      </w:r>
      <w:r w:rsidRPr="00A36736">
        <w:t>2.6%</w:t>
      </w:r>
      <w:r>
        <w:t>)</w:t>
      </w:r>
      <w:r w:rsidRPr="00A36736">
        <w:t>.</w:t>
      </w:r>
      <w:bookmarkStart w:id="16" w:name="_Toc190159242"/>
      <w:bookmarkStart w:id="17" w:name="_Toc194488669"/>
      <w:r>
        <w:fldChar w:fldCharType="begin"/>
      </w:r>
      <w:r w:rsidR="00A5309E">
        <w:instrText xml:space="preserve"> ADDIN ZOTERO_ITEM CSL_CITATION {"citationID":"EI1NI9p8","properties":{"formattedCitation":"(5)","plainCitation":"(5)","noteIndex":0},"citationItems":[{"id":4,"uris":["http://zotero.org/users/local/fxpU1WWH/items/U3SVGNQA"],"itemData":{"id":4,"type":"webpage","abstract":"This profile identifies strengths, challenges and specific areas of action on cancer prevention and care as part of the European Cancer Inequalities Registry, a flagship initiative of Europe’s Beating Cancer Plan. It provides a short synthesis of: the national cancer burden; risk factors for cancer (focusing on behavioural and environmental risk factors); early detection programmes; and cancer care performance (focusing on accessibility, care quality, costs and quality of life).","container-title":"OECD","language":"en","title":"EU Country Cancer Profile: Ireland 2025","title-short":"EU Country Cancer Profile","URL":"https://www.oecd.org/en/publications/eu-country-cancer-profile-ireland-2025_7d8d0798-en.html","accessed":{"date-parts":[["2025",4,29]]},"issued":{"date-parts":[["2025",2,3]]}}}],"schema":"https://github.com/citation-style-language/schema/raw/master/csl-citation.json"} </w:instrText>
      </w:r>
      <w:r>
        <w:fldChar w:fldCharType="separate"/>
      </w:r>
      <w:r w:rsidR="00A5309E" w:rsidRPr="00A5309E">
        <w:rPr>
          <w:rFonts w:ascii="Aptos" w:hAnsi="Aptos"/>
        </w:rPr>
        <w:t>(5)</w:t>
      </w:r>
      <w:r>
        <w:fldChar w:fldCharType="end"/>
      </w:r>
    </w:p>
    <w:p w14:paraId="5E73B648" w14:textId="77777777" w:rsidR="003E2932" w:rsidRDefault="003E2932" w:rsidP="00A64503">
      <w:pPr>
        <w:spacing w:after="0" w:line="240" w:lineRule="auto"/>
      </w:pPr>
    </w:p>
    <w:p w14:paraId="1824BE40" w14:textId="77777777" w:rsidR="003E2932" w:rsidRPr="001610AA" w:rsidRDefault="003E2932" w:rsidP="00A64503">
      <w:pPr>
        <w:pStyle w:val="Heading3"/>
        <w:spacing w:before="0" w:after="0" w:line="240" w:lineRule="auto"/>
      </w:pPr>
      <w:bookmarkStart w:id="18" w:name="_Toc201512414"/>
      <w:r w:rsidRPr="001610AA">
        <w:t>Electronic Nicotine Delivery Systems (ENDS)</w:t>
      </w:r>
      <w:bookmarkEnd w:id="18"/>
    </w:p>
    <w:p w14:paraId="54A36BC6" w14:textId="6A932843" w:rsidR="003E2932" w:rsidRDefault="003E2932" w:rsidP="00A64503">
      <w:pPr>
        <w:spacing w:after="0" w:line="240" w:lineRule="auto"/>
      </w:pPr>
      <w:r>
        <w:t>There have been rapid i</w:t>
      </w:r>
      <w:r w:rsidRPr="00F71468">
        <w:t xml:space="preserve">ncreases in </w:t>
      </w:r>
      <w:r>
        <w:t xml:space="preserve">the </w:t>
      </w:r>
      <w:r w:rsidRPr="00F71468">
        <w:t xml:space="preserve">use </w:t>
      </w:r>
      <w:r>
        <w:t xml:space="preserve">of Electronic Nicotine Delivery Systems (ENDS - more commonly referred to as ‘vapes’ or e-cigarettes) </w:t>
      </w:r>
      <w:r w:rsidRPr="00F71468">
        <w:t xml:space="preserve">among </w:t>
      </w:r>
      <w:r>
        <w:t>the Irish population.</w:t>
      </w:r>
      <w:r w:rsidR="00485BA6">
        <w:fldChar w:fldCharType="begin"/>
      </w:r>
      <w:r w:rsidR="00A5309E">
        <w:instrText xml:space="preserve"> ADDIN ZOTERO_ITEM CSL_CITATION {"citationID":"nYMX8ako","properties":{"formattedCitation":"(18)","plainCitation":"(18)","noteIndex":0},"citationItems":[{"id":251,"uris":["http://zotero.org/users/local/fxpU1WWH/items/R4CY8LPN"],"itemData":{"id":251,"type":"webpage","container-title":"gov.ie","language":"en","title":"Healthy Ireland Survey 2023","URL":"https://gov.ie/en/healthy-ireland/publications/healthy-ireland-survey-2023/","accessed":{"date-parts":[["2025",6,5]]}}}],"schema":"https://github.com/citation-style-language/schema/raw/master/csl-citation.json"} </w:instrText>
      </w:r>
      <w:r w:rsidR="00485BA6">
        <w:fldChar w:fldCharType="separate"/>
      </w:r>
      <w:r w:rsidR="00A5309E" w:rsidRPr="00A5309E">
        <w:rPr>
          <w:rFonts w:ascii="Aptos" w:hAnsi="Aptos"/>
        </w:rPr>
        <w:t>(18)</w:t>
      </w:r>
      <w:r w:rsidR="00485BA6">
        <w:fldChar w:fldCharType="end"/>
      </w:r>
      <w:r>
        <w:t xml:space="preserve"> Uptake has been particularly marked among young people and adolescent non-smokers.</w:t>
      </w:r>
      <w:r w:rsidR="006B4EAF">
        <w:fldChar w:fldCharType="begin"/>
      </w:r>
      <w:r w:rsidR="00A5309E">
        <w:instrText xml:space="preserve"> ADDIN ZOTERO_ITEM CSL_CITATION {"citationID":"GS4Shvm0","properties":{"formattedCitation":"(19)","plainCitation":"(19)","noteIndex":0},"citationItems":[{"id":246,"uris":["http://zotero.org/users/local/fxpU1WWH/items/27HKDGT4"],"itemData":{"id":246,"type":"webpage","title":"Generation Vape? E-cigarette use among children on the island of Ireland – insights from official data | Institute of Public Health","URL":"https://www.publichealth.ie/blog/generation-vape-e-cigarette-use-among-children-island-ireland-insights-official-data","accessed":{"date-parts":[["2025",6,5]]}}}],"schema":"https://github.com/citation-style-language/schema/raw/master/csl-citation.json"} </w:instrText>
      </w:r>
      <w:r w:rsidR="006B4EAF">
        <w:fldChar w:fldCharType="separate"/>
      </w:r>
      <w:r w:rsidR="00A5309E" w:rsidRPr="00A5309E">
        <w:rPr>
          <w:rFonts w:ascii="Aptos" w:hAnsi="Aptos"/>
        </w:rPr>
        <w:t>(19)</w:t>
      </w:r>
      <w:r w:rsidR="006B4EAF">
        <w:fldChar w:fldCharType="end"/>
      </w:r>
      <w:r>
        <w:t xml:space="preserve"> The World Health Organisation (WHO) is clear – nicotine is addictive and harmful to health.</w:t>
      </w:r>
      <w:r w:rsidR="0069098F">
        <w:fldChar w:fldCharType="begin"/>
      </w:r>
      <w:r w:rsidR="00A5309E">
        <w:instrText xml:space="preserve"> ADDIN ZOTERO_ITEM CSL_CITATION {"citationID":"6N6kBCb8","properties":{"formattedCitation":"(20)","plainCitation":"(20)","noteIndex":0},"citationItems":[{"id":234,"uris":["http://zotero.org/users/local/fxpU1WWH/items/C5L3URAX"],"itemData":{"id":234,"type":"webpage","abstract":"There are many different types of e-cigarettes, which are the most common type of electronic nicotine delivery system (ENDS) and electronic non-nicotine delivery system (ENNDS).","language":"en","title":"Tobacco: E-cigarettes","title-short":"Tobacco","URL":"https://www.who.int/news-room/questions-and-answers/item/tobacco-e-cigarettes","accessed":{"date-parts":[["2025",6,5]]}}}],"schema":"https://github.com/citation-style-language/schema/raw/master/csl-citation.json"} </w:instrText>
      </w:r>
      <w:r w:rsidR="0069098F">
        <w:fldChar w:fldCharType="separate"/>
      </w:r>
      <w:r w:rsidR="00A5309E" w:rsidRPr="00A5309E">
        <w:rPr>
          <w:rFonts w:ascii="Aptos" w:hAnsi="Aptos"/>
        </w:rPr>
        <w:t>(20)</w:t>
      </w:r>
      <w:r w:rsidR="0069098F">
        <w:fldChar w:fldCharType="end"/>
      </w:r>
      <w:r>
        <w:t xml:space="preserve"> </w:t>
      </w:r>
      <w:r w:rsidRPr="00F71468">
        <w:t xml:space="preserve">The full magnitude of harm </w:t>
      </w:r>
      <w:r>
        <w:t>associated with END</w:t>
      </w:r>
      <w:r w:rsidR="00072F22">
        <w:t>S</w:t>
      </w:r>
      <w:r>
        <w:t xml:space="preserve"> </w:t>
      </w:r>
      <w:r w:rsidRPr="00F71468">
        <w:t>is unknown</w:t>
      </w:r>
      <w:r>
        <w:t>. IARC has not assessed the carcinogenicity of ENDS</w:t>
      </w:r>
      <w:r w:rsidR="00394B8A">
        <w:t>,</w:t>
      </w:r>
      <w:r>
        <w:t xml:space="preserve"> however</w:t>
      </w:r>
      <w:r w:rsidR="004A122D">
        <w:t>,</w:t>
      </w:r>
      <w:r>
        <w:t xml:space="preserve"> known carcinogens (e.g. formaldehyde) have been identified in ENDS vapour.</w:t>
      </w:r>
      <w:r w:rsidR="008D014B">
        <w:fldChar w:fldCharType="begin"/>
      </w:r>
      <w:r w:rsidR="00A5309E">
        <w:instrText xml:space="preserve"> ADDIN ZOTERO_ITEM CSL_CITATION {"citationID":"Rv4Hw872","properties":{"formattedCitation":"(21,22)","plainCitation":"(21,22)","noteIndex":0},"citationItems":[{"id":240,"uris":["http://zotero.org/users/local/fxpU1WWH/items/7Z4NZLAN"],"itemData":{"id":240,"type":"article-journal","container-title":"European Journal of Epidemiology","DOI":"10.1007/s10654-023-00993-7","ISSN":"1573-7284","issue":"4","journalAbbreviation":"Eur J Epidemiol","language":"eng","note":"PMID: 36961667","page":"391","source":"PubMed","title":"The International Agency for Research on Cancer and e-cigarette carcinogenicity: time for an evaluation","title-short":"The International Agency for Research on Cancer and e-cigarette carcinogenicity","volume":"38","author":[{"family":"Braillon","given":"Alain"},{"family":"Lang","given":"Adam Edward"}],"issued":{"date-parts":[["2023",4]]}}},{"id":253,"uris":["http://zotero.org/users/local/fxpU1WWH/items/35XZZKNK"],"itemData":{"id":253,"type":"article-journal","abstract":"Recent evidence suggests that e-cigarette users tend to change their puffing behaviors when using e-liquids with reduced nicotine concentrations by taking longer and more frequent puffs. Using puffing regimens modelled on puffing topography data from 19 experienced e-cigarette users who switched between 18 and 6</w:instrText>
      </w:r>
      <w:r w:rsidR="00A5309E">
        <w:rPr>
          <w:rFonts w:ascii="Arial" w:hAnsi="Arial" w:cs="Arial"/>
        </w:rPr>
        <w:instrText> </w:instrText>
      </w:r>
      <w:r w:rsidR="00A5309E">
        <w:instrText>mg/mL e-liquids with and without power adjustments, differences in daily exposure to carbonyl compounds and estimated changes in cancer risk were assessed by production of aerosols generated using a smoking machine and analyzed using gas and liquid chromatography. Significant differences across conditions were found for formaldehyde and acetaldehyde (p</w:instrText>
      </w:r>
      <w:r w:rsidR="00A5309E">
        <w:rPr>
          <w:rFonts w:ascii="Arial" w:hAnsi="Arial" w:cs="Arial"/>
        </w:rPr>
        <w:instrText> </w:instrText>
      </w:r>
      <w:r w:rsidR="00A5309E">
        <w:instrText>&lt;</w:instrText>
      </w:r>
      <w:r w:rsidR="00A5309E">
        <w:rPr>
          <w:rFonts w:ascii="Arial" w:hAnsi="Arial" w:cs="Arial"/>
        </w:rPr>
        <w:instrText> </w:instrText>
      </w:r>
      <w:r w:rsidR="00A5309E">
        <w:instrText>0.01). Switching from a higher to a lower nicotine concentration was associated with greater exposure regardless of whether power settings were fixed or adjustable which is likely due to increased liquid consumption under lower nicotine concentration settings. Daily exposure for formaldehyde and acetaldehyde was higher for 17/19 participants when using low (6</w:instrText>
      </w:r>
      <w:r w:rsidR="00A5309E">
        <w:rPr>
          <w:rFonts w:ascii="Arial" w:hAnsi="Arial" w:cs="Arial"/>
        </w:rPr>
        <w:instrText> </w:instrText>
      </w:r>
      <w:r w:rsidR="00A5309E">
        <w:instrText>mg/mL) compared with high (18</w:instrText>
      </w:r>
      <w:r w:rsidR="00A5309E">
        <w:rPr>
          <w:rFonts w:ascii="Arial" w:hAnsi="Arial" w:cs="Arial"/>
        </w:rPr>
        <w:instrText> </w:instrText>
      </w:r>
      <w:r w:rsidR="00A5309E">
        <w:instrText>mg/mL) nicotine e-liquid concentration when power was fixed. When power adjustments were permitted, formaldehyde and acetaldehyde levels were higher respectively for 16/19 and 14/19 participants with the use of 6 compared with 18</w:instrText>
      </w:r>
      <w:r w:rsidR="00A5309E">
        <w:rPr>
          <w:rFonts w:ascii="Arial" w:hAnsi="Arial" w:cs="Arial"/>
        </w:rPr>
        <w:instrText> </w:instrText>
      </w:r>
      <w:r w:rsidR="00A5309E">
        <w:instrText xml:space="preserve">mg/mL nicotine e-liquid.","container-title":"Scientific Reports","DOI":"10.1038/s41598-020-63292-1","ISSN":"2045-2322","issue":"1","journalAbbreviation":"Sci Rep","language":"en","license":"2020 The Author(s)","note":"publisher: Nature Publishing Group","page":"6546","source":"www.nature.com","title":"Daily exposure to formaldehyde and acetaldehyde and potential health risk associated with use of high and low nicotine e-liquid concentrations","volume":"10","author":[{"family":"Kosmider","given":"Leon"},{"family":"Cox","given":"Sharon"},{"family":"Zaciera","given":"Marzena"},{"family":"Kurek","given":"Jolanta"},{"family":"Goniewicz","given":"Maciej L."},{"family":"McRobbie","given":"Hayden"},{"family":"Kimber","given":"Catherine"},{"family":"Dawkins","given":"Lynne"}],"issued":{"date-parts":[["2020",4,16]]}}}],"schema":"https://github.com/citation-style-language/schema/raw/master/csl-citation.json"} </w:instrText>
      </w:r>
      <w:r w:rsidR="008D014B">
        <w:fldChar w:fldCharType="separate"/>
      </w:r>
      <w:r w:rsidR="00A5309E" w:rsidRPr="00A5309E">
        <w:rPr>
          <w:rFonts w:ascii="Aptos" w:hAnsi="Aptos"/>
        </w:rPr>
        <w:t>(21,22)</w:t>
      </w:r>
      <w:r w:rsidR="008D014B">
        <w:fldChar w:fldCharType="end"/>
      </w:r>
      <w:r>
        <w:t xml:space="preserve"> In addition to any potential direct effect of ENDS on cancer risk, Irish and international e</w:t>
      </w:r>
      <w:r w:rsidRPr="00F71468">
        <w:t>vidence</w:t>
      </w:r>
      <w:r>
        <w:t xml:space="preserve"> indicates</w:t>
      </w:r>
      <w:r w:rsidRPr="00F71468">
        <w:t xml:space="preserve"> that</w:t>
      </w:r>
      <w:r>
        <w:t xml:space="preserve"> people who</w:t>
      </w:r>
      <w:r w:rsidRPr="00F71468">
        <w:t xml:space="preserve"> use ENDS </w:t>
      </w:r>
      <w:r>
        <w:t>are</w:t>
      </w:r>
      <w:r w:rsidRPr="00F71468">
        <w:t xml:space="preserve"> more likely to transition to</w:t>
      </w:r>
      <w:r w:rsidR="00072F22">
        <w:t xml:space="preserve"> the</w:t>
      </w:r>
      <w:r w:rsidRPr="00F71468">
        <w:t xml:space="preserve"> use of cigarettes</w:t>
      </w:r>
      <w:r>
        <w:t xml:space="preserve"> or</w:t>
      </w:r>
      <w:r w:rsidR="00072F22">
        <w:t xml:space="preserve"> to</w:t>
      </w:r>
      <w:r>
        <w:t xml:space="preserve"> dual use.</w:t>
      </w:r>
      <w:r w:rsidR="00F1012E">
        <w:fldChar w:fldCharType="begin"/>
      </w:r>
      <w:r w:rsidR="00A5309E">
        <w:instrText xml:space="preserve"> ADDIN ZOTERO_ITEM CSL_CITATION {"citationID":"XUuzWURt","properties":{"formattedCitation":"(23)","plainCitation":"(23)","noteIndex":0},"citationItems":[{"id":243,"uris":["http://zotero.org/users/local/fxpU1WWH/items/3J5ABF4D"],"itemData":{"id":243,"type":"article-journal","abstract":"E-cigarette-only use and dual-use are emerging behaviours among adolescent nicotine product users which have not yet been sufficiently explored. This study examines the prevalence of, and the factors associated with, nicotine product use in adolescence. The study is a cross-sectional analysis of the 2018 Planet Youth survey completed by 15-16 year olds in the West of Ireland in 2018. The outcome of interest was current nicotine product use, defined as use at least once in the past 30 days. A main effects multinomial logistic regression model was used to examine the association between potential risk and protective factors and nicotine product use. Among 4422 adolescents 22.1% were current nicotine product users, consisting of 5.1% e-cigarette only users, 7.7% conventional cigarette only users, and 9.3% dual-users. For risk factors, the odds of association were weaker for e-cigarette only use compared to conventional cigarette and dual use. Participating in team sport four times/week or more significantly reduced the odds of conventional cigarette and dual use but had no association with e-cigarette only use (Cig: adjusted odds ratio (AOR) 0.63, 95% confidence interval (CI) 0.44-0.90; Dual-use: AOR 0.63, 95% CI 0.43-0.93). Similarly, having higher value for conventional social norms reduced the odds of conventional cigarette and dual use but not e-cigarette only use. This is the first study to show, among a generalisable sample, that dual-use is the most prevalent behaviour among adolescent nicotine product users in Ireland. Risk factor profiles differ across categories of use and prevention initiatives must be cognisant of this.","container-title":"International Journal of Environmental Research and Public Health","DOI":"10.3390/ijerph18010332","ISSN":"1660-4601","issue":"1","journalAbbreviation":"Int J Environ Res Public Health","language":"eng","note":"PMID: 33466304\nPMCID: PMC7795664","page":"332","source":"PubMed","title":"E-Cigarette-Only and Dual Use among Adolescents in Ireland: Emerging Behaviours with Different Risk Profiles","title-short":"E-Cigarette-Only and Dual Use among Adolescents in Ireland","volume":"18","author":[{"family":"Bowe","given":"Andrea K."},{"family":"Doyle","given":"Frank"},{"family":"Stanistreet","given":"Debbi"},{"family":"O'Connell","given":"Emer"},{"family":"Durcan","given":"Michéal"},{"family":"Major","given":"Emmet"},{"family":"O'Donovan","given":"Diarmuid"},{"family":"Kavanagh","given":"Paul"}],"issued":{"date-parts":[["2021",1,5]]}}}],"schema":"https://github.com/citation-style-language/schema/raw/master/csl-citation.json"} </w:instrText>
      </w:r>
      <w:r w:rsidR="00F1012E">
        <w:fldChar w:fldCharType="separate"/>
      </w:r>
      <w:r w:rsidR="00A5309E" w:rsidRPr="00A5309E">
        <w:rPr>
          <w:rFonts w:ascii="Aptos" w:hAnsi="Aptos"/>
        </w:rPr>
        <w:t>(23)</w:t>
      </w:r>
      <w:r w:rsidR="00F1012E">
        <w:fldChar w:fldCharType="end"/>
      </w:r>
      <w:r>
        <w:t xml:space="preserve"> This risk may be particularly high among young people who were non-smokers.</w:t>
      </w:r>
      <w:r w:rsidR="004B3CB0">
        <w:fldChar w:fldCharType="begin"/>
      </w:r>
      <w:r w:rsidR="00A5309E">
        <w:instrText xml:space="preserve"> ADDIN ZOTERO_ITEM CSL_CITATION {"citationID":"7QzMGU2D","properties":{"formattedCitation":"(20)","plainCitation":"(20)","noteIndex":0},"citationItems":[{"id":234,"uris":["http://zotero.org/users/local/fxpU1WWH/items/C5L3URAX"],"itemData":{"id":234,"type":"webpage","abstract":"There are many different types of e-cigarettes, which are the most common type of electronic nicotine delivery system (ENDS) and electronic non-nicotine delivery system (ENNDS).","language":"en","title":"Tobacco: E-cigarettes","title-short":"Tobacco","URL":"https://www.who.int/news-room/questions-and-answers/item/tobacco-e-cigarettes","accessed":{"date-parts":[["2025",6,5]]}}}],"schema":"https://github.com/citation-style-language/schema/raw/master/csl-citation.json"} </w:instrText>
      </w:r>
      <w:r w:rsidR="004B3CB0">
        <w:fldChar w:fldCharType="separate"/>
      </w:r>
      <w:r w:rsidR="00A5309E" w:rsidRPr="00A5309E">
        <w:rPr>
          <w:rFonts w:ascii="Aptos" w:hAnsi="Aptos"/>
        </w:rPr>
        <w:t>(20)</w:t>
      </w:r>
      <w:r w:rsidR="004B3CB0">
        <w:fldChar w:fldCharType="end"/>
      </w:r>
      <w:r>
        <w:t xml:space="preserve"> While the use of ENDS devices and smoking is beyond the scope of this report, NCRI will continue to actively review the emerging evidence on any link between ENDS and cancer.</w:t>
      </w:r>
    </w:p>
    <w:p w14:paraId="1C6A728F" w14:textId="77777777" w:rsidR="003E2932" w:rsidRDefault="003E2932" w:rsidP="00A64503">
      <w:pPr>
        <w:spacing w:after="0" w:line="240" w:lineRule="auto"/>
      </w:pPr>
    </w:p>
    <w:p w14:paraId="3AB99371" w14:textId="77777777" w:rsidR="003E2932" w:rsidRDefault="003E2932" w:rsidP="00A64503">
      <w:pPr>
        <w:pStyle w:val="Heading2"/>
        <w:spacing w:before="0" w:after="0" w:line="240" w:lineRule="auto"/>
      </w:pPr>
      <w:bookmarkStart w:id="19" w:name="_Toc197557021"/>
      <w:bookmarkStart w:id="20" w:name="_Toc201512415"/>
      <w:r>
        <w:t>Tobacco-smoking and cancer</w:t>
      </w:r>
      <w:bookmarkEnd w:id="16"/>
      <w:bookmarkEnd w:id="17"/>
      <w:bookmarkEnd w:id="19"/>
      <w:bookmarkEnd w:id="20"/>
      <w:r>
        <w:t xml:space="preserve"> </w:t>
      </w:r>
    </w:p>
    <w:p w14:paraId="7C5A386E" w14:textId="27C2DC7B" w:rsidR="003E2932" w:rsidRDefault="003E2932" w:rsidP="00A64503">
      <w:pPr>
        <w:autoSpaceDE w:val="0"/>
        <w:autoSpaceDN w:val="0"/>
        <w:adjustRightInd w:val="0"/>
        <w:spacing w:after="0" w:line="240" w:lineRule="auto"/>
      </w:pPr>
      <w:r w:rsidRPr="00E61DA2">
        <w:t>Tobacco smoke contains many carcinogen</w:t>
      </w:r>
      <w:r>
        <w:t>s</w:t>
      </w:r>
      <w:r w:rsidR="00072F22">
        <w:t>.</w:t>
      </w:r>
      <w:r>
        <w:fldChar w:fldCharType="begin"/>
      </w:r>
      <w:r w:rsidR="00A5309E">
        <w:instrText xml:space="preserve"> ADDIN ZOTERO_ITEM CSL_CITATION {"citationID":"3SZqBvjO","properties":{"formattedCitation":"(24)","plainCitation":"(24)","noteIndex":0},"citationItems":[{"id":45,"uris":["http://zotero.org/users/local/fxpU1WWH/items/HXQPKHUD"],"itemData":{"id":45,"type":"article-journal","container-title":"EBioMedicine","note":"publisher: Elsevier","source":"Google Scholar","title":"Appraising the causal role of smoking in multiple diseases: A systematic review and meta-analysis of Mendelian randomization studies","title-short":"Appraising the causal role of smoking in multiple diseases","URL":"https://www.thelancet.com/journals/ebiom/article/PIIS2352-3964(22)00335-8/fulltext","volume":"82","author":[{"family":"Larsson","given":"Susanna C."},{"family":"Burgess","given":"Stephen"}],"accessed":{"date-parts":[["2025",4,30]]},"issued":{"date-parts":[["2022"]]}}}],"schema":"https://github.com/citation-style-language/schema/raw/master/csl-citation.json"} </w:instrText>
      </w:r>
      <w:r>
        <w:fldChar w:fldCharType="separate"/>
      </w:r>
      <w:r w:rsidR="00A5309E" w:rsidRPr="00A5309E">
        <w:rPr>
          <w:rFonts w:ascii="Aptos" w:hAnsi="Aptos"/>
        </w:rPr>
        <w:t>(24)</w:t>
      </w:r>
      <w:r>
        <w:fldChar w:fldCharType="end"/>
      </w:r>
      <w:r w:rsidR="00072F22">
        <w:t xml:space="preserve"> </w:t>
      </w:r>
      <w:r w:rsidRPr="00480788">
        <w:t>Carcinogenic chemicals generated by cigarette smoking accumulate</w:t>
      </w:r>
      <w:r>
        <w:t xml:space="preserve"> over time</w:t>
      </w:r>
      <w:r w:rsidRPr="00480788">
        <w:t xml:space="preserve"> to cause disease. </w:t>
      </w:r>
      <w:r>
        <w:t>T</w:t>
      </w:r>
      <w:r w:rsidRPr="00480788">
        <w:t xml:space="preserve">he </w:t>
      </w:r>
      <w:r>
        <w:t xml:space="preserve">evidence-base for the </w:t>
      </w:r>
      <w:r w:rsidRPr="00480788">
        <w:t>number of cancers</w:t>
      </w:r>
      <w:r>
        <w:t xml:space="preserve"> </w:t>
      </w:r>
      <w:r w:rsidRPr="00480788">
        <w:t xml:space="preserve">associated with tobacco-smoking and the number of carcinogens identified in tobacco-smoke </w:t>
      </w:r>
      <w:r>
        <w:t>continue</w:t>
      </w:r>
      <w:r w:rsidR="00072F22">
        <w:t>s</w:t>
      </w:r>
      <w:r>
        <w:t xml:space="preserve"> to </w:t>
      </w:r>
      <w:r w:rsidRPr="00480788">
        <w:t>increase</w:t>
      </w:r>
      <w:r>
        <w:t>.</w:t>
      </w:r>
      <w:r>
        <w:fldChar w:fldCharType="begin"/>
      </w:r>
      <w:r w:rsidR="00A5309E">
        <w:instrText xml:space="preserve"> ADDIN ZOTERO_ITEM CSL_CITATION {"citationID":"bT6Fuuay","properties":{"formattedCitation":"(25\\uc0\\u8211{}27)","plainCitation":"(25–27)","noteIndex":0},"citationItems":[{"id":44,"uris":["http://zotero.org/users/local/fxpU1WWH/items/K9QTHR5F"],"itemData":{"id":44,"type":"article-journal","container-title":"Nature Reviews Cancer","issue":"3","note":"publisher: Nature Publishing Group UK London","page":"143–155","source":"Google Scholar","title":"Smokeless tobacco and cigarette smoking: chemical mechanisms and cancer prevention","title-short":"Smokeless tobacco and cigarette smoking","volume":"22","author":[{"family":"Hecht","given":"Stephen S."},{"family":"Hatsukami","given":"Dorothy K."}],"issued":{"date-parts":[["2022"]]}}},{"id":47,"uris":["http://zotero.org/users/local/fxpU1WWH/items/D45KU7SG"],"itemData":{"id":47,"type":"chapter","call-number":"NBK570328","collection-title":"IARC Scientific Publications","container-title":"Tumour Site Concordance and Mechanisms of Carcinogenesis","event-place":"Lyon (FR)","ISBN":"978-92-832-2217-0","language":"eng","note":"PMID: 33979081","publisher":"International Agency for Research on Cancer","publisher-place":"Lyon (FR)","source":"PubMed","title":"Tobacco smoke and its constituents","URL":"http://www.ncbi.nlm.nih.gov/books/NBK570328/","author":[{"family":"Hecht","given":"Stephen S."},{"family":"DeMarini","given":"David M."}],"editor":[{"family":"Baan","given":"Robert A."},{"family":"Stewart","given":"Bernard W."},{"family":"Straif","given":"Kurt"}],"accessed":{"date-parts":[["2025",4,30]]},"issued":{"date-parts":[["2019"]]}}},{"id":27,"uris":["http://zotero.org/users/local/fxpU1WWH/items/DR2EU9P2"],"itemData":{"id":27,"type":"article-journal","source":"Google Scholar","title":"The health consequences of smoking—50 years of progress: A report of the surgeon general","title-short":"The health consequences of smoking—50 years of progress","URL":"https://stacks.cdc.gov/view/cdc/21569","author":[{"family":"Lushniak","given":"Boris D."},{"family":"Samet","given":"Jonathan M."},{"family":"Pechacek","given":"Terry F."},{"family":"Norman","given":"Leslie A."},{"family":"Taylor","given":"Peter A."}],"accessed":{"date-parts":[["2025",4,30]]},"issued":{"date-parts":[["2014"]]}}}],"schema":"https://github.com/citation-style-language/schema/raw/master/csl-citation.json"} </w:instrText>
      </w:r>
      <w:r>
        <w:fldChar w:fldCharType="separate"/>
      </w:r>
      <w:r w:rsidR="00A5309E" w:rsidRPr="00A5309E">
        <w:rPr>
          <w:rFonts w:ascii="Aptos" w:hAnsi="Aptos" w:cs="Times New Roman"/>
          <w:kern w:val="0"/>
        </w:rPr>
        <w:t>(25–27)</w:t>
      </w:r>
      <w:r>
        <w:fldChar w:fldCharType="end"/>
      </w:r>
      <w:r>
        <w:t xml:space="preserve"> </w:t>
      </w:r>
      <w:r w:rsidRPr="00194D41">
        <w:t>The I</w:t>
      </w:r>
      <w:r>
        <w:t xml:space="preserve">nternational </w:t>
      </w:r>
      <w:r w:rsidRPr="00194D41">
        <w:t>A</w:t>
      </w:r>
      <w:r>
        <w:t xml:space="preserve">ssociation for </w:t>
      </w:r>
      <w:r w:rsidRPr="00194D41">
        <w:t>R</w:t>
      </w:r>
      <w:r>
        <w:t>esearch on Cancer (IARC)</w:t>
      </w:r>
      <w:r w:rsidRPr="00194D41">
        <w:t xml:space="preserve"> Monographs </w:t>
      </w:r>
      <w:r>
        <w:t>published in 2012 evaluated the evidence on</w:t>
      </w:r>
      <w:r w:rsidRPr="00194D41">
        <w:t xml:space="preserve"> tobacco smoke and its carcinogenicity</w:t>
      </w:r>
      <w:r>
        <w:t>,</w:t>
      </w:r>
      <w:r w:rsidRPr="00194D41">
        <w:t xml:space="preserve"> conclud</w:t>
      </w:r>
      <w:r>
        <w:t>ing</w:t>
      </w:r>
      <w:r w:rsidRPr="00194D41">
        <w:t xml:space="preserve"> that there was </w:t>
      </w:r>
      <w:r>
        <w:t>‘</w:t>
      </w:r>
      <w:r w:rsidRPr="00194D41">
        <w:t>sufficient evidence</w:t>
      </w:r>
      <w:r>
        <w:t>’</w:t>
      </w:r>
      <w:r w:rsidRPr="00194D41">
        <w:t xml:space="preserve"> that tobacco smoking causes</w:t>
      </w:r>
      <w:r>
        <w:t xml:space="preserve"> numerous types of</w:t>
      </w:r>
      <w:r w:rsidRPr="00194D41">
        <w:t xml:space="preserve"> cancer in humans</w:t>
      </w:r>
      <w:r>
        <w:t>.</w:t>
      </w:r>
      <w:r>
        <w:fldChar w:fldCharType="begin"/>
      </w:r>
      <w:r w:rsidR="00A5309E">
        <w:instrText xml:space="preserve"> ADDIN ZOTERO_ITEM CSL_CITATION {"citationID":"pZbc6QJT","properties":{"formattedCitation":"(28)","plainCitation":"(28)","noteIndex":0},"citationItems":[{"id":88,"uris":["http://zotero.org/users/local/fxpU1WWH/items/ZRVWB55H"],"itemData":{"id":88,"type":"book","abstract":"Volume 100 of the IARC Monographs, A Review of Human Carcinogens, covers all agents previously classified by IARC as \"carcinogenic to humans (Group 1)\" and was developed by six separate Working Groups: Pharmaceuticals; Biological agents; Arsenic, Metals, Fibres, and Dusts; Radiation; Personal Habits and Indoor Combustions; Chemical Agents and Related Occupations.This Volume 100E covers Personal Habits and Indoor Combustions, specifically Tobacco Smoking, Second-hand Tobacco Smoke, Smokeless Tobacco, N'-Nitrosonornicotine and 4-(methylnitrosamino)-1-(3-pyridyl)-1-butanone, Betel Quid and Areca Nut, Consumption of Alcoholic Beverages, Chinese-style Salted Fish, and Indoor Emissions from Household Combustion of Coal.Because the scope of Volume 100 is so broad, its Monographs are focused on key information. Each Monograph presents a description of a carcinogenic agent and how people are exposed, critical overviews of the epidemiological studies and animal cancer bioassays, and a concise review of the agent's toxicokinetics, plausible mechanisms of carcinogenesis, and potentially susceptible populations, and life-stages. Details of the design and results of individual epidemiological studies and animal cancer bioassays are summarized in tables. Short tables that highlight key results are printed in Volume 100, and more extensive tables that include all studies appear on the Monographs programme website (http://monographs.iarc.fr).It is hoped that this volume, by compiling the knowledge accumulated through several decades of cancer research, will stimulate cancer prevention activities worldwide, and will be a valued resource for future research to identify other agents suspected of causing cancer in humans.","ISBN":"978-92-832-1322-2","publisher":"International Agency for Research on Cancer","source":"PubMed","title":"Personal Habits and Indoor Combustions","author":[{"family":"Humans","given":"IARC Working Group on the Evaluation of Carcinogenic Risks","dropping-particle":"to"}],"issued":{"date-parts":[["2012"]]}}}],"schema":"https://github.com/citation-style-language/schema/raw/master/csl-citation.json"} </w:instrText>
      </w:r>
      <w:r>
        <w:fldChar w:fldCharType="separate"/>
      </w:r>
      <w:r w:rsidR="00A5309E" w:rsidRPr="00A5309E">
        <w:rPr>
          <w:rFonts w:ascii="Aptos" w:hAnsi="Aptos"/>
        </w:rPr>
        <w:t>(28)</w:t>
      </w:r>
      <w:r>
        <w:fldChar w:fldCharType="end"/>
      </w:r>
      <w:r>
        <w:t xml:space="preserve"> Those </w:t>
      </w:r>
      <w:r w:rsidR="00366242">
        <w:t>cancers</w:t>
      </w:r>
      <w:r>
        <w:t xml:space="preserve"> with ‘sufficient evidence’ included</w:t>
      </w:r>
      <w:r w:rsidRPr="00194D41">
        <w:t>:</w:t>
      </w:r>
      <w:r>
        <w:t xml:space="preserve"> </w:t>
      </w:r>
      <w:r w:rsidRPr="00194D41">
        <w:t>lung,</w:t>
      </w:r>
      <w:r>
        <w:t xml:space="preserve"> </w:t>
      </w:r>
      <w:r w:rsidRPr="00194D41">
        <w:t>oral cavity, pharynx,</w:t>
      </w:r>
      <w:r>
        <w:t xml:space="preserve"> </w:t>
      </w:r>
      <w:r w:rsidRPr="00194D41">
        <w:t>oesophagus,</w:t>
      </w:r>
      <w:r>
        <w:t xml:space="preserve"> </w:t>
      </w:r>
      <w:r w:rsidRPr="00194D41">
        <w:t>stomach,</w:t>
      </w:r>
      <w:r>
        <w:t xml:space="preserve"> </w:t>
      </w:r>
      <w:r w:rsidRPr="00194D41">
        <w:t>colorectum,</w:t>
      </w:r>
      <w:r>
        <w:t xml:space="preserve"> </w:t>
      </w:r>
      <w:r w:rsidRPr="00194D41">
        <w:t>liver,</w:t>
      </w:r>
      <w:r>
        <w:t xml:space="preserve"> </w:t>
      </w:r>
      <w:r w:rsidRPr="00194D41">
        <w:t>pancreas,</w:t>
      </w:r>
      <w:r>
        <w:t xml:space="preserve"> </w:t>
      </w:r>
      <w:r w:rsidRPr="00194D41">
        <w:t>nasal cavity and paranasal sinuses, larynx,</w:t>
      </w:r>
      <w:r>
        <w:t xml:space="preserve"> </w:t>
      </w:r>
      <w:r w:rsidRPr="00194D41">
        <w:t>uterine cervix,</w:t>
      </w:r>
      <w:r>
        <w:t xml:space="preserve"> </w:t>
      </w:r>
      <w:r w:rsidRPr="00194D41">
        <w:t>ovary (mucinous),</w:t>
      </w:r>
      <w:r>
        <w:t xml:space="preserve"> </w:t>
      </w:r>
      <w:r w:rsidRPr="00194D41">
        <w:t>urinary bladder,</w:t>
      </w:r>
      <w:r>
        <w:t xml:space="preserve"> </w:t>
      </w:r>
      <w:r w:rsidRPr="00194D41">
        <w:t>kidney</w:t>
      </w:r>
      <w:r>
        <w:t xml:space="preserve"> and </w:t>
      </w:r>
      <w:r w:rsidRPr="00194D41">
        <w:t>bone marrow (</w:t>
      </w:r>
      <w:r>
        <w:t xml:space="preserve">acute </w:t>
      </w:r>
      <w:r w:rsidRPr="00194D41">
        <w:t>myeloid leukaemia).</w:t>
      </w:r>
      <w:r>
        <w:fldChar w:fldCharType="begin"/>
      </w:r>
      <w:r w:rsidR="00A5309E">
        <w:instrText xml:space="preserve"> ADDIN ZOTERO_ITEM CSL_CITATION {"citationID":"RoCH2Oue","properties":{"formattedCitation":"(28)","plainCitation":"(28)","noteIndex":0},"citationItems":[{"id":88,"uris":["http://zotero.org/users/local/fxpU1WWH/items/ZRVWB55H"],"itemData":{"id":88,"type":"book","abstract":"Volume 100 of the IARC Monographs, A Review of Human Carcinogens, covers all agents previously classified by IARC as \"carcinogenic to humans (Group 1)\" and was developed by six separate Working Groups: Pharmaceuticals; Biological agents; Arsenic, Metals, Fibres, and Dusts; Radiation; Personal Habits and Indoor Combustions; Chemical Agents and Related Occupations.This Volume 100E covers Personal Habits and Indoor Combustions, specifically Tobacco Smoking, Second-hand Tobacco Smoke, Smokeless Tobacco, N'-Nitrosonornicotine and 4-(methylnitrosamino)-1-(3-pyridyl)-1-butanone, Betel Quid and Areca Nut, Consumption of Alcoholic Beverages, Chinese-style Salted Fish, and Indoor Emissions from Household Combustion of Coal.Because the scope of Volume 100 is so broad, its Monographs are focused on key information. Each Monograph presents a description of a carcinogenic agent and how people are exposed, critical overviews of the epidemiological studies and animal cancer bioassays, and a concise review of the agent's toxicokinetics, plausible mechanisms of carcinogenesis, and potentially susceptible populations, and life-stages. Details of the design and results of individual epidemiological studies and animal cancer bioassays are summarized in tables. Short tables that highlight key results are printed in Volume 100, and more extensive tables that include all studies appear on the Monographs programme website (http://monographs.iarc.fr).It is hoped that this volume, by compiling the knowledge accumulated through several decades of cancer research, will stimulate cancer prevention activities worldwide, and will be a valued resource for future research to identify other agents suspected of causing cancer in humans.","ISBN":"978-92-832-1322-2","publisher":"International Agency for Research on Cancer","source":"PubMed","title":"Personal Habits and Indoor Combustions","author":[{"family":"Humans","given":"IARC Working Group on the Evaluation of Carcinogenic Risks","dropping-particle":"to"}],"issued":{"date-parts":[["2012"]]}}}],"schema":"https://github.com/citation-style-language/schema/raw/master/csl-citation.json"} </w:instrText>
      </w:r>
      <w:r>
        <w:fldChar w:fldCharType="separate"/>
      </w:r>
      <w:r w:rsidR="00A5309E" w:rsidRPr="00A5309E">
        <w:rPr>
          <w:rFonts w:ascii="Aptos" w:hAnsi="Aptos"/>
        </w:rPr>
        <w:t>(28)</w:t>
      </w:r>
      <w:r>
        <w:fldChar w:fldCharType="end"/>
      </w:r>
      <w:r w:rsidRPr="00480788">
        <w:t xml:space="preserve"> While the </w:t>
      </w:r>
      <w:r>
        <w:t xml:space="preserve">IARC </w:t>
      </w:r>
      <w:r w:rsidRPr="00480788">
        <w:t xml:space="preserve">report described </w:t>
      </w:r>
      <w:r>
        <w:t>a ‘positive association’ between tobacco-smoking and</w:t>
      </w:r>
      <w:r w:rsidRPr="00480788">
        <w:t xml:space="preserve"> breast cancer,</w:t>
      </w:r>
      <w:r>
        <w:fldChar w:fldCharType="begin"/>
      </w:r>
      <w:r w:rsidR="00A5309E">
        <w:instrText xml:space="preserve"> ADDIN ZOTERO_ITEM CSL_CITATION {"citationID":"GMSqlKlF","properties":{"formattedCitation":"(28)","plainCitation":"(28)","noteIndex":0},"citationItems":[{"id":88,"uris":["http://zotero.org/users/local/fxpU1WWH/items/ZRVWB55H"],"itemData":{"id":88,"type":"book","abstract":"Volume 100 of the IARC Monographs, A Review of Human Carcinogens, covers all agents previously classified by IARC as \"carcinogenic to humans (Group 1)\" and was developed by six separate Working Groups: Pharmaceuticals; Biological agents; Arsenic, Metals, Fibres, and Dusts; Radiation; Personal Habits and Indoor Combustions; Chemical Agents and Related Occupations.This Volume 100E covers Personal Habits and Indoor Combustions, specifically Tobacco Smoking, Second-hand Tobacco Smoke, Smokeless Tobacco, N'-Nitrosonornicotine and 4-(methylnitrosamino)-1-(3-pyridyl)-1-butanone, Betel Quid and Areca Nut, Consumption of Alcoholic Beverages, Chinese-style Salted Fish, and Indoor Emissions from Household Combustion of Coal.Because the scope of Volume 100 is so broad, its Monographs are focused on key information. Each Monograph presents a description of a carcinogenic agent and how people are exposed, critical overviews of the epidemiological studies and animal cancer bioassays, and a concise review of the agent's toxicokinetics, plausible mechanisms of carcinogenesis, and potentially susceptible populations, and life-stages. Details of the design and results of individual epidemiological studies and animal cancer bioassays are summarized in tables. Short tables that highlight key results are printed in Volume 100, and more extensive tables that include all studies appear on the Monographs programme website (http://monographs.iarc.fr).It is hoped that this volume, by compiling the knowledge accumulated through several decades of cancer research, will stimulate cancer prevention activities worldwide, and will be a valued resource for future research to identify other agents suspected of causing cancer in humans.","ISBN":"978-92-832-1322-2","publisher":"International Agency for Research on Cancer","source":"PubMed","title":"Personal Habits and Indoor Combustions","author":[{"family":"Humans","given":"IARC Working Group on the Evaluation of Carcinogenic Risks","dropping-particle":"to"}],"issued":{"date-parts":[["2012"]]}}}],"schema":"https://github.com/citation-style-language/schema/raw/master/csl-citation.json"} </w:instrText>
      </w:r>
      <w:r>
        <w:fldChar w:fldCharType="separate"/>
      </w:r>
      <w:r w:rsidR="00A5309E" w:rsidRPr="00A5309E">
        <w:rPr>
          <w:rFonts w:ascii="Aptos" w:hAnsi="Aptos"/>
        </w:rPr>
        <w:t>(28)</w:t>
      </w:r>
      <w:r>
        <w:fldChar w:fldCharType="end"/>
      </w:r>
      <w:r w:rsidRPr="00480788">
        <w:t xml:space="preserve"> </w:t>
      </w:r>
      <w:r>
        <w:t xml:space="preserve">the </w:t>
      </w:r>
      <w:r w:rsidRPr="00480788">
        <w:t>G</w:t>
      </w:r>
      <w:r>
        <w:t xml:space="preserve">lobal </w:t>
      </w:r>
      <w:r w:rsidRPr="00480788">
        <w:t>B</w:t>
      </w:r>
      <w:r>
        <w:t xml:space="preserve">urden of </w:t>
      </w:r>
      <w:r w:rsidRPr="00480788">
        <w:t>D</w:t>
      </w:r>
      <w:r>
        <w:t>isease consortium</w:t>
      </w:r>
      <w:r w:rsidRPr="00480788">
        <w:t>,</w:t>
      </w:r>
      <w:r>
        <w:fldChar w:fldCharType="begin"/>
      </w:r>
      <w:r w:rsidR="00A5309E">
        <w:instrText xml:space="preserve"> ADDIN ZOTERO_ITEM CSL_CITATION {"citationID":"rFkmNIDU","properties":{"formattedCitation":"(29,30)","plainCitation":"(29,30)","noteIndex":0},"citationItems":[{"id":10,"uris":["http://zotero.org/users/local/fxpU1WWH/items/QYWVHNRD"],"itemData":{"id":10,"type":"article-journal","container-title":"Lancet (London, England)","issue":"10292","page":"2337","source":"Google Scholar","title":"Spatial, temporal, and demographic patterns in prevalence of smoking tobacco use and attributable disease burden in 204 countries and territories, 1990–2019: a systematic analysis from the Global Burden of Disease Study 2019","title-short":"Spatial, temporal, and demographic patterns in prevalence of smoking tobacco use and attributable disease burden in 204 countries and territories, 1990–2019","volume":"397","author":[{"family":"Collaborators","given":"GBD 2019 Tobacco"}],"issued":{"date-parts":[["2021"]]}}},{"id":50,"uris":["http://zotero.org/users/local/fxpU1WWH/items/2GJPLSJ4"],"itemData":{"id":50,"type":"webpage","title":"The global burden of cancer attributable to risk factors, 2010–19: a systematic analysis for the Global Burden of Disease Study 2019 - The Lancet","URL":"https://www.thelancet.com/journals/lancet/article/PIIS0140-6736(22)01438-6/fulltext?rss=yes&amp;fbclid=IwAR2KDpBYEg-eCLbhblAnv1aLJa3t_4mcGZbrz7zdGf5_kbnc5Mzkw1T5IXc","accessed":{"date-parts":[["2025",4,30]]}}}],"schema":"https://github.com/citation-style-language/schema/raw/master/csl-citation.json"} </w:instrText>
      </w:r>
      <w:r>
        <w:fldChar w:fldCharType="separate"/>
      </w:r>
      <w:r w:rsidR="00A5309E" w:rsidRPr="00A5309E">
        <w:rPr>
          <w:rFonts w:ascii="Aptos" w:hAnsi="Aptos"/>
        </w:rPr>
        <w:t>(29,30)</w:t>
      </w:r>
      <w:r>
        <w:fldChar w:fldCharType="end"/>
      </w:r>
      <w:r w:rsidRPr="00480788">
        <w:t xml:space="preserve"> W</w:t>
      </w:r>
      <w:r>
        <w:t xml:space="preserve">orld </w:t>
      </w:r>
      <w:r w:rsidRPr="00480788">
        <w:t>C</w:t>
      </w:r>
      <w:r>
        <w:t xml:space="preserve">ancer </w:t>
      </w:r>
      <w:r w:rsidRPr="00480788">
        <w:t>R</w:t>
      </w:r>
      <w:r>
        <w:t xml:space="preserve">esearch </w:t>
      </w:r>
      <w:r w:rsidRPr="00480788">
        <w:t>F</w:t>
      </w:r>
      <w:r>
        <w:t>und,</w:t>
      </w:r>
      <w:r>
        <w:fldChar w:fldCharType="begin"/>
      </w:r>
      <w:r w:rsidR="00A5309E">
        <w:instrText xml:space="preserve"> ADDIN ZOTERO_ITEM CSL_CITATION {"citationID":"Vt3URvym","properties":{"formattedCitation":"(31)","plainCitation":"(31)","noteIndex":0},"citationItems":[{"id":52,"uris":["http://zotero.org/users/local/fxpU1WWH/items/FHNWJQ7W"],"itemData":{"id":52,"type":"webpage","abstract":"Smoking is the leading cause of cancer. Tobacco kills more than 8m people each year – which could be prevented if people didn't use tobacco","container-title":"World Cancer Research Fund","language":"en-GB","title":"Smoking and cancer","URL":"https://www.wcrf.org/preventing-cancer/topics/smoking-and-cancer/","accessed":{"date-parts":[["2025",4,30]]}}}],"schema":"https://github.com/citation-style-language/schema/raw/master/csl-citation.json"} </w:instrText>
      </w:r>
      <w:r>
        <w:fldChar w:fldCharType="separate"/>
      </w:r>
      <w:r w:rsidR="00A5309E" w:rsidRPr="00A5309E">
        <w:rPr>
          <w:rFonts w:ascii="Aptos" w:hAnsi="Aptos"/>
        </w:rPr>
        <w:t>(31)</w:t>
      </w:r>
      <w:r>
        <w:fldChar w:fldCharType="end"/>
      </w:r>
      <w:r w:rsidRPr="00480788">
        <w:t xml:space="preserve"> and C</w:t>
      </w:r>
      <w:r>
        <w:t xml:space="preserve">ancer </w:t>
      </w:r>
      <w:r w:rsidRPr="00480788">
        <w:t>R</w:t>
      </w:r>
      <w:r>
        <w:t xml:space="preserve">esearch </w:t>
      </w:r>
      <w:r w:rsidRPr="00480788">
        <w:t>UK</w:t>
      </w:r>
      <w:r>
        <w:fldChar w:fldCharType="begin"/>
      </w:r>
      <w:r w:rsidR="00A5309E">
        <w:instrText xml:space="preserve"> ADDIN ZOTERO_ITEM CSL_CITATION {"citationID":"1Z51niDq","properties":{"formattedCitation":"(32)","plainCitation":"(32)","noteIndex":0},"citationItems":[{"id":54,"uris":["http://zotero.org/users/local/fxpU1WWH/items/BHKCKZLE"],"itemData":{"id":54,"type":"webpage","abstract":"We've included breast cancer in its analysis of smoking and cancer risk for the first time. Here, we take a closer look at what that means.","container-title":"Cancer Research UK - Cancer News","language":"en-GB","title":"Breast cancer and smoking: What is the link?","title-short":"Breast cancer and smoking","URL":"https://news.cancerresearchuk.org/2024/07/09/breast-cancer-smoking-link/","author":[{"family":"Betts","given":"Karis"}],"accessed":{"date-parts":[["2025",4,30]]},"issued":{"date-parts":[["2024",7,9]]}}}],"schema":"https://github.com/citation-style-language/schema/raw/master/csl-citation.json"} </w:instrText>
      </w:r>
      <w:r>
        <w:fldChar w:fldCharType="separate"/>
      </w:r>
      <w:r w:rsidR="00A5309E" w:rsidRPr="00A5309E">
        <w:rPr>
          <w:rFonts w:ascii="Aptos" w:hAnsi="Aptos"/>
        </w:rPr>
        <w:t>(32)</w:t>
      </w:r>
      <w:r>
        <w:fldChar w:fldCharType="end"/>
      </w:r>
      <w:r w:rsidRPr="00480788">
        <w:t xml:space="preserve"> have </w:t>
      </w:r>
      <w:r>
        <w:t>since included</w:t>
      </w:r>
      <w:r w:rsidRPr="00480788">
        <w:t xml:space="preserve"> breast cancer </w:t>
      </w:r>
      <w:r>
        <w:t>when examining</w:t>
      </w:r>
      <w:r w:rsidRPr="00480788">
        <w:t xml:space="preserve"> cancers considered ‘tobacco</w:t>
      </w:r>
      <w:r w:rsidR="00B20C1E">
        <w:t>-</w:t>
      </w:r>
      <w:r w:rsidRPr="00480788">
        <w:t>related’.</w:t>
      </w:r>
    </w:p>
    <w:p w14:paraId="2C33C0C2" w14:textId="77777777" w:rsidR="003E2932" w:rsidRDefault="003E2932" w:rsidP="00A64503">
      <w:pPr>
        <w:spacing w:after="0" w:line="240" w:lineRule="auto"/>
      </w:pPr>
    </w:p>
    <w:p w14:paraId="5876A26D" w14:textId="77777777" w:rsidR="003E2932" w:rsidRPr="00FD74A4" w:rsidRDefault="003E2932" w:rsidP="00A64503">
      <w:pPr>
        <w:pStyle w:val="Heading2"/>
        <w:spacing w:before="0" w:after="0" w:line="240" w:lineRule="auto"/>
      </w:pPr>
      <w:bookmarkStart w:id="21" w:name="_Toc197557022"/>
      <w:bookmarkStart w:id="22" w:name="_Toc201512416"/>
      <w:r w:rsidRPr="00FD74A4">
        <w:t>Tobacco-smoking and cancer in Ireland</w:t>
      </w:r>
      <w:bookmarkEnd w:id="21"/>
      <w:bookmarkEnd w:id="22"/>
    </w:p>
    <w:p w14:paraId="5A42022B" w14:textId="08F4BD2F" w:rsidR="003E2932" w:rsidRDefault="003E2932" w:rsidP="00A64503">
      <w:pPr>
        <w:autoSpaceDE w:val="0"/>
        <w:autoSpaceDN w:val="0"/>
        <w:adjustRightInd w:val="0"/>
        <w:spacing w:after="0" w:line="240" w:lineRule="auto"/>
        <w:rPr>
          <w:rFonts w:ascii="Source Sans Pro" w:eastAsia="Times New Roman" w:hAnsi="Source Sans Pro" w:cs="Times New Roman"/>
          <w:color w:val="2E2E2E"/>
          <w:kern w:val="0"/>
          <w:lang w:eastAsia="en-GB"/>
          <w14:ligatures w14:val="none"/>
        </w:rPr>
      </w:pPr>
      <w:r>
        <w:t xml:space="preserve">A 2020 </w:t>
      </w:r>
      <w:r w:rsidRPr="00965DC9">
        <w:t xml:space="preserve">NCRI </w:t>
      </w:r>
      <w:r>
        <w:t>report estimated that in Ireland the population attributable fraction (PAF) of cancer attributable to smoking was 13%.</w:t>
      </w:r>
      <w:r>
        <w:fldChar w:fldCharType="begin"/>
      </w:r>
      <w:r w:rsidR="00A5309E">
        <w:instrText xml:space="preserve"> ADDIN ZOTERO_ITEM CSL_CITATION {"citationID":"wbmU7bmU","properties":{"formattedCitation":"(33)","plainCitation":"(33)","noteIndex":0},"citationItems":[{"id":20,"uris":["http://zotero.org/users/local/fxpU1WWH/items/CGIH3JT2"],"itemData":{"id":20,"type":"webpage","title":"Modifiable risk factors and cancer in Ireland | National Cancer Registry Ireland","URL":"https://www.ncri.ie/publications/statistical-reports/modifiable-risk-factors-and-cancer-ireland","accessed":{"date-parts":[["2025",4,30]]}}}],"schema":"https://github.com/citation-style-language/schema/raw/master/csl-citation.json"} </w:instrText>
      </w:r>
      <w:r>
        <w:fldChar w:fldCharType="separate"/>
      </w:r>
      <w:r w:rsidR="00A5309E" w:rsidRPr="00A5309E">
        <w:rPr>
          <w:rFonts w:ascii="Aptos" w:hAnsi="Aptos"/>
        </w:rPr>
        <w:t>(33)</w:t>
      </w:r>
      <w:r>
        <w:fldChar w:fldCharType="end"/>
      </w:r>
      <w:r>
        <w:t xml:space="preserve"> Lung cancer was cited as having the </w:t>
      </w:r>
      <w:r w:rsidRPr="00192ECA">
        <w:t>highest PAF at 76%,</w:t>
      </w:r>
      <w:r>
        <w:t xml:space="preserve"> although this estimate was considered conservative.</w:t>
      </w:r>
      <w:r w:rsidRPr="00916D6D">
        <w:rPr>
          <w:rFonts w:ascii="OTNEJMQuadraat" w:eastAsia="OTNEJMQuadraat" w:cs="OTNEJMQuadraat"/>
          <w:kern w:val="0"/>
          <w:sz w:val="20"/>
          <w:szCs w:val="20"/>
        </w:rPr>
        <w:t xml:space="preserve"> </w:t>
      </w:r>
      <w:r w:rsidRPr="00CC14FB">
        <w:t xml:space="preserve">Factors other than tobacco </w:t>
      </w:r>
      <w:r>
        <w:t>smoking are estimated to</w:t>
      </w:r>
      <w:r w:rsidRPr="00CC14FB">
        <w:t xml:space="preserve"> account</w:t>
      </w:r>
      <w:r>
        <w:t xml:space="preserve"> </w:t>
      </w:r>
      <w:r w:rsidRPr="00CC14FB">
        <w:t xml:space="preserve">for </w:t>
      </w:r>
      <w:r>
        <w:t>less than</w:t>
      </w:r>
      <w:r w:rsidRPr="00CC14FB">
        <w:t>15% of cases of lung cancer in women and 10% in men</w:t>
      </w:r>
      <w:r>
        <w:t xml:space="preserve"> in the US. Lung cancer is among the top four most common cancers in Ireland and is the cancer with the highest mortality in both men and women.</w:t>
      </w:r>
      <w:r>
        <w:fldChar w:fldCharType="begin"/>
      </w:r>
      <w:r w:rsidR="00A5309E">
        <w:instrText xml:space="preserve"> ADDIN ZOTERO_ITEM CSL_CITATION {"citationID":"E3bT89hC","properties":{"formattedCitation":"(34)","plainCitation":"(34)","noteIndex":0},"citationItems":[{"id":89,"uris":["http://zotero.org/users/local/fxpU1WWH/items/LAZPWCT3"],"itemData":{"id":89,"type":"webpage","title":"Annual report | National Cancer Registry Ireland","URL":"https://www.ncri.ie/tags/annual-report","accessed":{"date-parts":[["2025",4,30]]}}}],"schema":"https://github.com/citation-style-language/schema/raw/master/csl-citation.json"} </w:instrText>
      </w:r>
      <w:r>
        <w:fldChar w:fldCharType="separate"/>
      </w:r>
      <w:r w:rsidR="00A5309E" w:rsidRPr="00A5309E">
        <w:rPr>
          <w:rFonts w:ascii="Aptos" w:hAnsi="Aptos"/>
        </w:rPr>
        <w:t>(34)</w:t>
      </w:r>
      <w:r>
        <w:fldChar w:fldCharType="end"/>
      </w:r>
      <w:r>
        <w:t xml:space="preserve"> The 2020 NCRI report emphasised the </w:t>
      </w:r>
      <w:r w:rsidRPr="00864557">
        <w:t xml:space="preserve">importance of regularly reporting on </w:t>
      </w:r>
      <w:r>
        <w:t>the</w:t>
      </w:r>
      <w:r w:rsidRPr="00864557">
        <w:t xml:space="preserve"> impact of potentially modifiable risk factors for cancer including tobacco-smoking.</w:t>
      </w:r>
      <w:r>
        <w:fldChar w:fldCharType="begin"/>
      </w:r>
      <w:r w:rsidR="00A5309E">
        <w:instrText xml:space="preserve"> ADDIN ZOTERO_ITEM CSL_CITATION {"citationID":"n34CcAin","properties":{"formattedCitation":"(33)","plainCitation":"(33)","noteIndex":0},"citationItems":[{"id":20,"uris":["http://zotero.org/users/local/fxpU1WWH/items/CGIH3JT2"],"itemData":{"id":20,"type":"webpage","title":"Modifiable risk factors and cancer in Ireland | National Cancer Registry Ireland","URL":"https://www.ncri.ie/publications/statistical-reports/modifiable-risk-factors-and-cancer-ireland","accessed":{"date-parts":[["2025",4,30]]}}}],"schema":"https://github.com/citation-style-language/schema/raw/master/csl-citation.json"} </w:instrText>
      </w:r>
      <w:r>
        <w:fldChar w:fldCharType="separate"/>
      </w:r>
      <w:r w:rsidR="00A5309E" w:rsidRPr="00A5309E">
        <w:rPr>
          <w:rFonts w:ascii="Aptos" w:hAnsi="Aptos"/>
        </w:rPr>
        <w:t>(33)</w:t>
      </w:r>
      <w:r>
        <w:fldChar w:fldCharType="end"/>
      </w:r>
    </w:p>
    <w:p w14:paraId="315A0BE8" w14:textId="77777777" w:rsidR="003E2932" w:rsidRDefault="003E2932" w:rsidP="00A64503">
      <w:pPr>
        <w:autoSpaceDE w:val="0"/>
        <w:autoSpaceDN w:val="0"/>
        <w:adjustRightInd w:val="0"/>
        <w:spacing w:after="0" w:line="240" w:lineRule="auto"/>
        <w:rPr>
          <w:rFonts w:ascii="Source Sans Pro" w:eastAsia="Times New Roman" w:hAnsi="Source Sans Pro" w:cs="Times New Roman"/>
          <w:color w:val="2E2E2E"/>
          <w:kern w:val="0"/>
          <w:lang w:eastAsia="en-GB"/>
          <w14:ligatures w14:val="none"/>
        </w:rPr>
      </w:pPr>
    </w:p>
    <w:p w14:paraId="6687866A" w14:textId="3BCEBC57" w:rsidR="003E2932" w:rsidRPr="002749E1" w:rsidRDefault="003E2932" w:rsidP="00A64503">
      <w:pPr>
        <w:spacing w:after="0" w:line="240" w:lineRule="auto"/>
      </w:pPr>
      <w:r>
        <w:t>The National Cancer Control Programme (NCCP) National Survey on Cancer Awareness and Attitudes 2022 reported high levels of awareness of the risk of cancer associated with tobacco smoking among the Irish public.</w:t>
      </w:r>
      <w:r>
        <w:fldChar w:fldCharType="begin"/>
      </w:r>
      <w:r w:rsidR="00A5309E">
        <w:instrText xml:space="preserve"> ADDIN ZOTERO_ITEM CSL_CITATION {"citationID":"Gt8wSdFV","properties":{"formattedCitation":"(35)","plainCitation":"(35)","noteIndex":0},"citationItems":[{"id":77,"uris":["http://zotero.org/users/local/fxpU1WWH/items/5MJ6R65R"],"itemData":{"id":77,"type":"report","title":"National Survey on Cancer Awareness and Attitudes","title-short":"National Cancer Control Programme","URL":"https://www.hse.ie/eng/services/list/5/cancer/prevention/nccp-national-survey-on-cancer-awareness-and-attitudes-report.pdf","author":[{"literal":"National Cancer Control Programme"}],"accessed":{"date-parts":[["2025",4,30]]},"issued":{"date-parts":[["2022"]]}}}],"schema":"https://github.com/citation-style-language/schema/raw/master/csl-citation.json"} </w:instrText>
      </w:r>
      <w:r>
        <w:fldChar w:fldCharType="separate"/>
      </w:r>
      <w:r w:rsidR="00A5309E" w:rsidRPr="00A5309E">
        <w:rPr>
          <w:rFonts w:ascii="Aptos" w:hAnsi="Aptos"/>
        </w:rPr>
        <w:t>(35)</w:t>
      </w:r>
      <w:r>
        <w:fldChar w:fldCharType="end"/>
      </w:r>
      <w:r>
        <w:t xml:space="preserve"> For example, </w:t>
      </w:r>
      <w:r w:rsidRPr="00581976">
        <w:t xml:space="preserve">98% agreed that tobacco smoking increases </w:t>
      </w:r>
      <w:r>
        <w:t xml:space="preserve">the </w:t>
      </w:r>
      <w:r w:rsidRPr="00581976">
        <w:t>risk of cancer</w:t>
      </w:r>
      <w:r>
        <w:t xml:space="preserve">, and a further </w:t>
      </w:r>
      <w:r w:rsidRPr="00581976">
        <w:t>89% agreed that</w:t>
      </w:r>
      <w:r>
        <w:t xml:space="preserve"> exposure to</w:t>
      </w:r>
      <w:r w:rsidRPr="00581976">
        <w:t xml:space="preserve"> </w:t>
      </w:r>
      <w:r>
        <w:t>‘second hand smoke’</w:t>
      </w:r>
      <w:r w:rsidRPr="00581976">
        <w:t xml:space="preserve"> can cause cancer. </w:t>
      </w:r>
      <w:r>
        <w:t>There was n</w:t>
      </w:r>
      <w:r w:rsidRPr="00581976">
        <w:t xml:space="preserve">o difference between smokers and non-smokers in </w:t>
      </w:r>
      <w:r>
        <w:t>levels of awareness.</w:t>
      </w:r>
      <w:r>
        <w:fldChar w:fldCharType="begin"/>
      </w:r>
      <w:r w:rsidR="00A5309E">
        <w:instrText xml:space="preserve"> ADDIN ZOTERO_ITEM CSL_CITATION {"citationID":"IGp3XUwp","properties":{"formattedCitation":"(35)","plainCitation":"(35)","noteIndex":0},"citationItems":[{"id":77,"uris":["http://zotero.org/users/local/fxpU1WWH/items/5MJ6R65R"],"itemData":{"id":77,"type":"report","title":"National Survey on Cancer Awareness and Attitudes","title-short":"National Cancer Control Programme","URL":"https://www.hse.ie/eng/services/list/5/cancer/prevention/nccp-national-survey-on-cancer-awareness-and-attitudes-report.pdf","author":[{"literal":"National Cancer Control Programme"}],"accessed":{"date-parts":[["2025",4,30]]},"issued":{"date-parts":[["2022"]]}}}],"schema":"https://github.com/citation-style-language/schema/raw/master/csl-citation.json"} </w:instrText>
      </w:r>
      <w:r>
        <w:fldChar w:fldCharType="separate"/>
      </w:r>
      <w:r w:rsidR="00A5309E" w:rsidRPr="00A5309E">
        <w:rPr>
          <w:rFonts w:ascii="Aptos" w:hAnsi="Aptos"/>
        </w:rPr>
        <w:t>(35)</w:t>
      </w:r>
      <w:r>
        <w:fldChar w:fldCharType="end"/>
      </w:r>
      <w:r>
        <w:t xml:space="preserve"> These findings, along with </w:t>
      </w:r>
      <w:r w:rsidR="00072F22">
        <w:t xml:space="preserve">the </w:t>
      </w:r>
      <w:r>
        <w:t>current prevalence of smoking, emphasise that individual</w:t>
      </w:r>
      <w:r w:rsidR="00072F22">
        <w:t>-</w:t>
      </w:r>
      <w:r>
        <w:t>level awareness of the risks associated with tobacco-smoking may not be sufficient to achieve behavioural change and reduce smoking prevalence.</w:t>
      </w:r>
      <w:r>
        <w:fldChar w:fldCharType="begin"/>
      </w:r>
      <w:r w:rsidR="00A5309E">
        <w:instrText xml:space="preserve"> ADDIN ZOTERO_ITEM CSL_CITATION {"citationID":"QF7hFJhj","properties":{"formattedCitation":"(16,36)","plainCitation":"(16,36)","noteIndex":0},"citationItems":[{"id":87,"uris":["http://zotero.org/users/local/fxpU1WWH/items/VR2RABJ9"],"itemData":{"id":87,"type":"article-journal","abstract":"AbstractAbsolute prevalence of tobacco smoking has fallen in recent decades but inequalities by socioeconomic position (SEP) persist. Adolescence is a critical period for smoking initiation and habits formed during this period likely continue into adulthood. Explanations for inequalities in adolescent smoking have tended to focus on individualistic theories based on differentials in knowledge and psychology. These have been criticised for their blindness to processes of social stratification and social context that influence smoking behaviours. Based on previous social theories, we put forward, and test empirically, two potential structural explanations for inequalities in smoking, using nationally representative longitudinal cohort data on 6039 Irish young people aged 9–18 years. Descriptive analyses confirmed the adverse SEP gradient in smoking prevalence as well as SEP gradients in variables representing individual</w:instrText>
      </w:r>
      <w:r w:rsidR="00A5309E">
        <w:rPr>
          <w:rFonts w:ascii="Cambria Math" w:hAnsi="Cambria Math" w:cs="Cambria Math"/>
        </w:rPr>
        <w:instrText>‐</w:instrText>
      </w:r>
      <w:r w:rsidR="00A5309E">
        <w:instrText>level characteristics and structural</w:instrText>
      </w:r>
      <w:r w:rsidR="00A5309E">
        <w:rPr>
          <w:rFonts w:ascii="Cambria Math" w:hAnsi="Cambria Math" w:cs="Cambria Math"/>
        </w:rPr>
        <w:instrText>‐</w:instrText>
      </w:r>
      <w:r w:rsidR="00A5309E">
        <w:instrText>level explanations. Despite lower self</w:instrText>
      </w:r>
      <w:r w:rsidR="00A5309E">
        <w:rPr>
          <w:rFonts w:ascii="Cambria Math" w:hAnsi="Cambria Math" w:cs="Cambria Math"/>
        </w:rPr>
        <w:instrText>‐</w:instrText>
      </w:r>
      <w:r w:rsidR="00A5309E">
        <w:instrText>esteem being associated with a higher likelihood of smoking, there was no significant indirect pathway between SEP and smoking via self</w:instrText>
      </w:r>
      <w:r w:rsidR="00A5309E">
        <w:rPr>
          <w:rFonts w:ascii="Cambria Math" w:hAnsi="Cambria Math" w:cs="Cambria Math"/>
        </w:rPr>
        <w:instrText>‐</w:instrText>
      </w:r>
      <w:r w:rsidR="00A5309E">
        <w:instrText>esteem. Path analyses found that differentials in exposure to parental smoking and levels of oppositional values mediate the relationship between SEP and smoking. Our results favour structural and group</w:instrText>
      </w:r>
      <w:r w:rsidR="00A5309E">
        <w:rPr>
          <w:rFonts w:ascii="Cambria Math" w:hAnsi="Cambria Math" w:cs="Cambria Math"/>
        </w:rPr>
        <w:instrText>‐</w:instrText>
      </w:r>
      <w:r w:rsidR="00A5309E">
        <w:instrText xml:space="preserve">based explanations for inequalities, that is, the </w:instrText>
      </w:r>
      <w:r w:rsidR="00A5309E">
        <w:rPr>
          <w:rFonts w:ascii="Aptos" w:hAnsi="Aptos" w:cs="Aptos"/>
        </w:rPr>
        <w:instrText>‘</w:instrText>
      </w:r>
      <w:r w:rsidR="00A5309E">
        <w:instrText>smoking exposure</w:instrText>
      </w:r>
      <w:r w:rsidR="00A5309E">
        <w:rPr>
          <w:rFonts w:ascii="Aptos" w:hAnsi="Aptos" w:cs="Aptos"/>
        </w:rPr>
        <w:instrText>’</w:instrText>
      </w:r>
      <w:r w:rsidR="00A5309E">
        <w:instrText xml:space="preserve"> and </w:instrText>
      </w:r>
      <w:r w:rsidR="00A5309E">
        <w:rPr>
          <w:rFonts w:ascii="Aptos" w:hAnsi="Aptos" w:cs="Aptos"/>
        </w:rPr>
        <w:instrText>‘</w:instrText>
      </w:r>
      <w:r w:rsidR="00A5309E">
        <w:instrText>social resistance</w:instrText>
      </w:r>
      <w:r w:rsidR="00A5309E">
        <w:rPr>
          <w:rFonts w:ascii="Aptos" w:hAnsi="Aptos" w:cs="Aptos"/>
        </w:rPr>
        <w:instrText>’</w:instrText>
      </w:r>
      <w:r w:rsidR="00A5309E">
        <w:instrText xml:space="preserve"> models, over explanations based on individual psychology.","container-title":"Sociology of Health &amp; Illness","DOI":"10.1111/1467-9566.13858","ISSN":"0141-9889, 1467-9566","issue":"2","journalAbbreviation":"Sociology Health &amp;amp; Illness","language":"en","license":"http://creativecommons.org/licenses/by/4.0/","note":"publisher: Wiley","source":"Crossref","title":"Bringing the group back in: Social class and resistance in adolescent smoking","title-short":"Bringing the group back in","URL":"https://onlinelibrary.wiley.com/doi/10.1111/1467-9566.13858","volume":"47","author":[{"family":"McEvoy","given":"Olivia"},{"family":"Layte","given":"Richard"}],"accessed":{"date-parts":[["2025",4,30]]},"issued":{"date-parts":[["2025",2]]}}},{"id":91,"uris":["http://zotero.org/users/local/fxpU1WWH/items/2TTVLG9U"],"itemData":{"id":91,"type":"article-journal","abstract":"Rates of smoking have decreased dramatically in most Northern European countries over the last 50 years or so, but manual working class groups are substantially more likely to smoke daily than are the professional and managerial classes. This article examines three hypotheses about the processes producing these inequalities. The first argues that social class inequalities reflect differences across education groups in knowledge of the risks of smoking. The second suggests that the living conditions of lower social class groups leads to the development of lower self-efficacy and a lower propensity to quit smoking. The third states that smoking has a functional use among poorer individuals. This article draws upon data from the Republic of Ireland to assess these hypotheses. Our analysis provides some support for the first hypothesis in that education independently reduces the odds of a manual class person smoking relative to a non-manual by 12 per cent. The second hypothesis is not supported by the data. The third hypothesis gains the most support: measures of disadvantage and deprivation account for almost one-third of the class differential in smoking. The results suggest that smoking cessation policy should reflect the importance of social and economic context in quitting behaviour.","container-title":"European Sociological Review","DOI":"10.1093/esr/jcn022","ISSN":"0266-7215","issue":"4","journalAbbreviation":"European Sociological Review","page":"399-410","source":"Silverchair","title":"Explaining Social Class Inequalities in Smoking: The Role of Education, Self-Efficacy, and Deprivation","title-short":"Explaining Social Class Inequalities in Smoking","volume":"25","author":[{"family":"Layte","given":"Richard"},{"family":"Whelan","given":"Christopher T."}],"issued":{"date-parts":[["2009",8,1]]}}}],"schema":"https://github.com/citation-style-language/schema/raw/master/csl-citation.json"} </w:instrText>
      </w:r>
      <w:r>
        <w:fldChar w:fldCharType="separate"/>
      </w:r>
      <w:r w:rsidR="00A5309E" w:rsidRPr="00A5309E">
        <w:rPr>
          <w:rFonts w:ascii="Aptos" w:hAnsi="Aptos"/>
        </w:rPr>
        <w:t>(16,36)</w:t>
      </w:r>
      <w:r>
        <w:fldChar w:fldCharType="end"/>
      </w:r>
    </w:p>
    <w:p w14:paraId="783C871E" w14:textId="77777777" w:rsidR="003E2932" w:rsidRDefault="003E2932" w:rsidP="00A64503">
      <w:pPr>
        <w:spacing w:after="0" w:line="240" w:lineRule="auto"/>
        <w:rPr>
          <w:rFonts w:ascii="Calibri" w:hAnsi="Calibri" w:cs="Calibri"/>
          <w:i/>
          <w:iCs/>
        </w:rPr>
      </w:pPr>
    </w:p>
    <w:p w14:paraId="45187858" w14:textId="77777777" w:rsidR="003E2932" w:rsidRPr="00C964A2" w:rsidRDefault="003E2932" w:rsidP="00A64503">
      <w:pPr>
        <w:pStyle w:val="Heading2"/>
        <w:spacing w:before="0" w:after="0" w:line="240" w:lineRule="auto"/>
      </w:pPr>
      <w:bookmarkStart w:id="23" w:name="_Toc190159243"/>
      <w:bookmarkStart w:id="24" w:name="_Toc194488674"/>
      <w:bookmarkStart w:id="25" w:name="_Toc197557023"/>
      <w:bookmarkStart w:id="26" w:name="_Toc201512417"/>
      <w:r>
        <w:t>Policy context</w:t>
      </w:r>
      <w:bookmarkEnd w:id="23"/>
      <w:bookmarkEnd w:id="24"/>
      <w:bookmarkEnd w:id="25"/>
      <w:bookmarkEnd w:id="26"/>
    </w:p>
    <w:p w14:paraId="56CD97EB" w14:textId="00AC6905" w:rsidR="003E2932" w:rsidRDefault="003E2932" w:rsidP="00A64503">
      <w:pPr>
        <w:spacing w:after="0" w:line="240" w:lineRule="auto"/>
      </w:pPr>
      <w:bookmarkStart w:id="27" w:name="_Toc194488675"/>
      <w:r>
        <w:t>T</w:t>
      </w:r>
      <w:r w:rsidRPr="00650A51">
        <w:t>he most effective strategy to reduce tobacco-related cancer burden is the</w:t>
      </w:r>
      <w:r>
        <w:t xml:space="preserve"> </w:t>
      </w:r>
      <w:r w:rsidRPr="00650A51">
        <w:t>implementation of comprehensive tobacco control policies.</w:t>
      </w:r>
      <w:bookmarkEnd w:id="27"/>
      <w:r>
        <w:fldChar w:fldCharType="begin"/>
      </w:r>
      <w:r w:rsidR="00A5309E">
        <w:instrText xml:space="preserve"> ADDIN ZOTERO_ITEM CSL_CITATION {"citationID":"tmiWLHtQ","properties":{"formattedCitation":"(37)","plainCitation":"(37)","noteIndex":0},"citationItems":[{"id":12,"uris":["http://zotero.org/users/local/fxpU1WWH/items/HHHQU486"],"itemData":{"id":12,"type":"article-journal","container-title":"The Lancet Regional Health–Europe","note":"publisher: Elsevier","source":"Google Scholar","title":"Impact of tobacco control policies implementation on future lung cancer incidence in Europe: an international, population-based modeling study","title-short":"Impact of tobacco control policies implementation on future lung cancer incidence in Europe","URL":"https://www.thelancet.com/journals/lanepe/article/PIIS2666-7762(21)00051-X/fulltext","volume":"4","author":[{"family":"Gredner","given":"Thomas"},{"family":"Mons","given":"Ute"},{"family":"Niedermaier","given":"Tobias"},{"family":"Brenner","given":"Hermann"},{"family":"Soerjomataram","given":"Isabelle"}],"accessed":{"date-parts":[["2025",4,30]]},"issued":{"date-parts":[["2021"]]}}}],"schema":"https://github.com/citation-style-language/schema/raw/master/csl-citation.json"} </w:instrText>
      </w:r>
      <w:r>
        <w:fldChar w:fldCharType="separate"/>
      </w:r>
      <w:r w:rsidR="00A5309E" w:rsidRPr="00A5309E">
        <w:rPr>
          <w:rFonts w:ascii="Aptos" w:hAnsi="Aptos"/>
        </w:rPr>
        <w:t>(37)</w:t>
      </w:r>
      <w:r>
        <w:fldChar w:fldCharType="end"/>
      </w:r>
      <w:r>
        <w:rPr>
          <w:vertAlign w:val="superscript"/>
        </w:rPr>
        <w:t xml:space="preserve"> </w:t>
      </w:r>
      <w:r>
        <w:t xml:space="preserve">Reducing smoking prevalence can have a direct impact on cancer incidence. </w:t>
      </w:r>
      <w:r w:rsidR="00FD0E7D" w:rsidRPr="004A6DF8">
        <w:t xml:space="preserve">There </w:t>
      </w:r>
      <w:r w:rsidR="00FD0E7D">
        <w:t>is</w:t>
      </w:r>
      <w:r w:rsidR="00737C53">
        <w:t xml:space="preserve"> </w:t>
      </w:r>
      <w:r w:rsidR="00042355">
        <w:t>most often a</w:t>
      </w:r>
      <w:r w:rsidR="00FD0E7D" w:rsidRPr="004A6DF8">
        <w:t xml:space="preserve"> </w:t>
      </w:r>
      <w:r w:rsidR="001013C4" w:rsidRPr="00CA39BE">
        <w:t xml:space="preserve">latency </w:t>
      </w:r>
      <w:r w:rsidR="00042355">
        <w:t>period of decades</w:t>
      </w:r>
      <w:r w:rsidR="00FD0E7D">
        <w:t xml:space="preserve"> </w:t>
      </w:r>
      <w:r w:rsidR="00042355">
        <w:t>between</w:t>
      </w:r>
      <w:r w:rsidR="001013C4" w:rsidRPr="00CA39BE">
        <w:t xml:space="preserve"> tobacco </w:t>
      </w:r>
      <w:r w:rsidR="00737C53">
        <w:t xml:space="preserve">smoking </w:t>
      </w:r>
      <w:r w:rsidR="001013C4" w:rsidRPr="00CA39BE">
        <w:t>and cancer</w:t>
      </w:r>
      <w:r w:rsidR="00FD0E7D" w:rsidRPr="004A6DF8">
        <w:t>,</w:t>
      </w:r>
      <w:r w:rsidR="001013C4" w:rsidRPr="00CA39BE">
        <w:t xml:space="preserve"> </w:t>
      </w:r>
      <w:r w:rsidR="00FD0E7D" w:rsidRPr="004A6DF8">
        <w:t>and thus a l</w:t>
      </w:r>
      <w:r w:rsidR="001013C4" w:rsidRPr="00CA39BE">
        <w:t xml:space="preserve">ag between changes in smoking prevalence and changes in </w:t>
      </w:r>
      <w:r w:rsidR="00FD0E7D" w:rsidRPr="004A6DF8">
        <w:t xml:space="preserve">tobacco-related </w:t>
      </w:r>
      <w:r w:rsidR="001013C4" w:rsidRPr="00CA39BE">
        <w:t>cancer incidence and mortality</w:t>
      </w:r>
      <w:r w:rsidR="00FD0E7D" w:rsidRPr="004A6DF8">
        <w:t>.</w:t>
      </w:r>
      <w:r w:rsidR="00042355">
        <w:fldChar w:fldCharType="begin"/>
      </w:r>
      <w:r w:rsidR="00A5309E">
        <w:instrText xml:space="preserve"> ADDIN ZOTERO_ITEM CSL_CITATION {"citationID":"ahc0vej9p1","properties":{"formattedCitation":"(38\\uc0\\u8211{}40)","plainCitation":"(38–40)","noteIndex":0},"citationItems":[{"id":278,"uris":["http://zotero.org/users/local/fxpU1WWH/items/EIE29BYD"],"itemData":{"id":278,"type":"article-journal","abstract":"Human papillomavirus (HPV) infection and tobacco smoking are well-known risk factors for head and neck cancers (HNC). Although an effect modification between oral HPV infection and tobacco smoking may exist, evidence is lacking on how they interact temporally. We investigated the latency and life course effects of tobacco smoking on risk of HNC among HPV-positive (HPV+ve) and negative (HPV-ve) individuals. We used data from 631 ever-smoker participants of a hospital-based case–control study conducted in four major hospitals in Montréal, Canada. Cases (n = 320), incident, histologically confirmed, primary squamous cell carcinomas, were frequency-matched to controls (n = 311) by age and sex. Sociodemographic and behavioral factors (e.g., tobacco and alcohol use and sexual history) were collected using a structured interview applying a life grid technique. Oral exfoliated cells were used for HPV DNA detection and genotyping. Latency effects were estimated flexibly using a Bayesian relevant exposure model and further extended with a life course approach. Retrospective smoking trajectories for HPV+ve cases and controls had similar shapes. Exposure to tobacco smoking even 40 years before diagnosis was associated with an increased HNC risk among both HPV+ve and HPV-ve participants. The effect of smoking before the start of sexual activity compared to afterwards was higher among HPV+ve individuals. This pattern of association was less profound among HPV-ve participants. Temporal interactions may exists between oral HPV infection and life course smoking trajectories in relation to HNC risk.","container-title":"International Journal of Cancer","DOI":"10.1002/ijc.32708","ISSN":"1097-0215","issue":"1","language":"en","license":"© 2019 UICC","note":"_eprint: https://onlinelibrary.wiley.com/doi/pdf/10.1002/ijc.32708","page":"56-64","source":"Wiley Online Library","title":"Latency of tobacco smoking for head and neck cancer among HPV-positive and HPV-negative individuals","volume":"147","author":[{"family":"Madathil","given":"Sreenath"},{"family":"Rousseau","given":"Marie-Claude"},{"family":"Joseph","given":"Lawrence"},{"family":"Coutlée","given":"François"},{"family":"Schlecht","given":"Nicolas F."},{"family":"Franco","given":"Eduardo"},{"family":"Nicolau","given":"Belinda"}],"issued":{"date-parts":[["2020"]]}}},{"id":271,"uris":["http://zotero.org/users/local/fxpU1WWH/items/WFLYYXCR"],"itemData":{"id":271,"type":"article-journal","abstract":"Risk factors for developing lung cancer include tobacco smoking, exposure to second-hand smoke, radon gas, asbestos and other carcinogens, as well as air pollution and aging. Canada, Norway and Sweden are three Arctic countries that are very similar in socioeconomic status, similar in the social determinants of health and many environmental factors, including current smoking rates. However, lung cancer incidence rates differ significantly among the three countries. Since tobacco smoking is the principal risk factor for developing lung cancer, and there is a long lag time between tobacco consumption and lung cancer incidence at the population average level, a comparative analysis is conducted with historical data available publicly in the three countries to demonstrate how tobacco consumption in the past impacts lung cancer incidence decades late. The analysis shows that lung cancer incidence rates increase proportionally with the increasing tobacco consumption rates with a lag time of 20–30 years. On average, one more cigarette smoked per person per day can increase lung cancer cases by 2 to 5 per 100,000 population.","container-title":"International Journal of Environmental Research and Public Health","DOI":"10.3390/ijerph20206930","ISSN":"1661-7827","issue":"20","journalAbbreviation":"Int J Environ Res Public Health","note":"PMID: 37887668\nPMCID: PMC10606870","page":"6930","source":"PubMed Central","title":"A Comparative Analysis of Lung Cancer Incidence and Tobacco Consumption in Canada, Norway and Sweden: A Population-Based Study","title-short":"A Comparative Analysis of Lung Cancer Incidence and Tobacco Consumption in Canada, Norway and Sweden","volume":"20","author":[{"family":"Chen","given":"Jing"}],"issued":{"date-parts":[["2023",10,17]]}}},{"id":280,"uris":["http://zotero.org/users/local/fxpU1WWH/items/6TLAQJGL"],"itemData":{"id":280,"type":"article-journal","abstract":"Background\nTobacco smoking is still frequent in Italy and a major cause of cancer globally. We estimated the burden of smoking-related cancer in Italy.\nMethods\nTo calculate the population attributable fraction (PAF), we adopted a counterfactual scenario for which all individuals never smoked. The PAF of current and former smoking and second-hand smoke (SHS) was estimated for cancers associated with these habits according to the International Agency for Research on Cancer. Relative risk estimates and prevalence of exposure were derived from large-scale studies and national surveys, respectively. A 20-year latency period between exposure and cancer was considered. Cancer incidence data for 2020 and mortality data for 2017 were obtained from the Italian Association of Cancer Registries.\nResults\nTobacco smoking caused, in men and women respectively, 90.0</w:instrText>
      </w:r>
      <w:r w:rsidR="00A5309E">
        <w:rPr>
          <w:rFonts w:ascii="Arial" w:hAnsi="Arial" w:cs="Arial"/>
        </w:rPr>
        <w:instrText> </w:instrText>
      </w:r>
      <w:r w:rsidR="00A5309E">
        <w:instrText>% and 58.3</w:instrText>
      </w:r>
      <w:r w:rsidR="00A5309E">
        <w:rPr>
          <w:rFonts w:ascii="Arial" w:hAnsi="Arial" w:cs="Arial"/>
        </w:rPr>
        <w:instrText> </w:instrText>
      </w:r>
      <w:r w:rsidR="00A5309E">
        <w:instrText>% of lung; 67.8</w:instrText>
      </w:r>
      <w:r w:rsidR="00A5309E">
        <w:rPr>
          <w:rFonts w:ascii="Arial" w:hAnsi="Arial" w:cs="Arial"/>
        </w:rPr>
        <w:instrText> </w:instrText>
      </w:r>
      <w:r w:rsidR="00A5309E">
        <w:instrText>% and 53.5</w:instrText>
      </w:r>
      <w:r w:rsidR="00A5309E">
        <w:rPr>
          <w:rFonts w:ascii="Arial" w:hAnsi="Arial" w:cs="Arial"/>
        </w:rPr>
        <w:instrText> </w:instrText>
      </w:r>
      <w:r w:rsidR="00A5309E">
        <w:instrText>% of pharyngeal; 47.0</w:instrText>
      </w:r>
      <w:r w:rsidR="00A5309E">
        <w:rPr>
          <w:rFonts w:ascii="Arial" w:hAnsi="Arial" w:cs="Arial"/>
        </w:rPr>
        <w:instrText> </w:instrText>
      </w:r>
      <w:r w:rsidR="00A5309E">
        <w:instrText>% and 32.2</w:instrText>
      </w:r>
      <w:r w:rsidR="00A5309E">
        <w:rPr>
          <w:rFonts w:ascii="Arial" w:hAnsi="Arial" w:cs="Arial"/>
        </w:rPr>
        <w:instrText> </w:instrText>
      </w:r>
      <w:r w:rsidR="00A5309E">
        <w:instrText>% of bladder; 45.9</w:instrText>
      </w:r>
      <w:r w:rsidR="00A5309E">
        <w:rPr>
          <w:rFonts w:ascii="Arial" w:hAnsi="Arial" w:cs="Arial"/>
        </w:rPr>
        <w:instrText> </w:instrText>
      </w:r>
      <w:r w:rsidR="00A5309E">
        <w:instrText>% and 31.7</w:instrText>
      </w:r>
      <w:r w:rsidR="00A5309E">
        <w:rPr>
          <w:rFonts w:ascii="Arial" w:hAnsi="Arial" w:cs="Arial"/>
        </w:rPr>
        <w:instrText> </w:instrText>
      </w:r>
      <w:r w:rsidR="00A5309E">
        <w:instrText>% of oral; 36.6</w:instrText>
      </w:r>
      <w:r w:rsidR="00A5309E">
        <w:rPr>
          <w:rFonts w:ascii="Arial" w:hAnsi="Arial" w:cs="Arial"/>
        </w:rPr>
        <w:instrText> </w:instrText>
      </w:r>
      <w:r w:rsidR="00A5309E">
        <w:instrText>% and 23.6</w:instrText>
      </w:r>
      <w:r w:rsidR="00A5309E">
        <w:rPr>
          <w:rFonts w:ascii="Arial" w:hAnsi="Arial" w:cs="Arial"/>
        </w:rPr>
        <w:instrText> </w:instrText>
      </w:r>
      <w:r w:rsidR="00A5309E">
        <w:instrText>% of esophageal; 23.0</w:instrText>
      </w:r>
      <w:r w:rsidR="00A5309E">
        <w:rPr>
          <w:rFonts w:ascii="Arial" w:hAnsi="Arial" w:cs="Arial"/>
        </w:rPr>
        <w:instrText> </w:instrText>
      </w:r>
      <w:r w:rsidR="00A5309E">
        <w:instrText>% and 14.0</w:instrText>
      </w:r>
      <w:r w:rsidR="00A5309E">
        <w:rPr>
          <w:rFonts w:ascii="Arial" w:hAnsi="Arial" w:cs="Arial"/>
        </w:rPr>
        <w:instrText> </w:instrText>
      </w:r>
      <w:r w:rsidR="00A5309E">
        <w:instrText>% of pancreatic cancer and lower percentages of cancers at other sites. Tobacco smoking accounted for 23.9</w:instrText>
      </w:r>
      <w:r w:rsidR="00A5309E">
        <w:rPr>
          <w:rFonts w:ascii="Arial" w:hAnsi="Arial" w:cs="Arial"/>
        </w:rPr>
        <w:instrText> </w:instrText>
      </w:r>
      <w:r w:rsidR="00A5309E">
        <w:instrText>% and 7.7</w:instrText>
      </w:r>
      <w:r w:rsidR="00A5309E">
        <w:rPr>
          <w:rFonts w:ascii="Arial" w:hAnsi="Arial" w:cs="Arial"/>
        </w:rPr>
        <w:instrText> </w:instrText>
      </w:r>
      <w:r w:rsidR="00A5309E">
        <w:instrText>% of new cancer cases in 2020, and 32.1</w:instrText>
      </w:r>
      <w:r w:rsidR="00A5309E">
        <w:rPr>
          <w:rFonts w:ascii="Arial" w:hAnsi="Arial" w:cs="Arial"/>
        </w:rPr>
        <w:instrText> </w:instrText>
      </w:r>
      <w:r w:rsidR="00A5309E">
        <w:instrText>% and 11.3</w:instrText>
      </w:r>
      <w:r w:rsidR="00A5309E">
        <w:rPr>
          <w:rFonts w:ascii="Arial" w:hAnsi="Arial" w:cs="Arial"/>
        </w:rPr>
        <w:instrText> </w:instrText>
      </w:r>
      <w:r w:rsidR="00A5309E">
        <w:instrText>% of cancer deaths in 2017 in men and women, respectively, corresponding to 17.3</w:instrText>
      </w:r>
      <w:r w:rsidR="00A5309E">
        <w:rPr>
          <w:rFonts w:ascii="Arial" w:hAnsi="Arial" w:cs="Arial"/>
        </w:rPr>
        <w:instrText> </w:instrText>
      </w:r>
      <w:r w:rsidR="00A5309E">
        <w:instrText>% of cases and 24.5</w:instrText>
      </w:r>
      <w:r w:rsidR="00A5309E">
        <w:rPr>
          <w:rFonts w:ascii="Arial" w:hAnsi="Arial" w:cs="Arial"/>
        </w:rPr>
        <w:instrText> </w:instrText>
      </w:r>
      <w:r w:rsidR="00A5309E">
        <w:instrText>% of cancer deaths overall. The PAF of lung cancer due to SHS in never smoking women married with smokers was 13.0</w:instrText>
      </w:r>
      <w:r w:rsidR="00A5309E">
        <w:rPr>
          <w:rFonts w:ascii="Arial" w:hAnsi="Arial" w:cs="Arial"/>
        </w:rPr>
        <w:instrText> </w:instrText>
      </w:r>
      <w:r w:rsidR="00A5309E">
        <w:instrText xml:space="preserve">%.\nConclusions\nTobacco smoking is a primary cause of cancer in Italy in both sexes. Tobacco control policies are warranted.","container-title":"Cancer Epidemiology","DOI":"10.1016/j.canep.2024.102623","ISSN":"1877-7821","journalAbbreviation":"Cancer Epidemiology","page":"102623","source":"ScienceDirect","title":"Cancers attributable to tobacco smoking in Italy in 2020","volume":"92","author":[{"family":"Collatuzzo","given":"Giulia"},{"family":"Malvezzi","given":"Matteo"},{"family":"Mangiaterra","given":"Silvia"},{"family":"Di Maso","given":"Matteo"},{"family":"Turati","given":"Federica"},{"family":"Parazzini","given":"Fabio"},{"family":"Pelucchi","given":"Claudio"},{"family":"Alicandro","given":"Gianfranco"},{"family":"Negri","given":"Eva"},{"family":"La Vecchia","given":"Carlo"},{"family":"Boffetta","given":"Paolo"}],"issued":{"date-parts":[["2024",10,1]]}}}],"schema":"https://github.com/citation-style-language/schema/raw/master/csl-citation.json"} </w:instrText>
      </w:r>
      <w:r w:rsidR="00042355">
        <w:fldChar w:fldCharType="separate"/>
      </w:r>
      <w:r w:rsidR="00A5309E" w:rsidRPr="00A5309E">
        <w:rPr>
          <w:rFonts w:ascii="Aptos" w:hAnsi="Aptos" w:cs="Times New Roman"/>
          <w:kern w:val="0"/>
        </w:rPr>
        <w:t>(38–40)</w:t>
      </w:r>
      <w:r w:rsidR="00042355">
        <w:fldChar w:fldCharType="end"/>
      </w:r>
      <w:r w:rsidR="00FD0E7D" w:rsidRPr="004A6DF8">
        <w:t xml:space="preserve"> </w:t>
      </w:r>
      <w:r>
        <w:t xml:space="preserve">La Vecchia et al. estimated that the decline in lung cancer mortality among men in the European Union led </w:t>
      </w:r>
      <w:r w:rsidR="00EC4CAF">
        <w:t xml:space="preserve">to </w:t>
      </w:r>
      <w:r>
        <w:t xml:space="preserve">an estimated 1,156,000 </w:t>
      </w:r>
      <w:r w:rsidR="00042355">
        <w:t xml:space="preserve">fewer </w:t>
      </w:r>
      <w:r>
        <w:t>deaths from lung cancer between 1989 and 2021.</w:t>
      </w:r>
      <w:r>
        <w:fldChar w:fldCharType="begin"/>
      </w:r>
      <w:r w:rsidR="00A5309E">
        <w:instrText xml:space="preserve"> ADDIN ZOTERO_ITEM CSL_CITATION {"citationID":"D5TtmnuV","properties":{"formattedCitation":"(41)","plainCitation":"(41)","noteIndex":0},"citationItems":[{"id":70,"uris":["http://zotero.org/users/local/fxpU1WWH/items/3JFMFKA2"],"itemData":{"id":70,"type":"article-journal","abstract":"Progress in cancer epidemiology and prevention has been a key determinant of the fall in cancer mortality in Europe. Using mortality and population figures from the WHO and Eurostat databases, we estimated the number of averted cancer deaths in the EU27 over the period 1989–2021, for both sexes, for all cancers, and nine major cancer sites. We also computed the avoided deaths for all cancers in five major European countries and the UK. We estimated a total of 4 958 000 (3 339 000 men and 1 619 000 women) avoided deaths for all neoplasms over the period 1989–2021 and 348 000 (246 000 men and 102 000 women) in 2021 alone in the EU27. For both sexes, we estimated 1 679 000 avoided deaths for stomach cancer, 747 000 for colorectum, 227 000 for bladder, 102 000 for leukemias. Avoided deaths for lung cancer accounted for 1 156 000 in men, while no reduction was estimated for women. For breast and uterine cancer, avoided deaths were about 300 000, for ovary 105 000 and for prostate 352 000. In the UK, a total of 1 061 000 (721 000 men and 340 000 women) deaths was avoided. Elimination of tobacco may avoid a further 20% of cancer mortality by 2050. Control of alcohol, overweight and obesity, and occupational and environmental carcinogens may avoid an additional 10% of cancer deaths. A similar reduction may be due to optimal adoption of cervical, colorectal, breast, and probably, lung and prostate cancer screening. Thus, primary and secondary cancer prevention can avoid an additional third of cancer deaths in Europe up to 2050.","container-title":"European Journal of Cancer Prevention","DOI":"10.1097/CEJ.0000000000000714","ISSN":"0959-8278","issue":"4","journalAbbreviation":"Eur J Cancer Prev","note":"PMID: 34456260\nPMCID: PMC9889194","page":"388-392","source":"PubMed Central","title":"Progress in cancer epidemiology: avoided deaths in Europe over the last three decades","title-short":"Progress in cancer epidemiology","volume":"31","author":[{"family":"La Vecchia","given":"Carlo"},{"family":"Negri","given":"Eva"},{"family":"Carioli","given":"Greta"}],"issued":{"date-parts":[["2022",7]]}}}],"schema":"https://github.com/citation-style-language/schema/raw/master/csl-citation.json"} </w:instrText>
      </w:r>
      <w:r>
        <w:fldChar w:fldCharType="separate"/>
      </w:r>
      <w:r w:rsidR="00A5309E" w:rsidRPr="00A5309E">
        <w:rPr>
          <w:rFonts w:ascii="Aptos" w:hAnsi="Aptos"/>
        </w:rPr>
        <w:t>(41)</w:t>
      </w:r>
      <w:r>
        <w:fldChar w:fldCharType="end"/>
      </w:r>
      <w:r w:rsidRPr="00064451">
        <w:t xml:space="preserve"> </w:t>
      </w:r>
      <w:r>
        <w:t>This reduction in mortality was due primarily to reductions in tobacco use.</w:t>
      </w:r>
      <w:r w:rsidR="00042355">
        <w:fldChar w:fldCharType="begin"/>
      </w:r>
      <w:r w:rsidR="00A5309E">
        <w:instrText xml:space="preserve"> ADDIN ZOTERO_ITEM CSL_CITATION {"citationID":"a11aogg69nn","properties":{"formattedCitation":"(41)","plainCitation":"(41)","noteIndex":0},"citationItems":[{"id":70,"uris":["http://zotero.org/users/local/fxpU1WWH/items/3JFMFKA2"],"itemData":{"id":70,"type":"article-journal","abstract":"Progress in cancer epidemiology and prevention has been a key determinant of the fall in cancer mortality in Europe. Using mortality and population figures from the WHO and Eurostat databases, we estimated the number of averted cancer deaths in the EU27 over the period 1989–2021, for both sexes, for all cancers, and nine major cancer sites. We also computed the avoided deaths for all cancers in five major European countries and the UK. We estimated a total of 4 958 000 (3 339 000 men and 1 619 000 women) avoided deaths for all neoplasms over the period 1989–2021 and 348 000 (246 000 men and 102 000 women) in 2021 alone in the EU27. For both sexes, we estimated 1 679 000 avoided deaths for stomach cancer, 747 000 for colorectum, 227 000 for bladder, 102 000 for leukemias. Avoided deaths for lung cancer accounted for 1 156 000 in men, while no reduction was estimated for women. For breast and uterine cancer, avoided deaths were about 300 000, for ovary 105 000 and for prostate 352 000. In the UK, a total of 1 061 000 (721 000 men and 340 000 women) deaths was avoided. Elimination of tobacco may avoid a further 20% of cancer mortality by 2050. Control of alcohol, overweight and obesity, and occupational and environmental carcinogens may avoid an additional 10% of cancer deaths. A similar reduction may be due to optimal adoption of cervical, colorectal, breast, and probably, lung and prostate cancer screening. Thus, primary and secondary cancer prevention can avoid an additional third of cancer deaths in Europe up to 2050.","container-title":"European Journal of Cancer Prevention","DOI":"10.1097/CEJ.0000000000000714","ISSN":"0959-8278","issue":"4","journalAbbreviation":"Eur J Cancer Prev","note":"PMID: 34456260\nPMCID: PMC9889194","page":"388-392","source":"PubMed Central","title":"Progress in cancer epidemiology: avoided deaths in Europe over the last three decades","title-short":"Progress in cancer epidemiology","volume":"31","author":[{"family":"La Vecchia","given":"Carlo"},{"family":"Negri","given":"Eva"},{"family":"Carioli","given":"Greta"}],"issued":{"date-parts":[["2022",7]]}}}],"schema":"https://github.com/citation-style-language/schema/raw/master/csl-citation.json"} </w:instrText>
      </w:r>
      <w:r w:rsidR="00042355">
        <w:fldChar w:fldCharType="separate"/>
      </w:r>
      <w:r w:rsidR="00A5309E" w:rsidRPr="00A5309E">
        <w:rPr>
          <w:rFonts w:ascii="Aptos" w:hAnsi="Aptos"/>
        </w:rPr>
        <w:t>(41)</w:t>
      </w:r>
      <w:r w:rsidR="00042355">
        <w:fldChar w:fldCharType="end"/>
      </w:r>
    </w:p>
    <w:p w14:paraId="2849E4F2" w14:textId="77777777" w:rsidR="003E2932" w:rsidRDefault="003E2932" w:rsidP="00A64503">
      <w:pPr>
        <w:spacing w:after="0" w:line="240" w:lineRule="auto"/>
      </w:pPr>
    </w:p>
    <w:p w14:paraId="35E0D1D6" w14:textId="53F2991B" w:rsidR="003E2932" w:rsidRDefault="003E2932" w:rsidP="00A64503">
      <w:pPr>
        <w:pStyle w:val="Pa1"/>
        <w:spacing w:line="240" w:lineRule="auto"/>
      </w:pPr>
      <w:bookmarkStart w:id="28" w:name="_Toc194488676"/>
      <w:r w:rsidRPr="00A9382A">
        <w:rPr>
          <w:rFonts w:asciiTheme="minorHAnsi" w:hAnsiTheme="minorHAnsi"/>
          <w:kern w:val="2"/>
        </w:rPr>
        <w:t>Ireland has led internationally on tobacco control policy. In 2004, Ireland was the first country in the world to introduce a national workplace smoking ban</w:t>
      </w:r>
      <w:r>
        <w:t>.</w:t>
      </w:r>
      <w:bookmarkEnd w:id="28"/>
      <w:r>
        <w:fldChar w:fldCharType="begin"/>
      </w:r>
      <w:r w:rsidR="00A5309E">
        <w:instrText xml:space="preserve"> ADDIN ZOTERO_ITEM CSL_CITATION {"citationID":"EL3y6XIJ","properties":{"formattedCitation":"(42)","plainCitation":"(42)","noteIndex":0},"citationItems":[{"id":73,"uris":["http://zotero.org/users/local/fxpU1WWH/items/LTN33V3Z"],"itemData":{"id":73,"type":"article-journal","container-title":"The British Journal of General Practice","ISSN":"0960-1643","issue":"508","journalAbbreviation":"Br J Gen Pract","note":"PMID: 15527605\nPMCID: PMC1324912","page":"811-812","source":"PubMed Central","title":"Republic of Ireland's indoor workplace smoking ban","volume":"54","author":[{"family":"Allwright","given":"Shane"}],"issued":{"date-parts":[["2004",11,1]]}}}],"schema":"https://github.com/citation-style-language/schema/raw/master/csl-citation.json"} </w:instrText>
      </w:r>
      <w:r>
        <w:fldChar w:fldCharType="separate"/>
      </w:r>
      <w:r w:rsidR="00A5309E" w:rsidRPr="00A5309E">
        <w:t>(42)</w:t>
      </w:r>
      <w:r>
        <w:fldChar w:fldCharType="end"/>
      </w:r>
      <w:r w:rsidRPr="00CA54F1">
        <w:rPr>
          <w:rFonts w:asciiTheme="minorHAnsi" w:hAnsiTheme="minorHAnsi"/>
          <w:kern w:val="2"/>
        </w:rPr>
        <w:t xml:space="preserve"> In 2005, Ireland ratified the WHO Framework Convention on Tobacco Control (FCTC) treaty and has consistently scored </w:t>
      </w:r>
      <w:r>
        <w:rPr>
          <w:rFonts w:asciiTheme="minorHAnsi" w:hAnsiTheme="minorHAnsi"/>
          <w:kern w:val="2"/>
        </w:rPr>
        <w:t xml:space="preserve">highly in evaluations of its </w:t>
      </w:r>
      <w:r w:rsidRPr="00CA54F1">
        <w:rPr>
          <w:rFonts w:asciiTheme="minorHAnsi" w:hAnsiTheme="minorHAnsi"/>
          <w:kern w:val="2"/>
        </w:rPr>
        <w:t>implementation</w:t>
      </w:r>
      <w:r>
        <w:rPr>
          <w:rFonts w:asciiTheme="minorHAnsi" w:hAnsiTheme="minorHAnsi"/>
          <w:kern w:val="2"/>
        </w:rPr>
        <w:t>.</w:t>
      </w:r>
      <w:r w:rsidR="00042355">
        <w:rPr>
          <w:rFonts w:asciiTheme="minorHAnsi" w:hAnsiTheme="minorHAnsi"/>
          <w:kern w:val="2"/>
        </w:rPr>
        <w:fldChar w:fldCharType="begin"/>
      </w:r>
      <w:r w:rsidR="00A5309E">
        <w:rPr>
          <w:rFonts w:asciiTheme="minorHAnsi" w:hAnsiTheme="minorHAnsi"/>
          <w:kern w:val="2"/>
        </w:rPr>
        <w:instrText xml:space="preserve"> ADDIN ZOTERO_ITEM CSL_CITATION {"citationID":"akjrbnf2l9","properties":{"formattedCitation":"(43)","plainCitation":"(43)","noteIndex":0},"citationItems":[{"id":177,"uris":["http://zotero.org/users/local/fxpU1WWH/items/9SF95SJN"],"itemData":{"id":177,"type":"webpage","language":"en","title":"WHO Framework Convention on Tobacco Control (WHO FCTC)","URL":"https://www.who.int/europe/teams/tobacco/who-framework-convention-on-tobacco-control-(who-fctc)","accessed":{"date-parts":[["2025",5,7]]}}}],"schema":"https://github.com/citation-style-language/schema/raw/master/csl-citation.json"} </w:instrText>
      </w:r>
      <w:r w:rsidR="00042355">
        <w:rPr>
          <w:rFonts w:asciiTheme="minorHAnsi" w:hAnsiTheme="minorHAnsi"/>
          <w:kern w:val="2"/>
        </w:rPr>
        <w:fldChar w:fldCharType="separate"/>
      </w:r>
      <w:r w:rsidR="00A5309E" w:rsidRPr="00A5309E">
        <w:rPr>
          <w:rFonts w:ascii="Aptos" w:hAnsi="Aptos"/>
        </w:rPr>
        <w:t>(43)</w:t>
      </w:r>
      <w:r w:rsidR="00042355">
        <w:rPr>
          <w:rFonts w:asciiTheme="minorHAnsi" w:hAnsiTheme="minorHAnsi"/>
          <w:kern w:val="2"/>
        </w:rPr>
        <w:fldChar w:fldCharType="end"/>
      </w:r>
      <w:r>
        <w:rPr>
          <w:rFonts w:asciiTheme="minorHAnsi" w:hAnsiTheme="minorHAnsi"/>
          <w:kern w:val="2"/>
        </w:rPr>
        <w:t xml:space="preserve"> </w:t>
      </w:r>
      <w:r w:rsidRPr="00CA54F1">
        <w:rPr>
          <w:rFonts w:asciiTheme="minorHAnsi" w:hAnsiTheme="minorHAnsi"/>
          <w:kern w:val="2"/>
        </w:rPr>
        <w:t xml:space="preserve">It has been estimated that tobacco control policies introduced </w:t>
      </w:r>
      <w:r w:rsidR="00D95B00">
        <w:rPr>
          <w:rFonts w:asciiTheme="minorHAnsi" w:hAnsiTheme="minorHAnsi"/>
          <w:kern w:val="2"/>
        </w:rPr>
        <w:t xml:space="preserve">in Ireland </w:t>
      </w:r>
      <w:r w:rsidRPr="00CA54F1">
        <w:rPr>
          <w:rFonts w:asciiTheme="minorHAnsi" w:hAnsiTheme="minorHAnsi"/>
          <w:kern w:val="2"/>
        </w:rPr>
        <w:t>between 1998 and</w:t>
      </w:r>
      <w:r>
        <w:rPr>
          <w:rFonts w:asciiTheme="minorHAnsi" w:hAnsiTheme="minorHAnsi"/>
          <w:kern w:val="2"/>
        </w:rPr>
        <w:t xml:space="preserve"> </w:t>
      </w:r>
      <w:r w:rsidRPr="00CA54F1">
        <w:rPr>
          <w:rFonts w:asciiTheme="minorHAnsi" w:hAnsiTheme="minorHAnsi"/>
          <w:kern w:val="2"/>
        </w:rPr>
        <w:t>2010 were associated with a 22% relative reduction in smoking prevalence</w:t>
      </w:r>
      <w:r w:rsidR="00D95B00">
        <w:rPr>
          <w:rFonts w:asciiTheme="minorHAnsi" w:hAnsiTheme="minorHAnsi"/>
          <w:kern w:val="2"/>
        </w:rPr>
        <w:t xml:space="preserve"> in addition to</w:t>
      </w:r>
      <w:r w:rsidR="00F21CFD">
        <w:rPr>
          <w:rFonts w:asciiTheme="minorHAnsi" w:hAnsiTheme="minorHAnsi"/>
          <w:kern w:val="2"/>
        </w:rPr>
        <w:t xml:space="preserve"> </w:t>
      </w:r>
      <w:r w:rsidRPr="00CA54F1">
        <w:rPr>
          <w:rFonts w:asciiTheme="minorHAnsi" w:hAnsiTheme="minorHAnsi"/>
          <w:kern w:val="2"/>
        </w:rPr>
        <w:t xml:space="preserve">1,716 fewer deaths by 2010 and </w:t>
      </w:r>
      <w:r>
        <w:rPr>
          <w:rFonts w:asciiTheme="minorHAnsi" w:hAnsiTheme="minorHAnsi"/>
          <w:kern w:val="2"/>
        </w:rPr>
        <w:t>will eventually result</w:t>
      </w:r>
      <w:r w:rsidRPr="00CA54F1">
        <w:rPr>
          <w:rFonts w:asciiTheme="minorHAnsi" w:hAnsiTheme="minorHAnsi"/>
          <w:kern w:val="2"/>
        </w:rPr>
        <w:t xml:space="preserve"> in</w:t>
      </w:r>
      <w:r>
        <w:rPr>
          <w:rFonts w:asciiTheme="minorHAnsi" w:hAnsiTheme="minorHAnsi"/>
          <w:kern w:val="2"/>
        </w:rPr>
        <w:t xml:space="preserve"> </w:t>
      </w:r>
      <w:r w:rsidRPr="00CA54F1">
        <w:rPr>
          <w:rFonts w:asciiTheme="minorHAnsi" w:hAnsiTheme="minorHAnsi"/>
          <w:kern w:val="2"/>
        </w:rPr>
        <w:t>50,000 fewer deaths by 2040</w:t>
      </w:r>
      <w:r w:rsidRPr="00581976">
        <w:t>.</w:t>
      </w:r>
      <w:r>
        <w:fldChar w:fldCharType="begin"/>
      </w:r>
      <w:r w:rsidR="00A5309E">
        <w:instrText xml:space="preserve"> ADDIN ZOTERO_ITEM CSL_CITATION {"citationID":"evPb3FKR","properties":{"formattedCitation":"(44)","plainCitation":"(44)","noteIndex":0},"citationItems":[{"id":75,"uris":["http://zotero.org/users/local/fxpU1WWH/items/T87NPNP6"],"itemData":{"id":75,"type":"article-journal","abstract":"OBJECTIVES: This study estimates the relative contribution of policies implemented between 1998 and 2010 to reductions in smoking prevalence by 2010. It then models the impact of implementing stronger policies, relative to a scenario of inaction, on smoking prevalence and smoking-attributable mortality in Ireland.\nMETHODS: IrelandSS is an adapted version of SimSmoke, a dynamic simulation model used to examine the effect of tobacco control policies on smoking prevalence, through initiation and cessation, and associated future premature mortality.\nRESULTS: Model predictions for smoking prevalence are reasonably close to those from surveys. As a result of tobacco control policies implemented between 1998 and 2010, there was a 22% relative reduction in smoking prevalence and 1716 fewer smoking-attributable deaths (SADs) by 2010 increasing to a 29% relative reduction in prevalence and 50 215 fewer SADs by 2040. With the introduction of stricter FCTC-compliant policies in 2011, the smoking prevalence can be decreased by as much as 13% initially, increasing to 28% by 30 years. With these stronger policies, a total of 24 768 SADs will be averted by 2040.\nCONCLUSIONS: Predictions from the IrelandSS model suggest that policies implemented between 1998 and 2010 have had considerable effect; however, appreciable reductions in smoking prevalence and SADs can still be achieved through increasing taxes, maintaining a high-intensity tobacco control media campaign, introducing graphic health warnings and improving smoking cessation services.","container-title":"Tobacco Control","DOI":"10.1136/tobaccocontrol-2011-050248","ISSN":"1468-3318","issue":"e1","journalAbbreviation":"Tob Control","language":"eng","note":"PMID: 22634570","page":"e25-32","source":"PubMed","title":"The effect of tobacco control policies on smoking prevalence and smoking-attributable deaths in Ireland using the IrelandSS simulation model","volume":"22","author":[{"family":"Currie","given":"Laura M."},{"family":"Blackman","given":"Kenneth"},{"family":"Clancy","given":"Luke"},{"family":"Levy","given":"David T."}],"issued":{"date-parts":[["2013",5]]}}}],"schema":"https://github.com/citation-style-language/schema/raw/master/csl-citation.json"} </w:instrText>
      </w:r>
      <w:r>
        <w:fldChar w:fldCharType="separate"/>
      </w:r>
      <w:r w:rsidR="00A5309E" w:rsidRPr="00A5309E">
        <w:t>(44)</w:t>
      </w:r>
      <w:r>
        <w:fldChar w:fldCharType="end"/>
      </w:r>
      <w:r w:rsidRPr="00581976">
        <w:t xml:space="preserve"> </w:t>
      </w:r>
    </w:p>
    <w:p w14:paraId="2A893812" w14:textId="77777777" w:rsidR="00A317BC" w:rsidRPr="00A317BC" w:rsidRDefault="00A317BC" w:rsidP="00A64503">
      <w:pPr>
        <w:pStyle w:val="Default"/>
      </w:pPr>
    </w:p>
    <w:p w14:paraId="58C0A4FC" w14:textId="77777777" w:rsidR="003E2932" w:rsidRPr="00F236CA" w:rsidRDefault="003E2932" w:rsidP="00A64503">
      <w:pPr>
        <w:pStyle w:val="Heading3"/>
        <w:spacing w:before="0" w:after="0" w:line="240" w:lineRule="auto"/>
      </w:pPr>
      <w:bookmarkStart w:id="29" w:name="_Toc194488678"/>
      <w:bookmarkStart w:id="30" w:name="_Toc197557024"/>
      <w:bookmarkStart w:id="31" w:name="_Toc201512418"/>
      <w:r w:rsidRPr="00F236CA">
        <w:t xml:space="preserve">Ireland is a tobacco </w:t>
      </w:r>
      <w:r>
        <w:t>‘</w:t>
      </w:r>
      <w:r w:rsidRPr="00F236CA">
        <w:t>endgame</w:t>
      </w:r>
      <w:r>
        <w:t>’</w:t>
      </w:r>
      <w:r w:rsidRPr="00F236CA">
        <w:t xml:space="preserve"> country</w:t>
      </w:r>
      <w:bookmarkEnd w:id="29"/>
      <w:bookmarkEnd w:id="30"/>
      <w:bookmarkEnd w:id="31"/>
    </w:p>
    <w:p w14:paraId="718645FD" w14:textId="544C67D0" w:rsidR="003E2932" w:rsidRDefault="003E2932" w:rsidP="00A64503">
      <w:pPr>
        <w:spacing w:after="0" w:line="240" w:lineRule="auto"/>
      </w:pPr>
      <w:r w:rsidRPr="00581976">
        <w:rPr>
          <w:lang w:val="en"/>
        </w:rPr>
        <w:t xml:space="preserve">The tobacco endgame approach advocates for a </w:t>
      </w:r>
      <w:r>
        <w:rPr>
          <w:lang w:val="en"/>
        </w:rPr>
        <w:t xml:space="preserve">radical </w:t>
      </w:r>
      <w:r w:rsidRPr="00581976">
        <w:rPr>
          <w:lang w:val="en"/>
        </w:rPr>
        <w:t xml:space="preserve">shift </w:t>
      </w:r>
      <w:r>
        <w:rPr>
          <w:lang w:val="en"/>
        </w:rPr>
        <w:t>in focus - shifting from polic</w:t>
      </w:r>
      <w:r w:rsidR="00072F22">
        <w:rPr>
          <w:lang w:val="en"/>
        </w:rPr>
        <w:t>ies</w:t>
      </w:r>
      <w:r>
        <w:rPr>
          <w:lang w:val="en"/>
        </w:rPr>
        <w:t xml:space="preserve"> which </w:t>
      </w:r>
      <w:r w:rsidR="00072F22">
        <w:rPr>
          <w:lang w:val="en"/>
        </w:rPr>
        <w:t>aim</w:t>
      </w:r>
      <w:r>
        <w:rPr>
          <w:lang w:val="en"/>
        </w:rPr>
        <w:t xml:space="preserve"> to bring the </w:t>
      </w:r>
      <w:r w:rsidRPr="00581976">
        <w:rPr>
          <w:lang w:val="en"/>
        </w:rPr>
        <w:t xml:space="preserve">tobacco epidemic under control to </w:t>
      </w:r>
      <w:r>
        <w:rPr>
          <w:lang w:val="en"/>
        </w:rPr>
        <w:t>th</w:t>
      </w:r>
      <w:r w:rsidR="00072F22">
        <w:rPr>
          <w:lang w:val="en"/>
        </w:rPr>
        <w:t>ose</w:t>
      </w:r>
      <w:r>
        <w:rPr>
          <w:lang w:val="en"/>
        </w:rPr>
        <w:t xml:space="preserve"> which </w:t>
      </w:r>
      <w:r w:rsidR="00072F22">
        <w:rPr>
          <w:lang w:val="en"/>
        </w:rPr>
        <w:t>seek</w:t>
      </w:r>
      <w:r>
        <w:rPr>
          <w:lang w:val="en"/>
        </w:rPr>
        <w:t xml:space="preserve"> to </w:t>
      </w:r>
      <w:r w:rsidRPr="00581976">
        <w:rPr>
          <w:lang w:val="en"/>
        </w:rPr>
        <w:t xml:space="preserve">end </w:t>
      </w:r>
      <w:r>
        <w:rPr>
          <w:lang w:val="en"/>
        </w:rPr>
        <w:t>the use of tobacco products</w:t>
      </w:r>
      <w:r w:rsidR="00D95B00">
        <w:rPr>
          <w:lang w:val="en"/>
        </w:rPr>
        <w:t>.</w:t>
      </w:r>
      <w:r>
        <w:rPr>
          <w:lang w:val="en"/>
        </w:rPr>
        <w:fldChar w:fldCharType="begin"/>
      </w:r>
      <w:r w:rsidR="00A5309E">
        <w:rPr>
          <w:lang w:val="en"/>
        </w:rPr>
        <w:instrText xml:space="preserve"> ADDIN ZOTERO_ITEM CSL_CITATION {"citationID":"l9Lns35z","properties":{"formattedCitation":"(45)","plainCitation":"(45)","noteIndex":0},"citationItems":[{"id":206,"uris":["http://zotero.org/users/local/fxpU1WWH/items/7QX5XNB5"],"itemData":{"id":206,"type":"article-journal","abstract":"The available literature on tobacco endgames tends to be limited to discussing means, targets and difficulties. This article offers additional ideas on the key elements of endgame strategies and the circumstances in which these are likely to be adopted and implemented. We suggest such strategies will include explicit plans, will define the nature of `the end of tobacco use/sale' and have target dates within 20 years. The likely circumstances for endgame strategy development include low (probably under 15% adult smoking) prevalence and/or rapid prevalence reductions, wide support and strong political leadership. Even with some or all these circumstances, opposition from business, internal government forces and international factors may influence results.","container-title":"Tobacco Control","DOI":"10.1136/tc.2010.040881","ISSN":"0964-4563, 1468-3318","issue":"2","language":"en","license":"© 2012, Published by the BMJ Publishing Group Limited. For permission to use (where not already granted under a licence) please go to http://group.bmj.com/group/rights-licensing/permissions.","note":"publisher: BMJ Publishing Group Ltd\nsection: Endgame visions\nPMID: 22345272","page":"293-295","source":"tobaccocontrol.bmj.com","title":"What are the elements of the tobacco endgame?","volume":"21","author":[{"family":"Thomson","given":"George"},{"family":"Edwards","given":"Richard"},{"family":"Wilson","given":"Nick"},{"family":"Blakely","given":"Tony"}],"issued":{"date-parts":[["2012",3,1]]}}}],"schema":"https://github.com/citation-style-language/schema/raw/master/csl-citation.json"} </w:instrText>
      </w:r>
      <w:r>
        <w:rPr>
          <w:lang w:val="en"/>
        </w:rPr>
        <w:fldChar w:fldCharType="separate"/>
      </w:r>
      <w:r w:rsidR="00A5309E" w:rsidRPr="00A5309E">
        <w:rPr>
          <w:rFonts w:ascii="Aptos" w:hAnsi="Aptos"/>
        </w:rPr>
        <w:t>(45)</w:t>
      </w:r>
      <w:r>
        <w:rPr>
          <w:lang w:val="en"/>
        </w:rPr>
        <w:fldChar w:fldCharType="end"/>
      </w:r>
      <w:r w:rsidR="00864AC0" w:rsidRPr="006C1190">
        <w:rPr>
          <w:vertAlign w:val="superscript"/>
          <w:lang w:val="en"/>
        </w:rPr>
        <w:t>,</w:t>
      </w:r>
      <w:r>
        <w:rPr>
          <w:lang w:val="en"/>
        </w:rPr>
        <w:fldChar w:fldCharType="begin"/>
      </w:r>
      <w:r w:rsidR="00A5309E">
        <w:rPr>
          <w:lang w:val="en"/>
        </w:rPr>
        <w:instrText xml:space="preserve"> ADDIN ZOTERO_ITEM CSL_CITATION {"citationID":"5aoi4dxK","properties":{"formattedCitation":"(46)","plainCitation":"(46)","noteIndex":0},"citationItems":[{"id":57,"uris":["http://zotero.org/users/local/fxpU1WWH/items/BKSTYNUT"],"itemData":{"id":57,"type":"article-journal","abstract":"The European Union (EU) aims for a tobacco use prevalence of less than 5% by 2040 with its Tobacco-Free Generation goal, aligning with the tobacco endgame approach. In the Joint Action on Tobacco Control 2 (JATC-2) -project, we examined adopted and planned endgame goals and measures as well as preparedness to counter tobacco industry interference in the process. We surveyed key informants in 24 out of 50 countries in the WHO European Region (19 of the 27 EU Member States, MS). Altogether, eight countries (7 EU MS) had official governmental endgame goals, and an additional six EU MS had similar proposals from government, civil society or research entities. Movement towards tobacco endgame was most evident in retail-oriented and consumer-oriented policies. These include restricting the sales of tobacco and related products and raising the age limit above 18 years. Product standards were used especially to regulate flavours but no measures to substantially reduce addictiveness were reported. Market-oriented measures that tap into industry profits were predominantly missing, and countries often lacked concrete tools to prevent industry interference. Respondents' concerns around tobacco endgame were related to high smoking prevalence in some population groups, non-combustible and new nicotine products, cross-border marketing, political will, challenges with the existing regulations and industry interference. Results indicate both momentum and challenges in adopting and disseminating measures that facilitate achieving tobacco endgame goals. The EU goal can be used to advocate for national endgame goals and measures, and for the strengthened implementation of the WHO Framework Convention on Tobacco Control.","container-title":"Tobacco Control","DOI":"10.1136/tc-2024-058606","ISSN":"1468-3318","journalAbbreviation":"Tob Control","language":"eng","note":"PMID: 38886051","page":"tc-2024-058606","source":"PubMed","title":"Tobacco endgame goals and measures in Europe: current status and future directions","title-short":"Tobacco endgame goals and measures in Europe","author":[{"family":"Ollila","given":"Hanna"},{"family":"Ruokolainen","given":"Otto"},{"family":"Laatikainen","given":"Tiina"},{"family":"Koprivnikar","given":"Helena"},{"literal":"and JATC-2 WP9 co-authors"}],"issued":{"date-parts":[["2024",6,17]]}}}],"schema":"https://github.com/citation-style-language/schema/raw/master/csl-citation.json"} </w:instrText>
      </w:r>
      <w:r>
        <w:rPr>
          <w:lang w:val="en"/>
        </w:rPr>
        <w:fldChar w:fldCharType="separate"/>
      </w:r>
      <w:r w:rsidR="00A5309E" w:rsidRPr="00A5309E">
        <w:rPr>
          <w:rFonts w:ascii="Aptos" w:hAnsi="Aptos"/>
        </w:rPr>
        <w:t>(46)</w:t>
      </w:r>
      <w:r>
        <w:rPr>
          <w:lang w:val="en"/>
        </w:rPr>
        <w:fldChar w:fldCharType="end"/>
      </w:r>
      <w:r w:rsidRPr="00581976">
        <w:rPr>
          <w:lang w:val="en"/>
        </w:rPr>
        <w:t xml:space="preserve"> </w:t>
      </w:r>
      <w:r w:rsidRPr="00581976">
        <w:t xml:space="preserve">In 2013, the Irish government launched the ‘Tobacco Free Ireland’ policy which effectively aimed to establish Ireland as a tobacco-free society by </w:t>
      </w:r>
      <w:r>
        <w:t xml:space="preserve">aiming for </w:t>
      </w:r>
      <w:r w:rsidRPr="00581976">
        <w:t>a reduction in smoking prevalence to less than 5% by 2025.</w:t>
      </w:r>
      <w:r>
        <w:fldChar w:fldCharType="begin"/>
      </w:r>
      <w:r w:rsidR="00A5309E">
        <w:instrText xml:space="preserve"> ADDIN ZOTERO_ITEM CSL_CITATION {"citationID":"8E3LD9U5","properties":{"formattedCitation":"(47)","plainCitation":"(47)","noteIndex":0},"citationItems":[{"id":15,"uris":["http://zotero.org/users/local/fxpU1WWH/items/X3W5WKEW"],"itemData":{"id":15,"type":"webpage","abstract":"Tobacco Free Ireland has set a target of to reduce smokers to 5% of the population by 2025, effectively making the country a tobacco free society.","container-title":"gov.ie","language":"en","title":"Tobacco Free Ireland","URL":"https://gov.ie/en/department-of-health/publications/tobacco-free-ireland/","accessed":{"date-parts":[["2025",4,30]]}}}],"schema":"https://github.com/citation-style-language/schema/raw/master/csl-citation.json"} </w:instrText>
      </w:r>
      <w:r>
        <w:fldChar w:fldCharType="separate"/>
      </w:r>
      <w:r w:rsidR="00A5309E" w:rsidRPr="00A5309E">
        <w:rPr>
          <w:rFonts w:ascii="Aptos" w:hAnsi="Aptos"/>
        </w:rPr>
        <w:t>(47)</w:t>
      </w:r>
      <w:r>
        <w:fldChar w:fldCharType="end"/>
      </w:r>
      <w:r w:rsidRPr="00581976">
        <w:rPr>
          <w:vertAlign w:val="superscript"/>
        </w:rPr>
        <w:t xml:space="preserve"> </w:t>
      </w:r>
      <w:r w:rsidRPr="00581976">
        <w:t xml:space="preserve"> Th</w:t>
      </w:r>
      <w:r>
        <w:t>is</w:t>
      </w:r>
      <w:r w:rsidRPr="00581976">
        <w:t xml:space="preserve"> tobacco ‘e</w:t>
      </w:r>
      <w:r w:rsidRPr="00192ECA">
        <w:t>ndgame goal</w:t>
      </w:r>
      <w:r w:rsidRPr="00581976">
        <w:t>’</w:t>
      </w:r>
      <w:r w:rsidRPr="00192ECA">
        <w:t xml:space="preserve"> is</w:t>
      </w:r>
      <w:r w:rsidRPr="00581976">
        <w:t xml:space="preserve"> also </w:t>
      </w:r>
      <w:r>
        <w:t>embedded</w:t>
      </w:r>
      <w:r w:rsidRPr="00581976">
        <w:t xml:space="preserve"> into the </w:t>
      </w:r>
      <w:r w:rsidRPr="00192ECA">
        <w:t xml:space="preserve">National Cancer </w:t>
      </w:r>
      <w:r w:rsidR="00072F22">
        <w:t>S</w:t>
      </w:r>
      <w:r w:rsidRPr="00192ECA">
        <w:t>trategy</w:t>
      </w:r>
      <w:r w:rsidRPr="00581976">
        <w:t xml:space="preserve"> 2017-202</w:t>
      </w:r>
      <w:r>
        <w:t>6 and achieving this target is a key outcome from the strategy.</w:t>
      </w:r>
      <w:r>
        <w:fldChar w:fldCharType="begin"/>
      </w:r>
      <w:r w:rsidR="00A5309E">
        <w:instrText xml:space="preserve"> ADDIN ZOTERO_ITEM CSL_CITATION {"citationID":"hf25MHHP","properties":{"formattedCitation":"(48)","plainCitation":"(48)","noteIndex":0},"citationItems":[{"id":32,"uris":["http://zotero.org/users/local/fxpU1WWH/items/QNVL4TBQ"],"itemData":{"id":32,"type":"webpage","abstract":"This Cancer Strategy aims to meet the needs of cancer patients in Ireland for the next decade","container-title":"gov.ie","language":"en","title":"National Cancer Strategy 2017 - 2026","URL":"https://gov.ie/en/department-of-health/publications/national-cancer-strategy-2017-2026/","accessed":{"date-parts":[["2025",4,30]]}}}],"schema":"https://github.com/citation-style-language/schema/raw/master/csl-citation.json"} </w:instrText>
      </w:r>
      <w:r>
        <w:fldChar w:fldCharType="separate"/>
      </w:r>
      <w:r w:rsidR="00A5309E" w:rsidRPr="00A5309E">
        <w:rPr>
          <w:rFonts w:ascii="Aptos" w:hAnsi="Aptos"/>
        </w:rPr>
        <w:t>(48)</w:t>
      </w:r>
      <w:r>
        <w:fldChar w:fldCharType="end"/>
      </w:r>
      <w:r w:rsidRPr="00581976">
        <w:t xml:space="preserve"> </w:t>
      </w:r>
    </w:p>
    <w:p w14:paraId="4737F112" w14:textId="77777777" w:rsidR="003E2932" w:rsidRDefault="003E2932" w:rsidP="00A64503">
      <w:pPr>
        <w:spacing w:after="0" w:line="240" w:lineRule="auto"/>
      </w:pPr>
    </w:p>
    <w:p w14:paraId="47F7922A" w14:textId="77777777" w:rsidR="003E2932" w:rsidRPr="00581976" w:rsidRDefault="003E2932" w:rsidP="00A64503">
      <w:pPr>
        <w:pStyle w:val="Heading2"/>
        <w:spacing w:before="0" w:after="0" w:line="240" w:lineRule="auto"/>
        <w:rPr>
          <w:rFonts w:asciiTheme="minorHAnsi" w:hAnsiTheme="minorHAnsi" w:cstheme="minorBidi"/>
          <w:sz w:val="24"/>
          <w:szCs w:val="24"/>
        </w:rPr>
      </w:pPr>
      <w:bookmarkStart w:id="32" w:name="_Toc197557025"/>
      <w:bookmarkStart w:id="33" w:name="_Toc201512419"/>
      <w:r>
        <w:t>Rationale</w:t>
      </w:r>
      <w:bookmarkEnd w:id="32"/>
      <w:bookmarkEnd w:id="33"/>
    </w:p>
    <w:p w14:paraId="7FAF39E2" w14:textId="4FD3E290" w:rsidR="003E2932" w:rsidRDefault="003E2932" w:rsidP="00A64503">
      <w:pPr>
        <w:spacing w:after="0" w:line="240" w:lineRule="auto"/>
      </w:pPr>
      <w:r>
        <w:t xml:space="preserve">Tobacco control is key </w:t>
      </w:r>
      <w:r w:rsidRPr="00BB3132">
        <w:t xml:space="preserve">to achieving national cancer control. </w:t>
      </w:r>
      <w:r w:rsidRPr="00581976">
        <w:t xml:space="preserve">Despite policy </w:t>
      </w:r>
      <w:r>
        <w:t xml:space="preserve">and legislative </w:t>
      </w:r>
      <w:r w:rsidRPr="00581976">
        <w:t>support</w:t>
      </w:r>
      <w:r>
        <w:t xml:space="preserve">, and high levels of awareness among the public of the risks of cancer associated with tobacco smoking, </w:t>
      </w:r>
      <w:r w:rsidRPr="00581976">
        <w:t>progress in reducing the prevalence of smoking in Ireland has slowed</w:t>
      </w:r>
      <w:r>
        <w:t>. Ireland has not met the ‘endgame’ target of achieving less than 5% smoking prevalence by 2025</w:t>
      </w:r>
      <w:r>
        <w:fldChar w:fldCharType="begin"/>
      </w:r>
      <w:r w:rsidR="00A5309E">
        <w:instrText xml:space="preserve"> ADDIN ZOTERO_ITEM CSL_CITATION {"citationID":"N0XRjjzy","properties":{"formattedCitation":"(2)","plainCitation":"(2)","noteIndex":0},"citationItems":[{"id":17,"uris":["http://zotero.org/users/local/fxpU1WWH/items/FBZFBELG"],"itemData":{"id":17,"type":"webpage","abstract":"For the 2024 Survey, a representative sample of 7,398 people, aged 15 and older and living in Ireland were interviewed between October 2023 and April 2024","container-title":"gov.ie","language":"en","title":"Healthy Ireland Survey 2024","URL":"https://gov.ie/en/healthy-ireland/publications/healthy-ireland-survey-2024/","accessed":{"date-parts":[["2025",4,30]]}}}],"schema":"https://github.com/citation-style-language/schema/raw/master/csl-citation.json"} </w:instrText>
      </w:r>
      <w:r>
        <w:fldChar w:fldCharType="separate"/>
      </w:r>
      <w:r w:rsidR="00A5309E" w:rsidRPr="00A5309E">
        <w:rPr>
          <w:rFonts w:ascii="Aptos" w:hAnsi="Aptos"/>
        </w:rPr>
        <w:t>(2)</w:t>
      </w:r>
      <w:r>
        <w:fldChar w:fldCharType="end"/>
      </w:r>
      <w:r w:rsidRPr="00581976">
        <w:t xml:space="preserve"> </w:t>
      </w:r>
      <w:r>
        <w:t>and</w:t>
      </w:r>
      <w:r w:rsidRPr="00581976">
        <w:t xml:space="preserve"> the absolute number </w:t>
      </w:r>
      <w:r>
        <w:t xml:space="preserve">of </w:t>
      </w:r>
      <w:r w:rsidRPr="00581976">
        <w:t>smokers remains high.</w:t>
      </w:r>
      <w:r>
        <w:fldChar w:fldCharType="begin"/>
      </w:r>
      <w:r w:rsidR="00A5309E">
        <w:instrText xml:space="preserve"> ADDIN ZOTERO_ITEM CSL_CITATION {"citationID":"i4VXVLjj","properties":{"formattedCitation":"(9)","plainCitation":"(9)","noteIndex":0},"citationItems":[{"id":6,"uris":["http://zotero.org/users/local/fxpU1WWH/items/FIRC93GL"],"itemData":{"id":6,"type":"dataset","abstract":"The Global Burden of Disease Study 2019 (GBD 2019), coordinated by the Institute for Health Metrics and Evaluation (IHME), estimated the burden of diseases, injuries, and risk factors for 204 countries and territories and selected subnational locations.\n\nEstimates of smoking tobacco use and the burden attributable to this risk factor were produced by sex, age group, and year for 204 countries and territories for 1990-2019. Files available in this record include estimates of the prevalence of smoking tobacco use, number of people that currently use smoked tobacco products, and supply-side tobacco availability and consumption. Estimates of disease burden attributable to smoking tobacco use are available through the GBD Results Tool.","DOI":"10.6069/FVQE-GR75","publisher":"Institute for Health Metrics and Evaluation (IHME)","source":"DOI.org (Datacite)","title":"Global Burden of Disease Study 2019 (GBD 2019) Smoking Tobacco Use Prevalence 1990-2019","URL":"http://ghdx.healthdata.org/record/ihme-data/gbd-2019-smoking-tobacco-use-prevalence-1990-2019","author":[{"literal":"Global Burden of Disease Collaborative Network"}],"accessed":{"date-parts":[["2025",4,30]]},"issued":{"date-parts":[["2021"]]}}}],"schema":"https://github.com/citation-style-language/schema/raw/master/csl-citation.json"} </w:instrText>
      </w:r>
      <w:r>
        <w:fldChar w:fldCharType="separate"/>
      </w:r>
      <w:r w:rsidR="00A5309E" w:rsidRPr="00A5309E">
        <w:rPr>
          <w:rFonts w:ascii="Aptos" w:hAnsi="Aptos"/>
        </w:rPr>
        <w:t>(9)</w:t>
      </w:r>
      <w:r>
        <w:fldChar w:fldCharType="end"/>
      </w:r>
      <w:r>
        <w:t xml:space="preserve"> C</w:t>
      </w:r>
      <w:r w:rsidRPr="001C5456">
        <w:t>omprehensively examining the national burden of tobacco-related cancers</w:t>
      </w:r>
      <w:r>
        <w:t xml:space="preserve"> in Ireland</w:t>
      </w:r>
      <w:r w:rsidRPr="001C5456">
        <w:t xml:space="preserve"> is important to assess the impact on cancer of tobacco control policies, to help policy makers and clinicians plan future services, and to ensure continued emphasis on the importance of tobacco control</w:t>
      </w:r>
      <w:r>
        <w:t xml:space="preserve"> </w:t>
      </w:r>
      <w:r w:rsidRPr="001C5456">
        <w:t xml:space="preserve">and its primacy to cancer control. </w:t>
      </w:r>
      <w:r>
        <w:t>In particular, t</w:t>
      </w:r>
      <w:r w:rsidRPr="001C5456">
        <w:t xml:space="preserve">he PAF can be used to provide </w:t>
      </w:r>
      <w:r>
        <w:t>estimates</w:t>
      </w:r>
      <w:r w:rsidRPr="001C5456">
        <w:t xml:space="preserve"> </w:t>
      </w:r>
      <w:r>
        <w:t xml:space="preserve">of </w:t>
      </w:r>
      <w:r w:rsidRPr="001C5456">
        <w:t xml:space="preserve">the </w:t>
      </w:r>
      <w:r>
        <w:t>benefits</w:t>
      </w:r>
      <w:r w:rsidRPr="001C5456">
        <w:t xml:space="preserve"> of reducing population-level exposure to tobacco-smoking.</w:t>
      </w:r>
      <w:r>
        <w:fldChar w:fldCharType="begin"/>
      </w:r>
      <w:r w:rsidR="00A5309E">
        <w:instrText xml:space="preserve"> ADDIN ZOTERO_ITEM CSL_CITATION {"citationID":"YgHlCXgg","properties":{"formattedCitation":"(49)","plainCitation":"(49)","noteIndex":0},"citationItems":[{"id":62,"uris":["http://zotero.org/users/local/fxpU1WWH/items/WJXQCB7N"],"itemData":{"id":62,"type":"article-journal","container-title":"British journal of cancer","issue":"8","note":"publisher: Nature Publishing Group UK London","page":"1031–1032","source":"Google Scholar","title":"Population attributable fractions continue to unmask the power of prevention","volume":"118","author":[{"family":"Bray","given":"Freddie"},{"family":"Soerjomataram","given":"Isabelle"}],"issued":{"date-parts":[["2018"]]}}}],"schema":"https://github.com/citation-style-language/schema/raw/master/csl-citation.json"} </w:instrText>
      </w:r>
      <w:r>
        <w:fldChar w:fldCharType="separate"/>
      </w:r>
      <w:r w:rsidR="00A5309E" w:rsidRPr="00A5309E">
        <w:rPr>
          <w:rFonts w:ascii="Aptos" w:hAnsi="Aptos"/>
        </w:rPr>
        <w:t>(49)</w:t>
      </w:r>
      <w:r>
        <w:fldChar w:fldCharType="end"/>
      </w:r>
    </w:p>
    <w:p w14:paraId="004C9123" w14:textId="77777777" w:rsidR="003E2932" w:rsidRPr="00192ECA" w:rsidRDefault="003E2932" w:rsidP="00A64503">
      <w:pPr>
        <w:spacing w:after="0" w:line="240" w:lineRule="auto"/>
      </w:pPr>
    </w:p>
    <w:p w14:paraId="14688CE9" w14:textId="77777777" w:rsidR="003E2932" w:rsidRPr="00D54E17" w:rsidRDefault="003E2932" w:rsidP="00A64503">
      <w:pPr>
        <w:pStyle w:val="Heading2"/>
        <w:spacing w:before="0" w:after="0" w:line="240" w:lineRule="auto"/>
      </w:pPr>
      <w:bookmarkStart w:id="34" w:name="_Toc197557026"/>
      <w:bookmarkStart w:id="35" w:name="_Toc201512420"/>
      <w:r w:rsidRPr="00D54E17">
        <w:t>Aim</w:t>
      </w:r>
      <w:bookmarkEnd w:id="34"/>
      <w:bookmarkEnd w:id="35"/>
    </w:p>
    <w:p w14:paraId="09F28C09" w14:textId="77777777" w:rsidR="003E2932" w:rsidRDefault="003E2932" w:rsidP="00A64503">
      <w:pPr>
        <w:spacing w:after="0" w:line="240" w:lineRule="auto"/>
      </w:pPr>
      <w:r w:rsidRPr="00A27AAF">
        <w:t xml:space="preserve">This report </w:t>
      </w:r>
      <w:r>
        <w:t xml:space="preserve">aims to </w:t>
      </w:r>
      <w:r w:rsidRPr="00A27AAF">
        <w:t xml:space="preserve">describe the burden of tobacco-related cancers in Ireland from 1994 to 2022. </w:t>
      </w:r>
      <w:r>
        <w:t xml:space="preserve"> </w:t>
      </w:r>
    </w:p>
    <w:p w14:paraId="38F2D865" w14:textId="77777777" w:rsidR="003E2932" w:rsidRPr="00D54E17" w:rsidRDefault="003E2932" w:rsidP="00A64503">
      <w:pPr>
        <w:spacing w:after="0" w:line="240" w:lineRule="auto"/>
        <w:rPr>
          <w:rFonts w:eastAsiaTheme="majorEastAsia" w:cstheme="majorBidi"/>
          <w:color w:val="0F4761" w:themeColor="accent1" w:themeShade="BF"/>
          <w:sz w:val="28"/>
          <w:szCs w:val="28"/>
        </w:rPr>
      </w:pPr>
    </w:p>
    <w:p w14:paraId="57645D48" w14:textId="77777777" w:rsidR="003E2932" w:rsidRPr="00D54E17" w:rsidRDefault="003E2932" w:rsidP="00A64503">
      <w:pPr>
        <w:pStyle w:val="Heading3"/>
        <w:spacing w:before="0" w:after="0" w:line="240" w:lineRule="auto"/>
      </w:pPr>
      <w:bookmarkStart w:id="36" w:name="_Toc197557027"/>
      <w:bookmarkStart w:id="37" w:name="_Toc201512421"/>
      <w:r w:rsidRPr="00D54E17">
        <w:t>Objectives</w:t>
      </w:r>
      <w:bookmarkEnd w:id="36"/>
      <w:bookmarkEnd w:id="37"/>
    </w:p>
    <w:p w14:paraId="405B8738" w14:textId="77777777" w:rsidR="003E2932" w:rsidRDefault="003E2932" w:rsidP="00A64503">
      <w:pPr>
        <w:pStyle w:val="ListParagraph"/>
        <w:numPr>
          <w:ilvl w:val="0"/>
          <w:numId w:val="1"/>
        </w:numPr>
        <w:spacing w:after="0" w:line="240" w:lineRule="auto"/>
      </w:pPr>
      <w:r>
        <w:t>C</w:t>
      </w:r>
      <w:r w:rsidRPr="00A27AAF">
        <w:t xml:space="preserve">omprehensively describe trends over time </w:t>
      </w:r>
      <w:r>
        <w:t>in</w:t>
      </w:r>
      <w:r w:rsidRPr="00A27AAF">
        <w:t xml:space="preserve"> incidence, mortality and survival for tobacco-related cancers.</w:t>
      </w:r>
      <w:r>
        <w:t xml:space="preserve"> </w:t>
      </w:r>
    </w:p>
    <w:p w14:paraId="125F570C" w14:textId="77777777" w:rsidR="003E2932" w:rsidRDefault="003E2932" w:rsidP="00A64503">
      <w:pPr>
        <w:pStyle w:val="ListParagraph"/>
        <w:numPr>
          <w:ilvl w:val="0"/>
          <w:numId w:val="1"/>
        </w:numPr>
        <w:spacing w:after="0" w:line="240" w:lineRule="auto"/>
      </w:pPr>
      <w:r>
        <w:t>Examine differences in the burden of tobacco-related cancers according to age, sex and area level deprivation.</w:t>
      </w:r>
    </w:p>
    <w:p w14:paraId="6E9B29D1" w14:textId="131D9BFB" w:rsidR="003E2932" w:rsidRPr="00896ED5" w:rsidRDefault="003E2932" w:rsidP="00A64503">
      <w:pPr>
        <w:pStyle w:val="ListParagraph"/>
        <w:numPr>
          <w:ilvl w:val="0"/>
          <w:numId w:val="1"/>
        </w:numPr>
        <w:spacing w:after="0" w:line="240" w:lineRule="auto"/>
      </w:pPr>
      <w:r>
        <w:t>E</w:t>
      </w:r>
      <w:r w:rsidRPr="005F62C9">
        <w:t xml:space="preserve">stimate the </w:t>
      </w:r>
      <w:r w:rsidR="00F52D16">
        <w:t>p</w:t>
      </w:r>
      <w:r w:rsidRPr="005F62C9">
        <w:t xml:space="preserve">opulation </w:t>
      </w:r>
      <w:r w:rsidR="00F52D16">
        <w:t>a</w:t>
      </w:r>
      <w:r w:rsidRPr="005F62C9">
        <w:t xml:space="preserve">ttributable </w:t>
      </w:r>
      <w:r w:rsidR="00F52D16">
        <w:t>f</w:t>
      </w:r>
      <w:r w:rsidRPr="005F62C9">
        <w:t>raction</w:t>
      </w:r>
      <w:r>
        <w:t xml:space="preserve"> (PAF)</w:t>
      </w:r>
      <w:r w:rsidRPr="005F62C9">
        <w:t xml:space="preserve"> </w:t>
      </w:r>
      <w:r>
        <w:t>of</w:t>
      </w:r>
      <w:r w:rsidRPr="005F62C9">
        <w:t xml:space="preserve"> tobacco</w:t>
      </w:r>
      <w:r>
        <w:t xml:space="preserve"> smoking</w:t>
      </w:r>
      <w:r w:rsidRPr="005F62C9">
        <w:t xml:space="preserve"> </w:t>
      </w:r>
      <w:r>
        <w:t xml:space="preserve">on incident invasive </w:t>
      </w:r>
      <w:r w:rsidRPr="005F62C9">
        <w:t>cancer</w:t>
      </w:r>
      <w:r>
        <w:t xml:space="preserve"> cases (excluding non-melanoma skin cancer) </w:t>
      </w:r>
      <w:r w:rsidRPr="005F62C9">
        <w:t>in Ireland in 2022.</w:t>
      </w:r>
      <w:r>
        <w:t xml:space="preserve"> </w:t>
      </w:r>
    </w:p>
    <w:p w14:paraId="51A03B8C" w14:textId="77777777" w:rsidR="003E2932" w:rsidRDefault="003E2932" w:rsidP="00A64503">
      <w:pPr>
        <w:spacing w:after="0" w:line="240" w:lineRule="auto"/>
        <w:sectPr w:rsidR="003E2932" w:rsidSect="002746C0">
          <w:pgSz w:w="11906" w:h="16838"/>
          <w:pgMar w:top="1440" w:right="1440" w:bottom="1440" w:left="1440" w:header="709" w:footer="709" w:gutter="0"/>
          <w:cols w:space="708"/>
          <w:docGrid w:linePitch="360"/>
        </w:sectPr>
      </w:pPr>
    </w:p>
    <w:p w14:paraId="0B19572F" w14:textId="77777777" w:rsidR="003E2932" w:rsidRDefault="003E2932" w:rsidP="00A64503">
      <w:pPr>
        <w:pStyle w:val="Heading1"/>
        <w:spacing w:before="0" w:after="0" w:line="240" w:lineRule="auto"/>
      </w:pPr>
      <w:bookmarkStart w:id="38" w:name="_Toc201512422"/>
      <w:bookmarkStart w:id="39" w:name="_Toc197557028"/>
      <w:r>
        <w:t>Methods</w:t>
      </w:r>
      <w:bookmarkEnd w:id="38"/>
      <w:r>
        <w:t xml:space="preserve"> </w:t>
      </w:r>
      <w:bookmarkEnd w:id="39"/>
    </w:p>
    <w:p w14:paraId="66325A13" w14:textId="3B754829" w:rsidR="003E2932" w:rsidRPr="00B63D4B" w:rsidRDefault="003E2932" w:rsidP="00A64503">
      <w:pPr>
        <w:pStyle w:val="Heading2"/>
        <w:spacing w:before="0" w:after="0" w:line="240" w:lineRule="auto"/>
        <w:ind w:left="567" w:hanging="567"/>
      </w:pPr>
      <w:bookmarkStart w:id="40" w:name="_Toc197557029"/>
      <w:bookmarkStart w:id="41" w:name="_Toc201512423"/>
      <w:r w:rsidRPr="00B63D4B">
        <w:t xml:space="preserve">Cancer </w:t>
      </w:r>
      <w:r w:rsidR="00366242">
        <w:t xml:space="preserve">types </w:t>
      </w:r>
      <w:r w:rsidRPr="00B63D4B">
        <w:t>for inclusion</w:t>
      </w:r>
      <w:bookmarkEnd w:id="40"/>
      <w:bookmarkEnd w:id="41"/>
    </w:p>
    <w:p w14:paraId="34B666FD" w14:textId="275F1FBF" w:rsidR="003E2932" w:rsidRDefault="003E2932" w:rsidP="00A64503">
      <w:pPr>
        <w:spacing w:after="0" w:line="240" w:lineRule="auto"/>
      </w:pPr>
      <w:r>
        <w:t xml:space="preserve">This report considers cancer </w:t>
      </w:r>
      <w:r w:rsidR="00D95B00">
        <w:t>types</w:t>
      </w:r>
      <w:r>
        <w:t xml:space="preserve"> identified by IARC or WCRF as </w:t>
      </w:r>
      <w:r w:rsidR="009E6B9B">
        <w:t>tobacco</w:t>
      </w:r>
      <w:r w:rsidR="00D95B00">
        <w:t>-</w:t>
      </w:r>
      <w:r w:rsidR="009E6B9B">
        <w:t>related</w:t>
      </w:r>
      <w:r>
        <w:t>.</w:t>
      </w:r>
      <w:r w:rsidR="006D28E5">
        <w:fldChar w:fldCharType="begin"/>
      </w:r>
      <w:r w:rsidR="00A5309E">
        <w:instrText xml:space="preserve"> ADDIN ZOTERO_ITEM CSL_CITATION {"citationID":"a1f964ahrkj","properties":{"formattedCitation":"(28,31)","plainCitation":"(28,31)","noteIndex":0},"citationItems":[{"id":88,"uris":["http://zotero.org/users/local/fxpU1WWH/items/ZRVWB55H"],"itemData":{"id":88,"type":"book","abstract":"Volume 100 of the IARC Monographs, A Review of Human Carcinogens, covers all agents previously classified by IARC as \"carcinogenic to humans (Group 1)\" and was developed by six separate Working Groups: Pharmaceuticals; Biological agents; Arsenic, Metals, Fibres, and Dusts; Radiation; Personal Habits and Indoor Combustions; Chemical Agents and Related Occupations.This Volume 100E covers Personal Habits and Indoor Combustions, specifically Tobacco Smoking, Second-hand Tobacco Smoke, Smokeless Tobacco, N'-Nitrosonornicotine and 4-(methylnitrosamino)-1-(3-pyridyl)-1-butanone, Betel Quid and Areca Nut, Consumption of Alcoholic Beverages, Chinese-style Salted Fish, and Indoor Emissions from Household Combustion of Coal.Because the scope of Volume 100 is so broad, its Monographs are focused on key information. Each Monograph presents a description of a carcinogenic agent and how people are exposed, critical overviews of the epidemiological studies and animal cancer bioassays, and a concise review of the agent's toxicokinetics, plausible mechanisms of carcinogenesis, and potentially susceptible populations, and life-stages. Details of the design and results of individual epidemiological studies and animal cancer bioassays are summarized in tables. Short tables that highlight key results are printed in Volume 100, and more extensive tables that include all studies appear on the Monographs programme website (http://monographs.iarc.fr).It is hoped that this volume, by compiling the knowledge accumulated through several decades of cancer research, will stimulate cancer prevention activities worldwide, and will be a valued resource for future research to identify other agents suspected of causing cancer in humans.","ISBN":"978-92-832-1322-2","publisher":"International Agency for Research on Cancer","source":"PubMed","title":"Personal Habits and Indoor Combustions","author":[{"family":"Humans","given":"IARC Working Group on the Evaluation of Carcinogenic Risks","dropping-particle":"to"}],"issued":{"date-parts":[["2012"]]}}},{"id":52,"uris":["http://zotero.org/users/local/fxpU1WWH/items/FHNWJQ7W"],"itemData":{"id":52,"type":"webpage","abstract":"Smoking is the leading cause of cancer. Tobacco kills more than 8m people each year – which could be prevented if people didn't use tobacco","container-title":"World Cancer Research Fund","language":"en-GB","title":"Smoking and cancer","URL":"https://www.wcrf.org/preventing-cancer/topics/smoking-and-cancer/","accessed":{"date-parts":[["2025",4,30]]}}}],"schema":"https://github.com/citation-style-language/schema/raw/master/csl-citation.json"} </w:instrText>
      </w:r>
      <w:r w:rsidR="006D28E5">
        <w:fldChar w:fldCharType="separate"/>
      </w:r>
      <w:r w:rsidR="00A5309E" w:rsidRPr="00A5309E">
        <w:rPr>
          <w:rFonts w:ascii="Aptos" w:hAnsi="Aptos"/>
        </w:rPr>
        <w:t>(28,31)</w:t>
      </w:r>
      <w:r w:rsidR="006D28E5">
        <w:fldChar w:fldCharType="end"/>
      </w:r>
      <w:r>
        <w:t xml:space="preserve"> These, and the accompanying ICD codes, are presented in table </w:t>
      </w:r>
      <w:r w:rsidR="00F21CFD">
        <w:t>2.2.</w:t>
      </w:r>
    </w:p>
    <w:p w14:paraId="2328555A" w14:textId="77777777" w:rsidR="00882DDC" w:rsidRDefault="00882DDC" w:rsidP="00A64503">
      <w:pPr>
        <w:spacing w:after="0" w:line="240" w:lineRule="auto"/>
      </w:pPr>
    </w:p>
    <w:p w14:paraId="63465AD6" w14:textId="6FE28B5A" w:rsidR="00882DDC" w:rsidRDefault="009F384D" w:rsidP="00A64503">
      <w:pPr>
        <w:spacing w:after="0" w:line="240" w:lineRule="auto"/>
      </w:pPr>
      <w:r>
        <w:t>Due</w:t>
      </w:r>
      <w:r w:rsidR="00B66130">
        <w:t xml:space="preserve"> </w:t>
      </w:r>
      <w:r w:rsidR="00882DDC" w:rsidRPr="00882DDC">
        <w:t>to changes in coding practice over time (whereby some behaviour 1 &amp; 2 bladder cancers were likely coded as C67) a broader definition of bladder cancer (C67 bladder &amp; D090, D414 non-muscle invasive bladder cancer) has been used in this report</w:t>
      </w:r>
      <w:r>
        <w:t xml:space="preserve"> to </w:t>
      </w:r>
      <w:r w:rsidR="00B57FEC">
        <w:t>analyse incidence, survival and population attributable fractions</w:t>
      </w:r>
      <w:r w:rsidR="00882DDC" w:rsidRPr="00882DDC">
        <w:t>.</w:t>
      </w:r>
      <w:r w:rsidR="00AB7EC2">
        <w:t xml:space="preserve"> </w:t>
      </w:r>
      <w:r w:rsidR="00CC5DE6">
        <w:t>Mortality has been an</w:t>
      </w:r>
      <w:r w:rsidR="00C33652">
        <w:t xml:space="preserve">alysed using bladder (C67) only because </w:t>
      </w:r>
      <w:r w:rsidR="00C33652" w:rsidRPr="00C33652">
        <w:t>CSO mortality data does not provide mortality figures at the tumour morphological level</w:t>
      </w:r>
      <w:r w:rsidR="00C33652">
        <w:t>.</w:t>
      </w:r>
    </w:p>
    <w:p w14:paraId="5499DAD1" w14:textId="77777777" w:rsidR="003E2932" w:rsidRDefault="003E2932" w:rsidP="00A64503">
      <w:pPr>
        <w:spacing w:after="0" w:line="240" w:lineRule="auto"/>
      </w:pPr>
    </w:p>
    <w:p w14:paraId="2D6C54C6" w14:textId="77777777" w:rsidR="003E2932" w:rsidRPr="00B63D4B" w:rsidRDefault="003E2932" w:rsidP="00A64503">
      <w:pPr>
        <w:pStyle w:val="Heading2"/>
        <w:spacing w:before="0" w:after="0" w:line="240" w:lineRule="auto"/>
        <w:ind w:left="567" w:hanging="567"/>
      </w:pPr>
      <w:bookmarkStart w:id="42" w:name="_Toc197557030"/>
      <w:bookmarkStart w:id="43" w:name="_Toc201512424"/>
      <w:r w:rsidRPr="00B63D4B">
        <w:t>Incidence</w:t>
      </w:r>
      <w:bookmarkEnd w:id="42"/>
      <w:r>
        <w:t xml:space="preserve"> &amp; Mortality</w:t>
      </w:r>
      <w:bookmarkEnd w:id="43"/>
    </w:p>
    <w:p w14:paraId="2FFD0965" w14:textId="5945E1FE" w:rsidR="003E2932" w:rsidRDefault="003E2932" w:rsidP="00A64503">
      <w:pPr>
        <w:spacing w:after="0" w:line="240" w:lineRule="auto"/>
      </w:pPr>
      <w:r>
        <w:t>The number of cancer cases in Ireland was obtained from the National Cancer Registry Ireland (NCRI).</w:t>
      </w:r>
      <w:r w:rsidRPr="00AE3F75">
        <w:t xml:space="preserve"> Mor</w:t>
      </w:r>
      <w:r w:rsidR="0004335B">
        <w:t>t</w:t>
      </w:r>
      <w:r w:rsidRPr="00AE3F75">
        <w:t xml:space="preserve">ality data for Ireland </w:t>
      </w:r>
      <w:r w:rsidR="00F21CFD">
        <w:t xml:space="preserve">were </w:t>
      </w:r>
      <w:r w:rsidRPr="00AE3F75">
        <w:t>obtained from the Central Statistics Office Ireland</w:t>
      </w:r>
      <w:r w:rsidR="00A64503">
        <w:t>.</w:t>
      </w:r>
      <w:r w:rsidR="00A64503">
        <w:fldChar w:fldCharType="begin"/>
      </w:r>
      <w:r w:rsidR="00A5309E">
        <w:instrText xml:space="preserve"> ADDIN ZOTERO_ITEM CSL_CITATION {"citationID":"a19eqk68jvj","properties":{"formattedCitation":"(50)","plainCitation":"(50)","noteIndex":0},"citationItems":[{"id":265,"uris":["http://zotero.org/users/local/fxpU1WWH/items/7RCKYZ63"],"itemData":{"id":265,"type":"webpage","language":"en","note":"publisher: CSO","title":"Databases - CSO - Central Statistics Office","URL":"https://www.cso.ie/en/databases/","accessed":{"date-parts":[["2025",6,22]]}}}],"schema":"https://github.com/citation-style-language/schema/raw/master/csl-citation.json"} </w:instrText>
      </w:r>
      <w:r w:rsidR="00A64503">
        <w:fldChar w:fldCharType="separate"/>
      </w:r>
      <w:r w:rsidR="00A5309E" w:rsidRPr="00A5309E">
        <w:rPr>
          <w:rFonts w:ascii="Aptos" w:hAnsi="Aptos"/>
        </w:rPr>
        <w:t>(50)</w:t>
      </w:r>
      <w:r w:rsidR="00A64503">
        <w:fldChar w:fldCharType="end"/>
      </w:r>
    </w:p>
    <w:p w14:paraId="195E3CE3" w14:textId="77777777" w:rsidR="003E2932" w:rsidRDefault="003E2932" w:rsidP="00A64503">
      <w:pPr>
        <w:spacing w:after="0" w:line="240" w:lineRule="auto"/>
      </w:pPr>
    </w:p>
    <w:p w14:paraId="4F529818" w14:textId="0D532F34" w:rsidR="003E2932" w:rsidRDefault="003E2932" w:rsidP="00A64503">
      <w:pPr>
        <w:spacing w:after="0" w:line="240" w:lineRule="auto"/>
      </w:pPr>
      <w:r>
        <w:t xml:space="preserve">All age groups were included in this analysis. Incidence and mortality rates </w:t>
      </w:r>
      <w:r w:rsidR="00F07090">
        <w:t xml:space="preserve">were </w:t>
      </w:r>
      <w:r>
        <w:t>calculated as the number of cases divided by the total</w:t>
      </w:r>
      <w:r w:rsidR="0004335B">
        <w:t xml:space="preserve"> midyear</w:t>
      </w:r>
      <w:r>
        <w:t xml:space="preserve"> population</w:t>
      </w:r>
      <w:r w:rsidR="00A204A3">
        <w:t>.</w:t>
      </w:r>
      <w:r w:rsidR="00A64503">
        <w:fldChar w:fldCharType="begin"/>
      </w:r>
      <w:r w:rsidR="00A5309E">
        <w:instrText xml:space="preserve"> ADDIN ZOTERO_ITEM CSL_CITATION {"citationID":"a23b3a1duo5","properties":{"formattedCitation":"(50)","plainCitation":"(50)","noteIndex":0},"citationItems":[{"id":265,"uris":["http://zotero.org/users/local/fxpU1WWH/items/7RCKYZ63"],"itemData":{"id":265,"type":"webpage","language":"en","note":"publisher: CSO","title":"Databases - CSO - Central Statistics Office","URL":"https://www.cso.ie/en/databases/","accessed":{"date-parts":[["2025",6,22]]}}}],"schema":"https://github.com/citation-style-language/schema/raw/master/csl-citation.json"} </w:instrText>
      </w:r>
      <w:r w:rsidR="00A64503">
        <w:fldChar w:fldCharType="separate"/>
      </w:r>
      <w:r w:rsidR="00A5309E" w:rsidRPr="00A5309E">
        <w:rPr>
          <w:rFonts w:ascii="Aptos" w:hAnsi="Aptos"/>
        </w:rPr>
        <w:t>(50)</w:t>
      </w:r>
      <w:r w:rsidR="00A64503">
        <w:fldChar w:fldCharType="end"/>
      </w:r>
      <w:r w:rsidR="003A3AFD">
        <w:t xml:space="preserve"> </w:t>
      </w:r>
      <w:r>
        <w:t>These rates were standardised using the 2013 European Standard Population (ESP) and presented as age-standardised rates. Age-standardisation is one of the key methods to control for different age distributions among populations or over time. When comparing cancer incidence or mortality patterns between countries, regions or periods, variation in age and sex distribution presented as crude rates or case counts can be misleading, and age-standardisation is recommended. Age-standardised rates are reported separately by sex, because of differences, often substantial, in rates between males and females.</w:t>
      </w:r>
    </w:p>
    <w:p w14:paraId="2EA1C36F" w14:textId="77777777" w:rsidR="003E2932" w:rsidRDefault="003E2932" w:rsidP="00A64503">
      <w:pPr>
        <w:spacing w:after="0" w:line="240" w:lineRule="auto"/>
      </w:pPr>
    </w:p>
    <w:p w14:paraId="0ED356B0" w14:textId="5D846245" w:rsidR="003E2932" w:rsidRPr="00E54545" w:rsidRDefault="003E2932" w:rsidP="00A64503">
      <w:pPr>
        <w:spacing w:after="0" w:line="240" w:lineRule="auto"/>
      </w:pPr>
      <w:r w:rsidRPr="00E54545">
        <w:t>Joinpoint regression was used to assess trends</w:t>
      </w:r>
      <w:r>
        <w:t xml:space="preserve"> (</w:t>
      </w:r>
      <w:r w:rsidRPr="00E54545">
        <w:t>annual percentage change (APC)</w:t>
      </w:r>
      <w:r>
        <w:t>)</w:t>
      </w:r>
      <w:r w:rsidRPr="00E54545">
        <w:t xml:space="preserve"> in inciden</w:t>
      </w:r>
      <w:r>
        <w:t>ce and mortality</w:t>
      </w:r>
      <w:r w:rsidRPr="00E54545">
        <w:t xml:space="preserve"> rates for each cancer. Subsequently</w:t>
      </w:r>
      <w:r w:rsidR="006D28E5">
        <w:t>,</w:t>
      </w:r>
      <w:r w:rsidRPr="00E54545">
        <w:t xml:space="preserve"> to aid interpretation European age-standardised rates were plotted according to year (1994-2022) and by sex.</w:t>
      </w:r>
    </w:p>
    <w:p w14:paraId="5CB15DDA" w14:textId="77777777" w:rsidR="003E2932" w:rsidRDefault="003E2932" w:rsidP="00A64503">
      <w:pPr>
        <w:spacing w:after="0" w:line="240" w:lineRule="auto"/>
      </w:pPr>
    </w:p>
    <w:p w14:paraId="57E764F3" w14:textId="77777777" w:rsidR="003E2932" w:rsidRPr="00B63D4B" w:rsidRDefault="003E2932" w:rsidP="00A64503">
      <w:pPr>
        <w:pStyle w:val="Heading2"/>
        <w:tabs>
          <w:tab w:val="left" w:pos="567"/>
        </w:tabs>
        <w:spacing w:before="0" w:after="0" w:line="240" w:lineRule="auto"/>
        <w:ind w:left="1427" w:hanging="1427"/>
      </w:pPr>
      <w:bookmarkStart w:id="44" w:name="_Toc197557031"/>
      <w:bookmarkStart w:id="45" w:name="_Toc201512425"/>
      <w:r>
        <w:t>Survival</w:t>
      </w:r>
      <w:bookmarkEnd w:id="44"/>
      <w:bookmarkEnd w:id="45"/>
    </w:p>
    <w:p w14:paraId="6318A454" w14:textId="39C9387A" w:rsidR="003E2932" w:rsidRDefault="003E2932" w:rsidP="00A64503">
      <w:pPr>
        <w:spacing w:after="0" w:line="240" w:lineRule="auto"/>
      </w:pPr>
      <w:r>
        <w:t>Five-year survival probabilities for cases diagnosed within 1994-1998, 1999-2003, 2004-2008, 2009-2013 and 2014-2018 were estimated using cohort analysis, whereas period analysis was used to estimate survival for 2019-2022</w:t>
      </w:r>
      <w:r w:rsidR="00A55F65">
        <w:t>.</w:t>
      </w:r>
      <w:r>
        <w:t xml:space="preserve"> Cohort survival represents the survival rates of individuals diagnosed in the time period and followed up for the next 5-years. Period survival estimates the survival of patients diagnosed in the most recent period, even though they have not yet completed five-years follow-up. Period survival can be likened to life expectancy, where the projected lifespan of people born in a particular year is based on the mortality risk for that year. Similarly, period survival predicts the survival rates of patients diagnosed between 2019 and 2022.</w:t>
      </w:r>
    </w:p>
    <w:p w14:paraId="4365137E" w14:textId="77777777" w:rsidR="003E2932" w:rsidRDefault="003E2932" w:rsidP="00A64503">
      <w:pPr>
        <w:spacing w:after="0" w:line="240" w:lineRule="auto"/>
      </w:pPr>
    </w:p>
    <w:p w14:paraId="07C5B257" w14:textId="56B4F7E3" w:rsidR="003E2932" w:rsidRDefault="003E2932" w:rsidP="00A64503">
      <w:pPr>
        <w:spacing w:after="0" w:line="240" w:lineRule="auto"/>
      </w:pPr>
      <w:r>
        <w:t xml:space="preserve">Net survival estimates probability of a patient surviving a given time (from date of diagnosis to date of death/censor date) taking into account the underlying population life tables. It is the expected survival in the hypothetical situation in which cancer is the only possible cause of death, that is adjusted for other causes of death using a lifetable for the population of interest. </w:t>
      </w:r>
      <w:r w:rsidRPr="002B5372">
        <w:t xml:space="preserve"> </w:t>
      </w:r>
      <w:r>
        <w:t xml:space="preserve">It measures the effect of the excess mortality associated with a cancer diagnosis. Five-year net survival is a commonly quoted metric by population-based cancer registries which allows comparisons across time periods and countries. Calculation of net survival does not require cause-of-death information which is not always certain in death certificates. Calculations used the ‘strs’ command in Stata with ‘Pohar’ option and estimates have been constrained so that net survival does not exceed 100% in any follow-up interval. </w:t>
      </w:r>
    </w:p>
    <w:p w14:paraId="46576A87" w14:textId="77777777" w:rsidR="003E2932" w:rsidRDefault="003E2932" w:rsidP="00A64503">
      <w:pPr>
        <w:spacing w:after="0" w:line="240" w:lineRule="auto"/>
      </w:pPr>
    </w:p>
    <w:p w14:paraId="39E10455" w14:textId="77777777" w:rsidR="003E2932" w:rsidRPr="00B63D4B" w:rsidRDefault="003E2932" w:rsidP="00A64503">
      <w:pPr>
        <w:pStyle w:val="Heading2"/>
        <w:spacing w:before="0" w:after="0" w:line="240" w:lineRule="auto"/>
        <w:ind w:left="709" w:hanging="709"/>
      </w:pPr>
      <w:bookmarkStart w:id="46" w:name="_Toc197557032"/>
      <w:bookmarkStart w:id="47" w:name="_Toc201512426"/>
      <w:r>
        <w:t>Deprivation</w:t>
      </w:r>
      <w:bookmarkEnd w:id="46"/>
      <w:bookmarkEnd w:id="47"/>
    </w:p>
    <w:p w14:paraId="08701057" w14:textId="6847BE43" w:rsidR="003E2932" w:rsidRDefault="003E2932" w:rsidP="00A64503">
      <w:pPr>
        <w:spacing w:after="0" w:line="240" w:lineRule="auto"/>
      </w:pPr>
      <w:r>
        <w:t>Cancer patients were assigned, based on addresses geocoded to electoral division (ED) level, to deprivation strata derived from the 2016 Pobal Haase-Pratschke Deprivation Index at ED level</w:t>
      </w:r>
      <w:r w:rsidR="00635670">
        <w:t>.</w:t>
      </w:r>
      <w:r w:rsidR="00C26EB4">
        <w:fldChar w:fldCharType="begin"/>
      </w:r>
      <w:r w:rsidR="00A5309E">
        <w:instrText xml:space="preserve"> ADDIN ZOTERO_ITEM CSL_CITATION {"citationID":"gcO7d1t1","properties":{"formattedCitation":"(51)","plainCitation":"(51)","noteIndex":0},"citationItems":[{"id":222,"uris":["http://zotero.org/users/local/fxpU1WWH/items/QW6KNDHK"],"itemData":{"id":222,"type":"document","source":"Google Scholar","title":"The 2016 Pobal HP deprivation index for small areas (SA). 2017","author":[{"family":"Haase","given":"T."},{"family":"Pratschke","given":"J."}],"issued":{"date-parts":[["2020"]]}}}],"schema":"https://github.com/citation-style-language/schema/raw/master/csl-citation.json"} </w:instrText>
      </w:r>
      <w:r w:rsidR="00C26EB4">
        <w:fldChar w:fldCharType="separate"/>
      </w:r>
      <w:r w:rsidR="00A5309E" w:rsidRPr="00A5309E">
        <w:rPr>
          <w:rFonts w:ascii="Aptos" w:hAnsi="Aptos"/>
        </w:rPr>
        <w:t>(51)</w:t>
      </w:r>
      <w:r w:rsidR="00C26EB4">
        <w:fldChar w:fldCharType="end"/>
      </w:r>
      <w:r w:rsidR="00C26EB4">
        <w:t xml:space="preserve"> </w:t>
      </w:r>
      <w:r>
        <w:t xml:space="preserve">This index is a proxy variable for relative affluence and deprivation. Scores on this index are based on information collected by the Central Statistics Office at household level in the relevant national </w:t>
      </w:r>
      <w:r w:rsidR="004543B1">
        <w:t>c</w:t>
      </w:r>
      <w:r>
        <w:t xml:space="preserve">ensus. The index is based on the combination of three dimensions of relative affluence and deprivation in each area including the demographic profile (e.g. percentage increase in population over the previous five years), social class composition (e.g. percentage of population with a primary school education only) and the labour market situation (e.g. male and female unemployment rate). Analyses for the diagnosis period examined, 2014-2018, compares cancer incidence across deprivation strata based on the 2016 index. The 2022 index is not currently linked to the NCRI data and so the 2019-2022 diagnosis period could not be examined in this report. </w:t>
      </w:r>
    </w:p>
    <w:p w14:paraId="43C84904" w14:textId="77777777" w:rsidR="005F4BDB" w:rsidRDefault="005F4BDB" w:rsidP="00A64503">
      <w:pPr>
        <w:spacing w:after="0" w:line="240" w:lineRule="auto"/>
      </w:pPr>
    </w:p>
    <w:p w14:paraId="4E2F9CD1" w14:textId="77777777" w:rsidR="003E2932" w:rsidRDefault="003E2932" w:rsidP="00A64503">
      <w:pPr>
        <w:spacing w:after="0" w:line="240" w:lineRule="auto"/>
      </w:pPr>
      <w:r w:rsidRPr="001153B4">
        <w:t xml:space="preserve">For this report, deprivation quintiles were assigned at the electoral division (ED) level by ranking EDs from least to most deprived and dividing them into five groups of equal population size. This classification was based on the total population (all ages and both sexes combined) for the relevant year. </w:t>
      </w:r>
      <w:r>
        <w:t>This assignment of cases to quintiles was done for practical reasons, to ensure that each deprivation category had broadly comparable numerators and denominators and to avoid having too many categories.</w:t>
      </w:r>
    </w:p>
    <w:p w14:paraId="139FD525" w14:textId="77777777" w:rsidR="003E2932" w:rsidRDefault="003E2932" w:rsidP="00A64503">
      <w:pPr>
        <w:spacing w:after="0" w:line="240" w:lineRule="auto"/>
      </w:pPr>
    </w:p>
    <w:p w14:paraId="75C0B066" w14:textId="77777777" w:rsidR="003E2932" w:rsidRDefault="003E2932" w:rsidP="00A64503">
      <w:pPr>
        <w:pStyle w:val="Heading2"/>
        <w:spacing w:before="0" w:after="0" w:line="240" w:lineRule="auto"/>
        <w:ind w:left="709" w:hanging="709"/>
      </w:pPr>
      <w:bookmarkStart w:id="48" w:name="_Toc197557033"/>
      <w:bookmarkStart w:id="49" w:name="_Toc201512427"/>
      <w:r w:rsidRPr="00B63D4B">
        <w:t>Population attributable fraction (PAF)</w:t>
      </w:r>
      <w:bookmarkEnd w:id="48"/>
      <w:bookmarkEnd w:id="49"/>
    </w:p>
    <w:p w14:paraId="7C3C2F97" w14:textId="77777777" w:rsidR="003E2932" w:rsidRPr="00B63D4B" w:rsidRDefault="003E2932" w:rsidP="00A64503">
      <w:pPr>
        <w:pStyle w:val="Heading3"/>
        <w:spacing w:before="0" w:after="0" w:line="240" w:lineRule="auto"/>
      </w:pPr>
      <w:bookmarkStart w:id="50" w:name="_Toc197557034"/>
      <w:bookmarkStart w:id="51" w:name="_Toc201512428"/>
      <w:r>
        <w:t>Data required for PAF calculation</w:t>
      </w:r>
      <w:bookmarkEnd w:id="50"/>
      <w:bookmarkEnd w:id="51"/>
    </w:p>
    <w:p w14:paraId="2BFA9B7C" w14:textId="77777777" w:rsidR="003E2932" w:rsidRDefault="003E2932" w:rsidP="00A64503">
      <w:pPr>
        <w:spacing w:after="0" w:line="240" w:lineRule="auto"/>
      </w:pPr>
      <w:r>
        <w:t xml:space="preserve">The PAF is interpreted as the proportion of cases that would be prevented if exposure to a causal factor (i.e. smoking) in the entire population was adjusted to the level of the reference category (i.e. the level of ideal exposure to a risk factor, usually zero). </w:t>
      </w:r>
    </w:p>
    <w:p w14:paraId="482B9F9D" w14:textId="77777777" w:rsidR="003E2932" w:rsidRDefault="003E2932" w:rsidP="00A64503">
      <w:pPr>
        <w:spacing w:after="0" w:line="240" w:lineRule="auto"/>
      </w:pPr>
    </w:p>
    <w:p w14:paraId="4C973362" w14:textId="77777777" w:rsidR="003E2932" w:rsidRDefault="003E2932" w:rsidP="00A64503">
      <w:pPr>
        <w:spacing w:after="0" w:line="240" w:lineRule="auto"/>
      </w:pPr>
      <w:r>
        <w:t xml:space="preserve">Calculating PAF as percentages and attributable cases requires information on the population prevalence of each risk factor, the relative risk associated with each risk factor, and the incidence of each cancer type in the population. Cancer incidence data for 2022 was obtained for the Irish population from the NCRI which records all incident cancers in Ireland. All age groups were included in the analysis. Results were calculated for males, females and total (male &amp; female combined). </w:t>
      </w:r>
    </w:p>
    <w:p w14:paraId="5F9B1F46" w14:textId="77777777" w:rsidR="003E2932" w:rsidRDefault="003E2932" w:rsidP="00A64503">
      <w:pPr>
        <w:spacing w:after="0" w:line="240" w:lineRule="auto"/>
      </w:pPr>
    </w:p>
    <w:p w14:paraId="5D0BB71D" w14:textId="6E0540E4" w:rsidR="003E2932" w:rsidRDefault="003E2932" w:rsidP="00A64503">
      <w:pPr>
        <w:spacing w:after="0" w:line="240" w:lineRule="auto"/>
      </w:pPr>
      <w:r>
        <w:t xml:space="preserve">Literature was reviewed to identify the most suitable Irish-based population smoking prevalence data. When calculating PAFs, the amount of time between exposure to the risk factor and cancer outcome (time lag) was considered. A 10-year lag was considered reasonable based on methodology used by similar national studies in other jurisdictions. As smoking prevalence data </w:t>
      </w:r>
      <w:r w:rsidR="00B26A9C">
        <w:t>were</w:t>
      </w:r>
      <w:r w:rsidDel="0016672A">
        <w:t xml:space="preserve"> </w:t>
      </w:r>
      <w:r>
        <w:t>not available for 2012, data from the nearest timeframe available w</w:t>
      </w:r>
      <w:r w:rsidR="0016672A">
        <w:t>ere</w:t>
      </w:r>
      <w:r w:rsidR="00F64E7E">
        <w:t xml:space="preserve"> </w:t>
      </w:r>
      <w:r>
        <w:t xml:space="preserve">used. The Healthy Ireland survey of 2015 was used for current and ex-smoker prevalence estimates. The Healthy Ireland survey of 2016 was used to estimate exposure to second hand smoke. Table </w:t>
      </w:r>
      <w:r w:rsidR="0075645A">
        <w:t>2.1</w:t>
      </w:r>
      <w:r>
        <w:t xml:space="preserve"> notes the smoking exposure information used in the PAF calculations.</w:t>
      </w:r>
    </w:p>
    <w:p w14:paraId="257CC8F3" w14:textId="77777777" w:rsidR="003E2932" w:rsidRDefault="003E2932" w:rsidP="00A64503">
      <w:pPr>
        <w:spacing w:after="0" w:line="240" w:lineRule="auto"/>
      </w:pPr>
    </w:p>
    <w:tbl>
      <w:tblPr>
        <w:tblStyle w:val="TableGrid"/>
        <w:tblW w:w="0" w:type="auto"/>
        <w:tblLook w:val="04A0" w:firstRow="1" w:lastRow="0" w:firstColumn="1" w:lastColumn="0" w:noHBand="0" w:noVBand="1"/>
      </w:tblPr>
      <w:tblGrid>
        <w:gridCol w:w="1271"/>
        <w:gridCol w:w="1359"/>
        <w:gridCol w:w="1476"/>
        <w:gridCol w:w="1559"/>
        <w:gridCol w:w="1560"/>
        <w:gridCol w:w="1701"/>
      </w:tblGrid>
      <w:tr w:rsidR="003E2932" w:rsidRPr="00175D90" w14:paraId="1090C504" w14:textId="77777777" w:rsidTr="0041177B">
        <w:tc>
          <w:tcPr>
            <w:tcW w:w="8926" w:type="dxa"/>
            <w:gridSpan w:val="6"/>
            <w:shd w:val="clear" w:color="auto" w:fill="0E2841" w:themeFill="text2"/>
          </w:tcPr>
          <w:p w14:paraId="3F35DDF5" w14:textId="5D17C1E5" w:rsidR="003E2932" w:rsidRPr="00E54545" w:rsidRDefault="003E2932" w:rsidP="00A64503">
            <w:pPr>
              <w:rPr>
                <w:rFonts w:ascii="Aptos Narrow" w:hAnsi="Aptos Narrow"/>
                <w:b/>
                <w:bCs/>
                <w:color w:val="FFFFFF" w:themeColor="background1"/>
              </w:rPr>
            </w:pPr>
            <w:r w:rsidRPr="00E54545">
              <w:rPr>
                <w:rFonts w:ascii="Aptos Narrow" w:hAnsi="Aptos Narrow"/>
                <w:b/>
                <w:bCs/>
                <w:color w:val="FFFFFF" w:themeColor="background1"/>
              </w:rPr>
              <w:t xml:space="preserve">Table </w:t>
            </w:r>
            <w:r w:rsidR="0075645A">
              <w:rPr>
                <w:rFonts w:ascii="Aptos Narrow" w:hAnsi="Aptos Narrow"/>
                <w:b/>
                <w:bCs/>
                <w:color w:val="FFFFFF" w:themeColor="background1"/>
              </w:rPr>
              <w:t>2.1</w:t>
            </w:r>
            <w:r w:rsidRPr="00E54545">
              <w:rPr>
                <w:rFonts w:ascii="Aptos Narrow" w:hAnsi="Aptos Narrow"/>
                <w:b/>
                <w:bCs/>
                <w:color w:val="FFFFFF" w:themeColor="background1"/>
              </w:rPr>
              <w:t>: Smoking exposure from the 2015 and 2016 Healthy Ireland surveys</w:t>
            </w:r>
          </w:p>
        </w:tc>
      </w:tr>
      <w:tr w:rsidR="003E2932" w:rsidRPr="00175D90" w14:paraId="22922F77" w14:textId="77777777" w:rsidTr="003B4D48">
        <w:tc>
          <w:tcPr>
            <w:tcW w:w="1271" w:type="dxa"/>
          </w:tcPr>
          <w:p w14:paraId="1CE2E918" w14:textId="77777777" w:rsidR="003E2932" w:rsidRPr="00175D90" w:rsidRDefault="003E2932" w:rsidP="00A64503">
            <w:pPr>
              <w:rPr>
                <w:rFonts w:ascii="Aptos Narrow" w:hAnsi="Aptos Narrow"/>
              </w:rPr>
            </w:pPr>
          </w:p>
        </w:tc>
        <w:tc>
          <w:tcPr>
            <w:tcW w:w="4394" w:type="dxa"/>
            <w:gridSpan w:val="3"/>
          </w:tcPr>
          <w:p w14:paraId="481511DD" w14:textId="39972BD2" w:rsidR="003E2932" w:rsidRPr="00175D90" w:rsidRDefault="003E2932" w:rsidP="00A64503">
            <w:pPr>
              <w:jc w:val="center"/>
              <w:rPr>
                <w:rFonts w:ascii="Aptos Narrow" w:hAnsi="Aptos Narrow"/>
                <w:b/>
                <w:bCs/>
              </w:rPr>
            </w:pPr>
            <w:r w:rsidRPr="00175D90">
              <w:rPr>
                <w:rFonts w:ascii="Aptos Narrow" w:hAnsi="Aptos Narrow"/>
                <w:b/>
                <w:bCs/>
              </w:rPr>
              <w:t>Smoking</w:t>
            </w:r>
            <w:r w:rsidR="003B4D48">
              <w:rPr>
                <w:rFonts w:ascii="Aptos Narrow" w:hAnsi="Aptos Narrow"/>
                <w:b/>
                <w:bCs/>
              </w:rPr>
              <w:t xml:space="preserve"> </w:t>
            </w:r>
          </w:p>
        </w:tc>
        <w:tc>
          <w:tcPr>
            <w:tcW w:w="3261" w:type="dxa"/>
            <w:gridSpan w:val="2"/>
          </w:tcPr>
          <w:p w14:paraId="6B5B2473" w14:textId="06024928" w:rsidR="003E2932" w:rsidRPr="00175D90" w:rsidRDefault="003E2932" w:rsidP="00A64503">
            <w:pPr>
              <w:jc w:val="center"/>
              <w:rPr>
                <w:rFonts w:ascii="Aptos Narrow" w:hAnsi="Aptos Narrow"/>
                <w:b/>
                <w:bCs/>
              </w:rPr>
            </w:pPr>
            <w:r w:rsidRPr="00175D90">
              <w:rPr>
                <w:rFonts w:ascii="Aptos Narrow" w:hAnsi="Aptos Narrow"/>
                <w:b/>
                <w:bCs/>
              </w:rPr>
              <w:t>Second hand smoke (SHS)</w:t>
            </w:r>
            <w:r w:rsidR="003B4D48">
              <w:rPr>
                <w:rFonts w:ascii="Aptos Narrow" w:hAnsi="Aptos Narrow"/>
                <w:b/>
                <w:bCs/>
              </w:rPr>
              <w:t xml:space="preserve"> </w:t>
            </w:r>
          </w:p>
        </w:tc>
      </w:tr>
      <w:tr w:rsidR="003E2932" w:rsidRPr="00175D90" w14:paraId="41A0C986" w14:textId="77777777" w:rsidTr="003B4D48">
        <w:tc>
          <w:tcPr>
            <w:tcW w:w="1271" w:type="dxa"/>
          </w:tcPr>
          <w:p w14:paraId="5D339A0E" w14:textId="77777777" w:rsidR="003E2932" w:rsidRPr="00175D90" w:rsidRDefault="003E2932" w:rsidP="00A64503">
            <w:pPr>
              <w:rPr>
                <w:rFonts w:ascii="Aptos Narrow" w:hAnsi="Aptos Narrow"/>
                <w:b/>
                <w:bCs/>
              </w:rPr>
            </w:pPr>
          </w:p>
        </w:tc>
        <w:tc>
          <w:tcPr>
            <w:tcW w:w="1359" w:type="dxa"/>
          </w:tcPr>
          <w:p w14:paraId="1FAA0346" w14:textId="5A975A8B" w:rsidR="003E2932" w:rsidRPr="00175D90" w:rsidRDefault="0004335B" w:rsidP="00A64503">
            <w:pPr>
              <w:rPr>
                <w:rFonts w:ascii="Aptos Narrow" w:hAnsi="Aptos Narrow"/>
                <w:b/>
                <w:bCs/>
              </w:rPr>
            </w:pPr>
            <w:r>
              <w:rPr>
                <w:rFonts w:ascii="Aptos Narrow" w:hAnsi="Aptos Narrow"/>
                <w:b/>
                <w:bCs/>
              </w:rPr>
              <w:t>Sample Size</w:t>
            </w:r>
          </w:p>
        </w:tc>
        <w:tc>
          <w:tcPr>
            <w:tcW w:w="1476" w:type="dxa"/>
          </w:tcPr>
          <w:p w14:paraId="584C5564" w14:textId="77777777" w:rsidR="003E2932" w:rsidRPr="00175D90" w:rsidRDefault="003E2932" w:rsidP="00A64503">
            <w:pPr>
              <w:rPr>
                <w:rFonts w:ascii="Aptos Narrow" w:hAnsi="Aptos Narrow"/>
                <w:b/>
                <w:bCs/>
              </w:rPr>
            </w:pPr>
            <w:r w:rsidRPr="00175D90">
              <w:rPr>
                <w:rFonts w:ascii="Aptos Narrow" w:hAnsi="Aptos Narrow"/>
                <w:b/>
                <w:bCs/>
              </w:rPr>
              <w:t>% current smoker (n)</w:t>
            </w:r>
          </w:p>
        </w:tc>
        <w:tc>
          <w:tcPr>
            <w:tcW w:w="1559" w:type="dxa"/>
          </w:tcPr>
          <w:p w14:paraId="0374C9AE" w14:textId="77777777" w:rsidR="003E2932" w:rsidRPr="00175D90" w:rsidRDefault="003E2932" w:rsidP="00A64503">
            <w:pPr>
              <w:rPr>
                <w:rFonts w:ascii="Aptos Narrow" w:hAnsi="Aptos Narrow"/>
                <w:b/>
                <w:bCs/>
              </w:rPr>
            </w:pPr>
            <w:r w:rsidRPr="00175D90">
              <w:rPr>
                <w:rFonts w:ascii="Aptos Narrow" w:hAnsi="Aptos Narrow"/>
                <w:b/>
                <w:bCs/>
              </w:rPr>
              <w:t>% ex-smoker (n)</w:t>
            </w:r>
          </w:p>
        </w:tc>
        <w:tc>
          <w:tcPr>
            <w:tcW w:w="1560" w:type="dxa"/>
          </w:tcPr>
          <w:p w14:paraId="3269BE5A" w14:textId="7B79801A" w:rsidR="003E2932" w:rsidRPr="00175D90" w:rsidRDefault="00E83204" w:rsidP="00A64503">
            <w:pPr>
              <w:rPr>
                <w:rFonts w:ascii="Aptos Narrow" w:hAnsi="Aptos Narrow"/>
                <w:b/>
                <w:bCs/>
              </w:rPr>
            </w:pPr>
            <w:r>
              <w:rPr>
                <w:rFonts w:ascii="Aptos Narrow" w:hAnsi="Aptos Narrow"/>
                <w:b/>
                <w:bCs/>
              </w:rPr>
              <w:t>Sample size</w:t>
            </w:r>
          </w:p>
        </w:tc>
        <w:tc>
          <w:tcPr>
            <w:tcW w:w="1701" w:type="dxa"/>
          </w:tcPr>
          <w:p w14:paraId="1DB847A2" w14:textId="77777777" w:rsidR="003E2932" w:rsidRPr="00175D90" w:rsidRDefault="003E2932" w:rsidP="00A64503">
            <w:pPr>
              <w:rPr>
                <w:rFonts w:ascii="Aptos Narrow" w:hAnsi="Aptos Narrow"/>
                <w:b/>
                <w:bCs/>
              </w:rPr>
            </w:pPr>
            <w:r w:rsidRPr="00175D90">
              <w:rPr>
                <w:rFonts w:ascii="Aptos Narrow" w:hAnsi="Aptos Narrow"/>
                <w:b/>
                <w:bCs/>
              </w:rPr>
              <w:t>% exposed (n exposed)</w:t>
            </w:r>
          </w:p>
        </w:tc>
      </w:tr>
      <w:tr w:rsidR="003E2932" w:rsidRPr="00175D90" w14:paraId="62731D10" w14:textId="77777777" w:rsidTr="003B4D48">
        <w:tc>
          <w:tcPr>
            <w:tcW w:w="1271" w:type="dxa"/>
          </w:tcPr>
          <w:p w14:paraId="505FF1F2" w14:textId="77777777" w:rsidR="003E2932" w:rsidRPr="00175D90" w:rsidRDefault="003E2932" w:rsidP="00A64503">
            <w:pPr>
              <w:rPr>
                <w:rFonts w:ascii="Aptos Narrow" w:hAnsi="Aptos Narrow"/>
              </w:rPr>
            </w:pPr>
            <w:r w:rsidRPr="00175D90">
              <w:rPr>
                <w:rFonts w:ascii="Aptos Narrow" w:hAnsi="Aptos Narrow"/>
              </w:rPr>
              <w:t>Male</w:t>
            </w:r>
          </w:p>
        </w:tc>
        <w:tc>
          <w:tcPr>
            <w:tcW w:w="1359" w:type="dxa"/>
          </w:tcPr>
          <w:p w14:paraId="0BD1A9B5" w14:textId="77777777" w:rsidR="003E2932" w:rsidRPr="00175D90" w:rsidRDefault="003E2932" w:rsidP="00A64503">
            <w:pPr>
              <w:rPr>
                <w:rFonts w:ascii="Aptos Narrow" w:hAnsi="Aptos Narrow"/>
              </w:rPr>
            </w:pPr>
            <w:r w:rsidRPr="00175D90">
              <w:rPr>
                <w:rFonts w:ascii="Aptos Narrow" w:hAnsi="Aptos Narrow"/>
              </w:rPr>
              <w:t>3</w:t>
            </w:r>
            <w:r>
              <w:rPr>
                <w:rFonts w:ascii="Aptos Narrow" w:hAnsi="Aptos Narrow"/>
              </w:rPr>
              <w:t>,</w:t>
            </w:r>
            <w:r w:rsidRPr="00175D90">
              <w:rPr>
                <w:rFonts w:ascii="Aptos Narrow" w:hAnsi="Aptos Narrow"/>
              </w:rPr>
              <w:t>262</w:t>
            </w:r>
          </w:p>
        </w:tc>
        <w:tc>
          <w:tcPr>
            <w:tcW w:w="1476" w:type="dxa"/>
          </w:tcPr>
          <w:p w14:paraId="05684199" w14:textId="77777777" w:rsidR="003E2932" w:rsidRPr="00175D90" w:rsidRDefault="003E2932" w:rsidP="00A64503">
            <w:pPr>
              <w:rPr>
                <w:rFonts w:ascii="Aptos Narrow" w:hAnsi="Aptos Narrow"/>
              </w:rPr>
            </w:pPr>
            <w:r w:rsidRPr="00175D90">
              <w:rPr>
                <w:rFonts w:ascii="Aptos Narrow" w:hAnsi="Aptos Narrow"/>
              </w:rPr>
              <w:t>25.7 (868)</w:t>
            </w:r>
          </w:p>
        </w:tc>
        <w:tc>
          <w:tcPr>
            <w:tcW w:w="1559" w:type="dxa"/>
          </w:tcPr>
          <w:p w14:paraId="0BA950F1" w14:textId="77777777" w:rsidR="003E2932" w:rsidRPr="00175D90" w:rsidRDefault="003E2932" w:rsidP="00A64503">
            <w:pPr>
              <w:rPr>
                <w:rFonts w:ascii="Aptos Narrow" w:hAnsi="Aptos Narrow"/>
              </w:rPr>
            </w:pPr>
            <w:r w:rsidRPr="00175D90">
              <w:rPr>
                <w:rFonts w:ascii="Aptos Narrow" w:hAnsi="Aptos Narrow"/>
              </w:rPr>
              <w:t>32.1 (1082)</w:t>
            </w:r>
          </w:p>
        </w:tc>
        <w:tc>
          <w:tcPr>
            <w:tcW w:w="1560" w:type="dxa"/>
          </w:tcPr>
          <w:p w14:paraId="7992F687" w14:textId="2E615462" w:rsidR="003E2932" w:rsidRPr="00175D90" w:rsidRDefault="003E2932" w:rsidP="00A64503">
            <w:pPr>
              <w:rPr>
                <w:rFonts w:ascii="Aptos Narrow" w:hAnsi="Aptos Narrow"/>
              </w:rPr>
            </w:pPr>
            <w:r w:rsidRPr="00175D90">
              <w:rPr>
                <w:rFonts w:ascii="Aptos Narrow" w:hAnsi="Aptos Narrow"/>
              </w:rPr>
              <w:t>3</w:t>
            </w:r>
            <w:r w:rsidR="00035D39">
              <w:rPr>
                <w:rFonts w:ascii="Aptos Narrow" w:hAnsi="Aptos Narrow"/>
              </w:rPr>
              <w:t>,</w:t>
            </w:r>
            <w:r w:rsidRPr="00175D90">
              <w:rPr>
                <w:rFonts w:ascii="Aptos Narrow" w:hAnsi="Aptos Narrow"/>
              </w:rPr>
              <w:t>157</w:t>
            </w:r>
          </w:p>
        </w:tc>
        <w:tc>
          <w:tcPr>
            <w:tcW w:w="1701" w:type="dxa"/>
          </w:tcPr>
          <w:p w14:paraId="1608961A" w14:textId="77777777" w:rsidR="003E2932" w:rsidRPr="00175D90" w:rsidRDefault="003E2932" w:rsidP="00A64503">
            <w:pPr>
              <w:rPr>
                <w:rFonts w:ascii="Aptos Narrow" w:hAnsi="Aptos Narrow"/>
              </w:rPr>
            </w:pPr>
            <w:r w:rsidRPr="00175D90">
              <w:rPr>
                <w:rFonts w:ascii="Aptos Narrow" w:hAnsi="Aptos Narrow"/>
              </w:rPr>
              <w:t>19.2 (638)</w:t>
            </w:r>
          </w:p>
        </w:tc>
      </w:tr>
      <w:tr w:rsidR="003E2932" w:rsidRPr="00175D90" w14:paraId="451A1DD4" w14:textId="77777777" w:rsidTr="003B4D48">
        <w:tc>
          <w:tcPr>
            <w:tcW w:w="1271" w:type="dxa"/>
          </w:tcPr>
          <w:p w14:paraId="752EE2CC" w14:textId="77777777" w:rsidR="003E2932" w:rsidRPr="00175D90" w:rsidRDefault="003E2932" w:rsidP="00A64503">
            <w:pPr>
              <w:rPr>
                <w:rFonts w:ascii="Aptos Narrow" w:hAnsi="Aptos Narrow"/>
              </w:rPr>
            </w:pPr>
            <w:r w:rsidRPr="00175D90">
              <w:rPr>
                <w:rFonts w:ascii="Aptos Narrow" w:hAnsi="Aptos Narrow"/>
              </w:rPr>
              <w:t>Female</w:t>
            </w:r>
          </w:p>
        </w:tc>
        <w:tc>
          <w:tcPr>
            <w:tcW w:w="1359" w:type="dxa"/>
          </w:tcPr>
          <w:p w14:paraId="22BFB335" w14:textId="77777777" w:rsidR="003E2932" w:rsidRPr="00175D90" w:rsidRDefault="003E2932" w:rsidP="00A64503">
            <w:pPr>
              <w:rPr>
                <w:rFonts w:ascii="Aptos Narrow" w:hAnsi="Aptos Narrow"/>
              </w:rPr>
            </w:pPr>
            <w:r w:rsidRPr="00175D90">
              <w:rPr>
                <w:rFonts w:ascii="Aptos Narrow" w:hAnsi="Aptos Narrow"/>
              </w:rPr>
              <w:t>3</w:t>
            </w:r>
            <w:r>
              <w:rPr>
                <w:rFonts w:ascii="Aptos Narrow" w:hAnsi="Aptos Narrow"/>
              </w:rPr>
              <w:t>,</w:t>
            </w:r>
            <w:r w:rsidRPr="00175D90">
              <w:rPr>
                <w:rFonts w:ascii="Aptos Narrow" w:hAnsi="Aptos Narrow"/>
              </w:rPr>
              <w:t>908</w:t>
            </w:r>
          </w:p>
        </w:tc>
        <w:tc>
          <w:tcPr>
            <w:tcW w:w="1476" w:type="dxa"/>
          </w:tcPr>
          <w:p w14:paraId="2F4ABEEA" w14:textId="77777777" w:rsidR="003E2932" w:rsidRPr="00175D90" w:rsidRDefault="003E2932" w:rsidP="00A64503">
            <w:pPr>
              <w:rPr>
                <w:rFonts w:ascii="Aptos Narrow" w:hAnsi="Aptos Narrow"/>
              </w:rPr>
            </w:pPr>
            <w:r w:rsidRPr="00175D90">
              <w:rPr>
                <w:rFonts w:ascii="Aptos Narrow" w:hAnsi="Aptos Narrow"/>
              </w:rPr>
              <w:t>22.0 (774)</w:t>
            </w:r>
          </w:p>
        </w:tc>
        <w:tc>
          <w:tcPr>
            <w:tcW w:w="1559" w:type="dxa"/>
          </w:tcPr>
          <w:p w14:paraId="618AD57F" w14:textId="77777777" w:rsidR="003E2932" w:rsidRPr="00175D90" w:rsidRDefault="003E2932" w:rsidP="00A64503">
            <w:pPr>
              <w:rPr>
                <w:rFonts w:ascii="Aptos Narrow" w:hAnsi="Aptos Narrow"/>
              </w:rPr>
            </w:pPr>
            <w:r w:rsidRPr="00175D90">
              <w:rPr>
                <w:rFonts w:ascii="Aptos Narrow" w:hAnsi="Aptos Narrow"/>
              </w:rPr>
              <w:t>27.5 (964)</w:t>
            </w:r>
          </w:p>
        </w:tc>
        <w:tc>
          <w:tcPr>
            <w:tcW w:w="1560" w:type="dxa"/>
          </w:tcPr>
          <w:p w14:paraId="262D55B6" w14:textId="66EF0C3D" w:rsidR="003E2932" w:rsidRPr="00175D90" w:rsidRDefault="003E2932" w:rsidP="00A64503">
            <w:pPr>
              <w:rPr>
                <w:rFonts w:ascii="Aptos Narrow" w:hAnsi="Aptos Narrow"/>
              </w:rPr>
            </w:pPr>
            <w:r w:rsidRPr="00175D90">
              <w:rPr>
                <w:rFonts w:ascii="Aptos Narrow" w:hAnsi="Aptos Narrow"/>
              </w:rPr>
              <w:t>4</w:t>
            </w:r>
            <w:r w:rsidR="00035D39">
              <w:rPr>
                <w:rFonts w:ascii="Aptos Narrow" w:hAnsi="Aptos Narrow"/>
              </w:rPr>
              <w:t>,</w:t>
            </w:r>
            <w:r w:rsidRPr="00175D90">
              <w:rPr>
                <w:rFonts w:ascii="Aptos Narrow" w:hAnsi="Aptos Narrow"/>
              </w:rPr>
              <w:t>034</w:t>
            </w:r>
          </w:p>
        </w:tc>
        <w:tc>
          <w:tcPr>
            <w:tcW w:w="1701" w:type="dxa"/>
          </w:tcPr>
          <w:p w14:paraId="343DE229" w14:textId="77777777" w:rsidR="003E2932" w:rsidRPr="00175D90" w:rsidRDefault="003E2932" w:rsidP="00A64503">
            <w:pPr>
              <w:rPr>
                <w:rFonts w:ascii="Aptos Narrow" w:hAnsi="Aptos Narrow"/>
              </w:rPr>
            </w:pPr>
            <w:r w:rsidRPr="00175D90">
              <w:rPr>
                <w:rFonts w:ascii="Aptos Narrow" w:hAnsi="Aptos Narrow"/>
              </w:rPr>
              <w:t>15.2 (535)</w:t>
            </w:r>
          </w:p>
        </w:tc>
      </w:tr>
    </w:tbl>
    <w:p w14:paraId="15F72D2D" w14:textId="77777777" w:rsidR="003E2932" w:rsidRDefault="003E2932" w:rsidP="00A64503">
      <w:pPr>
        <w:spacing w:after="0" w:line="240" w:lineRule="auto"/>
      </w:pPr>
    </w:p>
    <w:p w14:paraId="468CE50C" w14:textId="703D9B4B" w:rsidR="003E2932" w:rsidRDefault="003E2932" w:rsidP="00A64503">
      <w:pPr>
        <w:shd w:val="clear" w:color="auto" w:fill="FFFFFF" w:themeFill="background1"/>
        <w:spacing w:after="0" w:line="240" w:lineRule="auto"/>
      </w:pPr>
      <w:r w:rsidRPr="008A7167">
        <w:t xml:space="preserve">Relative risks </w:t>
      </w:r>
      <w:r>
        <w:t xml:space="preserve">were taken </w:t>
      </w:r>
      <w:r w:rsidRPr="008A7167">
        <w:t>from recent published literature</w:t>
      </w:r>
      <w:r w:rsidR="006506D7">
        <w:t xml:space="preserve">. </w:t>
      </w:r>
      <w:r>
        <w:t>They</w:t>
      </w:r>
      <w:r w:rsidRPr="008A7167">
        <w:t xml:space="preserve"> w</w:t>
      </w:r>
      <w:r>
        <w:t>ere</w:t>
      </w:r>
      <w:r w:rsidRPr="008A7167">
        <w:t xml:space="preserve"> reviewed to determine the most relevant for this analysis. Table </w:t>
      </w:r>
      <w:r w:rsidR="0075645A">
        <w:t>2.2</w:t>
      </w:r>
      <w:r w:rsidRPr="008A7167">
        <w:t xml:space="preserve"> lists the relative risks and sources used for each cancer type in the analysis.</w:t>
      </w:r>
    </w:p>
    <w:p w14:paraId="3B3F673B" w14:textId="77777777" w:rsidR="003E2932" w:rsidRDefault="003E2932" w:rsidP="00A64503">
      <w:pPr>
        <w:spacing w:after="0" w:line="240" w:lineRule="auto"/>
      </w:pPr>
      <w:r>
        <w:br w:type="page"/>
      </w:r>
    </w:p>
    <w:tbl>
      <w:tblPr>
        <w:tblW w:w="0" w:type="auto"/>
        <w:tblInd w:w="-714" w:type="dxa"/>
        <w:tblLayout w:type="fixed"/>
        <w:tblLook w:val="04A0" w:firstRow="1" w:lastRow="0" w:firstColumn="1" w:lastColumn="0" w:noHBand="0" w:noVBand="1"/>
      </w:tblPr>
      <w:tblGrid>
        <w:gridCol w:w="1843"/>
        <w:gridCol w:w="837"/>
        <w:gridCol w:w="864"/>
        <w:gridCol w:w="709"/>
        <w:gridCol w:w="851"/>
        <w:gridCol w:w="708"/>
        <w:gridCol w:w="993"/>
        <w:gridCol w:w="992"/>
        <w:gridCol w:w="1933"/>
      </w:tblGrid>
      <w:tr w:rsidR="003E2932" w:rsidRPr="005832BE" w14:paraId="7AA73D1B" w14:textId="77777777" w:rsidTr="0041177B">
        <w:trPr>
          <w:trHeight w:val="300"/>
        </w:trPr>
        <w:tc>
          <w:tcPr>
            <w:tcW w:w="9730" w:type="dxa"/>
            <w:gridSpan w:val="9"/>
            <w:tcBorders>
              <w:top w:val="single" w:sz="4" w:space="0" w:color="000000"/>
              <w:left w:val="single" w:sz="4" w:space="0" w:color="000000"/>
              <w:bottom w:val="single" w:sz="4" w:space="0" w:color="000000"/>
              <w:right w:val="single" w:sz="4" w:space="0" w:color="000000"/>
            </w:tcBorders>
            <w:shd w:val="clear" w:color="auto" w:fill="0E2841" w:themeFill="text2"/>
            <w:vAlign w:val="center"/>
          </w:tcPr>
          <w:p w14:paraId="47A0B0B0" w14:textId="36410A68" w:rsidR="003E2932" w:rsidRPr="005832BE" w:rsidRDefault="003E2932" w:rsidP="00A64503">
            <w:pPr>
              <w:spacing w:after="0" w:line="240" w:lineRule="auto"/>
              <w:rPr>
                <w:rFonts w:ascii="Aptos Narrow" w:eastAsia="Times New Roman" w:hAnsi="Aptos Narrow" w:cs="Arial"/>
                <w:b/>
                <w:bCs/>
                <w:kern w:val="0"/>
                <w:sz w:val="20"/>
                <w:szCs w:val="20"/>
                <w:lang w:eastAsia="en-GB"/>
                <w14:ligatures w14:val="none"/>
              </w:rPr>
            </w:pPr>
            <w:r>
              <w:br w:type="page"/>
            </w:r>
            <w:r w:rsidRPr="005832BE">
              <w:rPr>
                <w:rFonts w:ascii="Aptos Narrow" w:eastAsia="Times New Roman" w:hAnsi="Aptos Narrow" w:cs="Arial"/>
                <w:b/>
                <w:bCs/>
                <w:kern w:val="0"/>
                <w:sz w:val="20"/>
                <w:szCs w:val="20"/>
                <w:lang w:eastAsia="en-GB"/>
                <w14:ligatures w14:val="none"/>
              </w:rPr>
              <w:t xml:space="preserve">Table </w:t>
            </w:r>
            <w:r w:rsidR="0075645A">
              <w:rPr>
                <w:rFonts w:ascii="Aptos Narrow" w:eastAsia="Times New Roman" w:hAnsi="Aptos Narrow" w:cs="Arial"/>
                <w:b/>
                <w:bCs/>
                <w:kern w:val="0"/>
                <w:sz w:val="20"/>
                <w:szCs w:val="20"/>
                <w:lang w:eastAsia="en-GB"/>
                <w14:ligatures w14:val="none"/>
              </w:rPr>
              <w:t>2.2</w:t>
            </w:r>
            <w:r w:rsidRPr="005832BE">
              <w:rPr>
                <w:rFonts w:ascii="Aptos Narrow" w:eastAsia="Times New Roman" w:hAnsi="Aptos Narrow" w:cs="Arial"/>
                <w:b/>
                <w:bCs/>
                <w:kern w:val="0"/>
                <w:sz w:val="20"/>
                <w:szCs w:val="20"/>
                <w:lang w:eastAsia="en-GB"/>
                <w14:ligatures w14:val="none"/>
              </w:rPr>
              <w:t>: Relative risks and their sources</w:t>
            </w:r>
          </w:p>
        </w:tc>
      </w:tr>
      <w:tr w:rsidR="003E2932" w:rsidRPr="005832BE" w14:paraId="6E7B0134" w14:textId="77777777" w:rsidTr="0041177B">
        <w:trPr>
          <w:trHeight w:val="300"/>
        </w:trPr>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CE02798" w14:textId="77777777" w:rsidR="003E2932" w:rsidRPr="005832BE" w:rsidRDefault="003E2932" w:rsidP="00A64503">
            <w:pPr>
              <w:spacing w:after="0" w:line="240" w:lineRule="auto"/>
              <w:jc w:val="center"/>
              <w:rPr>
                <w:rFonts w:ascii="Aptos Narrow" w:eastAsia="Times New Roman" w:hAnsi="Aptos Narrow" w:cs="Arial"/>
                <w:b/>
                <w:bCs/>
                <w:kern w:val="0"/>
                <w:sz w:val="20"/>
                <w:szCs w:val="20"/>
                <w:lang w:eastAsia="en-GB"/>
                <w14:ligatures w14:val="none"/>
              </w:rPr>
            </w:pPr>
            <w:r w:rsidRPr="005832BE">
              <w:rPr>
                <w:rFonts w:ascii="Aptos Narrow" w:eastAsia="Times New Roman" w:hAnsi="Aptos Narrow" w:cs="Arial"/>
                <w:b/>
                <w:bCs/>
                <w:kern w:val="0"/>
                <w:sz w:val="20"/>
                <w:szCs w:val="20"/>
                <w:lang w:eastAsia="en-GB"/>
                <w14:ligatures w14:val="none"/>
              </w:rPr>
              <w:t>Cancer</w:t>
            </w:r>
          </w:p>
        </w:tc>
        <w:tc>
          <w:tcPr>
            <w:tcW w:w="83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E5BFCE9" w14:textId="77777777" w:rsidR="003E2932" w:rsidRPr="005832BE" w:rsidRDefault="003E2932" w:rsidP="00A64503">
            <w:pPr>
              <w:spacing w:after="0" w:line="240" w:lineRule="auto"/>
              <w:jc w:val="center"/>
              <w:rPr>
                <w:rFonts w:ascii="Aptos Narrow" w:eastAsia="Times New Roman" w:hAnsi="Aptos Narrow" w:cs="Arial"/>
                <w:b/>
                <w:bCs/>
                <w:kern w:val="0"/>
                <w:sz w:val="20"/>
                <w:szCs w:val="20"/>
                <w:lang w:eastAsia="en-GB"/>
                <w14:ligatures w14:val="none"/>
              </w:rPr>
            </w:pPr>
            <w:r w:rsidRPr="005832BE">
              <w:rPr>
                <w:rFonts w:ascii="Aptos Narrow" w:eastAsia="Times New Roman" w:hAnsi="Aptos Narrow" w:cs="Arial"/>
                <w:b/>
                <w:bCs/>
                <w:kern w:val="0"/>
                <w:sz w:val="20"/>
                <w:szCs w:val="20"/>
                <w:lang w:eastAsia="en-GB"/>
                <w14:ligatures w14:val="none"/>
              </w:rPr>
              <w:t>ICD</w:t>
            </w:r>
          </w:p>
        </w:tc>
        <w:tc>
          <w:tcPr>
            <w:tcW w:w="1573"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6A0258E0" w14:textId="77777777" w:rsidR="003E2932" w:rsidRPr="005832BE" w:rsidRDefault="003E2932" w:rsidP="00A64503">
            <w:pPr>
              <w:spacing w:after="0" w:line="240" w:lineRule="auto"/>
              <w:jc w:val="center"/>
              <w:rPr>
                <w:rFonts w:ascii="Aptos Narrow" w:eastAsia="Times New Roman" w:hAnsi="Aptos Narrow" w:cs="Arial"/>
                <w:b/>
                <w:bCs/>
                <w:kern w:val="0"/>
                <w:sz w:val="20"/>
                <w:szCs w:val="20"/>
                <w:lang w:eastAsia="en-GB"/>
                <w14:ligatures w14:val="none"/>
              </w:rPr>
            </w:pPr>
            <w:r w:rsidRPr="005832BE">
              <w:rPr>
                <w:rFonts w:ascii="Aptos Narrow" w:eastAsia="Times New Roman" w:hAnsi="Aptos Narrow" w:cs="Arial"/>
                <w:b/>
                <w:bCs/>
                <w:kern w:val="0"/>
                <w:sz w:val="20"/>
                <w:szCs w:val="20"/>
                <w:lang w:eastAsia="en-GB"/>
                <w14:ligatures w14:val="none"/>
              </w:rPr>
              <w:t>Male</w:t>
            </w:r>
          </w:p>
        </w:tc>
        <w:tc>
          <w:tcPr>
            <w:tcW w:w="1559"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7718683B" w14:textId="77777777" w:rsidR="003E2932" w:rsidRPr="005832BE" w:rsidRDefault="003E2932" w:rsidP="00A64503">
            <w:pPr>
              <w:spacing w:after="0" w:line="240" w:lineRule="auto"/>
              <w:jc w:val="center"/>
              <w:rPr>
                <w:rFonts w:ascii="Aptos Narrow" w:eastAsia="Times New Roman" w:hAnsi="Aptos Narrow" w:cs="Arial"/>
                <w:b/>
                <w:bCs/>
                <w:kern w:val="0"/>
                <w:sz w:val="20"/>
                <w:szCs w:val="20"/>
                <w:lang w:eastAsia="en-GB"/>
                <w14:ligatures w14:val="none"/>
              </w:rPr>
            </w:pPr>
            <w:r w:rsidRPr="005832BE">
              <w:rPr>
                <w:rFonts w:ascii="Aptos Narrow" w:eastAsia="Times New Roman" w:hAnsi="Aptos Narrow" w:cs="Arial"/>
                <w:b/>
                <w:bCs/>
                <w:kern w:val="0"/>
                <w:sz w:val="20"/>
                <w:szCs w:val="20"/>
                <w:lang w:eastAsia="en-GB"/>
                <w14:ligatures w14:val="none"/>
              </w:rPr>
              <w:t>Female</w:t>
            </w:r>
          </w:p>
        </w:tc>
        <w:tc>
          <w:tcPr>
            <w:tcW w:w="1985"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7E639DFC" w14:textId="4CDCFB05" w:rsidR="003E2932" w:rsidRPr="005832BE" w:rsidRDefault="003E2932" w:rsidP="00D95B00">
            <w:pPr>
              <w:spacing w:after="0" w:line="240" w:lineRule="auto"/>
              <w:jc w:val="center"/>
              <w:rPr>
                <w:rFonts w:ascii="Aptos Narrow" w:eastAsia="Times New Roman" w:hAnsi="Aptos Narrow" w:cs="Arial"/>
                <w:b/>
                <w:bCs/>
                <w:kern w:val="0"/>
                <w:sz w:val="20"/>
                <w:szCs w:val="20"/>
                <w:lang w:eastAsia="en-GB"/>
                <w14:ligatures w14:val="none"/>
              </w:rPr>
            </w:pPr>
            <w:r w:rsidRPr="005832BE">
              <w:rPr>
                <w:rFonts w:ascii="Aptos Narrow" w:eastAsia="Times New Roman" w:hAnsi="Aptos Narrow" w:cs="Arial"/>
                <w:b/>
                <w:bCs/>
                <w:kern w:val="0"/>
                <w:sz w:val="20"/>
                <w:szCs w:val="20"/>
                <w:lang w:eastAsia="en-GB"/>
                <w14:ligatures w14:val="none"/>
              </w:rPr>
              <w:t>SHS</w:t>
            </w:r>
          </w:p>
        </w:tc>
        <w:tc>
          <w:tcPr>
            <w:tcW w:w="193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EB0C4CE" w14:textId="77777777" w:rsidR="003E2932" w:rsidRPr="005832BE" w:rsidRDefault="003E2932" w:rsidP="00A64503">
            <w:pPr>
              <w:spacing w:after="0" w:line="240" w:lineRule="auto"/>
              <w:jc w:val="center"/>
              <w:rPr>
                <w:rFonts w:ascii="Aptos Narrow" w:eastAsia="Times New Roman" w:hAnsi="Aptos Narrow" w:cs="Arial"/>
                <w:b/>
                <w:bCs/>
                <w:kern w:val="0"/>
                <w:sz w:val="20"/>
                <w:szCs w:val="20"/>
                <w:lang w:eastAsia="en-GB"/>
                <w14:ligatures w14:val="none"/>
              </w:rPr>
            </w:pPr>
            <w:r w:rsidRPr="005832BE">
              <w:rPr>
                <w:rFonts w:ascii="Aptos Narrow" w:eastAsia="Times New Roman" w:hAnsi="Aptos Narrow" w:cs="Arial"/>
                <w:b/>
                <w:bCs/>
                <w:kern w:val="0"/>
                <w:sz w:val="20"/>
                <w:szCs w:val="20"/>
                <w:lang w:eastAsia="en-GB"/>
                <w14:ligatures w14:val="none"/>
              </w:rPr>
              <w:t>Source</w:t>
            </w:r>
          </w:p>
        </w:tc>
      </w:tr>
      <w:tr w:rsidR="003E2932" w:rsidRPr="005832BE" w14:paraId="4D738566" w14:textId="77777777" w:rsidTr="0041177B">
        <w:trPr>
          <w:trHeight w:val="300"/>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7FEA1715" w14:textId="77777777" w:rsidR="003E2932" w:rsidRPr="005832BE" w:rsidRDefault="003E2932" w:rsidP="00A64503">
            <w:pPr>
              <w:spacing w:after="0" w:line="240" w:lineRule="auto"/>
              <w:rPr>
                <w:rFonts w:ascii="Aptos Narrow" w:eastAsia="Times New Roman" w:hAnsi="Aptos Narrow" w:cs="Arial"/>
                <w:b/>
                <w:bCs/>
                <w:kern w:val="0"/>
                <w:sz w:val="20"/>
                <w:szCs w:val="20"/>
                <w:lang w:eastAsia="en-GB"/>
                <w14:ligatures w14:val="none"/>
              </w:rPr>
            </w:pPr>
          </w:p>
        </w:tc>
        <w:tc>
          <w:tcPr>
            <w:tcW w:w="837" w:type="dxa"/>
            <w:vMerge/>
            <w:tcBorders>
              <w:top w:val="single" w:sz="4" w:space="0" w:color="000000"/>
              <w:left w:val="single" w:sz="4" w:space="0" w:color="000000"/>
              <w:bottom w:val="single" w:sz="4" w:space="0" w:color="000000"/>
              <w:right w:val="single" w:sz="4" w:space="0" w:color="000000"/>
            </w:tcBorders>
            <w:vAlign w:val="center"/>
            <w:hideMark/>
          </w:tcPr>
          <w:p w14:paraId="52846FBF" w14:textId="77777777" w:rsidR="003E2932" w:rsidRPr="005832BE" w:rsidRDefault="003E2932" w:rsidP="00A64503">
            <w:pPr>
              <w:spacing w:after="0" w:line="240" w:lineRule="auto"/>
              <w:rPr>
                <w:rFonts w:ascii="Aptos Narrow" w:eastAsia="Times New Roman" w:hAnsi="Aptos Narrow" w:cs="Arial"/>
                <w:b/>
                <w:bCs/>
                <w:kern w:val="0"/>
                <w:sz w:val="20"/>
                <w:szCs w:val="20"/>
                <w:lang w:eastAsia="en-GB"/>
                <w14:ligatures w14:val="none"/>
              </w:rPr>
            </w:pPr>
          </w:p>
        </w:tc>
        <w:tc>
          <w:tcPr>
            <w:tcW w:w="864" w:type="dxa"/>
            <w:tcBorders>
              <w:top w:val="nil"/>
              <w:left w:val="nil"/>
              <w:bottom w:val="single" w:sz="4" w:space="0" w:color="000000"/>
              <w:right w:val="single" w:sz="4" w:space="0" w:color="000000"/>
            </w:tcBorders>
            <w:shd w:val="clear" w:color="auto" w:fill="auto"/>
            <w:noWrap/>
            <w:vAlign w:val="bottom"/>
            <w:hideMark/>
          </w:tcPr>
          <w:p w14:paraId="3DBFDA9D" w14:textId="77777777" w:rsidR="003E2932" w:rsidRPr="0007314C" w:rsidRDefault="003E2932" w:rsidP="00A64503">
            <w:pPr>
              <w:spacing w:after="0" w:line="240" w:lineRule="auto"/>
              <w:rPr>
                <w:rFonts w:ascii="Aptos Narrow" w:eastAsia="Times New Roman" w:hAnsi="Aptos Narrow" w:cs="Arial"/>
                <w:b/>
                <w:bCs/>
                <w:kern w:val="0"/>
                <w:sz w:val="16"/>
                <w:szCs w:val="16"/>
                <w:lang w:eastAsia="en-GB"/>
                <w14:ligatures w14:val="none"/>
              </w:rPr>
            </w:pPr>
            <w:r w:rsidRPr="0007314C">
              <w:rPr>
                <w:rFonts w:ascii="Aptos Narrow" w:eastAsia="Times New Roman" w:hAnsi="Aptos Narrow" w:cs="Arial"/>
                <w:b/>
                <w:bCs/>
                <w:kern w:val="0"/>
                <w:sz w:val="16"/>
                <w:szCs w:val="16"/>
                <w:lang w:eastAsia="en-GB"/>
                <w14:ligatures w14:val="none"/>
              </w:rPr>
              <w:t>Current</w:t>
            </w:r>
          </w:p>
        </w:tc>
        <w:tc>
          <w:tcPr>
            <w:tcW w:w="709" w:type="dxa"/>
            <w:tcBorders>
              <w:top w:val="nil"/>
              <w:left w:val="nil"/>
              <w:bottom w:val="single" w:sz="4" w:space="0" w:color="000000"/>
              <w:right w:val="single" w:sz="4" w:space="0" w:color="000000"/>
            </w:tcBorders>
            <w:shd w:val="clear" w:color="auto" w:fill="auto"/>
            <w:noWrap/>
            <w:vAlign w:val="bottom"/>
            <w:hideMark/>
          </w:tcPr>
          <w:p w14:paraId="043285EA" w14:textId="77777777" w:rsidR="003E2932" w:rsidRPr="0007314C" w:rsidRDefault="003E2932" w:rsidP="00A64503">
            <w:pPr>
              <w:spacing w:after="0" w:line="240" w:lineRule="auto"/>
              <w:rPr>
                <w:rFonts w:ascii="Aptos Narrow" w:eastAsia="Times New Roman" w:hAnsi="Aptos Narrow" w:cs="Arial"/>
                <w:b/>
                <w:bCs/>
                <w:kern w:val="0"/>
                <w:sz w:val="16"/>
                <w:szCs w:val="16"/>
                <w:lang w:eastAsia="en-GB"/>
                <w14:ligatures w14:val="none"/>
              </w:rPr>
            </w:pPr>
            <w:r w:rsidRPr="0007314C">
              <w:rPr>
                <w:rFonts w:ascii="Aptos Narrow" w:eastAsia="Times New Roman" w:hAnsi="Aptos Narrow" w:cs="Arial"/>
                <w:b/>
                <w:bCs/>
                <w:kern w:val="0"/>
                <w:sz w:val="16"/>
                <w:szCs w:val="16"/>
                <w:lang w:eastAsia="en-GB"/>
                <w14:ligatures w14:val="none"/>
              </w:rPr>
              <w:t>Ex</w:t>
            </w:r>
          </w:p>
        </w:tc>
        <w:tc>
          <w:tcPr>
            <w:tcW w:w="851" w:type="dxa"/>
            <w:tcBorders>
              <w:top w:val="nil"/>
              <w:left w:val="nil"/>
              <w:bottom w:val="single" w:sz="4" w:space="0" w:color="000000"/>
              <w:right w:val="single" w:sz="4" w:space="0" w:color="000000"/>
            </w:tcBorders>
            <w:shd w:val="clear" w:color="auto" w:fill="auto"/>
            <w:noWrap/>
            <w:vAlign w:val="bottom"/>
            <w:hideMark/>
          </w:tcPr>
          <w:p w14:paraId="2148236C" w14:textId="77777777" w:rsidR="003E2932" w:rsidRPr="0007314C" w:rsidRDefault="003E2932" w:rsidP="00A64503">
            <w:pPr>
              <w:spacing w:after="0" w:line="240" w:lineRule="auto"/>
              <w:rPr>
                <w:rFonts w:ascii="Aptos Narrow" w:eastAsia="Times New Roman" w:hAnsi="Aptos Narrow" w:cs="Arial"/>
                <w:b/>
                <w:bCs/>
                <w:kern w:val="0"/>
                <w:sz w:val="16"/>
                <w:szCs w:val="16"/>
                <w:lang w:eastAsia="en-GB"/>
                <w14:ligatures w14:val="none"/>
              </w:rPr>
            </w:pPr>
            <w:r w:rsidRPr="0007314C">
              <w:rPr>
                <w:rFonts w:ascii="Aptos Narrow" w:eastAsia="Times New Roman" w:hAnsi="Aptos Narrow" w:cs="Arial"/>
                <w:b/>
                <w:bCs/>
                <w:kern w:val="0"/>
                <w:sz w:val="16"/>
                <w:szCs w:val="16"/>
                <w:lang w:eastAsia="en-GB"/>
                <w14:ligatures w14:val="none"/>
              </w:rPr>
              <w:t>Current</w:t>
            </w:r>
          </w:p>
        </w:tc>
        <w:tc>
          <w:tcPr>
            <w:tcW w:w="708" w:type="dxa"/>
            <w:tcBorders>
              <w:top w:val="nil"/>
              <w:left w:val="nil"/>
              <w:bottom w:val="single" w:sz="4" w:space="0" w:color="000000"/>
              <w:right w:val="single" w:sz="4" w:space="0" w:color="000000"/>
            </w:tcBorders>
            <w:shd w:val="clear" w:color="auto" w:fill="auto"/>
            <w:noWrap/>
            <w:vAlign w:val="bottom"/>
            <w:hideMark/>
          </w:tcPr>
          <w:p w14:paraId="6783AFA9" w14:textId="77777777" w:rsidR="003E2932" w:rsidRPr="0007314C" w:rsidRDefault="003E2932" w:rsidP="00A64503">
            <w:pPr>
              <w:spacing w:after="0" w:line="240" w:lineRule="auto"/>
              <w:rPr>
                <w:rFonts w:ascii="Aptos Narrow" w:eastAsia="Times New Roman" w:hAnsi="Aptos Narrow" w:cs="Arial"/>
                <w:b/>
                <w:bCs/>
                <w:kern w:val="0"/>
                <w:sz w:val="16"/>
                <w:szCs w:val="16"/>
                <w:lang w:eastAsia="en-GB"/>
                <w14:ligatures w14:val="none"/>
              </w:rPr>
            </w:pPr>
            <w:r w:rsidRPr="0007314C">
              <w:rPr>
                <w:rFonts w:ascii="Aptos Narrow" w:eastAsia="Times New Roman" w:hAnsi="Aptos Narrow" w:cs="Arial"/>
                <w:b/>
                <w:bCs/>
                <w:kern w:val="0"/>
                <w:sz w:val="16"/>
                <w:szCs w:val="16"/>
                <w:lang w:eastAsia="en-GB"/>
                <w14:ligatures w14:val="none"/>
              </w:rPr>
              <w:t>Ex</w:t>
            </w:r>
          </w:p>
        </w:tc>
        <w:tc>
          <w:tcPr>
            <w:tcW w:w="993" w:type="dxa"/>
            <w:tcBorders>
              <w:top w:val="nil"/>
              <w:left w:val="nil"/>
              <w:bottom w:val="single" w:sz="4" w:space="0" w:color="000000"/>
              <w:right w:val="single" w:sz="4" w:space="0" w:color="000000"/>
            </w:tcBorders>
            <w:shd w:val="clear" w:color="auto" w:fill="auto"/>
            <w:noWrap/>
            <w:vAlign w:val="bottom"/>
            <w:hideMark/>
          </w:tcPr>
          <w:p w14:paraId="41F6E6E6" w14:textId="77777777" w:rsidR="003E2932" w:rsidRPr="0007314C" w:rsidRDefault="003E2932" w:rsidP="00A64503">
            <w:pPr>
              <w:spacing w:after="0" w:line="240" w:lineRule="auto"/>
              <w:rPr>
                <w:rFonts w:ascii="Aptos Narrow" w:eastAsia="Times New Roman" w:hAnsi="Aptos Narrow" w:cs="Arial"/>
                <w:b/>
                <w:bCs/>
                <w:kern w:val="0"/>
                <w:sz w:val="16"/>
                <w:szCs w:val="16"/>
                <w:lang w:eastAsia="en-GB"/>
                <w14:ligatures w14:val="none"/>
              </w:rPr>
            </w:pPr>
            <w:r w:rsidRPr="0007314C">
              <w:rPr>
                <w:rFonts w:ascii="Aptos Narrow" w:eastAsia="Times New Roman" w:hAnsi="Aptos Narrow" w:cs="Arial"/>
                <w:b/>
                <w:bCs/>
                <w:kern w:val="0"/>
                <w:sz w:val="16"/>
                <w:szCs w:val="16"/>
                <w:lang w:eastAsia="en-GB"/>
                <w14:ligatures w14:val="none"/>
              </w:rPr>
              <w:t xml:space="preserve">Male </w:t>
            </w:r>
          </w:p>
        </w:tc>
        <w:tc>
          <w:tcPr>
            <w:tcW w:w="992" w:type="dxa"/>
            <w:tcBorders>
              <w:top w:val="nil"/>
              <w:left w:val="nil"/>
              <w:bottom w:val="single" w:sz="4" w:space="0" w:color="000000"/>
              <w:right w:val="single" w:sz="4" w:space="0" w:color="000000"/>
            </w:tcBorders>
            <w:shd w:val="clear" w:color="auto" w:fill="auto"/>
            <w:noWrap/>
            <w:vAlign w:val="bottom"/>
            <w:hideMark/>
          </w:tcPr>
          <w:p w14:paraId="3804CCBD" w14:textId="77777777" w:rsidR="003E2932" w:rsidRPr="0007314C" w:rsidRDefault="003E2932" w:rsidP="00A64503">
            <w:pPr>
              <w:spacing w:after="0" w:line="240" w:lineRule="auto"/>
              <w:rPr>
                <w:rFonts w:ascii="Aptos Narrow" w:eastAsia="Times New Roman" w:hAnsi="Aptos Narrow" w:cs="Arial"/>
                <w:b/>
                <w:bCs/>
                <w:kern w:val="0"/>
                <w:sz w:val="16"/>
                <w:szCs w:val="16"/>
                <w:lang w:eastAsia="en-GB"/>
                <w14:ligatures w14:val="none"/>
              </w:rPr>
            </w:pPr>
            <w:r w:rsidRPr="0007314C">
              <w:rPr>
                <w:rFonts w:ascii="Aptos Narrow" w:eastAsia="Times New Roman" w:hAnsi="Aptos Narrow" w:cs="Arial"/>
                <w:b/>
                <w:bCs/>
                <w:kern w:val="0"/>
                <w:sz w:val="16"/>
                <w:szCs w:val="16"/>
                <w:lang w:eastAsia="en-GB"/>
                <w14:ligatures w14:val="none"/>
              </w:rPr>
              <w:t>Female</w:t>
            </w:r>
          </w:p>
        </w:tc>
        <w:tc>
          <w:tcPr>
            <w:tcW w:w="1933" w:type="dxa"/>
            <w:vMerge/>
            <w:tcBorders>
              <w:top w:val="single" w:sz="4" w:space="0" w:color="000000"/>
              <w:left w:val="single" w:sz="4" w:space="0" w:color="000000"/>
              <w:bottom w:val="single" w:sz="4" w:space="0" w:color="000000"/>
              <w:right w:val="single" w:sz="4" w:space="0" w:color="000000"/>
            </w:tcBorders>
            <w:vAlign w:val="center"/>
            <w:hideMark/>
          </w:tcPr>
          <w:p w14:paraId="2B2F3791" w14:textId="77777777" w:rsidR="003E2932" w:rsidRPr="005832BE" w:rsidRDefault="003E2932" w:rsidP="00A64503">
            <w:pPr>
              <w:spacing w:after="0" w:line="240" w:lineRule="auto"/>
              <w:rPr>
                <w:rFonts w:ascii="Aptos Narrow" w:eastAsia="Times New Roman" w:hAnsi="Aptos Narrow" w:cs="Arial"/>
                <w:b/>
                <w:bCs/>
                <w:kern w:val="0"/>
                <w:sz w:val="20"/>
                <w:szCs w:val="20"/>
                <w:lang w:eastAsia="en-GB"/>
                <w14:ligatures w14:val="none"/>
              </w:rPr>
            </w:pPr>
          </w:p>
        </w:tc>
      </w:tr>
      <w:tr w:rsidR="003E2932" w:rsidRPr="005832BE" w14:paraId="33A4444E" w14:textId="77777777" w:rsidTr="0041177B">
        <w:trPr>
          <w:trHeight w:val="300"/>
        </w:trPr>
        <w:tc>
          <w:tcPr>
            <w:tcW w:w="1843" w:type="dxa"/>
            <w:tcBorders>
              <w:top w:val="nil"/>
              <w:left w:val="single" w:sz="4" w:space="0" w:color="000000"/>
              <w:bottom w:val="single" w:sz="4" w:space="0" w:color="000000"/>
              <w:right w:val="single" w:sz="4" w:space="0" w:color="000000"/>
            </w:tcBorders>
            <w:shd w:val="clear" w:color="000000" w:fill="FFFFFF"/>
            <w:vAlign w:val="center"/>
            <w:hideMark/>
          </w:tcPr>
          <w:p w14:paraId="63D17E15"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Lung</w:t>
            </w:r>
          </w:p>
        </w:tc>
        <w:tc>
          <w:tcPr>
            <w:tcW w:w="837" w:type="dxa"/>
            <w:tcBorders>
              <w:top w:val="nil"/>
              <w:left w:val="nil"/>
              <w:bottom w:val="single" w:sz="4" w:space="0" w:color="000000"/>
              <w:right w:val="single" w:sz="4" w:space="0" w:color="000000"/>
            </w:tcBorders>
            <w:shd w:val="clear" w:color="000000" w:fill="FFFFFF"/>
            <w:vAlign w:val="center"/>
            <w:hideMark/>
          </w:tcPr>
          <w:p w14:paraId="76DED846"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C33-34</w:t>
            </w:r>
          </w:p>
        </w:tc>
        <w:tc>
          <w:tcPr>
            <w:tcW w:w="864" w:type="dxa"/>
            <w:tcBorders>
              <w:top w:val="nil"/>
              <w:left w:val="nil"/>
              <w:bottom w:val="single" w:sz="4" w:space="0" w:color="000000"/>
              <w:right w:val="single" w:sz="4" w:space="0" w:color="000000"/>
            </w:tcBorders>
            <w:shd w:val="clear" w:color="auto" w:fill="auto"/>
            <w:noWrap/>
            <w:vAlign w:val="bottom"/>
            <w:hideMark/>
          </w:tcPr>
          <w:p w14:paraId="5E1BDDCE"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8.96</w:t>
            </w:r>
          </w:p>
        </w:tc>
        <w:tc>
          <w:tcPr>
            <w:tcW w:w="709" w:type="dxa"/>
            <w:tcBorders>
              <w:top w:val="nil"/>
              <w:left w:val="nil"/>
              <w:bottom w:val="single" w:sz="4" w:space="0" w:color="000000"/>
              <w:right w:val="single" w:sz="4" w:space="0" w:color="000000"/>
            </w:tcBorders>
            <w:shd w:val="clear" w:color="auto" w:fill="auto"/>
            <w:noWrap/>
            <w:vAlign w:val="bottom"/>
            <w:hideMark/>
          </w:tcPr>
          <w:p w14:paraId="6E1902B9"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3.85</w:t>
            </w:r>
          </w:p>
        </w:tc>
        <w:tc>
          <w:tcPr>
            <w:tcW w:w="851" w:type="dxa"/>
            <w:tcBorders>
              <w:top w:val="nil"/>
              <w:left w:val="nil"/>
              <w:bottom w:val="single" w:sz="4" w:space="0" w:color="000000"/>
              <w:right w:val="single" w:sz="4" w:space="0" w:color="000000"/>
            </w:tcBorders>
            <w:shd w:val="clear" w:color="auto" w:fill="auto"/>
            <w:noWrap/>
            <w:vAlign w:val="bottom"/>
            <w:hideMark/>
          </w:tcPr>
          <w:p w14:paraId="508A59B5"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8.96</w:t>
            </w:r>
          </w:p>
        </w:tc>
        <w:tc>
          <w:tcPr>
            <w:tcW w:w="708" w:type="dxa"/>
            <w:tcBorders>
              <w:top w:val="nil"/>
              <w:left w:val="nil"/>
              <w:bottom w:val="single" w:sz="4" w:space="0" w:color="000000"/>
              <w:right w:val="single" w:sz="4" w:space="0" w:color="000000"/>
            </w:tcBorders>
            <w:shd w:val="clear" w:color="auto" w:fill="auto"/>
            <w:noWrap/>
            <w:vAlign w:val="bottom"/>
            <w:hideMark/>
          </w:tcPr>
          <w:p w14:paraId="66A0612C"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3.85</w:t>
            </w:r>
          </w:p>
        </w:tc>
        <w:tc>
          <w:tcPr>
            <w:tcW w:w="993" w:type="dxa"/>
            <w:tcBorders>
              <w:top w:val="nil"/>
              <w:left w:val="nil"/>
              <w:bottom w:val="single" w:sz="4" w:space="0" w:color="000000"/>
              <w:right w:val="single" w:sz="4" w:space="0" w:color="000000"/>
            </w:tcBorders>
            <w:shd w:val="clear" w:color="auto" w:fill="auto"/>
            <w:noWrap/>
            <w:vAlign w:val="bottom"/>
            <w:hideMark/>
          </w:tcPr>
          <w:p w14:paraId="31BCCED2"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1.23</w:t>
            </w:r>
          </w:p>
        </w:tc>
        <w:tc>
          <w:tcPr>
            <w:tcW w:w="992" w:type="dxa"/>
            <w:tcBorders>
              <w:top w:val="nil"/>
              <w:left w:val="nil"/>
              <w:bottom w:val="single" w:sz="4" w:space="0" w:color="000000"/>
              <w:right w:val="single" w:sz="4" w:space="0" w:color="000000"/>
            </w:tcBorders>
            <w:shd w:val="clear" w:color="auto" w:fill="auto"/>
            <w:noWrap/>
            <w:vAlign w:val="bottom"/>
            <w:hideMark/>
          </w:tcPr>
          <w:p w14:paraId="33570F1A"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1.37</w:t>
            </w:r>
          </w:p>
        </w:tc>
        <w:tc>
          <w:tcPr>
            <w:tcW w:w="1933" w:type="dxa"/>
            <w:tcBorders>
              <w:top w:val="nil"/>
              <w:left w:val="nil"/>
              <w:bottom w:val="single" w:sz="4" w:space="0" w:color="000000"/>
              <w:right w:val="single" w:sz="4" w:space="0" w:color="000000"/>
            </w:tcBorders>
            <w:shd w:val="clear" w:color="auto" w:fill="auto"/>
            <w:noWrap/>
            <w:vAlign w:val="bottom"/>
            <w:hideMark/>
          </w:tcPr>
          <w:p w14:paraId="2DEB36DB" w14:textId="1C4FAAD2"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Brown</w:t>
            </w:r>
            <w:r>
              <w:rPr>
                <w:rFonts w:ascii="Aptos Narrow" w:eastAsia="Times New Roman" w:hAnsi="Aptos Narrow" w:cs="Arial"/>
                <w:kern w:val="0"/>
                <w:sz w:val="20"/>
                <w:szCs w:val="20"/>
                <w:lang w:eastAsia="en-GB"/>
                <w14:ligatures w14:val="none"/>
              </w:rPr>
              <w:t xml:space="preserve"> </w:t>
            </w:r>
            <w:r w:rsidRPr="005832BE">
              <w:rPr>
                <w:rFonts w:ascii="Aptos Narrow" w:eastAsia="Times New Roman" w:hAnsi="Aptos Narrow" w:cs="Arial"/>
                <w:kern w:val="0"/>
                <w:sz w:val="20"/>
                <w:szCs w:val="20"/>
                <w:lang w:eastAsia="en-GB"/>
                <w14:ligatures w14:val="none"/>
              </w:rPr>
              <w:t>et al., 2018</w:t>
            </w:r>
            <w:r>
              <w:rPr>
                <w:rFonts w:ascii="Aptos Narrow" w:eastAsia="Times New Roman" w:hAnsi="Aptos Narrow" w:cs="Arial"/>
                <w:kern w:val="0"/>
                <w:sz w:val="20"/>
                <w:szCs w:val="20"/>
                <w:lang w:eastAsia="en-GB"/>
                <w14:ligatures w14:val="none"/>
              </w:rPr>
              <w:fldChar w:fldCharType="begin"/>
            </w:r>
            <w:r w:rsidR="00A5309E">
              <w:rPr>
                <w:rFonts w:ascii="Aptos Narrow" w:eastAsia="Times New Roman" w:hAnsi="Aptos Narrow" w:cs="Arial"/>
                <w:kern w:val="0"/>
                <w:sz w:val="20"/>
                <w:szCs w:val="20"/>
                <w:lang w:eastAsia="en-GB"/>
                <w14:ligatures w14:val="none"/>
              </w:rPr>
              <w:instrText xml:space="preserve"> ADDIN ZOTERO_ITEM CSL_CITATION {"citationID":"x1eD1kNs","properties":{"formattedCitation":"(52)","plainCitation":"(52)","noteIndex":0},"citationItems":[{"id":216,"uris":["http://zotero.org/users/local/fxpU1WWH/items/QKPUH9RI"],"itemData":{"id":216,"type":"article-journal","abstract":"BACKGROUND: Changing population-level exposure to modifiable risk factors is a key driver of changing cancer incidence. Understanding these changes is therefore vital when prioritising risk-reduction policies, in order to have the biggest impact on reducing cancer incidence. UK figures on the number of risk factor-attributable cancers are updated here to reflect changing behaviour as assessed in representative national surveys, and new epidemiological evidence. Figures are also presented by UK constituent country because prevalence of risk factor exposure varies between them.\nMETHODS: Population attributable fractions (PAFs) were calculated for combinations of risk factor and cancer type with sufficient/convincing evidence of a causal association. Relative risks (RRs) were drawn from meta-analyses of cohort studies where possible. Prevalence of exposure to risk factors was obtained from nationally representative population surveys. Cancer incidence data for 2015 were sourced from national data releases and, where needed, personal communications. PAF calculations were stratified by age, sex and risk factor exposure level and then combined to create summary PAFs by cancer type, sex and country.\nRESULTS: Nearly four in ten (37.7%) cancer cases in 2015 in the UK were attributable to known risk factors. The proportion was around two percentage points higher in UK males (38.6%) than in UK females (36.8%). Comparing UK countries, the attributable proportion was highest in Scotland (41.5% for persons) and lowest in England (37.3% for persons). Tobacco smoking contributed by far the largest proportion of attributable cancer cases, followed by overweight/obesity, accounting for 15.1% and 6.3%, respectively, of all cases in the UK in 2015. For 10 cancer types, including two of the five most common cancer types in the UK (lung cancer and melanoma skin cancer), more than 70% of UK cancer cases were attributable to known risk factors.\nCONCLUSION: Tobacco and overweight/obesity remain the top contributors of attributable cancer cases. Tobacco smoking has the highest PAF because it greatly increases cancer risk and has a large number of cancer types associated with it. Overweight/obesity has the second-highest PAF because it affects a high proportion of the UK population and is also linked with many cancer types. Public health policy may seek to mitigate the level of harm associated with exposure or reduce exposure levels-both approaches may effectively impact cancer incidence. Differences in PAFs between countries and sexes are primarily due to varying prevalence of exposure to risk factors and varying proportions of specific cancer types. This variation in turn is affected by socio-demographic differences which drive differences in exposure to theoretically avoidable 'lifestyle' factors. PAFs at UK country level have not been available previously and they should be used by policymakers in devolved nations. PAFs are estimates based on the best available data, limitations in those data would generally bias toward underestimation of PAFs. Regular collection of risk factor exposure prevalence data which corresponds with epidemiological evidence is vital for analyses like this and should remain a priority for the UK Government and devolved Administrations.","container-title":"British Journal of Cancer","DOI":"10.1038/s41416-018-0029-6","ISSN":"1532-1827","issue":"8","journalAbbreviation":"Br J Cancer","language":"eng","note":"PMID: 29567982\nPMCID: PMC5931106","page":"1130-1141","source":"PubMed","title":"The fraction of cancer attributable to modifiable risk factors in England, Wales, Scotland, Northern Ireland, and the United Kingdom in 2015","volume":"118","author":[{"family":"Brown","given":"Katrina F."},{"family":"Rumgay","given":"Harriet"},{"family":"Dunlop","given":"Casey"},{"family":"Ryan","given":"Margaret"},{"family":"Quartly","given":"Frances"},{"family":"Cox","given":"Alison"},{"family":"Deas","given":"Andrew"},{"family":"Elliss-Brookes","given":"Lucy"},{"family":"Gavin","given":"Anna"},{"family":"Hounsome","given":"Luke"},{"family":"Huws","given":"Dyfed"},{"family":"Ormiston-Smith","given":"Nick"},{"family":"Shelton","given":"Jon"},{"family":"White","given":"Ceri"},{"family":"Parkin","given":"D. Max"}],"issued":{"date-parts":[["2018",4]]}}}],"schema":"https://github.com/citation-style-language/schema/raw/master/csl-citation.json"} </w:instrText>
            </w:r>
            <w:r>
              <w:rPr>
                <w:rFonts w:ascii="Aptos Narrow" w:eastAsia="Times New Roman" w:hAnsi="Aptos Narrow" w:cs="Arial"/>
                <w:kern w:val="0"/>
                <w:sz w:val="20"/>
                <w:szCs w:val="20"/>
                <w:lang w:eastAsia="en-GB"/>
                <w14:ligatures w14:val="none"/>
              </w:rPr>
              <w:fldChar w:fldCharType="separate"/>
            </w:r>
            <w:r w:rsidR="00A5309E" w:rsidRPr="00A5309E">
              <w:rPr>
                <w:rFonts w:ascii="Aptos Narrow" w:hAnsi="Aptos Narrow"/>
                <w:sz w:val="20"/>
              </w:rPr>
              <w:t>(52)</w:t>
            </w:r>
            <w:r>
              <w:rPr>
                <w:rFonts w:ascii="Aptos Narrow" w:eastAsia="Times New Roman" w:hAnsi="Aptos Narrow" w:cs="Arial"/>
                <w:kern w:val="0"/>
                <w:sz w:val="20"/>
                <w:szCs w:val="20"/>
                <w:lang w:eastAsia="en-GB"/>
                <w14:ligatures w14:val="none"/>
              </w:rPr>
              <w:fldChar w:fldCharType="end"/>
            </w:r>
          </w:p>
        </w:tc>
      </w:tr>
      <w:tr w:rsidR="003E2932" w:rsidRPr="005832BE" w14:paraId="119D9368" w14:textId="77777777" w:rsidTr="0041177B">
        <w:trPr>
          <w:trHeight w:val="300"/>
        </w:trPr>
        <w:tc>
          <w:tcPr>
            <w:tcW w:w="1843" w:type="dxa"/>
            <w:tcBorders>
              <w:top w:val="nil"/>
              <w:left w:val="single" w:sz="4" w:space="0" w:color="000000"/>
              <w:bottom w:val="single" w:sz="4" w:space="0" w:color="000000"/>
              <w:right w:val="single" w:sz="4" w:space="0" w:color="000000"/>
            </w:tcBorders>
            <w:shd w:val="clear" w:color="000000" w:fill="FFFFFF"/>
            <w:vAlign w:val="center"/>
            <w:hideMark/>
          </w:tcPr>
          <w:p w14:paraId="3FDD2885"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Oral cavity</w:t>
            </w:r>
          </w:p>
        </w:tc>
        <w:tc>
          <w:tcPr>
            <w:tcW w:w="837" w:type="dxa"/>
            <w:tcBorders>
              <w:top w:val="nil"/>
              <w:left w:val="nil"/>
              <w:bottom w:val="single" w:sz="4" w:space="0" w:color="000000"/>
              <w:right w:val="single" w:sz="4" w:space="0" w:color="000000"/>
            </w:tcBorders>
            <w:shd w:val="clear" w:color="000000" w:fill="FFFFFF"/>
            <w:vAlign w:val="center"/>
            <w:hideMark/>
          </w:tcPr>
          <w:p w14:paraId="22685B66"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C00-06</w:t>
            </w:r>
          </w:p>
        </w:tc>
        <w:tc>
          <w:tcPr>
            <w:tcW w:w="864" w:type="dxa"/>
            <w:tcBorders>
              <w:top w:val="nil"/>
              <w:left w:val="nil"/>
              <w:bottom w:val="single" w:sz="4" w:space="0" w:color="000000"/>
              <w:right w:val="single" w:sz="4" w:space="0" w:color="000000"/>
            </w:tcBorders>
            <w:shd w:val="clear" w:color="auto" w:fill="auto"/>
            <w:noWrap/>
            <w:vAlign w:val="bottom"/>
            <w:hideMark/>
          </w:tcPr>
          <w:p w14:paraId="18870CCF"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1.91</w:t>
            </w:r>
          </w:p>
        </w:tc>
        <w:tc>
          <w:tcPr>
            <w:tcW w:w="709" w:type="dxa"/>
            <w:tcBorders>
              <w:top w:val="nil"/>
              <w:left w:val="nil"/>
              <w:bottom w:val="single" w:sz="4" w:space="0" w:color="000000"/>
              <w:right w:val="single" w:sz="4" w:space="0" w:color="000000"/>
            </w:tcBorders>
            <w:shd w:val="clear" w:color="auto" w:fill="auto"/>
            <w:noWrap/>
            <w:vAlign w:val="bottom"/>
            <w:hideMark/>
          </w:tcPr>
          <w:p w14:paraId="10030FE2"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w:t>
            </w:r>
          </w:p>
        </w:tc>
        <w:tc>
          <w:tcPr>
            <w:tcW w:w="851" w:type="dxa"/>
            <w:tcBorders>
              <w:top w:val="nil"/>
              <w:left w:val="nil"/>
              <w:bottom w:val="single" w:sz="4" w:space="0" w:color="000000"/>
              <w:right w:val="single" w:sz="4" w:space="0" w:color="000000"/>
            </w:tcBorders>
            <w:shd w:val="clear" w:color="auto" w:fill="auto"/>
            <w:noWrap/>
            <w:vAlign w:val="bottom"/>
            <w:hideMark/>
          </w:tcPr>
          <w:p w14:paraId="60850ACB"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1.91</w:t>
            </w:r>
          </w:p>
        </w:tc>
        <w:tc>
          <w:tcPr>
            <w:tcW w:w="708" w:type="dxa"/>
            <w:tcBorders>
              <w:top w:val="nil"/>
              <w:left w:val="nil"/>
              <w:bottom w:val="single" w:sz="4" w:space="0" w:color="000000"/>
              <w:right w:val="single" w:sz="4" w:space="0" w:color="000000"/>
            </w:tcBorders>
            <w:shd w:val="clear" w:color="auto" w:fill="auto"/>
            <w:noWrap/>
            <w:vAlign w:val="bottom"/>
            <w:hideMark/>
          </w:tcPr>
          <w:p w14:paraId="6AFC08B3"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w:t>
            </w:r>
          </w:p>
        </w:tc>
        <w:tc>
          <w:tcPr>
            <w:tcW w:w="993" w:type="dxa"/>
            <w:tcBorders>
              <w:top w:val="nil"/>
              <w:left w:val="nil"/>
              <w:bottom w:val="single" w:sz="4" w:space="0" w:color="000000"/>
              <w:right w:val="single" w:sz="4" w:space="0" w:color="000000"/>
            </w:tcBorders>
            <w:shd w:val="clear" w:color="000000" w:fill="D9D9D9"/>
            <w:noWrap/>
            <w:vAlign w:val="bottom"/>
            <w:hideMark/>
          </w:tcPr>
          <w:p w14:paraId="61E6BE00"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992" w:type="dxa"/>
            <w:tcBorders>
              <w:top w:val="nil"/>
              <w:left w:val="nil"/>
              <w:bottom w:val="single" w:sz="4" w:space="0" w:color="000000"/>
              <w:right w:val="single" w:sz="4" w:space="0" w:color="000000"/>
            </w:tcBorders>
            <w:shd w:val="clear" w:color="000000" w:fill="D9D9D9"/>
            <w:noWrap/>
            <w:vAlign w:val="bottom"/>
            <w:hideMark/>
          </w:tcPr>
          <w:p w14:paraId="6C13F351"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1933" w:type="dxa"/>
            <w:tcBorders>
              <w:top w:val="nil"/>
              <w:left w:val="nil"/>
              <w:bottom w:val="single" w:sz="4" w:space="0" w:color="000000"/>
              <w:right w:val="single" w:sz="4" w:space="0" w:color="000000"/>
            </w:tcBorders>
            <w:shd w:val="clear" w:color="auto" w:fill="auto"/>
            <w:noWrap/>
            <w:vAlign w:val="bottom"/>
            <w:hideMark/>
          </w:tcPr>
          <w:p w14:paraId="546A6B27" w14:textId="476E6BF4"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Berstad et al., 2025</w:t>
            </w:r>
            <w:r>
              <w:rPr>
                <w:rFonts w:ascii="Aptos Narrow" w:eastAsia="Times New Roman" w:hAnsi="Aptos Narrow" w:cs="Arial"/>
                <w:kern w:val="0"/>
                <w:sz w:val="20"/>
                <w:szCs w:val="20"/>
                <w:lang w:eastAsia="en-GB"/>
                <w14:ligatures w14:val="none"/>
              </w:rPr>
              <w:fldChar w:fldCharType="begin"/>
            </w:r>
            <w:r w:rsidR="00A5309E">
              <w:rPr>
                <w:rFonts w:ascii="Aptos Narrow" w:eastAsia="Times New Roman" w:hAnsi="Aptos Narrow" w:cs="Arial"/>
                <w:kern w:val="0"/>
                <w:sz w:val="20"/>
                <w:szCs w:val="20"/>
                <w:lang w:eastAsia="en-GB"/>
                <w14:ligatures w14:val="none"/>
              </w:rPr>
              <w:instrText xml:space="preserve"> ADDIN ZOTERO_ITEM CSL_CITATION {"citationID":"d8Hjq4Lh","properties":{"formattedCitation":"(53)","plainCitation":"(53)","noteIndex":0},"citationItems":[{"id":113,"uris":["http://zotero.org/users/local/fxpU1WWH/items/6FNYZLXL"],"itemData":{"id":113,"type":"article-journal","abstract":"BACKGROUND: Targeting modifiable factors offers significant potential for primary cancer prevention. For public health strategies, it is essential to quantify the contribution from each factor on a national level. We estimated the contribution of 12 modifiable factors on cancer incidence in the Norwegian population.\nMETHODS: Nationally representative data (1990-2015) on the prevalence of tobacco smoking, over-exposure to ultraviolet radiation (UVR), alcohol consumption, physical inactivity, overweight and obesity, intake of processed and red meat, fibre and calcium, menopausal hormone therapy (MHT), human papilloma virus (HPV) infection and insufficient breastfeeding were collected from health surveys. Using these prevalences, cancer risk estimates for for the exposures, and average annual cancer incidence rates for 2016-2020, we estimated annual population-attributable fractions (PAFs) and numbers of preventable cases.\nRESULTS: Of the average 24,608 annual cases of cancers related to our included modifiable factors, 12,250 (6240 in women and 6009 in men) (41</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were attributed to these factors. Tobacco smoking caused the highest proportion of cancers cases, 20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men and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women. Sunburn and indoor tanning caused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and 10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of cancers in men and women, respectively, and overweight and obesity caused 4.5</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xml:space="preserve">% of the cases. Cancers of skin, lung, colon and female breast had the highest number of preventable cases.\nCONCLUSION: Over a third of the annual cancer cases in Norway were attributed to 12 modifiable factors. Based on this study, efforts to reduce tobacco smoking, UVR over-exposure, and overweight and obesity could be the most effective in primary prevention of cancer.","container-title":"European Journal of Cancer (Oxford, England: 1990)","DOI":"10.1016/j.ejca.2025.115232","ISSN":"1879-0852","journalAbbreviation":"Eur J Cancer","language":"eng","note":"PMID: 39813761","page":"115232","source":"PubMed","title":"Cancers attributed to modifiable factors in Norway 2016-2020","volume":"217","author":[{"family":"Berstad","given":"Paula"},{"family":"Haugan","given":"Kristin"},{"family":"Knudsen","given":"Markus D."},{"family":"Nygård","given":"Mari"},{"family":"Ghiasvand","given":"Reza"},{"family":"Robsahm","given":"Trude Eid"}],"issued":{"date-parts":[["2025",2,25]]}}}],"schema":"https://github.com/citation-style-language/schema/raw/master/csl-citation.json"} </w:instrText>
            </w:r>
            <w:r>
              <w:rPr>
                <w:rFonts w:ascii="Aptos Narrow" w:eastAsia="Times New Roman" w:hAnsi="Aptos Narrow" w:cs="Arial"/>
                <w:kern w:val="0"/>
                <w:sz w:val="20"/>
                <w:szCs w:val="20"/>
                <w:lang w:eastAsia="en-GB"/>
                <w14:ligatures w14:val="none"/>
              </w:rPr>
              <w:fldChar w:fldCharType="separate"/>
            </w:r>
            <w:r w:rsidR="00A5309E" w:rsidRPr="00A5309E">
              <w:rPr>
                <w:rFonts w:ascii="Aptos Narrow" w:hAnsi="Aptos Narrow"/>
                <w:sz w:val="20"/>
              </w:rPr>
              <w:t>(53)</w:t>
            </w:r>
            <w:r>
              <w:rPr>
                <w:rFonts w:ascii="Aptos Narrow" w:eastAsia="Times New Roman" w:hAnsi="Aptos Narrow" w:cs="Arial"/>
                <w:kern w:val="0"/>
                <w:sz w:val="20"/>
                <w:szCs w:val="20"/>
                <w:lang w:eastAsia="en-GB"/>
                <w14:ligatures w14:val="none"/>
              </w:rPr>
              <w:fldChar w:fldCharType="end"/>
            </w:r>
          </w:p>
        </w:tc>
      </w:tr>
      <w:tr w:rsidR="003E2932" w:rsidRPr="005832BE" w14:paraId="4F3B5067" w14:textId="77777777" w:rsidTr="0041177B">
        <w:trPr>
          <w:trHeight w:val="300"/>
        </w:trPr>
        <w:tc>
          <w:tcPr>
            <w:tcW w:w="1843" w:type="dxa"/>
            <w:tcBorders>
              <w:top w:val="nil"/>
              <w:left w:val="single" w:sz="4" w:space="0" w:color="000000"/>
              <w:bottom w:val="single" w:sz="4" w:space="0" w:color="000000"/>
              <w:right w:val="single" w:sz="4" w:space="0" w:color="000000"/>
            </w:tcBorders>
            <w:shd w:val="clear" w:color="000000" w:fill="FFFFFF"/>
            <w:vAlign w:val="center"/>
            <w:hideMark/>
          </w:tcPr>
          <w:p w14:paraId="652CC742"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Nasopharynx</w:t>
            </w:r>
          </w:p>
        </w:tc>
        <w:tc>
          <w:tcPr>
            <w:tcW w:w="837" w:type="dxa"/>
            <w:tcBorders>
              <w:top w:val="nil"/>
              <w:left w:val="nil"/>
              <w:bottom w:val="single" w:sz="4" w:space="0" w:color="000000"/>
              <w:right w:val="single" w:sz="4" w:space="0" w:color="000000"/>
            </w:tcBorders>
            <w:shd w:val="clear" w:color="000000" w:fill="FFFFFF"/>
            <w:vAlign w:val="center"/>
            <w:hideMark/>
          </w:tcPr>
          <w:p w14:paraId="01E51DF3"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C11</w:t>
            </w:r>
          </w:p>
        </w:tc>
        <w:tc>
          <w:tcPr>
            <w:tcW w:w="864" w:type="dxa"/>
            <w:tcBorders>
              <w:top w:val="nil"/>
              <w:left w:val="nil"/>
              <w:bottom w:val="single" w:sz="4" w:space="0" w:color="000000"/>
              <w:right w:val="single" w:sz="4" w:space="0" w:color="000000"/>
            </w:tcBorders>
            <w:shd w:val="clear" w:color="000000" w:fill="FFFFFF"/>
            <w:noWrap/>
            <w:hideMark/>
          </w:tcPr>
          <w:p w14:paraId="4DBAA721"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1.95</w:t>
            </w:r>
          </w:p>
        </w:tc>
        <w:tc>
          <w:tcPr>
            <w:tcW w:w="709" w:type="dxa"/>
            <w:tcBorders>
              <w:top w:val="nil"/>
              <w:left w:val="nil"/>
              <w:bottom w:val="single" w:sz="4" w:space="0" w:color="000000"/>
              <w:right w:val="single" w:sz="4" w:space="0" w:color="000000"/>
            </w:tcBorders>
            <w:shd w:val="clear" w:color="000000" w:fill="FFFFFF"/>
            <w:noWrap/>
            <w:hideMark/>
          </w:tcPr>
          <w:p w14:paraId="0CAA6B25"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1.39</w:t>
            </w:r>
          </w:p>
        </w:tc>
        <w:tc>
          <w:tcPr>
            <w:tcW w:w="851" w:type="dxa"/>
            <w:tcBorders>
              <w:top w:val="nil"/>
              <w:left w:val="nil"/>
              <w:bottom w:val="single" w:sz="4" w:space="0" w:color="000000"/>
              <w:right w:val="single" w:sz="4" w:space="0" w:color="000000"/>
            </w:tcBorders>
            <w:shd w:val="clear" w:color="000000" w:fill="FFFFFF"/>
            <w:noWrap/>
            <w:hideMark/>
          </w:tcPr>
          <w:p w14:paraId="00DD1FDF"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1.95</w:t>
            </w:r>
          </w:p>
        </w:tc>
        <w:tc>
          <w:tcPr>
            <w:tcW w:w="708" w:type="dxa"/>
            <w:tcBorders>
              <w:top w:val="nil"/>
              <w:left w:val="nil"/>
              <w:bottom w:val="single" w:sz="4" w:space="0" w:color="000000"/>
              <w:right w:val="single" w:sz="4" w:space="0" w:color="000000"/>
            </w:tcBorders>
            <w:shd w:val="clear" w:color="000000" w:fill="FFFFFF"/>
            <w:noWrap/>
            <w:hideMark/>
          </w:tcPr>
          <w:p w14:paraId="3E1C4EAE"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1.39</w:t>
            </w:r>
          </w:p>
        </w:tc>
        <w:tc>
          <w:tcPr>
            <w:tcW w:w="993" w:type="dxa"/>
            <w:tcBorders>
              <w:top w:val="nil"/>
              <w:left w:val="nil"/>
              <w:bottom w:val="single" w:sz="4" w:space="0" w:color="000000"/>
              <w:right w:val="single" w:sz="4" w:space="0" w:color="000000"/>
            </w:tcBorders>
            <w:shd w:val="clear" w:color="000000" w:fill="D9D9D9"/>
            <w:noWrap/>
            <w:vAlign w:val="bottom"/>
            <w:hideMark/>
          </w:tcPr>
          <w:p w14:paraId="5F034A8B"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992" w:type="dxa"/>
            <w:tcBorders>
              <w:top w:val="nil"/>
              <w:left w:val="nil"/>
              <w:bottom w:val="single" w:sz="4" w:space="0" w:color="000000"/>
              <w:right w:val="single" w:sz="4" w:space="0" w:color="000000"/>
            </w:tcBorders>
            <w:shd w:val="clear" w:color="000000" w:fill="D9D9D9"/>
            <w:noWrap/>
            <w:vAlign w:val="bottom"/>
            <w:hideMark/>
          </w:tcPr>
          <w:p w14:paraId="1C4F99EE"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1933" w:type="dxa"/>
            <w:tcBorders>
              <w:top w:val="nil"/>
              <w:left w:val="nil"/>
              <w:bottom w:val="single" w:sz="4" w:space="0" w:color="000000"/>
              <w:right w:val="single" w:sz="4" w:space="0" w:color="000000"/>
            </w:tcBorders>
            <w:shd w:val="clear" w:color="auto" w:fill="auto"/>
            <w:noWrap/>
            <w:vAlign w:val="bottom"/>
            <w:hideMark/>
          </w:tcPr>
          <w:p w14:paraId="34D0F45C" w14:textId="4A1EE07E"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Berstad et al., 2025</w:t>
            </w:r>
            <w:r>
              <w:rPr>
                <w:rFonts w:ascii="Aptos Narrow" w:eastAsia="Times New Roman" w:hAnsi="Aptos Narrow" w:cs="Arial"/>
                <w:kern w:val="0"/>
                <w:sz w:val="20"/>
                <w:szCs w:val="20"/>
                <w:lang w:eastAsia="en-GB"/>
                <w14:ligatures w14:val="none"/>
              </w:rPr>
              <w:fldChar w:fldCharType="begin"/>
            </w:r>
            <w:r w:rsidR="00A5309E">
              <w:rPr>
                <w:rFonts w:ascii="Aptos Narrow" w:eastAsia="Times New Roman" w:hAnsi="Aptos Narrow" w:cs="Arial"/>
                <w:kern w:val="0"/>
                <w:sz w:val="20"/>
                <w:szCs w:val="20"/>
                <w:lang w:eastAsia="en-GB"/>
                <w14:ligatures w14:val="none"/>
              </w:rPr>
              <w:instrText xml:space="preserve"> ADDIN ZOTERO_ITEM CSL_CITATION {"citationID":"xUWigfI6","properties":{"formattedCitation":"(53)","plainCitation":"(53)","noteIndex":0},"citationItems":[{"id":113,"uris":["http://zotero.org/users/local/fxpU1WWH/items/6FNYZLXL"],"itemData":{"id":113,"type":"article-journal","abstract":"BACKGROUND: Targeting modifiable factors offers significant potential for primary cancer prevention. For public health strategies, it is essential to quantify the contribution from each factor on a national level. We estimated the contribution of 12 modifiable factors on cancer incidence in the Norwegian population.\nMETHODS: Nationally representative data (1990-2015) on the prevalence of tobacco smoking, over-exposure to ultraviolet radiation (UVR), alcohol consumption, physical inactivity, overweight and obesity, intake of processed and red meat, fibre and calcium, menopausal hormone therapy (MHT), human papilloma virus (HPV) infection and insufficient breastfeeding were collected from health surveys. Using these prevalences, cancer risk estimates for for the exposures, and average annual cancer incidence rates for 2016-2020, we estimated annual population-attributable fractions (PAFs) and numbers of preventable cases.\nRESULTS: Of the average 24,608 annual cases of cancers related to our included modifiable factors, 12,250 (6240 in women and 6009 in men) (41</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were attributed to these factors. Tobacco smoking caused the highest proportion of cancers cases, 20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men and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women. Sunburn and indoor tanning caused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and 10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of cancers in men and women, respectively, and overweight and obesity caused 4.5</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xml:space="preserve">% of the cases. Cancers of skin, lung, colon and female breast had the highest number of preventable cases.\nCONCLUSION: Over a third of the annual cancer cases in Norway were attributed to 12 modifiable factors. Based on this study, efforts to reduce tobacco smoking, UVR over-exposure, and overweight and obesity could be the most effective in primary prevention of cancer.","container-title":"European Journal of Cancer (Oxford, England: 1990)","DOI":"10.1016/j.ejca.2025.115232","ISSN":"1879-0852","journalAbbreviation":"Eur J Cancer","language":"eng","note":"PMID: 39813761","page":"115232","source":"PubMed","title":"Cancers attributed to modifiable factors in Norway 2016-2020","volume":"217","author":[{"family":"Berstad","given":"Paula"},{"family":"Haugan","given":"Kristin"},{"family":"Knudsen","given":"Markus D."},{"family":"Nygård","given":"Mari"},{"family":"Ghiasvand","given":"Reza"},{"family":"Robsahm","given":"Trude Eid"}],"issued":{"date-parts":[["2025",2,25]]}}}],"schema":"https://github.com/citation-style-language/schema/raw/master/csl-citation.json"} </w:instrText>
            </w:r>
            <w:r>
              <w:rPr>
                <w:rFonts w:ascii="Aptos Narrow" w:eastAsia="Times New Roman" w:hAnsi="Aptos Narrow" w:cs="Arial"/>
                <w:kern w:val="0"/>
                <w:sz w:val="20"/>
                <w:szCs w:val="20"/>
                <w:lang w:eastAsia="en-GB"/>
                <w14:ligatures w14:val="none"/>
              </w:rPr>
              <w:fldChar w:fldCharType="separate"/>
            </w:r>
            <w:r w:rsidR="00A5309E" w:rsidRPr="00A5309E">
              <w:rPr>
                <w:rFonts w:ascii="Aptos Narrow" w:hAnsi="Aptos Narrow"/>
                <w:sz w:val="20"/>
              </w:rPr>
              <w:t>(53)</w:t>
            </w:r>
            <w:r>
              <w:rPr>
                <w:rFonts w:ascii="Aptos Narrow" w:eastAsia="Times New Roman" w:hAnsi="Aptos Narrow" w:cs="Arial"/>
                <w:kern w:val="0"/>
                <w:sz w:val="20"/>
                <w:szCs w:val="20"/>
                <w:lang w:eastAsia="en-GB"/>
                <w14:ligatures w14:val="none"/>
              </w:rPr>
              <w:fldChar w:fldCharType="end"/>
            </w:r>
          </w:p>
        </w:tc>
      </w:tr>
      <w:tr w:rsidR="003E2932" w:rsidRPr="005832BE" w14:paraId="03D88912" w14:textId="77777777" w:rsidTr="0041177B">
        <w:trPr>
          <w:trHeight w:val="300"/>
        </w:trPr>
        <w:tc>
          <w:tcPr>
            <w:tcW w:w="1843" w:type="dxa"/>
            <w:tcBorders>
              <w:top w:val="nil"/>
              <w:left w:val="single" w:sz="4" w:space="0" w:color="000000"/>
              <w:bottom w:val="single" w:sz="4" w:space="0" w:color="000000"/>
              <w:right w:val="single" w:sz="4" w:space="0" w:color="000000"/>
            </w:tcBorders>
            <w:shd w:val="clear" w:color="000000" w:fill="FFFFFF"/>
            <w:vAlign w:val="center"/>
            <w:hideMark/>
          </w:tcPr>
          <w:p w14:paraId="3188573C"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Pharynx</w:t>
            </w:r>
          </w:p>
        </w:tc>
        <w:tc>
          <w:tcPr>
            <w:tcW w:w="837" w:type="dxa"/>
            <w:tcBorders>
              <w:top w:val="nil"/>
              <w:left w:val="nil"/>
              <w:bottom w:val="single" w:sz="4" w:space="0" w:color="000000"/>
              <w:right w:val="single" w:sz="4" w:space="0" w:color="000000"/>
            </w:tcBorders>
            <w:shd w:val="clear" w:color="000000" w:fill="FFFFFF"/>
            <w:vAlign w:val="center"/>
            <w:hideMark/>
          </w:tcPr>
          <w:p w14:paraId="56876E24"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C09-10, C12-14</w:t>
            </w:r>
          </w:p>
        </w:tc>
        <w:tc>
          <w:tcPr>
            <w:tcW w:w="864" w:type="dxa"/>
            <w:tcBorders>
              <w:top w:val="nil"/>
              <w:left w:val="nil"/>
              <w:bottom w:val="single" w:sz="4" w:space="0" w:color="000000"/>
              <w:right w:val="single" w:sz="4" w:space="0" w:color="000000"/>
            </w:tcBorders>
            <w:shd w:val="clear" w:color="auto" w:fill="auto"/>
            <w:noWrap/>
            <w:vAlign w:val="bottom"/>
            <w:hideMark/>
          </w:tcPr>
          <w:p w14:paraId="249930A6"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3.43</w:t>
            </w:r>
          </w:p>
        </w:tc>
        <w:tc>
          <w:tcPr>
            <w:tcW w:w="709" w:type="dxa"/>
            <w:tcBorders>
              <w:top w:val="nil"/>
              <w:left w:val="nil"/>
              <w:bottom w:val="single" w:sz="4" w:space="0" w:color="000000"/>
              <w:right w:val="single" w:sz="4" w:space="0" w:color="000000"/>
            </w:tcBorders>
            <w:shd w:val="clear" w:color="auto" w:fill="auto"/>
            <w:noWrap/>
            <w:vAlign w:val="bottom"/>
            <w:hideMark/>
          </w:tcPr>
          <w:p w14:paraId="23EC146B"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w:t>
            </w:r>
          </w:p>
        </w:tc>
        <w:tc>
          <w:tcPr>
            <w:tcW w:w="851" w:type="dxa"/>
            <w:tcBorders>
              <w:top w:val="nil"/>
              <w:left w:val="nil"/>
              <w:bottom w:val="single" w:sz="4" w:space="0" w:color="000000"/>
              <w:right w:val="single" w:sz="4" w:space="0" w:color="000000"/>
            </w:tcBorders>
            <w:shd w:val="clear" w:color="auto" w:fill="auto"/>
            <w:noWrap/>
            <w:vAlign w:val="bottom"/>
            <w:hideMark/>
          </w:tcPr>
          <w:p w14:paraId="32D8049E"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3.43</w:t>
            </w:r>
          </w:p>
        </w:tc>
        <w:tc>
          <w:tcPr>
            <w:tcW w:w="708" w:type="dxa"/>
            <w:tcBorders>
              <w:top w:val="nil"/>
              <w:left w:val="nil"/>
              <w:bottom w:val="single" w:sz="4" w:space="0" w:color="000000"/>
              <w:right w:val="single" w:sz="4" w:space="0" w:color="000000"/>
            </w:tcBorders>
            <w:shd w:val="clear" w:color="auto" w:fill="auto"/>
            <w:noWrap/>
            <w:vAlign w:val="bottom"/>
            <w:hideMark/>
          </w:tcPr>
          <w:p w14:paraId="243600A2"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w:t>
            </w:r>
          </w:p>
        </w:tc>
        <w:tc>
          <w:tcPr>
            <w:tcW w:w="993" w:type="dxa"/>
            <w:tcBorders>
              <w:top w:val="nil"/>
              <w:left w:val="nil"/>
              <w:bottom w:val="single" w:sz="4" w:space="0" w:color="000000"/>
              <w:right w:val="single" w:sz="4" w:space="0" w:color="000000"/>
            </w:tcBorders>
            <w:shd w:val="clear" w:color="000000" w:fill="D9D9D9"/>
            <w:noWrap/>
            <w:vAlign w:val="bottom"/>
            <w:hideMark/>
          </w:tcPr>
          <w:p w14:paraId="46C31B85"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992" w:type="dxa"/>
            <w:tcBorders>
              <w:top w:val="nil"/>
              <w:left w:val="nil"/>
              <w:bottom w:val="single" w:sz="4" w:space="0" w:color="000000"/>
              <w:right w:val="single" w:sz="4" w:space="0" w:color="000000"/>
            </w:tcBorders>
            <w:shd w:val="clear" w:color="000000" w:fill="D9D9D9"/>
            <w:noWrap/>
            <w:vAlign w:val="bottom"/>
            <w:hideMark/>
          </w:tcPr>
          <w:p w14:paraId="4603A0E5"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1933" w:type="dxa"/>
            <w:tcBorders>
              <w:top w:val="nil"/>
              <w:left w:val="nil"/>
              <w:bottom w:val="single" w:sz="4" w:space="0" w:color="000000"/>
              <w:right w:val="single" w:sz="4" w:space="0" w:color="000000"/>
            </w:tcBorders>
            <w:shd w:val="clear" w:color="auto" w:fill="auto"/>
            <w:noWrap/>
            <w:vAlign w:val="bottom"/>
            <w:hideMark/>
          </w:tcPr>
          <w:p w14:paraId="14405A65" w14:textId="1E4CB3CC"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Berstad et al., 2025</w:t>
            </w:r>
            <w:r>
              <w:rPr>
                <w:rFonts w:ascii="Aptos Narrow" w:eastAsia="Times New Roman" w:hAnsi="Aptos Narrow" w:cs="Arial"/>
                <w:kern w:val="0"/>
                <w:sz w:val="20"/>
                <w:szCs w:val="20"/>
                <w:lang w:eastAsia="en-GB"/>
                <w14:ligatures w14:val="none"/>
              </w:rPr>
              <w:fldChar w:fldCharType="begin"/>
            </w:r>
            <w:r w:rsidR="00A5309E">
              <w:rPr>
                <w:rFonts w:ascii="Aptos Narrow" w:eastAsia="Times New Roman" w:hAnsi="Aptos Narrow" w:cs="Arial"/>
                <w:kern w:val="0"/>
                <w:sz w:val="20"/>
                <w:szCs w:val="20"/>
                <w:lang w:eastAsia="en-GB"/>
                <w14:ligatures w14:val="none"/>
              </w:rPr>
              <w:instrText xml:space="preserve"> ADDIN ZOTERO_ITEM CSL_CITATION {"citationID":"d3d7E1oW","properties":{"formattedCitation":"(53)","plainCitation":"(53)","noteIndex":0},"citationItems":[{"id":113,"uris":["http://zotero.org/users/local/fxpU1WWH/items/6FNYZLXL"],"itemData":{"id":113,"type":"article-journal","abstract":"BACKGROUND: Targeting modifiable factors offers significant potential for primary cancer prevention. For public health strategies, it is essential to quantify the contribution from each factor on a national level. We estimated the contribution of 12 modifiable factors on cancer incidence in the Norwegian population.\nMETHODS: Nationally representative data (1990-2015) on the prevalence of tobacco smoking, over-exposure to ultraviolet radiation (UVR), alcohol consumption, physical inactivity, overweight and obesity, intake of processed and red meat, fibre and calcium, menopausal hormone therapy (MHT), human papilloma virus (HPV) infection and insufficient breastfeeding were collected from health surveys. Using these prevalences, cancer risk estimates for for the exposures, and average annual cancer incidence rates for 2016-2020, we estimated annual population-attributable fractions (PAFs) and numbers of preventable cases.\nRESULTS: Of the average 24,608 annual cases of cancers related to our included modifiable factors, 12,250 (6240 in women and 6009 in men) (41</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were attributed to these factors. Tobacco smoking caused the highest proportion of cancers cases, 20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men and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women. Sunburn and indoor tanning caused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and 10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of cancers in men and women, respectively, and overweight and obesity caused 4.5</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xml:space="preserve">% of the cases. Cancers of skin, lung, colon and female breast had the highest number of preventable cases.\nCONCLUSION: Over a third of the annual cancer cases in Norway were attributed to 12 modifiable factors. Based on this study, efforts to reduce tobacco smoking, UVR over-exposure, and overweight and obesity could be the most effective in primary prevention of cancer.","container-title":"European Journal of Cancer (Oxford, England: 1990)","DOI":"10.1016/j.ejca.2025.115232","ISSN":"1879-0852","journalAbbreviation":"Eur J Cancer","language":"eng","note":"PMID: 39813761","page":"115232","source":"PubMed","title":"Cancers attributed to modifiable factors in Norway 2016-2020","volume":"217","author":[{"family":"Berstad","given":"Paula"},{"family":"Haugan","given":"Kristin"},{"family":"Knudsen","given":"Markus D."},{"family":"Nygård","given":"Mari"},{"family":"Ghiasvand","given":"Reza"},{"family":"Robsahm","given":"Trude Eid"}],"issued":{"date-parts":[["2025",2,25]]}}}],"schema":"https://github.com/citation-style-language/schema/raw/master/csl-citation.json"} </w:instrText>
            </w:r>
            <w:r>
              <w:rPr>
                <w:rFonts w:ascii="Aptos Narrow" w:eastAsia="Times New Roman" w:hAnsi="Aptos Narrow" w:cs="Arial"/>
                <w:kern w:val="0"/>
                <w:sz w:val="20"/>
                <w:szCs w:val="20"/>
                <w:lang w:eastAsia="en-GB"/>
                <w14:ligatures w14:val="none"/>
              </w:rPr>
              <w:fldChar w:fldCharType="separate"/>
            </w:r>
            <w:r w:rsidR="00A5309E" w:rsidRPr="00A5309E">
              <w:rPr>
                <w:rFonts w:ascii="Aptos Narrow" w:hAnsi="Aptos Narrow"/>
                <w:sz w:val="20"/>
              </w:rPr>
              <w:t>(53)</w:t>
            </w:r>
            <w:r>
              <w:rPr>
                <w:rFonts w:ascii="Aptos Narrow" w:eastAsia="Times New Roman" w:hAnsi="Aptos Narrow" w:cs="Arial"/>
                <w:kern w:val="0"/>
                <w:sz w:val="20"/>
                <w:szCs w:val="20"/>
                <w:lang w:eastAsia="en-GB"/>
                <w14:ligatures w14:val="none"/>
              </w:rPr>
              <w:fldChar w:fldCharType="end"/>
            </w:r>
          </w:p>
        </w:tc>
      </w:tr>
      <w:tr w:rsidR="003E2932" w:rsidRPr="005832BE" w14:paraId="2F0A6474" w14:textId="77777777" w:rsidTr="0041177B">
        <w:trPr>
          <w:trHeight w:val="300"/>
        </w:trPr>
        <w:tc>
          <w:tcPr>
            <w:tcW w:w="1843" w:type="dxa"/>
            <w:tcBorders>
              <w:top w:val="nil"/>
              <w:left w:val="single" w:sz="4" w:space="0" w:color="000000"/>
              <w:bottom w:val="single" w:sz="4" w:space="0" w:color="000000"/>
              <w:right w:val="single" w:sz="4" w:space="0" w:color="000000"/>
            </w:tcBorders>
            <w:shd w:val="clear" w:color="000000" w:fill="FFFFFF"/>
            <w:vAlign w:val="center"/>
            <w:hideMark/>
          </w:tcPr>
          <w:p w14:paraId="250F29BE"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Sino-nasal</w:t>
            </w:r>
          </w:p>
        </w:tc>
        <w:tc>
          <w:tcPr>
            <w:tcW w:w="837" w:type="dxa"/>
            <w:tcBorders>
              <w:top w:val="nil"/>
              <w:left w:val="nil"/>
              <w:bottom w:val="single" w:sz="4" w:space="0" w:color="000000"/>
              <w:right w:val="single" w:sz="4" w:space="0" w:color="000000"/>
            </w:tcBorders>
            <w:shd w:val="clear" w:color="000000" w:fill="FFFFFF"/>
            <w:vAlign w:val="center"/>
            <w:hideMark/>
          </w:tcPr>
          <w:p w14:paraId="51C12C53"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C30-31</w:t>
            </w:r>
          </w:p>
        </w:tc>
        <w:tc>
          <w:tcPr>
            <w:tcW w:w="864" w:type="dxa"/>
            <w:tcBorders>
              <w:top w:val="nil"/>
              <w:left w:val="nil"/>
              <w:bottom w:val="single" w:sz="4" w:space="0" w:color="000000"/>
              <w:right w:val="single" w:sz="4" w:space="0" w:color="000000"/>
            </w:tcBorders>
            <w:shd w:val="clear" w:color="auto" w:fill="auto"/>
            <w:noWrap/>
            <w:vAlign w:val="bottom"/>
            <w:hideMark/>
          </w:tcPr>
          <w:p w14:paraId="7ACE3EDF"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1.95</w:t>
            </w:r>
          </w:p>
        </w:tc>
        <w:tc>
          <w:tcPr>
            <w:tcW w:w="709" w:type="dxa"/>
            <w:tcBorders>
              <w:top w:val="nil"/>
              <w:left w:val="nil"/>
              <w:bottom w:val="single" w:sz="4" w:space="0" w:color="000000"/>
              <w:right w:val="single" w:sz="4" w:space="0" w:color="000000"/>
            </w:tcBorders>
            <w:shd w:val="clear" w:color="auto" w:fill="auto"/>
            <w:noWrap/>
            <w:vAlign w:val="bottom"/>
            <w:hideMark/>
          </w:tcPr>
          <w:p w14:paraId="554EDF3B"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1.39</w:t>
            </w:r>
          </w:p>
        </w:tc>
        <w:tc>
          <w:tcPr>
            <w:tcW w:w="851" w:type="dxa"/>
            <w:tcBorders>
              <w:top w:val="nil"/>
              <w:left w:val="nil"/>
              <w:bottom w:val="single" w:sz="4" w:space="0" w:color="000000"/>
              <w:right w:val="single" w:sz="4" w:space="0" w:color="000000"/>
            </w:tcBorders>
            <w:shd w:val="clear" w:color="auto" w:fill="auto"/>
            <w:noWrap/>
            <w:vAlign w:val="bottom"/>
            <w:hideMark/>
          </w:tcPr>
          <w:p w14:paraId="4DD6BBC4"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1.95</w:t>
            </w:r>
          </w:p>
        </w:tc>
        <w:tc>
          <w:tcPr>
            <w:tcW w:w="708" w:type="dxa"/>
            <w:tcBorders>
              <w:top w:val="nil"/>
              <w:left w:val="nil"/>
              <w:bottom w:val="single" w:sz="4" w:space="0" w:color="000000"/>
              <w:right w:val="single" w:sz="4" w:space="0" w:color="000000"/>
            </w:tcBorders>
            <w:shd w:val="clear" w:color="auto" w:fill="auto"/>
            <w:noWrap/>
            <w:vAlign w:val="bottom"/>
            <w:hideMark/>
          </w:tcPr>
          <w:p w14:paraId="41EE262B"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1.39</w:t>
            </w:r>
          </w:p>
        </w:tc>
        <w:tc>
          <w:tcPr>
            <w:tcW w:w="993" w:type="dxa"/>
            <w:tcBorders>
              <w:top w:val="nil"/>
              <w:left w:val="nil"/>
              <w:bottom w:val="single" w:sz="4" w:space="0" w:color="000000"/>
              <w:right w:val="single" w:sz="4" w:space="0" w:color="000000"/>
            </w:tcBorders>
            <w:shd w:val="clear" w:color="000000" w:fill="D9D9D9"/>
            <w:noWrap/>
            <w:vAlign w:val="bottom"/>
            <w:hideMark/>
          </w:tcPr>
          <w:p w14:paraId="683B22E6"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992" w:type="dxa"/>
            <w:tcBorders>
              <w:top w:val="nil"/>
              <w:left w:val="nil"/>
              <w:bottom w:val="single" w:sz="4" w:space="0" w:color="000000"/>
              <w:right w:val="single" w:sz="4" w:space="0" w:color="000000"/>
            </w:tcBorders>
            <w:shd w:val="clear" w:color="000000" w:fill="D9D9D9"/>
            <w:noWrap/>
            <w:vAlign w:val="bottom"/>
            <w:hideMark/>
          </w:tcPr>
          <w:p w14:paraId="3FB6C53F"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1933" w:type="dxa"/>
            <w:tcBorders>
              <w:top w:val="nil"/>
              <w:left w:val="nil"/>
              <w:bottom w:val="single" w:sz="4" w:space="0" w:color="000000"/>
              <w:right w:val="single" w:sz="4" w:space="0" w:color="000000"/>
            </w:tcBorders>
            <w:shd w:val="clear" w:color="auto" w:fill="auto"/>
            <w:noWrap/>
            <w:vAlign w:val="bottom"/>
            <w:hideMark/>
          </w:tcPr>
          <w:p w14:paraId="61B9C6BE" w14:textId="47D57173"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Tyberg et al., 2022</w:t>
            </w:r>
            <w:r>
              <w:rPr>
                <w:rFonts w:ascii="Aptos Narrow" w:eastAsia="Times New Roman" w:hAnsi="Aptos Narrow" w:cs="Arial"/>
                <w:kern w:val="0"/>
                <w:sz w:val="20"/>
                <w:szCs w:val="20"/>
                <w:lang w:eastAsia="en-GB"/>
                <w14:ligatures w14:val="none"/>
              </w:rPr>
              <w:fldChar w:fldCharType="begin"/>
            </w:r>
            <w:r w:rsidR="00A5309E">
              <w:rPr>
                <w:rFonts w:ascii="Aptos Narrow" w:eastAsia="Times New Roman" w:hAnsi="Aptos Narrow" w:cs="Arial"/>
                <w:kern w:val="0"/>
                <w:sz w:val="20"/>
                <w:szCs w:val="20"/>
                <w:lang w:eastAsia="en-GB"/>
                <w14:ligatures w14:val="none"/>
              </w:rPr>
              <w:instrText xml:space="preserve"> ADDIN ZOTERO_ITEM CSL_CITATION {"citationID":"5IJ7cKOE","properties":{"formattedCitation":"(54)","plainCitation":"(54)","noteIndex":0},"citationItems":[{"id":136,"uris":["http://zotero.org/users/local/fxpU1WWH/items/3AHY5F2U"],"itemData":{"id":136,"type":"article-journal","abstract":"Environmental exposures and avoidable risk factors account for a large proportion of cancer burden. Exposures and lifestyle vary over time and between populations, which calls for updated and population-specific quantification of how various avoidable risk factors influence cancer risk to plan and design rational and targeted prevention initiatives. The study considered 12 risk-factor groups categorized as class I carcinogens by IARC/WCRF. Exposure data was derived from national studies and surveys and were linked to cancer incidence in 2018 based on the nationwide Danish Cancer Registry. In 2018, 23,078 men and 21,196 women were diagnosed with cancer excluding non-melanoma skin cancer, in Denmark. Of these, 14,235 (32.2%) were estimated to be attributable to avoidable class I carcinogens. Tobacco smoking accounted for 14.6% of total cancers, followed by UV-radiation that accounted for 5.8%. Based on exposure data from 2008, one-third of the cancers in Denmark in 2018 are estimated to be caused by class I carcinogens with tobacco use being the main contributor followed by UV-radiation. Our results should be integrated with public health policies to effectively increase awareness and promote strategies to decrease risk factor exposures at population level.","container-title":"Scientific Reports","DOI":"10.1038/s41598-021-04564-2","ISSN":"2045-2322","issue":"1","journalAbbreviation":"Sci Rep","language":"eng","note":"PMID: 35017625\nPMCID: PMC8752838","page":"549","source":"PubMed","title":"Updated fraction of cancer attributable to lifestyle and environmental factors in Denmark in 2018","volume":"12","author":[{"family":"Tybjerg","given":"Anne Julie"},{"family":"Friis","given":"Søren"},{"family":"Brown","given":"Katrina"},{"family":"Nilbert","given":"Mef Christina"},{"family":"Morch","given":"Lina"},{"family":"Køster","given":"Brian"}],"issued":{"date-parts":[["2022",1,11]]}}}],"schema":"https://github.com/citation-style-language/schema/raw/master/csl-citation.json"} </w:instrText>
            </w:r>
            <w:r>
              <w:rPr>
                <w:rFonts w:ascii="Aptos Narrow" w:eastAsia="Times New Roman" w:hAnsi="Aptos Narrow" w:cs="Arial"/>
                <w:kern w:val="0"/>
                <w:sz w:val="20"/>
                <w:szCs w:val="20"/>
                <w:lang w:eastAsia="en-GB"/>
                <w14:ligatures w14:val="none"/>
              </w:rPr>
              <w:fldChar w:fldCharType="separate"/>
            </w:r>
            <w:r w:rsidR="00A5309E" w:rsidRPr="00A5309E">
              <w:rPr>
                <w:rFonts w:ascii="Aptos Narrow" w:hAnsi="Aptos Narrow"/>
                <w:sz w:val="20"/>
              </w:rPr>
              <w:t>(54)</w:t>
            </w:r>
            <w:r>
              <w:rPr>
                <w:rFonts w:ascii="Aptos Narrow" w:eastAsia="Times New Roman" w:hAnsi="Aptos Narrow" w:cs="Arial"/>
                <w:kern w:val="0"/>
                <w:sz w:val="20"/>
                <w:szCs w:val="20"/>
                <w:lang w:eastAsia="en-GB"/>
                <w14:ligatures w14:val="none"/>
              </w:rPr>
              <w:fldChar w:fldCharType="end"/>
            </w:r>
          </w:p>
        </w:tc>
      </w:tr>
      <w:tr w:rsidR="003E2932" w:rsidRPr="005832BE" w14:paraId="1DED9224" w14:textId="77777777" w:rsidTr="0041177B">
        <w:trPr>
          <w:trHeight w:val="300"/>
        </w:trPr>
        <w:tc>
          <w:tcPr>
            <w:tcW w:w="1843" w:type="dxa"/>
            <w:tcBorders>
              <w:top w:val="nil"/>
              <w:left w:val="single" w:sz="4" w:space="0" w:color="000000"/>
              <w:bottom w:val="single" w:sz="4" w:space="0" w:color="000000"/>
              <w:right w:val="single" w:sz="4" w:space="0" w:color="000000"/>
            </w:tcBorders>
            <w:shd w:val="clear" w:color="000000" w:fill="FFFFFF"/>
            <w:vAlign w:val="center"/>
            <w:hideMark/>
          </w:tcPr>
          <w:p w14:paraId="3CBC9287"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Larynx</w:t>
            </w:r>
          </w:p>
        </w:tc>
        <w:tc>
          <w:tcPr>
            <w:tcW w:w="837" w:type="dxa"/>
            <w:tcBorders>
              <w:top w:val="nil"/>
              <w:left w:val="nil"/>
              <w:bottom w:val="single" w:sz="4" w:space="0" w:color="000000"/>
              <w:right w:val="single" w:sz="4" w:space="0" w:color="000000"/>
            </w:tcBorders>
            <w:shd w:val="clear" w:color="000000" w:fill="FFFFFF"/>
            <w:vAlign w:val="center"/>
            <w:hideMark/>
          </w:tcPr>
          <w:p w14:paraId="294E1D76"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C32</w:t>
            </w:r>
          </w:p>
        </w:tc>
        <w:tc>
          <w:tcPr>
            <w:tcW w:w="864" w:type="dxa"/>
            <w:tcBorders>
              <w:top w:val="nil"/>
              <w:left w:val="nil"/>
              <w:bottom w:val="single" w:sz="4" w:space="0" w:color="000000"/>
              <w:right w:val="single" w:sz="4" w:space="0" w:color="000000"/>
            </w:tcBorders>
            <w:shd w:val="clear" w:color="auto" w:fill="auto"/>
            <w:noWrap/>
            <w:hideMark/>
          </w:tcPr>
          <w:p w14:paraId="34CCF83B"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7.01</w:t>
            </w:r>
          </w:p>
        </w:tc>
        <w:tc>
          <w:tcPr>
            <w:tcW w:w="709" w:type="dxa"/>
            <w:tcBorders>
              <w:top w:val="nil"/>
              <w:left w:val="nil"/>
              <w:bottom w:val="single" w:sz="4" w:space="0" w:color="000000"/>
              <w:right w:val="single" w:sz="4" w:space="0" w:color="000000"/>
            </w:tcBorders>
            <w:shd w:val="clear" w:color="auto" w:fill="auto"/>
            <w:noWrap/>
            <w:hideMark/>
          </w:tcPr>
          <w:p w14:paraId="365BCA66"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2.37</w:t>
            </w:r>
          </w:p>
        </w:tc>
        <w:tc>
          <w:tcPr>
            <w:tcW w:w="851" w:type="dxa"/>
            <w:tcBorders>
              <w:top w:val="nil"/>
              <w:left w:val="nil"/>
              <w:bottom w:val="single" w:sz="4" w:space="0" w:color="000000"/>
              <w:right w:val="single" w:sz="4" w:space="0" w:color="000000"/>
            </w:tcBorders>
            <w:shd w:val="clear" w:color="auto" w:fill="auto"/>
            <w:noWrap/>
            <w:hideMark/>
          </w:tcPr>
          <w:p w14:paraId="7A707229"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7.01</w:t>
            </w:r>
          </w:p>
        </w:tc>
        <w:tc>
          <w:tcPr>
            <w:tcW w:w="708" w:type="dxa"/>
            <w:tcBorders>
              <w:top w:val="nil"/>
              <w:left w:val="nil"/>
              <w:bottom w:val="single" w:sz="4" w:space="0" w:color="000000"/>
              <w:right w:val="single" w:sz="4" w:space="0" w:color="000000"/>
            </w:tcBorders>
            <w:shd w:val="clear" w:color="auto" w:fill="auto"/>
            <w:noWrap/>
            <w:hideMark/>
          </w:tcPr>
          <w:p w14:paraId="46D87732"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2.37</w:t>
            </w:r>
          </w:p>
        </w:tc>
        <w:tc>
          <w:tcPr>
            <w:tcW w:w="993" w:type="dxa"/>
            <w:tcBorders>
              <w:top w:val="nil"/>
              <w:left w:val="nil"/>
              <w:bottom w:val="single" w:sz="4" w:space="0" w:color="000000"/>
              <w:right w:val="single" w:sz="4" w:space="0" w:color="000000"/>
            </w:tcBorders>
            <w:shd w:val="clear" w:color="000000" w:fill="D9D9D9"/>
            <w:noWrap/>
            <w:vAlign w:val="bottom"/>
            <w:hideMark/>
          </w:tcPr>
          <w:p w14:paraId="79618D01"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992" w:type="dxa"/>
            <w:tcBorders>
              <w:top w:val="nil"/>
              <w:left w:val="nil"/>
              <w:bottom w:val="single" w:sz="4" w:space="0" w:color="000000"/>
              <w:right w:val="single" w:sz="4" w:space="0" w:color="000000"/>
            </w:tcBorders>
            <w:shd w:val="clear" w:color="000000" w:fill="D9D9D9"/>
            <w:noWrap/>
            <w:vAlign w:val="bottom"/>
            <w:hideMark/>
          </w:tcPr>
          <w:p w14:paraId="2E6B6962"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1933" w:type="dxa"/>
            <w:tcBorders>
              <w:top w:val="nil"/>
              <w:left w:val="nil"/>
              <w:bottom w:val="single" w:sz="4" w:space="0" w:color="000000"/>
              <w:right w:val="single" w:sz="4" w:space="0" w:color="000000"/>
            </w:tcBorders>
            <w:shd w:val="clear" w:color="auto" w:fill="auto"/>
            <w:noWrap/>
            <w:vAlign w:val="bottom"/>
            <w:hideMark/>
          </w:tcPr>
          <w:p w14:paraId="69B69E8E" w14:textId="2E5856D4"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Berstad et al., 2025</w:t>
            </w:r>
            <w:r>
              <w:rPr>
                <w:rFonts w:ascii="Aptos Narrow" w:eastAsia="Times New Roman" w:hAnsi="Aptos Narrow" w:cs="Arial"/>
                <w:kern w:val="0"/>
                <w:sz w:val="20"/>
                <w:szCs w:val="20"/>
                <w:lang w:eastAsia="en-GB"/>
                <w14:ligatures w14:val="none"/>
              </w:rPr>
              <w:fldChar w:fldCharType="begin"/>
            </w:r>
            <w:r w:rsidR="00A5309E">
              <w:rPr>
                <w:rFonts w:ascii="Aptos Narrow" w:eastAsia="Times New Roman" w:hAnsi="Aptos Narrow" w:cs="Arial"/>
                <w:kern w:val="0"/>
                <w:sz w:val="20"/>
                <w:szCs w:val="20"/>
                <w:lang w:eastAsia="en-GB"/>
                <w14:ligatures w14:val="none"/>
              </w:rPr>
              <w:instrText xml:space="preserve"> ADDIN ZOTERO_ITEM CSL_CITATION {"citationID":"RgvdKuxS","properties":{"formattedCitation":"(53)","plainCitation":"(53)","noteIndex":0},"citationItems":[{"id":113,"uris":["http://zotero.org/users/local/fxpU1WWH/items/6FNYZLXL"],"itemData":{"id":113,"type":"article-journal","abstract":"BACKGROUND: Targeting modifiable factors offers significant potential for primary cancer prevention. For public health strategies, it is essential to quantify the contribution from each factor on a national level. We estimated the contribution of 12 modifiable factors on cancer incidence in the Norwegian population.\nMETHODS: Nationally representative data (1990-2015) on the prevalence of tobacco smoking, over-exposure to ultraviolet radiation (UVR), alcohol consumption, physical inactivity, overweight and obesity, intake of processed and red meat, fibre and calcium, menopausal hormone therapy (MHT), human papilloma virus (HPV) infection and insufficient breastfeeding were collected from health surveys. Using these prevalences, cancer risk estimates for for the exposures, and average annual cancer incidence rates for 2016-2020, we estimated annual population-attributable fractions (PAFs) and numbers of preventable cases.\nRESULTS: Of the average 24,608 annual cases of cancers related to our included modifiable factors, 12,250 (6240 in women and 6009 in men) (41</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were attributed to these factors. Tobacco smoking caused the highest proportion of cancers cases, 20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men and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women. Sunburn and indoor tanning caused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and 10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of cancers in men and women, respectively, and overweight and obesity caused 4.5</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xml:space="preserve">% of the cases. Cancers of skin, lung, colon and female breast had the highest number of preventable cases.\nCONCLUSION: Over a third of the annual cancer cases in Norway were attributed to 12 modifiable factors. Based on this study, efforts to reduce tobacco smoking, UVR over-exposure, and overweight and obesity could be the most effective in primary prevention of cancer.","container-title":"European Journal of Cancer (Oxford, England: 1990)","DOI":"10.1016/j.ejca.2025.115232","ISSN":"1879-0852","journalAbbreviation":"Eur J Cancer","language":"eng","note":"PMID: 39813761","page":"115232","source":"PubMed","title":"Cancers attributed to modifiable factors in Norway 2016-2020","volume":"217","author":[{"family":"Berstad","given":"Paula"},{"family":"Haugan","given":"Kristin"},{"family":"Knudsen","given":"Markus D."},{"family":"Nygård","given":"Mari"},{"family":"Ghiasvand","given":"Reza"},{"family":"Robsahm","given":"Trude Eid"}],"issued":{"date-parts":[["2025",2,25]]}}}],"schema":"https://github.com/citation-style-language/schema/raw/master/csl-citation.json"} </w:instrText>
            </w:r>
            <w:r>
              <w:rPr>
                <w:rFonts w:ascii="Aptos Narrow" w:eastAsia="Times New Roman" w:hAnsi="Aptos Narrow" w:cs="Arial"/>
                <w:kern w:val="0"/>
                <w:sz w:val="20"/>
                <w:szCs w:val="20"/>
                <w:lang w:eastAsia="en-GB"/>
                <w14:ligatures w14:val="none"/>
              </w:rPr>
              <w:fldChar w:fldCharType="separate"/>
            </w:r>
            <w:r w:rsidR="00A5309E" w:rsidRPr="00A5309E">
              <w:rPr>
                <w:rFonts w:ascii="Aptos Narrow" w:hAnsi="Aptos Narrow"/>
                <w:sz w:val="20"/>
              </w:rPr>
              <w:t>(53)</w:t>
            </w:r>
            <w:r>
              <w:rPr>
                <w:rFonts w:ascii="Aptos Narrow" w:eastAsia="Times New Roman" w:hAnsi="Aptos Narrow" w:cs="Arial"/>
                <w:kern w:val="0"/>
                <w:sz w:val="20"/>
                <w:szCs w:val="20"/>
                <w:lang w:eastAsia="en-GB"/>
                <w14:ligatures w14:val="none"/>
              </w:rPr>
              <w:fldChar w:fldCharType="end"/>
            </w:r>
          </w:p>
        </w:tc>
      </w:tr>
      <w:tr w:rsidR="003E2932" w:rsidRPr="005832BE" w14:paraId="4F17C593" w14:textId="77777777" w:rsidTr="0041177B">
        <w:trPr>
          <w:trHeight w:val="570"/>
        </w:trPr>
        <w:tc>
          <w:tcPr>
            <w:tcW w:w="1843" w:type="dxa"/>
            <w:tcBorders>
              <w:top w:val="nil"/>
              <w:left w:val="single" w:sz="4" w:space="0" w:color="000000"/>
              <w:bottom w:val="single" w:sz="4" w:space="0" w:color="000000"/>
              <w:right w:val="single" w:sz="4" w:space="0" w:color="000000"/>
            </w:tcBorders>
            <w:shd w:val="clear" w:color="000000" w:fill="FFFFFF"/>
            <w:vAlign w:val="center"/>
            <w:hideMark/>
          </w:tcPr>
          <w:p w14:paraId="3E0C3FC7"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Oesophagus (adenocarcinoma)</w:t>
            </w:r>
          </w:p>
        </w:tc>
        <w:tc>
          <w:tcPr>
            <w:tcW w:w="837" w:type="dxa"/>
            <w:tcBorders>
              <w:top w:val="nil"/>
              <w:left w:val="nil"/>
              <w:bottom w:val="single" w:sz="4" w:space="0" w:color="000000"/>
              <w:right w:val="single" w:sz="4" w:space="0" w:color="000000"/>
            </w:tcBorders>
            <w:shd w:val="clear" w:color="000000" w:fill="FFFFFF"/>
            <w:vAlign w:val="center"/>
            <w:hideMark/>
          </w:tcPr>
          <w:p w14:paraId="76F780D1"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C15</w:t>
            </w:r>
          </w:p>
        </w:tc>
        <w:tc>
          <w:tcPr>
            <w:tcW w:w="864" w:type="dxa"/>
            <w:tcBorders>
              <w:top w:val="nil"/>
              <w:left w:val="nil"/>
              <w:bottom w:val="single" w:sz="4" w:space="0" w:color="000000"/>
              <w:right w:val="single" w:sz="4" w:space="0" w:color="000000"/>
            </w:tcBorders>
            <w:shd w:val="clear" w:color="000000" w:fill="FFFFFF"/>
            <w:noWrap/>
            <w:hideMark/>
          </w:tcPr>
          <w:p w14:paraId="1015D5BA" w14:textId="77777777" w:rsidR="003E2932" w:rsidRPr="005832BE" w:rsidRDefault="003E2932" w:rsidP="00A64503">
            <w:pPr>
              <w:spacing w:after="0" w:line="240" w:lineRule="auto"/>
              <w:jc w:val="right"/>
              <w:rPr>
                <w:rFonts w:ascii="Aptos Narrow" w:eastAsia="Times New Roman" w:hAnsi="Aptos Narrow" w:cs="Times New Roman"/>
                <w:kern w:val="0"/>
                <w:sz w:val="20"/>
                <w:szCs w:val="20"/>
                <w:lang w:eastAsia="en-GB"/>
                <w14:ligatures w14:val="none"/>
              </w:rPr>
            </w:pPr>
            <w:r w:rsidRPr="005832BE">
              <w:rPr>
                <w:rFonts w:ascii="Aptos Narrow" w:eastAsia="Times New Roman" w:hAnsi="Aptos Narrow" w:cs="Times New Roman"/>
                <w:kern w:val="0"/>
                <w:sz w:val="20"/>
                <w:szCs w:val="20"/>
                <w:lang w:eastAsia="en-GB"/>
                <w14:ligatures w14:val="none"/>
              </w:rPr>
              <w:t>2.1</w:t>
            </w:r>
          </w:p>
        </w:tc>
        <w:tc>
          <w:tcPr>
            <w:tcW w:w="709" w:type="dxa"/>
            <w:tcBorders>
              <w:top w:val="nil"/>
              <w:left w:val="nil"/>
              <w:bottom w:val="single" w:sz="4" w:space="0" w:color="000000"/>
              <w:right w:val="single" w:sz="4" w:space="0" w:color="000000"/>
            </w:tcBorders>
            <w:shd w:val="clear" w:color="000000" w:fill="FFFFFF"/>
            <w:noWrap/>
            <w:hideMark/>
          </w:tcPr>
          <w:p w14:paraId="30B50787" w14:textId="77777777" w:rsidR="003E2932" w:rsidRPr="005832BE" w:rsidRDefault="003E2932" w:rsidP="00A64503">
            <w:pPr>
              <w:spacing w:after="0" w:line="240" w:lineRule="auto"/>
              <w:jc w:val="right"/>
              <w:rPr>
                <w:rFonts w:ascii="Aptos Narrow" w:eastAsia="Times New Roman" w:hAnsi="Aptos Narrow" w:cs="Times New Roman"/>
                <w:kern w:val="0"/>
                <w:sz w:val="20"/>
                <w:szCs w:val="20"/>
                <w:lang w:eastAsia="en-GB"/>
                <w14:ligatures w14:val="none"/>
              </w:rPr>
            </w:pPr>
            <w:r w:rsidRPr="005832BE">
              <w:rPr>
                <w:rFonts w:ascii="Aptos Narrow" w:eastAsia="Times New Roman" w:hAnsi="Aptos Narrow" w:cs="Times New Roman"/>
                <w:kern w:val="0"/>
                <w:sz w:val="20"/>
                <w:szCs w:val="20"/>
                <w:lang w:eastAsia="en-GB"/>
                <w14:ligatures w14:val="none"/>
              </w:rPr>
              <w:t>2.18</w:t>
            </w:r>
          </w:p>
        </w:tc>
        <w:tc>
          <w:tcPr>
            <w:tcW w:w="851" w:type="dxa"/>
            <w:tcBorders>
              <w:top w:val="nil"/>
              <w:left w:val="nil"/>
              <w:bottom w:val="single" w:sz="4" w:space="0" w:color="000000"/>
              <w:right w:val="single" w:sz="4" w:space="0" w:color="000000"/>
            </w:tcBorders>
            <w:shd w:val="clear" w:color="000000" w:fill="FFFFFF"/>
            <w:noWrap/>
            <w:hideMark/>
          </w:tcPr>
          <w:p w14:paraId="2BEEA068" w14:textId="77777777" w:rsidR="003E2932" w:rsidRPr="005832BE" w:rsidRDefault="003E2932" w:rsidP="00A64503">
            <w:pPr>
              <w:spacing w:after="0" w:line="240" w:lineRule="auto"/>
              <w:jc w:val="right"/>
              <w:rPr>
                <w:rFonts w:ascii="Aptos Narrow" w:eastAsia="Times New Roman" w:hAnsi="Aptos Narrow" w:cs="Times New Roman"/>
                <w:kern w:val="0"/>
                <w:sz w:val="20"/>
                <w:szCs w:val="20"/>
                <w:lang w:eastAsia="en-GB"/>
                <w14:ligatures w14:val="none"/>
              </w:rPr>
            </w:pPr>
            <w:r w:rsidRPr="005832BE">
              <w:rPr>
                <w:rFonts w:ascii="Aptos Narrow" w:eastAsia="Times New Roman" w:hAnsi="Aptos Narrow" w:cs="Times New Roman"/>
                <w:kern w:val="0"/>
                <w:sz w:val="20"/>
                <w:szCs w:val="20"/>
                <w:lang w:eastAsia="en-GB"/>
                <w14:ligatures w14:val="none"/>
              </w:rPr>
              <w:t>1.74</w:t>
            </w:r>
          </w:p>
        </w:tc>
        <w:tc>
          <w:tcPr>
            <w:tcW w:w="708" w:type="dxa"/>
            <w:tcBorders>
              <w:top w:val="nil"/>
              <w:left w:val="nil"/>
              <w:bottom w:val="single" w:sz="4" w:space="0" w:color="000000"/>
              <w:right w:val="single" w:sz="4" w:space="0" w:color="000000"/>
            </w:tcBorders>
            <w:shd w:val="clear" w:color="000000" w:fill="FFFFFF"/>
            <w:noWrap/>
            <w:hideMark/>
          </w:tcPr>
          <w:p w14:paraId="7C8C91DD" w14:textId="77777777" w:rsidR="003E2932" w:rsidRPr="005832BE" w:rsidRDefault="003E2932" w:rsidP="00A64503">
            <w:pPr>
              <w:spacing w:after="0" w:line="240" w:lineRule="auto"/>
              <w:jc w:val="right"/>
              <w:rPr>
                <w:rFonts w:ascii="Aptos Narrow" w:eastAsia="Times New Roman" w:hAnsi="Aptos Narrow" w:cs="Times New Roman"/>
                <w:kern w:val="0"/>
                <w:sz w:val="20"/>
                <w:szCs w:val="20"/>
                <w:lang w:eastAsia="en-GB"/>
                <w14:ligatures w14:val="none"/>
              </w:rPr>
            </w:pPr>
            <w:r w:rsidRPr="005832BE">
              <w:rPr>
                <w:rFonts w:ascii="Aptos Narrow" w:eastAsia="Times New Roman" w:hAnsi="Aptos Narrow" w:cs="Times New Roman"/>
                <w:kern w:val="0"/>
                <w:sz w:val="20"/>
                <w:szCs w:val="20"/>
                <w:lang w:eastAsia="en-GB"/>
                <w14:ligatures w14:val="none"/>
              </w:rPr>
              <w:t>2.18</w:t>
            </w:r>
          </w:p>
        </w:tc>
        <w:tc>
          <w:tcPr>
            <w:tcW w:w="993" w:type="dxa"/>
            <w:tcBorders>
              <w:top w:val="nil"/>
              <w:left w:val="nil"/>
              <w:bottom w:val="single" w:sz="4" w:space="0" w:color="000000"/>
              <w:right w:val="single" w:sz="4" w:space="0" w:color="000000"/>
            </w:tcBorders>
            <w:shd w:val="clear" w:color="000000" w:fill="D9D9D9"/>
            <w:noWrap/>
            <w:vAlign w:val="bottom"/>
            <w:hideMark/>
          </w:tcPr>
          <w:p w14:paraId="37C4D48E"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992" w:type="dxa"/>
            <w:tcBorders>
              <w:top w:val="nil"/>
              <w:left w:val="nil"/>
              <w:bottom w:val="single" w:sz="4" w:space="0" w:color="000000"/>
              <w:right w:val="single" w:sz="4" w:space="0" w:color="000000"/>
            </w:tcBorders>
            <w:shd w:val="clear" w:color="000000" w:fill="D9D9D9"/>
            <w:noWrap/>
            <w:vAlign w:val="bottom"/>
            <w:hideMark/>
          </w:tcPr>
          <w:p w14:paraId="151B1C70"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1933" w:type="dxa"/>
            <w:tcBorders>
              <w:top w:val="nil"/>
              <w:left w:val="nil"/>
              <w:bottom w:val="single" w:sz="4" w:space="0" w:color="000000"/>
              <w:right w:val="single" w:sz="4" w:space="0" w:color="000000"/>
            </w:tcBorders>
            <w:shd w:val="clear" w:color="auto" w:fill="auto"/>
            <w:noWrap/>
            <w:vAlign w:val="bottom"/>
            <w:hideMark/>
          </w:tcPr>
          <w:p w14:paraId="4C1EA7CA" w14:textId="354162FB"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Berstad et al., 2025</w:t>
            </w:r>
            <w:r w:rsidR="00C9560A">
              <w:rPr>
                <w:rFonts w:ascii="Aptos Narrow" w:eastAsia="Times New Roman" w:hAnsi="Aptos Narrow" w:cs="Arial"/>
                <w:kern w:val="0"/>
                <w:sz w:val="20"/>
                <w:szCs w:val="20"/>
                <w:lang w:eastAsia="en-GB"/>
                <w14:ligatures w14:val="none"/>
              </w:rPr>
              <w:fldChar w:fldCharType="begin"/>
            </w:r>
            <w:r w:rsidR="00A5309E">
              <w:rPr>
                <w:rFonts w:ascii="Aptos Narrow" w:eastAsia="Times New Roman" w:hAnsi="Aptos Narrow" w:cs="Arial"/>
                <w:kern w:val="0"/>
                <w:sz w:val="20"/>
                <w:szCs w:val="20"/>
                <w:lang w:eastAsia="en-GB"/>
                <w14:ligatures w14:val="none"/>
              </w:rPr>
              <w:instrText xml:space="preserve"> ADDIN ZOTERO_ITEM CSL_CITATION {"citationID":"9StphH2b","properties":{"formattedCitation":"(53)","plainCitation":"(53)","noteIndex":0},"citationItems":[{"id":113,"uris":["http://zotero.org/users/local/fxpU1WWH/items/6FNYZLXL"],"itemData":{"id":113,"type":"article-journal","abstract":"BACKGROUND: Targeting modifiable factors offers significant potential for primary cancer prevention. For public health strategies, it is essential to quantify the contribution from each factor on a national level. We estimated the contribution of 12 modifiable factors on cancer incidence in the Norwegian population.\nMETHODS: Nationally representative data (1990-2015) on the prevalence of tobacco smoking, over-exposure to ultraviolet radiation (UVR), alcohol consumption, physical inactivity, overweight and obesity, intake of processed and red meat, fibre and calcium, menopausal hormone therapy (MHT), human papilloma virus (HPV) infection and insufficient breastfeeding were collected from health surveys. Using these prevalences, cancer risk estimates for for the exposures, and average annual cancer incidence rates for 2016-2020, we estimated annual population-attributable fractions (PAFs) and numbers of preventable cases.\nRESULTS: Of the average 24,608 annual cases of cancers related to our included modifiable factors, 12,250 (6240 in women and 6009 in men) (41</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were attributed to these factors. Tobacco smoking caused the highest proportion of cancers cases, 20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men and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women. Sunburn and indoor tanning caused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and 10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of cancers in men and women, respectively, and overweight and obesity caused 4.5</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xml:space="preserve">% of the cases. Cancers of skin, lung, colon and female breast had the highest number of preventable cases.\nCONCLUSION: Over a third of the annual cancer cases in Norway were attributed to 12 modifiable factors. Based on this study, efforts to reduce tobacco smoking, UVR over-exposure, and overweight and obesity could be the most effective in primary prevention of cancer.","container-title":"European Journal of Cancer (Oxford, England: 1990)","DOI":"10.1016/j.ejca.2025.115232","ISSN":"1879-0852","journalAbbreviation":"Eur J Cancer","language":"eng","note":"PMID: 39813761","page":"115232","source":"PubMed","title":"Cancers attributed to modifiable factors in Norway 2016-2020","volume":"217","author":[{"family":"Berstad","given":"Paula"},{"family":"Haugan","given":"Kristin"},{"family":"Knudsen","given":"Markus D."},{"family":"Nygård","given":"Mari"},{"family":"Ghiasvand","given":"Reza"},{"family":"Robsahm","given":"Trude Eid"}],"issued":{"date-parts":[["2025",2,25]]}}}],"schema":"https://github.com/citation-style-language/schema/raw/master/csl-citation.json"} </w:instrText>
            </w:r>
            <w:r w:rsidR="00C9560A">
              <w:rPr>
                <w:rFonts w:ascii="Aptos Narrow" w:eastAsia="Times New Roman" w:hAnsi="Aptos Narrow" w:cs="Arial"/>
                <w:kern w:val="0"/>
                <w:sz w:val="20"/>
                <w:szCs w:val="20"/>
                <w:lang w:eastAsia="en-GB"/>
                <w14:ligatures w14:val="none"/>
              </w:rPr>
              <w:fldChar w:fldCharType="separate"/>
            </w:r>
            <w:r w:rsidR="00A5309E" w:rsidRPr="00A5309E">
              <w:rPr>
                <w:rFonts w:ascii="Aptos Narrow" w:hAnsi="Aptos Narrow"/>
                <w:sz w:val="20"/>
              </w:rPr>
              <w:t>(53)</w:t>
            </w:r>
            <w:r w:rsidR="00C9560A">
              <w:rPr>
                <w:rFonts w:ascii="Aptos Narrow" w:eastAsia="Times New Roman" w:hAnsi="Aptos Narrow" w:cs="Arial"/>
                <w:kern w:val="0"/>
                <w:sz w:val="20"/>
                <w:szCs w:val="20"/>
                <w:lang w:eastAsia="en-GB"/>
                <w14:ligatures w14:val="none"/>
              </w:rPr>
              <w:fldChar w:fldCharType="end"/>
            </w:r>
          </w:p>
        </w:tc>
      </w:tr>
      <w:tr w:rsidR="003E2932" w:rsidRPr="005832BE" w14:paraId="380E190A" w14:textId="77777777" w:rsidTr="0041177B">
        <w:trPr>
          <w:trHeight w:val="570"/>
        </w:trPr>
        <w:tc>
          <w:tcPr>
            <w:tcW w:w="1843" w:type="dxa"/>
            <w:tcBorders>
              <w:top w:val="nil"/>
              <w:left w:val="single" w:sz="4" w:space="0" w:color="000000"/>
              <w:bottom w:val="single" w:sz="4" w:space="0" w:color="000000"/>
              <w:right w:val="single" w:sz="4" w:space="0" w:color="000000"/>
            </w:tcBorders>
            <w:shd w:val="clear" w:color="000000" w:fill="FFFFFF"/>
            <w:vAlign w:val="center"/>
            <w:hideMark/>
          </w:tcPr>
          <w:p w14:paraId="5E038665"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Oesophagus (squamous cell)</w:t>
            </w:r>
          </w:p>
        </w:tc>
        <w:tc>
          <w:tcPr>
            <w:tcW w:w="837" w:type="dxa"/>
            <w:tcBorders>
              <w:top w:val="nil"/>
              <w:left w:val="nil"/>
              <w:bottom w:val="single" w:sz="4" w:space="0" w:color="000000"/>
              <w:right w:val="single" w:sz="4" w:space="0" w:color="000000"/>
            </w:tcBorders>
            <w:shd w:val="clear" w:color="000000" w:fill="FFFFFF"/>
            <w:vAlign w:val="center"/>
            <w:hideMark/>
          </w:tcPr>
          <w:p w14:paraId="4847C368"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C15</w:t>
            </w:r>
          </w:p>
        </w:tc>
        <w:tc>
          <w:tcPr>
            <w:tcW w:w="864" w:type="dxa"/>
            <w:tcBorders>
              <w:top w:val="nil"/>
              <w:left w:val="nil"/>
              <w:bottom w:val="single" w:sz="4" w:space="0" w:color="000000"/>
              <w:right w:val="single" w:sz="4" w:space="0" w:color="000000"/>
            </w:tcBorders>
            <w:shd w:val="clear" w:color="000000" w:fill="FFFFFF"/>
            <w:noWrap/>
            <w:hideMark/>
          </w:tcPr>
          <w:p w14:paraId="04204A25" w14:textId="77777777" w:rsidR="003E2932" w:rsidRPr="005832BE" w:rsidRDefault="003E2932" w:rsidP="00A64503">
            <w:pPr>
              <w:spacing w:after="0" w:line="240" w:lineRule="auto"/>
              <w:jc w:val="right"/>
              <w:rPr>
                <w:rFonts w:ascii="Aptos Narrow" w:eastAsia="Times New Roman" w:hAnsi="Aptos Narrow" w:cs="Times New Roman"/>
                <w:kern w:val="0"/>
                <w:sz w:val="20"/>
                <w:szCs w:val="20"/>
                <w:lang w:eastAsia="en-GB"/>
                <w14:ligatures w14:val="none"/>
              </w:rPr>
            </w:pPr>
            <w:r w:rsidRPr="005832BE">
              <w:rPr>
                <w:rFonts w:ascii="Aptos Narrow" w:eastAsia="Times New Roman" w:hAnsi="Aptos Narrow" w:cs="Times New Roman"/>
                <w:kern w:val="0"/>
                <w:sz w:val="20"/>
                <w:szCs w:val="20"/>
                <w:lang w:eastAsia="en-GB"/>
                <w14:ligatures w14:val="none"/>
              </w:rPr>
              <w:t>4.45</w:t>
            </w:r>
          </w:p>
        </w:tc>
        <w:tc>
          <w:tcPr>
            <w:tcW w:w="709" w:type="dxa"/>
            <w:tcBorders>
              <w:top w:val="nil"/>
              <w:left w:val="nil"/>
              <w:bottom w:val="single" w:sz="4" w:space="0" w:color="000000"/>
              <w:right w:val="single" w:sz="4" w:space="0" w:color="000000"/>
            </w:tcBorders>
            <w:shd w:val="clear" w:color="000000" w:fill="FFFFFF"/>
            <w:noWrap/>
            <w:hideMark/>
          </w:tcPr>
          <w:p w14:paraId="65C92D5A" w14:textId="77777777" w:rsidR="003E2932" w:rsidRPr="005832BE" w:rsidRDefault="003E2932" w:rsidP="00A64503">
            <w:pPr>
              <w:spacing w:after="0" w:line="240" w:lineRule="auto"/>
              <w:jc w:val="right"/>
              <w:rPr>
                <w:rFonts w:ascii="Aptos Narrow" w:eastAsia="Times New Roman" w:hAnsi="Aptos Narrow" w:cs="Times New Roman"/>
                <w:kern w:val="0"/>
                <w:sz w:val="20"/>
                <w:szCs w:val="20"/>
                <w:lang w:eastAsia="en-GB"/>
                <w14:ligatures w14:val="none"/>
              </w:rPr>
            </w:pPr>
            <w:r w:rsidRPr="005832BE">
              <w:rPr>
                <w:rFonts w:ascii="Aptos Narrow" w:eastAsia="Times New Roman" w:hAnsi="Aptos Narrow" w:cs="Times New Roman"/>
                <w:kern w:val="0"/>
                <w:sz w:val="20"/>
                <w:szCs w:val="20"/>
                <w:lang w:eastAsia="en-GB"/>
                <w14:ligatures w14:val="none"/>
              </w:rPr>
              <w:t>1.62</w:t>
            </w:r>
          </w:p>
        </w:tc>
        <w:tc>
          <w:tcPr>
            <w:tcW w:w="851" w:type="dxa"/>
            <w:tcBorders>
              <w:top w:val="nil"/>
              <w:left w:val="nil"/>
              <w:bottom w:val="single" w:sz="4" w:space="0" w:color="000000"/>
              <w:right w:val="single" w:sz="4" w:space="0" w:color="000000"/>
            </w:tcBorders>
            <w:shd w:val="clear" w:color="000000" w:fill="FFFFFF"/>
            <w:noWrap/>
            <w:hideMark/>
          </w:tcPr>
          <w:p w14:paraId="71DDD392" w14:textId="77777777" w:rsidR="003E2932" w:rsidRPr="005832BE" w:rsidRDefault="003E2932" w:rsidP="00A64503">
            <w:pPr>
              <w:spacing w:after="0" w:line="240" w:lineRule="auto"/>
              <w:jc w:val="right"/>
              <w:rPr>
                <w:rFonts w:ascii="Aptos Narrow" w:eastAsia="Times New Roman" w:hAnsi="Aptos Narrow" w:cs="Times New Roman"/>
                <w:kern w:val="0"/>
                <w:sz w:val="20"/>
                <w:szCs w:val="20"/>
                <w:lang w:eastAsia="en-GB"/>
                <w14:ligatures w14:val="none"/>
              </w:rPr>
            </w:pPr>
            <w:r w:rsidRPr="005832BE">
              <w:rPr>
                <w:rFonts w:ascii="Aptos Narrow" w:eastAsia="Times New Roman" w:hAnsi="Aptos Narrow" w:cs="Times New Roman"/>
                <w:kern w:val="0"/>
                <w:sz w:val="20"/>
                <w:szCs w:val="20"/>
                <w:lang w:eastAsia="en-GB"/>
                <w14:ligatures w14:val="none"/>
              </w:rPr>
              <w:t>1.57</w:t>
            </w:r>
          </w:p>
        </w:tc>
        <w:tc>
          <w:tcPr>
            <w:tcW w:w="708" w:type="dxa"/>
            <w:tcBorders>
              <w:top w:val="nil"/>
              <w:left w:val="nil"/>
              <w:bottom w:val="single" w:sz="4" w:space="0" w:color="000000"/>
              <w:right w:val="single" w:sz="4" w:space="0" w:color="000000"/>
            </w:tcBorders>
            <w:shd w:val="clear" w:color="000000" w:fill="FFFFFF"/>
            <w:noWrap/>
            <w:hideMark/>
          </w:tcPr>
          <w:p w14:paraId="660A8E3C" w14:textId="77777777" w:rsidR="003E2932" w:rsidRPr="005832BE" w:rsidRDefault="003E2932" w:rsidP="00A64503">
            <w:pPr>
              <w:spacing w:after="0" w:line="240" w:lineRule="auto"/>
              <w:jc w:val="right"/>
              <w:rPr>
                <w:rFonts w:ascii="Aptos Narrow" w:eastAsia="Times New Roman" w:hAnsi="Aptos Narrow" w:cs="Times New Roman"/>
                <w:kern w:val="0"/>
                <w:sz w:val="20"/>
                <w:szCs w:val="20"/>
                <w:lang w:eastAsia="en-GB"/>
                <w14:ligatures w14:val="none"/>
              </w:rPr>
            </w:pPr>
            <w:r w:rsidRPr="005832BE">
              <w:rPr>
                <w:rFonts w:ascii="Aptos Narrow" w:eastAsia="Times New Roman" w:hAnsi="Aptos Narrow" w:cs="Times New Roman"/>
                <w:kern w:val="0"/>
                <w:sz w:val="20"/>
                <w:szCs w:val="20"/>
                <w:lang w:eastAsia="en-GB"/>
                <w14:ligatures w14:val="none"/>
              </w:rPr>
              <w:t>1.62</w:t>
            </w:r>
          </w:p>
        </w:tc>
        <w:tc>
          <w:tcPr>
            <w:tcW w:w="993" w:type="dxa"/>
            <w:tcBorders>
              <w:top w:val="nil"/>
              <w:left w:val="nil"/>
              <w:bottom w:val="single" w:sz="4" w:space="0" w:color="000000"/>
              <w:right w:val="single" w:sz="4" w:space="0" w:color="000000"/>
            </w:tcBorders>
            <w:shd w:val="clear" w:color="000000" w:fill="D9D9D9"/>
            <w:noWrap/>
            <w:vAlign w:val="bottom"/>
            <w:hideMark/>
          </w:tcPr>
          <w:p w14:paraId="3DFF79ED"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992" w:type="dxa"/>
            <w:tcBorders>
              <w:top w:val="nil"/>
              <w:left w:val="nil"/>
              <w:bottom w:val="single" w:sz="4" w:space="0" w:color="000000"/>
              <w:right w:val="single" w:sz="4" w:space="0" w:color="000000"/>
            </w:tcBorders>
            <w:shd w:val="clear" w:color="000000" w:fill="D9D9D9"/>
            <w:noWrap/>
            <w:vAlign w:val="bottom"/>
            <w:hideMark/>
          </w:tcPr>
          <w:p w14:paraId="0CF542AE"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1933" w:type="dxa"/>
            <w:tcBorders>
              <w:top w:val="nil"/>
              <w:left w:val="nil"/>
              <w:bottom w:val="single" w:sz="4" w:space="0" w:color="000000"/>
              <w:right w:val="single" w:sz="4" w:space="0" w:color="000000"/>
            </w:tcBorders>
            <w:shd w:val="clear" w:color="auto" w:fill="auto"/>
            <w:noWrap/>
            <w:vAlign w:val="bottom"/>
            <w:hideMark/>
          </w:tcPr>
          <w:p w14:paraId="380BCEED" w14:textId="2B6284A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Berstad et al., 2025</w:t>
            </w:r>
            <w:r w:rsidR="00C9560A">
              <w:rPr>
                <w:rFonts w:ascii="Aptos Narrow" w:eastAsia="Times New Roman" w:hAnsi="Aptos Narrow" w:cs="Arial"/>
                <w:kern w:val="0"/>
                <w:sz w:val="20"/>
                <w:szCs w:val="20"/>
                <w:lang w:eastAsia="en-GB"/>
                <w14:ligatures w14:val="none"/>
              </w:rPr>
              <w:fldChar w:fldCharType="begin"/>
            </w:r>
            <w:r w:rsidR="00A5309E">
              <w:rPr>
                <w:rFonts w:ascii="Aptos Narrow" w:eastAsia="Times New Roman" w:hAnsi="Aptos Narrow" w:cs="Arial"/>
                <w:kern w:val="0"/>
                <w:sz w:val="20"/>
                <w:szCs w:val="20"/>
                <w:lang w:eastAsia="en-GB"/>
                <w14:ligatures w14:val="none"/>
              </w:rPr>
              <w:instrText xml:space="preserve"> ADDIN ZOTERO_ITEM CSL_CITATION {"citationID":"JpKR0DOg","properties":{"formattedCitation":"(53)","plainCitation":"(53)","noteIndex":0},"citationItems":[{"id":113,"uris":["http://zotero.org/users/local/fxpU1WWH/items/6FNYZLXL"],"itemData":{"id":113,"type":"article-journal","abstract":"BACKGROUND: Targeting modifiable factors offers significant potential for primary cancer prevention. For public health strategies, it is essential to quantify the contribution from each factor on a national level. We estimated the contribution of 12 modifiable factors on cancer incidence in the Norwegian population.\nMETHODS: Nationally representative data (1990-2015) on the prevalence of tobacco smoking, over-exposure to ultraviolet radiation (UVR), alcohol consumption, physical inactivity, overweight and obesity, intake of processed and red meat, fibre and calcium, menopausal hormone therapy (MHT), human papilloma virus (HPV) infection and insufficient breastfeeding were collected from health surveys. Using these prevalences, cancer risk estimates for for the exposures, and average annual cancer incidence rates for 2016-2020, we estimated annual population-attributable fractions (PAFs) and numbers of preventable cases.\nRESULTS: Of the average 24,608 annual cases of cancers related to our included modifiable factors, 12,250 (6240 in women and 6009 in men) (41</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were attributed to these factors. Tobacco smoking caused the highest proportion of cancers cases, 20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men and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women. Sunburn and indoor tanning caused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and 10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of cancers in men and women, respectively, and overweight and obesity caused 4.5</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xml:space="preserve">% of the cases. Cancers of skin, lung, colon and female breast had the highest number of preventable cases.\nCONCLUSION: Over a third of the annual cancer cases in Norway were attributed to 12 modifiable factors. Based on this study, efforts to reduce tobacco smoking, UVR over-exposure, and overweight and obesity could be the most effective in primary prevention of cancer.","container-title":"European Journal of Cancer (Oxford, England: 1990)","DOI":"10.1016/j.ejca.2025.115232","ISSN":"1879-0852","journalAbbreviation":"Eur J Cancer","language":"eng","note":"PMID: 39813761","page":"115232","source":"PubMed","title":"Cancers attributed to modifiable factors in Norway 2016-2020","volume":"217","author":[{"family":"Berstad","given":"Paula"},{"family":"Haugan","given":"Kristin"},{"family":"Knudsen","given":"Markus D."},{"family":"Nygård","given":"Mari"},{"family":"Ghiasvand","given":"Reza"},{"family":"Robsahm","given":"Trude Eid"}],"issued":{"date-parts":[["2025",2,25]]}}}],"schema":"https://github.com/citation-style-language/schema/raw/master/csl-citation.json"} </w:instrText>
            </w:r>
            <w:r w:rsidR="00C9560A">
              <w:rPr>
                <w:rFonts w:ascii="Aptos Narrow" w:eastAsia="Times New Roman" w:hAnsi="Aptos Narrow" w:cs="Arial"/>
                <w:kern w:val="0"/>
                <w:sz w:val="20"/>
                <w:szCs w:val="20"/>
                <w:lang w:eastAsia="en-GB"/>
                <w14:ligatures w14:val="none"/>
              </w:rPr>
              <w:fldChar w:fldCharType="separate"/>
            </w:r>
            <w:r w:rsidR="00A5309E" w:rsidRPr="00A5309E">
              <w:rPr>
                <w:rFonts w:ascii="Aptos Narrow" w:hAnsi="Aptos Narrow"/>
                <w:sz w:val="20"/>
              </w:rPr>
              <w:t>(53)</w:t>
            </w:r>
            <w:r w:rsidR="00C9560A">
              <w:rPr>
                <w:rFonts w:ascii="Aptos Narrow" w:eastAsia="Times New Roman" w:hAnsi="Aptos Narrow" w:cs="Arial"/>
                <w:kern w:val="0"/>
                <w:sz w:val="20"/>
                <w:szCs w:val="20"/>
                <w:lang w:eastAsia="en-GB"/>
                <w14:ligatures w14:val="none"/>
              </w:rPr>
              <w:fldChar w:fldCharType="end"/>
            </w:r>
          </w:p>
        </w:tc>
      </w:tr>
      <w:tr w:rsidR="003E2932" w:rsidRPr="005832BE" w14:paraId="43419712" w14:textId="77777777" w:rsidTr="0041177B">
        <w:trPr>
          <w:trHeight w:val="300"/>
        </w:trPr>
        <w:tc>
          <w:tcPr>
            <w:tcW w:w="1843" w:type="dxa"/>
            <w:tcBorders>
              <w:top w:val="nil"/>
              <w:left w:val="single" w:sz="4" w:space="0" w:color="000000"/>
              <w:bottom w:val="single" w:sz="4" w:space="0" w:color="000000"/>
              <w:right w:val="single" w:sz="4" w:space="0" w:color="000000"/>
            </w:tcBorders>
            <w:shd w:val="clear" w:color="000000" w:fill="FFFFFF"/>
            <w:vAlign w:val="center"/>
            <w:hideMark/>
          </w:tcPr>
          <w:p w14:paraId="0FE35E4A"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Stomach</w:t>
            </w:r>
          </w:p>
        </w:tc>
        <w:tc>
          <w:tcPr>
            <w:tcW w:w="837" w:type="dxa"/>
            <w:tcBorders>
              <w:top w:val="nil"/>
              <w:left w:val="nil"/>
              <w:bottom w:val="single" w:sz="4" w:space="0" w:color="000000"/>
              <w:right w:val="single" w:sz="4" w:space="0" w:color="000000"/>
            </w:tcBorders>
            <w:shd w:val="clear" w:color="000000" w:fill="FFFFFF"/>
            <w:vAlign w:val="center"/>
            <w:hideMark/>
          </w:tcPr>
          <w:p w14:paraId="20A50591"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C16</w:t>
            </w:r>
          </w:p>
        </w:tc>
        <w:tc>
          <w:tcPr>
            <w:tcW w:w="864" w:type="dxa"/>
            <w:tcBorders>
              <w:top w:val="nil"/>
              <w:left w:val="nil"/>
              <w:bottom w:val="single" w:sz="4" w:space="0" w:color="000000"/>
              <w:right w:val="single" w:sz="4" w:space="0" w:color="000000"/>
            </w:tcBorders>
            <w:shd w:val="clear" w:color="auto" w:fill="auto"/>
            <w:noWrap/>
            <w:vAlign w:val="bottom"/>
            <w:hideMark/>
          </w:tcPr>
          <w:p w14:paraId="75D3467E"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1.62</w:t>
            </w:r>
          </w:p>
        </w:tc>
        <w:tc>
          <w:tcPr>
            <w:tcW w:w="709" w:type="dxa"/>
            <w:tcBorders>
              <w:top w:val="nil"/>
              <w:left w:val="nil"/>
              <w:bottom w:val="single" w:sz="4" w:space="0" w:color="000000"/>
              <w:right w:val="single" w:sz="4" w:space="0" w:color="000000"/>
            </w:tcBorders>
            <w:shd w:val="clear" w:color="auto" w:fill="auto"/>
            <w:noWrap/>
            <w:vAlign w:val="bottom"/>
            <w:hideMark/>
          </w:tcPr>
          <w:p w14:paraId="4544402A"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1.34</w:t>
            </w:r>
          </w:p>
        </w:tc>
        <w:tc>
          <w:tcPr>
            <w:tcW w:w="851" w:type="dxa"/>
            <w:tcBorders>
              <w:top w:val="nil"/>
              <w:left w:val="nil"/>
              <w:bottom w:val="single" w:sz="4" w:space="0" w:color="000000"/>
              <w:right w:val="single" w:sz="4" w:space="0" w:color="000000"/>
            </w:tcBorders>
            <w:shd w:val="clear" w:color="auto" w:fill="auto"/>
            <w:noWrap/>
            <w:vAlign w:val="bottom"/>
            <w:hideMark/>
          </w:tcPr>
          <w:p w14:paraId="665E76C7"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1.2</w:t>
            </w:r>
          </w:p>
        </w:tc>
        <w:tc>
          <w:tcPr>
            <w:tcW w:w="708" w:type="dxa"/>
            <w:tcBorders>
              <w:top w:val="nil"/>
              <w:left w:val="nil"/>
              <w:bottom w:val="single" w:sz="4" w:space="0" w:color="000000"/>
              <w:right w:val="single" w:sz="4" w:space="0" w:color="000000"/>
            </w:tcBorders>
            <w:shd w:val="clear" w:color="auto" w:fill="auto"/>
            <w:noWrap/>
            <w:vAlign w:val="bottom"/>
            <w:hideMark/>
          </w:tcPr>
          <w:p w14:paraId="50FFA33B"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w:t>
            </w:r>
          </w:p>
        </w:tc>
        <w:tc>
          <w:tcPr>
            <w:tcW w:w="993" w:type="dxa"/>
            <w:tcBorders>
              <w:top w:val="nil"/>
              <w:left w:val="nil"/>
              <w:bottom w:val="single" w:sz="4" w:space="0" w:color="000000"/>
              <w:right w:val="single" w:sz="4" w:space="0" w:color="000000"/>
            </w:tcBorders>
            <w:shd w:val="clear" w:color="000000" w:fill="D9D9D9"/>
            <w:noWrap/>
            <w:vAlign w:val="bottom"/>
            <w:hideMark/>
          </w:tcPr>
          <w:p w14:paraId="7A2600B2"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992" w:type="dxa"/>
            <w:tcBorders>
              <w:top w:val="nil"/>
              <w:left w:val="nil"/>
              <w:bottom w:val="single" w:sz="4" w:space="0" w:color="000000"/>
              <w:right w:val="single" w:sz="4" w:space="0" w:color="000000"/>
            </w:tcBorders>
            <w:shd w:val="clear" w:color="000000" w:fill="D9D9D9"/>
            <w:noWrap/>
            <w:vAlign w:val="bottom"/>
            <w:hideMark/>
          </w:tcPr>
          <w:p w14:paraId="1EF5ACF2"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1933" w:type="dxa"/>
            <w:tcBorders>
              <w:top w:val="nil"/>
              <w:left w:val="nil"/>
              <w:bottom w:val="single" w:sz="4" w:space="0" w:color="000000"/>
              <w:right w:val="single" w:sz="4" w:space="0" w:color="000000"/>
            </w:tcBorders>
            <w:shd w:val="clear" w:color="auto" w:fill="auto"/>
            <w:noWrap/>
            <w:vAlign w:val="bottom"/>
          </w:tcPr>
          <w:p w14:paraId="51F87231" w14:textId="7BD6DB14"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Berstad et al., 2025</w:t>
            </w:r>
            <w:r w:rsidR="00C9560A">
              <w:rPr>
                <w:rFonts w:ascii="Aptos Narrow" w:eastAsia="Times New Roman" w:hAnsi="Aptos Narrow" w:cs="Arial"/>
                <w:kern w:val="0"/>
                <w:sz w:val="20"/>
                <w:szCs w:val="20"/>
                <w:lang w:eastAsia="en-GB"/>
                <w14:ligatures w14:val="none"/>
              </w:rPr>
              <w:fldChar w:fldCharType="begin"/>
            </w:r>
            <w:r w:rsidR="00A5309E">
              <w:rPr>
                <w:rFonts w:ascii="Aptos Narrow" w:eastAsia="Times New Roman" w:hAnsi="Aptos Narrow" w:cs="Arial"/>
                <w:kern w:val="0"/>
                <w:sz w:val="20"/>
                <w:szCs w:val="20"/>
                <w:lang w:eastAsia="en-GB"/>
                <w14:ligatures w14:val="none"/>
              </w:rPr>
              <w:instrText xml:space="preserve"> ADDIN ZOTERO_ITEM CSL_CITATION {"citationID":"4AGPf2RU","properties":{"formattedCitation":"(53)","plainCitation":"(53)","noteIndex":0},"citationItems":[{"id":113,"uris":["http://zotero.org/users/local/fxpU1WWH/items/6FNYZLXL"],"itemData":{"id":113,"type":"article-journal","abstract":"BACKGROUND: Targeting modifiable factors offers significant potential for primary cancer prevention. For public health strategies, it is essential to quantify the contribution from each factor on a national level. We estimated the contribution of 12 modifiable factors on cancer incidence in the Norwegian population.\nMETHODS: Nationally representative data (1990-2015) on the prevalence of tobacco smoking, over-exposure to ultraviolet radiation (UVR), alcohol consumption, physical inactivity, overweight and obesity, intake of processed and red meat, fibre and calcium, menopausal hormone therapy (MHT), human papilloma virus (HPV) infection and insufficient breastfeeding were collected from health surveys. Using these prevalences, cancer risk estimates for for the exposures, and average annual cancer incidence rates for 2016-2020, we estimated annual population-attributable fractions (PAFs) and numbers of preventable cases.\nRESULTS: Of the average 24,608 annual cases of cancers related to our included modifiable factors, 12,250 (6240 in women and 6009 in men) (41</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were attributed to these factors. Tobacco smoking caused the highest proportion of cancers cases, 20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men and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women. Sunburn and indoor tanning caused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and 10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of cancers in men and women, respectively, and overweight and obesity caused 4.5</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xml:space="preserve">% of the cases. Cancers of skin, lung, colon and female breast had the highest number of preventable cases.\nCONCLUSION: Over a third of the annual cancer cases in Norway were attributed to 12 modifiable factors. Based on this study, efforts to reduce tobacco smoking, UVR over-exposure, and overweight and obesity could be the most effective in primary prevention of cancer.","container-title":"European Journal of Cancer (Oxford, England: 1990)","DOI":"10.1016/j.ejca.2025.115232","ISSN":"1879-0852","journalAbbreviation":"Eur J Cancer","language":"eng","note":"PMID: 39813761","page":"115232","source":"PubMed","title":"Cancers attributed to modifiable factors in Norway 2016-2020","volume":"217","author":[{"family":"Berstad","given":"Paula"},{"family":"Haugan","given":"Kristin"},{"family":"Knudsen","given":"Markus D."},{"family":"Nygård","given":"Mari"},{"family":"Ghiasvand","given":"Reza"},{"family":"Robsahm","given":"Trude Eid"}],"issued":{"date-parts":[["2025",2,25]]}}}],"schema":"https://github.com/citation-style-language/schema/raw/master/csl-citation.json"} </w:instrText>
            </w:r>
            <w:r w:rsidR="00C9560A">
              <w:rPr>
                <w:rFonts w:ascii="Aptos Narrow" w:eastAsia="Times New Roman" w:hAnsi="Aptos Narrow" w:cs="Arial"/>
                <w:kern w:val="0"/>
                <w:sz w:val="20"/>
                <w:szCs w:val="20"/>
                <w:lang w:eastAsia="en-GB"/>
                <w14:ligatures w14:val="none"/>
              </w:rPr>
              <w:fldChar w:fldCharType="separate"/>
            </w:r>
            <w:r w:rsidR="00A5309E" w:rsidRPr="00A5309E">
              <w:rPr>
                <w:rFonts w:ascii="Aptos Narrow" w:hAnsi="Aptos Narrow"/>
                <w:sz w:val="20"/>
              </w:rPr>
              <w:t>(53)</w:t>
            </w:r>
            <w:r w:rsidR="00C9560A">
              <w:rPr>
                <w:rFonts w:ascii="Aptos Narrow" w:eastAsia="Times New Roman" w:hAnsi="Aptos Narrow" w:cs="Arial"/>
                <w:kern w:val="0"/>
                <w:sz w:val="20"/>
                <w:szCs w:val="20"/>
                <w:lang w:eastAsia="en-GB"/>
                <w14:ligatures w14:val="none"/>
              </w:rPr>
              <w:fldChar w:fldCharType="end"/>
            </w:r>
          </w:p>
        </w:tc>
      </w:tr>
      <w:tr w:rsidR="003E2932" w:rsidRPr="005832BE" w14:paraId="0354D6F5" w14:textId="77777777" w:rsidTr="0041177B">
        <w:trPr>
          <w:trHeight w:val="300"/>
        </w:trPr>
        <w:tc>
          <w:tcPr>
            <w:tcW w:w="1843" w:type="dxa"/>
            <w:tcBorders>
              <w:top w:val="nil"/>
              <w:left w:val="single" w:sz="4" w:space="0" w:color="000000"/>
              <w:bottom w:val="single" w:sz="4" w:space="0" w:color="000000"/>
              <w:right w:val="single" w:sz="4" w:space="0" w:color="000000"/>
            </w:tcBorders>
            <w:shd w:val="clear" w:color="000000" w:fill="FFFFFF"/>
            <w:vAlign w:val="center"/>
            <w:hideMark/>
          </w:tcPr>
          <w:p w14:paraId="464D5C24"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Pancreas</w:t>
            </w:r>
          </w:p>
        </w:tc>
        <w:tc>
          <w:tcPr>
            <w:tcW w:w="837" w:type="dxa"/>
            <w:tcBorders>
              <w:top w:val="nil"/>
              <w:left w:val="nil"/>
              <w:bottom w:val="single" w:sz="4" w:space="0" w:color="000000"/>
              <w:right w:val="single" w:sz="4" w:space="0" w:color="000000"/>
            </w:tcBorders>
            <w:shd w:val="clear" w:color="000000" w:fill="FFFFFF"/>
            <w:vAlign w:val="center"/>
            <w:hideMark/>
          </w:tcPr>
          <w:p w14:paraId="20D49950"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C25</w:t>
            </w:r>
          </w:p>
        </w:tc>
        <w:tc>
          <w:tcPr>
            <w:tcW w:w="864" w:type="dxa"/>
            <w:tcBorders>
              <w:top w:val="nil"/>
              <w:left w:val="nil"/>
              <w:bottom w:val="single" w:sz="4" w:space="0" w:color="000000"/>
              <w:right w:val="single" w:sz="4" w:space="0" w:color="000000"/>
            </w:tcBorders>
            <w:shd w:val="clear" w:color="000000" w:fill="FFFFFF"/>
            <w:noWrap/>
            <w:hideMark/>
          </w:tcPr>
          <w:p w14:paraId="170A4970" w14:textId="77777777" w:rsidR="003E2932" w:rsidRPr="005832BE" w:rsidRDefault="003E2932" w:rsidP="00A64503">
            <w:pPr>
              <w:spacing w:after="0" w:line="240" w:lineRule="auto"/>
              <w:jc w:val="right"/>
              <w:rPr>
                <w:rFonts w:ascii="Aptos Narrow" w:eastAsia="Times New Roman" w:hAnsi="Aptos Narrow" w:cs="Times New Roman"/>
                <w:kern w:val="0"/>
                <w:sz w:val="20"/>
                <w:szCs w:val="20"/>
                <w:lang w:eastAsia="en-GB"/>
                <w14:ligatures w14:val="none"/>
              </w:rPr>
            </w:pPr>
            <w:r w:rsidRPr="005832BE">
              <w:rPr>
                <w:rFonts w:ascii="Aptos Narrow" w:eastAsia="Times New Roman" w:hAnsi="Aptos Narrow" w:cs="Times New Roman"/>
                <w:kern w:val="0"/>
                <w:sz w:val="20"/>
                <w:szCs w:val="20"/>
                <w:lang w:eastAsia="en-GB"/>
                <w14:ligatures w14:val="none"/>
              </w:rPr>
              <w:t>2.2</w:t>
            </w:r>
          </w:p>
        </w:tc>
        <w:tc>
          <w:tcPr>
            <w:tcW w:w="709" w:type="dxa"/>
            <w:tcBorders>
              <w:top w:val="nil"/>
              <w:left w:val="nil"/>
              <w:bottom w:val="single" w:sz="4" w:space="0" w:color="000000"/>
              <w:right w:val="single" w:sz="4" w:space="0" w:color="000000"/>
            </w:tcBorders>
            <w:shd w:val="clear" w:color="000000" w:fill="FFFFFF"/>
            <w:noWrap/>
            <w:hideMark/>
          </w:tcPr>
          <w:p w14:paraId="00B00A15" w14:textId="77777777" w:rsidR="003E2932" w:rsidRPr="005832BE" w:rsidRDefault="003E2932" w:rsidP="00A64503">
            <w:pPr>
              <w:spacing w:after="0" w:line="240" w:lineRule="auto"/>
              <w:jc w:val="right"/>
              <w:rPr>
                <w:rFonts w:ascii="Aptos Narrow" w:eastAsia="Times New Roman" w:hAnsi="Aptos Narrow" w:cs="Times New Roman"/>
                <w:kern w:val="0"/>
                <w:sz w:val="20"/>
                <w:szCs w:val="20"/>
                <w:lang w:eastAsia="en-GB"/>
                <w14:ligatures w14:val="none"/>
              </w:rPr>
            </w:pPr>
            <w:r w:rsidRPr="005832BE">
              <w:rPr>
                <w:rFonts w:ascii="Aptos Narrow" w:eastAsia="Times New Roman" w:hAnsi="Aptos Narrow" w:cs="Times New Roman"/>
                <w:kern w:val="0"/>
                <w:sz w:val="20"/>
                <w:szCs w:val="20"/>
                <w:lang w:eastAsia="en-GB"/>
                <w14:ligatures w14:val="none"/>
              </w:rPr>
              <w:t>1.15</w:t>
            </w:r>
          </w:p>
        </w:tc>
        <w:tc>
          <w:tcPr>
            <w:tcW w:w="851" w:type="dxa"/>
            <w:tcBorders>
              <w:top w:val="nil"/>
              <w:left w:val="nil"/>
              <w:bottom w:val="single" w:sz="4" w:space="0" w:color="000000"/>
              <w:right w:val="single" w:sz="4" w:space="0" w:color="000000"/>
            </w:tcBorders>
            <w:shd w:val="clear" w:color="000000" w:fill="FFFFFF"/>
            <w:noWrap/>
            <w:hideMark/>
          </w:tcPr>
          <w:p w14:paraId="7C7F8A89" w14:textId="77777777" w:rsidR="003E2932" w:rsidRPr="005832BE" w:rsidRDefault="003E2932" w:rsidP="00A64503">
            <w:pPr>
              <w:spacing w:after="0" w:line="240" w:lineRule="auto"/>
              <w:jc w:val="right"/>
              <w:rPr>
                <w:rFonts w:ascii="Aptos Narrow" w:eastAsia="Times New Roman" w:hAnsi="Aptos Narrow" w:cs="Times New Roman"/>
                <w:kern w:val="0"/>
                <w:sz w:val="20"/>
                <w:szCs w:val="20"/>
                <w:lang w:eastAsia="en-GB"/>
                <w14:ligatures w14:val="none"/>
              </w:rPr>
            </w:pPr>
            <w:r w:rsidRPr="005832BE">
              <w:rPr>
                <w:rFonts w:ascii="Aptos Narrow" w:eastAsia="Times New Roman" w:hAnsi="Aptos Narrow" w:cs="Times New Roman"/>
                <w:kern w:val="0"/>
                <w:sz w:val="20"/>
                <w:szCs w:val="20"/>
                <w:lang w:eastAsia="en-GB"/>
                <w14:ligatures w14:val="none"/>
              </w:rPr>
              <w:t>2.2</w:t>
            </w:r>
          </w:p>
        </w:tc>
        <w:tc>
          <w:tcPr>
            <w:tcW w:w="708" w:type="dxa"/>
            <w:tcBorders>
              <w:top w:val="nil"/>
              <w:left w:val="nil"/>
              <w:bottom w:val="single" w:sz="4" w:space="0" w:color="000000"/>
              <w:right w:val="single" w:sz="4" w:space="0" w:color="000000"/>
            </w:tcBorders>
            <w:shd w:val="clear" w:color="000000" w:fill="FFFFFF"/>
            <w:noWrap/>
            <w:hideMark/>
          </w:tcPr>
          <w:p w14:paraId="43F2B1D7" w14:textId="77777777" w:rsidR="003E2932" w:rsidRPr="005832BE" w:rsidRDefault="003E2932" w:rsidP="00A64503">
            <w:pPr>
              <w:spacing w:after="0" w:line="240" w:lineRule="auto"/>
              <w:jc w:val="right"/>
              <w:rPr>
                <w:rFonts w:ascii="Aptos Narrow" w:eastAsia="Times New Roman" w:hAnsi="Aptos Narrow" w:cs="Times New Roman"/>
                <w:kern w:val="0"/>
                <w:sz w:val="20"/>
                <w:szCs w:val="20"/>
                <w:lang w:eastAsia="en-GB"/>
                <w14:ligatures w14:val="none"/>
              </w:rPr>
            </w:pPr>
            <w:r w:rsidRPr="005832BE">
              <w:rPr>
                <w:rFonts w:ascii="Aptos Narrow" w:eastAsia="Times New Roman" w:hAnsi="Aptos Narrow" w:cs="Times New Roman"/>
                <w:kern w:val="0"/>
                <w:sz w:val="20"/>
                <w:szCs w:val="20"/>
                <w:lang w:eastAsia="en-GB"/>
                <w14:ligatures w14:val="none"/>
              </w:rPr>
              <w:t>1.15</w:t>
            </w:r>
          </w:p>
        </w:tc>
        <w:tc>
          <w:tcPr>
            <w:tcW w:w="993" w:type="dxa"/>
            <w:tcBorders>
              <w:top w:val="nil"/>
              <w:left w:val="nil"/>
              <w:bottom w:val="single" w:sz="4" w:space="0" w:color="000000"/>
              <w:right w:val="single" w:sz="4" w:space="0" w:color="000000"/>
            </w:tcBorders>
            <w:shd w:val="clear" w:color="000000" w:fill="D9D9D9"/>
            <w:noWrap/>
            <w:vAlign w:val="bottom"/>
            <w:hideMark/>
          </w:tcPr>
          <w:p w14:paraId="509D6517"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992" w:type="dxa"/>
            <w:tcBorders>
              <w:top w:val="nil"/>
              <w:left w:val="nil"/>
              <w:bottom w:val="single" w:sz="4" w:space="0" w:color="000000"/>
              <w:right w:val="single" w:sz="4" w:space="0" w:color="000000"/>
            </w:tcBorders>
            <w:shd w:val="clear" w:color="000000" w:fill="D9D9D9"/>
            <w:noWrap/>
            <w:vAlign w:val="bottom"/>
            <w:hideMark/>
          </w:tcPr>
          <w:p w14:paraId="413BF0FB"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1933" w:type="dxa"/>
            <w:tcBorders>
              <w:top w:val="nil"/>
              <w:left w:val="nil"/>
              <w:bottom w:val="single" w:sz="4" w:space="0" w:color="000000"/>
              <w:right w:val="single" w:sz="4" w:space="0" w:color="000000"/>
            </w:tcBorders>
            <w:shd w:val="clear" w:color="auto" w:fill="auto"/>
            <w:noWrap/>
            <w:vAlign w:val="bottom"/>
          </w:tcPr>
          <w:p w14:paraId="3398ADEB" w14:textId="23AB1BB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Berstad et al., 2025</w:t>
            </w:r>
            <w:r w:rsidR="00C9560A">
              <w:rPr>
                <w:rFonts w:ascii="Aptos Narrow" w:eastAsia="Times New Roman" w:hAnsi="Aptos Narrow" w:cs="Arial"/>
                <w:kern w:val="0"/>
                <w:sz w:val="20"/>
                <w:szCs w:val="20"/>
                <w:lang w:eastAsia="en-GB"/>
                <w14:ligatures w14:val="none"/>
              </w:rPr>
              <w:fldChar w:fldCharType="begin"/>
            </w:r>
            <w:r w:rsidR="00A5309E">
              <w:rPr>
                <w:rFonts w:ascii="Aptos Narrow" w:eastAsia="Times New Roman" w:hAnsi="Aptos Narrow" w:cs="Arial"/>
                <w:kern w:val="0"/>
                <w:sz w:val="20"/>
                <w:szCs w:val="20"/>
                <w:lang w:eastAsia="en-GB"/>
                <w14:ligatures w14:val="none"/>
              </w:rPr>
              <w:instrText xml:space="preserve"> ADDIN ZOTERO_ITEM CSL_CITATION {"citationID":"HhMJI5PJ","properties":{"formattedCitation":"(53)","plainCitation":"(53)","noteIndex":0},"citationItems":[{"id":113,"uris":["http://zotero.org/users/local/fxpU1WWH/items/6FNYZLXL"],"itemData":{"id":113,"type":"article-journal","abstract":"BACKGROUND: Targeting modifiable factors offers significant potential for primary cancer prevention. For public health strategies, it is essential to quantify the contribution from each factor on a national level. We estimated the contribution of 12 modifiable factors on cancer incidence in the Norwegian population.\nMETHODS: Nationally representative data (1990-2015) on the prevalence of tobacco smoking, over-exposure to ultraviolet radiation (UVR), alcohol consumption, physical inactivity, overweight and obesity, intake of processed and red meat, fibre and calcium, menopausal hormone therapy (MHT), human papilloma virus (HPV) infection and insufficient breastfeeding were collected from health surveys. Using these prevalences, cancer risk estimates for for the exposures, and average annual cancer incidence rates for 2016-2020, we estimated annual population-attributable fractions (PAFs) and numbers of preventable cases.\nRESULTS: Of the average 24,608 annual cases of cancers related to our included modifiable factors, 12,250 (6240 in women and 6009 in men) (41</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were attributed to these factors. Tobacco smoking caused the highest proportion of cancers cases, 20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men and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women. Sunburn and indoor tanning caused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and 10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of cancers in men and women, respectively, and overweight and obesity caused 4.5</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xml:space="preserve">% of the cases. Cancers of skin, lung, colon and female breast had the highest number of preventable cases.\nCONCLUSION: Over a third of the annual cancer cases in Norway were attributed to 12 modifiable factors. Based on this study, efforts to reduce tobacco smoking, UVR over-exposure, and overweight and obesity could be the most effective in primary prevention of cancer.","container-title":"European Journal of Cancer (Oxford, England: 1990)","DOI":"10.1016/j.ejca.2025.115232","ISSN":"1879-0852","journalAbbreviation":"Eur J Cancer","language":"eng","note":"PMID: 39813761","page":"115232","source":"PubMed","title":"Cancers attributed to modifiable factors in Norway 2016-2020","volume":"217","author":[{"family":"Berstad","given":"Paula"},{"family":"Haugan","given":"Kristin"},{"family":"Knudsen","given":"Markus D."},{"family":"Nygård","given":"Mari"},{"family":"Ghiasvand","given":"Reza"},{"family":"Robsahm","given":"Trude Eid"}],"issued":{"date-parts":[["2025",2,25]]}}}],"schema":"https://github.com/citation-style-language/schema/raw/master/csl-citation.json"} </w:instrText>
            </w:r>
            <w:r w:rsidR="00C9560A">
              <w:rPr>
                <w:rFonts w:ascii="Aptos Narrow" w:eastAsia="Times New Roman" w:hAnsi="Aptos Narrow" w:cs="Arial"/>
                <w:kern w:val="0"/>
                <w:sz w:val="20"/>
                <w:szCs w:val="20"/>
                <w:lang w:eastAsia="en-GB"/>
                <w14:ligatures w14:val="none"/>
              </w:rPr>
              <w:fldChar w:fldCharType="separate"/>
            </w:r>
            <w:r w:rsidR="00A5309E" w:rsidRPr="00A5309E">
              <w:rPr>
                <w:rFonts w:ascii="Aptos Narrow" w:hAnsi="Aptos Narrow"/>
                <w:sz w:val="20"/>
              </w:rPr>
              <w:t>(53)</w:t>
            </w:r>
            <w:r w:rsidR="00C9560A">
              <w:rPr>
                <w:rFonts w:ascii="Aptos Narrow" w:eastAsia="Times New Roman" w:hAnsi="Aptos Narrow" w:cs="Arial"/>
                <w:kern w:val="0"/>
                <w:sz w:val="20"/>
                <w:szCs w:val="20"/>
                <w:lang w:eastAsia="en-GB"/>
                <w14:ligatures w14:val="none"/>
              </w:rPr>
              <w:fldChar w:fldCharType="end"/>
            </w:r>
          </w:p>
        </w:tc>
      </w:tr>
      <w:tr w:rsidR="003E2932" w:rsidRPr="005832BE" w14:paraId="1E395942" w14:textId="77777777" w:rsidTr="0041177B">
        <w:trPr>
          <w:trHeight w:val="300"/>
        </w:trPr>
        <w:tc>
          <w:tcPr>
            <w:tcW w:w="1843" w:type="dxa"/>
            <w:tcBorders>
              <w:top w:val="nil"/>
              <w:left w:val="single" w:sz="4" w:space="0" w:color="000000"/>
              <w:bottom w:val="single" w:sz="4" w:space="0" w:color="000000"/>
              <w:right w:val="single" w:sz="4" w:space="0" w:color="000000"/>
            </w:tcBorders>
            <w:shd w:val="clear" w:color="000000" w:fill="FFFFFF"/>
            <w:vAlign w:val="center"/>
            <w:hideMark/>
          </w:tcPr>
          <w:p w14:paraId="68C72C86"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Liver (primary)</w:t>
            </w:r>
          </w:p>
        </w:tc>
        <w:tc>
          <w:tcPr>
            <w:tcW w:w="837" w:type="dxa"/>
            <w:tcBorders>
              <w:top w:val="nil"/>
              <w:left w:val="nil"/>
              <w:bottom w:val="single" w:sz="4" w:space="0" w:color="000000"/>
              <w:right w:val="single" w:sz="4" w:space="0" w:color="000000"/>
            </w:tcBorders>
            <w:shd w:val="clear" w:color="000000" w:fill="FFFFFF"/>
            <w:vAlign w:val="center"/>
            <w:hideMark/>
          </w:tcPr>
          <w:p w14:paraId="3C040160"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C22</w:t>
            </w:r>
          </w:p>
        </w:tc>
        <w:tc>
          <w:tcPr>
            <w:tcW w:w="864" w:type="dxa"/>
            <w:tcBorders>
              <w:top w:val="nil"/>
              <w:left w:val="nil"/>
              <w:bottom w:val="single" w:sz="4" w:space="0" w:color="000000"/>
              <w:right w:val="single" w:sz="4" w:space="0" w:color="000000"/>
            </w:tcBorders>
            <w:shd w:val="clear" w:color="000000" w:fill="FFFFFF"/>
            <w:noWrap/>
            <w:hideMark/>
          </w:tcPr>
          <w:p w14:paraId="00B5918D" w14:textId="77777777" w:rsidR="003E2932" w:rsidRPr="005832BE" w:rsidRDefault="003E2932" w:rsidP="00A64503">
            <w:pPr>
              <w:spacing w:after="0" w:line="240" w:lineRule="auto"/>
              <w:jc w:val="right"/>
              <w:rPr>
                <w:rFonts w:ascii="Aptos Narrow" w:eastAsia="Times New Roman" w:hAnsi="Aptos Narrow" w:cs="Times New Roman"/>
                <w:kern w:val="0"/>
                <w:sz w:val="20"/>
                <w:szCs w:val="20"/>
                <w:lang w:eastAsia="en-GB"/>
                <w14:ligatures w14:val="none"/>
              </w:rPr>
            </w:pPr>
            <w:r w:rsidRPr="005832BE">
              <w:rPr>
                <w:rFonts w:ascii="Aptos Narrow" w:eastAsia="Times New Roman" w:hAnsi="Aptos Narrow" w:cs="Times New Roman"/>
                <w:kern w:val="0"/>
                <w:sz w:val="20"/>
                <w:szCs w:val="20"/>
                <w:lang w:eastAsia="en-GB"/>
                <w14:ligatures w14:val="none"/>
              </w:rPr>
              <w:t>1.61</w:t>
            </w:r>
          </w:p>
        </w:tc>
        <w:tc>
          <w:tcPr>
            <w:tcW w:w="709" w:type="dxa"/>
            <w:tcBorders>
              <w:top w:val="nil"/>
              <w:left w:val="nil"/>
              <w:bottom w:val="single" w:sz="4" w:space="0" w:color="000000"/>
              <w:right w:val="single" w:sz="4" w:space="0" w:color="000000"/>
            </w:tcBorders>
            <w:shd w:val="clear" w:color="000000" w:fill="FFFFFF"/>
            <w:noWrap/>
            <w:hideMark/>
          </w:tcPr>
          <w:p w14:paraId="509D8140" w14:textId="77777777" w:rsidR="003E2932" w:rsidRPr="005832BE" w:rsidRDefault="003E2932" w:rsidP="00A64503">
            <w:pPr>
              <w:spacing w:after="0" w:line="240" w:lineRule="auto"/>
              <w:jc w:val="right"/>
              <w:rPr>
                <w:rFonts w:ascii="Aptos Narrow" w:eastAsia="Times New Roman" w:hAnsi="Aptos Narrow" w:cs="Times New Roman"/>
                <w:kern w:val="0"/>
                <w:sz w:val="20"/>
                <w:szCs w:val="20"/>
                <w:lang w:eastAsia="en-GB"/>
                <w14:ligatures w14:val="none"/>
              </w:rPr>
            </w:pPr>
            <w:r w:rsidRPr="005832BE">
              <w:rPr>
                <w:rFonts w:ascii="Aptos Narrow" w:eastAsia="Times New Roman" w:hAnsi="Aptos Narrow" w:cs="Times New Roman"/>
                <w:kern w:val="0"/>
                <w:sz w:val="20"/>
                <w:szCs w:val="20"/>
                <w:lang w:eastAsia="en-GB"/>
                <w14:ligatures w14:val="none"/>
              </w:rPr>
              <w:t>1.17</w:t>
            </w:r>
          </w:p>
        </w:tc>
        <w:tc>
          <w:tcPr>
            <w:tcW w:w="851" w:type="dxa"/>
            <w:tcBorders>
              <w:top w:val="nil"/>
              <w:left w:val="nil"/>
              <w:bottom w:val="single" w:sz="4" w:space="0" w:color="000000"/>
              <w:right w:val="single" w:sz="4" w:space="0" w:color="000000"/>
            </w:tcBorders>
            <w:shd w:val="clear" w:color="000000" w:fill="FFFFFF"/>
            <w:noWrap/>
            <w:hideMark/>
          </w:tcPr>
          <w:p w14:paraId="4574427A" w14:textId="77777777" w:rsidR="003E2932" w:rsidRPr="005832BE" w:rsidRDefault="003E2932" w:rsidP="00A64503">
            <w:pPr>
              <w:spacing w:after="0" w:line="240" w:lineRule="auto"/>
              <w:jc w:val="right"/>
              <w:rPr>
                <w:rFonts w:ascii="Aptos Narrow" w:eastAsia="Times New Roman" w:hAnsi="Aptos Narrow" w:cs="Times New Roman"/>
                <w:kern w:val="0"/>
                <w:sz w:val="20"/>
                <w:szCs w:val="20"/>
                <w:lang w:eastAsia="en-GB"/>
                <w14:ligatures w14:val="none"/>
              </w:rPr>
            </w:pPr>
            <w:r w:rsidRPr="005832BE">
              <w:rPr>
                <w:rFonts w:ascii="Aptos Narrow" w:eastAsia="Times New Roman" w:hAnsi="Aptos Narrow" w:cs="Times New Roman"/>
                <w:kern w:val="0"/>
                <w:sz w:val="20"/>
                <w:szCs w:val="20"/>
                <w:lang w:eastAsia="en-GB"/>
                <w14:ligatures w14:val="none"/>
              </w:rPr>
              <w:t>1.86</w:t>
            </w:r>
          </w:p>
        </w:tc>
        <w:tc>
          <w:tcPr>
            <w:tcW w:w="708" w:type="dxa"/>
            <w:tcBorders>
              <w:top w:val="nil"/>
              <w:left w:val="nil"/>
              <w:bottom w:val="single" w:sz="4" w:space="0" w:color="000000"/>
              <w:right w:val="single" w:sz="4" w:space="0" w:color="000000"/>
            </w:tcBorders>
            <w:shd w:val="clear" w:color="000000" w:fill="FFFFFF"/>
            <w:noWrap/>
            <w:hideMark/>
          </w:tcPr>
          <w:p w14:paraId="1827198A" w14:textId="77777777" w:rsidR="003E2932" w:rsidRPr="005832BE" w:rsidRDefault="003E2932" w:rsidP="00A64503">
            <w:pPr>
              <w:spacing w:after="0" w:line="240" w:lineRule="auto"/>
              <w:jc w:val="right"/>
              <w:rPr>
                <w:rFonts w:ascii="Aptos Narrow" w:eastAsia="Times New Roman" w:hAnsi="Aptos Narrow" w:cs="Times New Roman"/>
                <w:kern w:val="0"/>
                <w:sz w:val="20"/>
                <w:szCs w:val="20"/>
                <w:lang w:eastAsia="en-GB"/>
                <w14:ligatures w14:val="none"/>
              </w:rPr>
            </w:pPr>
            <w:r w:rsidRPr="005832BE">
              <w:rPr>
                <w:rFonts w:ascii="Aptos Narrow" w:eastAsia="Times New Roman" w:hAnsi="Aptos Narrow" w:cs="Times New Roman"/>
                <w:kern w:val="0"/>
                <w:sz w:val="20"/>
                <w:szCs w:val="20"/>
                <w:lang w:eastAsia="en-GB"/>
                <w14:ligatures w14:val="none"/>
              </w:rPr>
              <w:t>1.17</w:t>
            </w:r>
          </w:p>
        </w:tc>
        <w:tc>
          <w:tcPr>
            <w:tcW w:w="993" w:type="dxa"/>
            <w:tcBorders>
              <w:top w:val="nil"/>
              <w:left w:val="nil"/>
              <w:bottom w:val="single" w:sz="4" w:space="0" w:color="000000"/>
              <w:right w:val="single" w:sz="4" w:space="0" w:color="000000"/>
            </w:tcBorders>
            <w:shd w:val="clear" w:color="000000" w:fill="D9D9D9"/>
            <w:noWrap/>
            <w:vAlign w:val="bottom"/>
            <w:hideMark/>
          </w:tcPr>
          <w:p w14:paraId="2F0B8718"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992" w:type="dxa"/>
            <w:tcBorders>
              <w:top w:val="nil"/>
              <w:left w:val="nil"/>
              <w:bottom w:val="single" w:sz="4" w:space="0" w:color="000000"/>
              <w:right w:val="single" w:sz="4" w:space="0" w:color="000000"/>
            </w:tcBorders>
            <w:shd w:val="clear" w:color="000000" w:fill="D9D9D9"/>
            <w:noWrap/>
            <w:vAlign w:val="bottom"/>
            <w:hideMark/>
          </w:tcPr>
          <w:p w14:paraId="684A73E4"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1933" w:type="dxa"/>
            <w:tcBorders>
              <w:top w:val="nil"/>
              <w:left w:val="nil"/>
              <w:bottom w:val="single" w:sz="4" w:space="0" w:color="000000"/>
              <w:right w:val="single" w:sz="4" w:space="0" w:color="000000"/>
            </w:tcBorders>
            <w:shd w:val="clear" w:color="auto" w:fill="auto"/>
            <w:noWrap/>
            <w:vAlign w:val="bottom"/>
          </w:tcPr>
          <w:p w14:paraId="0B4CD94F" w14:textId="70549CB8"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Berstad et al., 2025</w:t>
            </w:r>
            <w:r w:rsidR="00C9560A">
              <w:rPr>
                <w:rFonts w:ascii="Aptos Narrow" w:eastAsia="Times New Roman" w:hAnsi="Aptos Narrow" w:cs="Arial"/>
                <w:kern w:val="0"/>
                <w:sz w:val="20"/>
                <w:szCs w:val="20"/>
                <w:lang w:eastAsia="en-GB"/>
                <w14:ligatures w14:val="none"/>
              </w:rPr>
              <w:fldChar w:fldCharType="begin"/>
            </w:r>
            <w:r w:rsidR="00A5309E">
              <w:rPr>
                <w:rFonts w:ascii="Aptos Narrow" w:eastAsia="Times New Roman" w:hAnsi="Aptos Narrow" w:cs="Arial"/>
                <w:kern w:val="0"/>
                <w:sz w:val="20"/>
                <w:szCs w:val="20"/>
                <w:lang w:eastAsia="en-GB"/>
                <w14:ligatures w14:val="none"/>
              </w:rPr>
              <w:instrText xml:space="preserve"> ADDIN ZOTERO_ITEM CSL_CITATION {"citationID":"6G81yxS5","properties":{"formattedCitation":"(53)","plainCitation":"(53)","noteIndex":0},"citationItems":[{"id":113,"uris":["http://zotero.org/users/local/fxpU1WWH/items/6FNYZLXL"],"itemData":{"id":113,"type":"article-journal","abstract":"BACKGROUND: Targeting modifiable factors offers significant potential for primary cancer prevention. For public health strategies, it is essential to quantify the contribution from each factor on a national level. We estimated the contribution of 12 modifiable factors on cancer incidence in the Norwegian population.\nMETHODS: Nationally representative data (1990-2015) on the prevalence of tobacco smoking, over-exposure to ultraviolet radiation (UVR), alcohol consumption, physical inactivity, overweight and obesity, intake of processed and red meat, fibre and calcium, menopausal hormone therapy (MHT), human papilloma virus (HPV) infection and insufficient breastfeeding were collected from health surveys. Using these prevalences, cancer risk estimates for for the exposures, and average annual cancer incidence rates for 2016-2020, we estimated annual population-attributable fractions (PAFs) and numbers of preventable cases.\nRESULTS: Of the average 24,608 annual cases of cancers related to our included modifiable factors, 12,250 (6240 in women and 6009 in men) (41</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were attributed to these factors. Tobacco smoking caused the highest proportion of cancers cases, 20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men and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women. Sunburn and indoor tanning caused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and 10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of cancers in men and women, respectively, and overweight and obesity caused 4.5</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xml:space="preserve">% of the cases. Cancers of skin, lung, colon and female breast had the highest number of preventable cases.\nCONCLUSION: Over a third of the annual cancer cases in Norway were attributed to 12 modifiable factors. Based on this study, efforts to reduce tobacco smoking, UVR over-exposure, and overweight and obesity could be the most effective in primary prevention of cancer.","container-title":"European Journal of Cancer (Oxford, England: 1990)","DOI":"10.1016/j.ejca.2025.115232","ISSN":"1879-0852","journalAbbreviation":"Eur J Cancer","language":"eng","note":"PMID: 39813761","page":"115232","source":"PubMed","title":"Cancers attributed to modifiable factors in Norway 2016-2020","volume":"217","author":[{"family":"Berstad","given":"Paula"},{"family":"Haugan","given":"Kristin"},{"family":"Knudsen","given":"Markus D."},{"family":"Nygård","given":"Mari"},{"family":"Ghiasvand","given":"Reza"},{"family":"Robsahm","given":"Trude Eid"}],"issued":{"date-parts":[["2025",2,25]]}}}],"schema":"https://github.com/citation-style-language/schema/raw/master/csl-citation.json"} </w:instrText>
            </w:r>
            <w:r w:rsidR="00C9560A">
              <w:rPr>
                <w:rFonts w:ascii="Aptos Narrow" w:eastAsia="Times New Roman" w:hAnsi="Aptos Narrow" w:cs="Arial"/>
                <w:kern w:val="0"/>
                <w:sz w:val="20"/>
                <w:szCs w:val="20"/>
                <w:lang w:eastAsia="en-GB"/>
                <w14:ligatures w14:val="none"/>
              </w:rPr>
              <w:fldChar w:fldCharType="separate"/>
            </w:r>
            <w:r w:rsidR="00A5309E" w:rsidRPr="00A5309E">
              <w:rPr>
                <w:rFonts w:ascii="Aptos Narrow" w:hAnsi="Aptos Narrow"/>
                <w:sz w:val="20"/>
              </w:rPr>
              <w:t>(53)</w:t>
            </w:r>
            <w:r w:rsidR="00C9560A">
              <w:rPr>
                <w:rFonts w:ascii="Aptos Narrow" w:eastAsia="Times New Roman" w:hAnsi="Aptos Narrow" w:cs="Arial"/>
                <w:kern w:val="0"/>
                <w:sz w:val="20"/>
                <w:szCs w:val="20"/>
                <w:lang w:eastAsia="en-GB"/>
                <w14:ligatures w14:val="none"/>
              </w:rPr>
              <w:fldChar w:fldCharType="end"/>
            </w:r>
          </w:p>
        </w:tc>
      </w:tr>
      <w:tr w:rsidR="003E2932" w:rsidRPr="005832BE" w14:paraId="4C6293CF" w14:textId="77777777" w:rsidTr="0041177B">
        <w:trPr>
          <w:trHeight w:val="570"/>
        </w:trPr>
        <w:tc>
          <w:tcPr>
            <w:tcW w:w="1843" w:type="dxa"/>
            <w:tcBorders>
              <w:top w:val="nil"/>
              <w:left w:val="single" w:sz="4" w:space="0" w:color="000000"/>
              <w:bottom w:val="single" w:sz="4" w:space="0" w:color="000000"/>
              <w:right w:val="single" w:sz="4" w:space="0" w:color="000000"/>
            </w:tcBorders>
            <w:shd w:val="clear" w:color="000000" w:fill="FFFFFF"/>
            <w:vAlign w:val="center"/>
            <w:hideMark/>
          </w:tcPr>
          <w:p w14:paraId="1921FD3D"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Colon &amp; Rectosigmoid junction</w:t>
            </w:r>
          </w:p>
        </w:tc>
        <w:tc>
          <w:tcPr>
            <w:tcW w:w="837" w:type="dxa"/>
            <w:tcBorders>
              <w:top w:val="nil"/>
              <w:left w:val="nil"/>
              <w:bottom w:val="single" w:sz="4" w:space="0" w:color="000000"/>
              <w:right w:val="single" w:sz="4" w:space="0" w:color="000000"/>
            </w:tcBorders>
            <w:shd w:val="clear" w:color="000000" w:fill="FFFFFF"/>
            <w:vAlign w:val="center"/>
            <w:hideMark/>
          </w:tcPr>
          <w:p w14:paraId="47FCD2D8"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C18-19</w:t>
            </w:r>
          </w:p>
        </w:tc>
        <w:tc>
          <w:tcPr>
            <w:tcW w:w="864" w:type="dxa"/>
            <w:tcBorders>
              <w:top w:val="nil"/>
              <w:left w:val="nil"/>
              <w:bottom w:val="single" w:sz="4" w:space="0" w:color="000000"/>
              <w:right w:val="single" w:sz="4" w:space="0" w:color="000000"/>
            </w:tcBorders>
            <w:shd w:val="clear" w:color="auto" w:fill="auto"/>
            <w:noWrap/>
            <w:vAlign w:val="bottom"/>
            <w:hideMark/>
          </w:tcPr>
          <w:p w14:paraId="49317F76"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1.05</w:t>
            </w:r>
          </w:p>
        </w:tc>
        <w:tc>
          <w:tcPr>
            <w:tcW w:w="709" w:type="dxa"/>
            <w:tcBorders>
              <w:top w:val="nil"/>
              <w:left w:val="nil"/>
              <w:bottom w:val="single" w:sz="4" w:space="0" w:color="000000"/>
              <w:right w:val="single" w:sz="4" w:space="0" w:color="000000"/>
            </w:tcBorders>
            <w:shd w:val="clear" w:color="auto" w:fill="auto"/>
            <w:noWrap/>
            <w:vAlign w:val="bottom"/>
            <w:hideMark/>
          </w:tcPr>
          <w:p w14:paraId="0AF3A74A"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1.15</w:t>
            </w:r>
          </w:p>
        </w:tc>
        <w:tc>
          <w:tcPr>
            <w:tcW w:w="851" w:type="dxa"/>
            <w:tcBorders>
              <w:top w:val="nil"/>
              <w:left w:val="nil"/>
              <w:bottom w:val="single" w:sz="4" w:space="0" w:color="000000"/>
              <w:right w:val="single" w:sz="4" w:space="0" w:color="000000"/>
            </w:tcBorders>
            <w:shd w:val="clear" w:color="auto" w:fill="auto"/>
            <w:noWrap/>
            <w:vAlign w:val="bottom"/>
            <w:hideMark/>
          </w:tcPr>
          <w:p w14:paraId="4065780E"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1.05</w:t>
            </w:r>
          </w:p>
        </w:tc>
        <w:tc>
          <w:tcPr>
            <w:tcW w:w="708" w:type="dxa"/>
            <w:tcBorders>
              <w:top w:val="nil"/>
              <w:left w:val="nil"/>
              <w:bottom w:val="single" w:sz="4" w:space="0" w:color="000000"/>
              <w:right w:val="single" w:sz="4" w:space="0" w:color="000000"/>
            </w:tcBorders>
            <w:shd w:val="clear" w:color="auto" w:fill="auto"/>
            <w:noWrap/>
            <w:vAlign w:val="bottom"/>
            <w:hideMark/>
          </w:tcPr>
          <w:p w14:paraId="0FBB9771"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1.15</w:t>
            </w:r>
          </w:p>
        </w:tc>
        <w:tc>
          <w:tcPr>
            <w:tcW w:w="993" w:type="dxa"/>
            <w:tcBorders>
              <w:top w:val="nil"/>
              <w:left w:val="nil"/>
              <w:bottom w:val="single" w:sz="4" w:space="0" w:color="000000"/>
              <w:right w:val="single" w:sz="4" w:space="0" w:color="000000"/>
            </w:tcBorders>
            <w:shd w:val="clear" w:color="000000" w:fill="D9D9D9"/>
            <w:noWrap/>
            <w:vAlign w:val="bottom"/>
            <w:hideMark/>
          </w:tcPr>
          <w:p w14:paraId="2AAD822C"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992" w:type="dxa"/>
            <w:tcBorders>
              <w:top w:val="nil"/>
              <w:left w:val="nil"/>
              <w:bottom w:val="single" w:sz="4" w:space="0" w:color="000000"/>
              <w:right w:val="single" w:sz="4" w:space="0" w:color="000000"/>
            </w:tcBorders>
            <w:shd w:val="clear" w:color="000000" w:fill="D9D9D9"/>
            <w:noWrap/>
            <w:vAlign w:val="bottom"/>
            <w:hideMark/>
          </w:tcPr>
          <w:p w14:paraId="5D67ADB2"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1933" w:type="dxa"/>
            <w:tcBorders>
              <w:top w:val="nil"/>
              <w:left w:val="nil"/>
              <w:bottom w:val="single" w:sz="4" w:space="0" w:color="000000"/>
              <w:right w:val="single" w:sz="4" w:space="0" w:color="000000"/>
            </w:tcBorders>
            <w:shd w:val="clear" w:color="auto" w:fill="auto"/>
            <w:noWrap/>
            <w:vAlign w:val="bottom"/>
          </w:tcPr>
          <w:p w14:paraId="6D7F6C17" w14:textId="7D3C0D31"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Berstad et al., 2025</w:t>
            </w:r>
            <w:r w:rsidR="00C9560A">
              <w:rPr>
                <w:rFonts w:ascii="Aptos Narrow" w:eastAsia="Times New Roman" w:hAnsi="Aptos Narrow" w:cs="Arial"/>
                <w:kern w:val="0"/>
                <w:sz w:val="20"/>
                <w:szCs w:val="20"/>
                <w:lang w:eastAsia="en-GB"/>
                <w14:ligatures w14:val="none"/>
              </w:rPr>
              <w:fldChar w:fldCharType="begin"/>
            </w:r>
            <w:r w:rsidR="00A5309E">
              <w:rPr>
                <w:rFonts w:ascii="Aptos Narrow" w:eastAsia="Times New Roman" w:hAnsi="Aptos Narrow" w:cs="Arial"/>
                <w:kern w:val="0"/>
                <w:sz w:val="20"/>
                <w:szCs w:val="20"/>
                <w:lang w:eastAsia="en-GB"/>
                <w14:ligatures w14:val="none"/>
              </w:rPr>
              <w:instrText xml:space="preserve"> ADDIN ZOTERO_ITEM CSL_CITATION {"citationID":"yFSA7269","properties":{"formattedCitation":"(53)","plainCitation":"(53)","noteIndex":0},"citationItems":[{"id":113,"uris":["http://zotero.org/users/local/fxpU1WWH/items/6FNYZLXL"],"itemData":{"id":113,"type":"article-journal","abstract":"BACKGROUND: Targeting modifiable factors offers significant potential for primary cancer prevention. For public health strategies, it is essential to quantify the contribution from each factor on a national level. We estimated the contribution of 12 modifiable factors on cancer incidence in the Norwegian population.\nMETHODS: Nationally representative data (1990-2015) on the prevalence of tobacco smoking, over-exposure to ultraviolet radiation (UVR), alcohol consumption, physical inactivity, overweight and obesity, intake of processed and red meat, fibre and calcium, menopausal hormone therapy (MHT), human papilloma virus (HPV) infection and insufficient breastfeeding were collected from health surveys. Using these prevalences, cancer risk estimates for for the exposures, and average annual cancer incidence rates for 2016-2020, we estimated annual population-attributable fractions (PAFs) and numbers of preventable cases.\nRESULTS: Of the average 24,608 annual cases of cancers related to our included modifiable factors, 12,250 (6240 in women and 6009 in men) (41</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were attributed to these factors. Tobacco smoking caused the highest proportion of cancers cases, 20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men and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women. Sunburn and indoor tanning caused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and 10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of cancers in men and women, respectively, and overweight and obesity caused 4.5</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xml:space="preserve">% of the cases. Cancers of skin, lung, colon and female breast had the highest number of preventable cases.\nCONCLUSION: Over a third of the annual cancer cases in Norway were attributed to 12 modifiable factors. Based on this study, efforts to reduce tobacco smoking, UVR over-exposure, and overweight and obesity could be the most effective in primary prevention of cancer.","container-title":"European Journal of Cancer (Oxford, England: 1990)","DOI":"10.1016/j.ejca.2025.115232","ISSN":"1879-0852","journalAbbreviation":"Eur J Cancer","language":"eng","note":"PMID: 39813761","page":"115232","source":"PubMed","title":"Cancers attributed to modifiable factors in Norway 2016-2020","volume":"217","author":[{"family":"Berstad","given":"Paula"},{"family":"Haugan","given":"Kristin"},{"family":"Knudsen","given":"Markus D."},{"family":"Nygård","given":"Mari"},{"family":"Ghiasvand","given":"Reza"},{"family":"Robsahm","given":"Trude Eid"}],"issued":{"date-parts":[["2025",2,25]]}}}],"schema":"https://github.com/citation-style-language/schema/raw/master/csl-citation.json"} </w:instrText>
            </w:r>
            <w:r w:rsidR="00C9560A">
              <w:rPr>
                <w:rFonts w:ascii="Aptos Narrow" w:eastAsia="Times New Roman" w:hAnsi="Aptos Narrow" w:cs="Arial"/>
                <w:kern w:val="0"/>
                <w:sz w:val="20"/>
                <w:szCs w:val="20"/>
                <w:lang w:eastAsia="en-GB"/>
                <w14:ligatures w14:val="none"/>
              </w:rPr>
              <w:fldChar w:fldCharType="separate"/>
            </w:r>
            <w:r w:rsidR="00A5309E" w:rsidRPr="00A5309E">
              <w:rPr>
                <w:rFonts w:ascii="Aptos Narrow" w:hAnsi="Aptos Narrow"/>
                <w:sz w:val="20"/>
              </w:rPr>
              <w:t>(53)</w:t>
            </w:r>
            <w:r w:rsidR="00C9560A">
              <w:rPr>
                <w:rFonts w:ascii="Aptos Narrow" w:eastAsia="Times New Roman" w:hAnsi="Aptos Narrow" w:cs="Arial"/>
                <w:kern w:val="0"/>
                <w:sz w:val="20"/>
                <w:szCs w:val="20"/>
                <w:lang w:eastAsia="en-GB"/>
                <w14:ligatures w14:val="none"/>
              </w:rPr>
              <w:fldChar w:fldCharType="end"/>
            </w:r>
          </w:p>
        </w:tc>
      </w:tr>
      <w:tr w:rsidR="003E2932" w:rsidRPr="005832BE" w14:paraId="77DF9BA9" w14:textId="77777777" w:rsidTr="0041177B">
        <w:trPr>
          <w:trHeight w:val="300"/>
        </w:trPr>
        <w:tc>
          <w:tcPr>
            <w:tcW w:w="1843" w:type="dxa"/>
            <w:tcBorders>
              <w:top w:val="nil"/>
              <w:left w:val="single" w:sz="4" w:space="0" w:color="000000"/>
              <w:bottom w:val="single" w:sz="4" w:space="0" w:color="000000"/>
              <w:right w:val="single" w:sz="4" w:space="0" w:color="000000"/>
            </w:tcBorders>
            <w:shd w:val="clear" w:color="000000" w:fill="FFFFFF"/>
            <w:vAlign w:val="center"/>
            <w:hideMark/>
          </w:tcPr>
          <w:p w14:paraId="7CCD43F0"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Rectum</w:t>
            </w:r>
          </w:p>
        </w:tc>
        <w:tc>
          <w:tcPr>
            <w:tcW w:w="837" w:type="dxa"/>
            <w:tcBorders>
              <w:top w:val="nil"/>
              <w:left w:val="nil"/>
              <w:bottom w:val="single" w:sz="4" w:space="0" w:color="000000"/>
              <w:right w:val="single" w:sz="4" w:space="0" w:color="000000"/>
            </w:tcBorders>
            <w:shd w:val="clear" w:color="000000" w:fill="FFFFFF"/>
            <w:vAlign w:val="center"/>
            <w:hideMark/>
          </w:tcPr>
          <w:p w14:paraId="69B442EC"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C20</w:t>
            </w:r>
          </w:p>
        </w:tc>
        <w:tc>
          <w:tcPr>
            <w:tcW w:w="864" w:type="dxa"/>
            <w:tcBorders>
              <w:top w:val="nil"/>
              <w:left w:val="nil"/>
              <w:bottom w:val="single" w:sz="4" w:space="0" w:color="000000"/>
              <w:right w:val="single" w:sz="4" w:space="0" w:color="000000"/>
            </w:tcBorders>
            <w:shd w:val="clear" w:color="auto" w:fill="auto"/>
            <w:noWrap/>
            <w:vAlign w:val="bottom"/>
            <w:hideMark/>
          </w:tcPr>
          <w:p w14:paraId="437857F0"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1.16</w:t>
            </w:r>
          </w:p>
        </w:tc>
        <w:tc>
          <w:tcPr>
            <w:tcW w:w="709" w:type="dxa"/>
            <w:tcBorders>
              <w:top w:val="nil"/>
              <w:left w:val="nil"/>
              <w:bottom w:val="single" w:sz="4" w:space="0" w:color="000000"/>
              <w:right w:val="single" w:sz="4" w:space="0" w:color="000000"/>
            </w:tcBorders>
            <w:shd w:val="clear" w:color="auto" w:fill="auto"/>
            <w:noWrap/>
            <w:vAlign w:val="bottom"/>
            <w:hideMark/>
          </w:tcPr>
          <w:p w14:paraId="7AD263DB"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1.17</w:t>
            </w:r>
          </w:p>
        </w:tc>
        <w:tc>
          <w:tcPr>
            <w:tcW w:w="851" w:type="dxa"/>
            <w:tcBorders>
              <w:top w:val="nil"/>
              <w:left w:val="nil"/>
              <w:bottom w:val="single" w:sz="4" w:space="0" w:color="000000"/>
              <w:right w:val="single" w:sz="4" w:space="0" w:color="000000"/>
            </w:tcBorders>
            <w:shd w:val="clear" w:color="auto" w:fill="auto"/>
            <w:noWrap/>
            <w:vAlign w:val="bottom"/>
            <w:hideMark/>
          </w:tcPr>
          <w:p w14:paraId="744DC84F"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1.16</w:t>
            </w:r>
          </w:p>
        </w:tc>
        <w:tc>
          <w:tcPr>
            <w:tcW w:w="708" w:type="dxa"/>
            <w:tcBorders>
              <w:top w:val="nil"/>
              <w:left w:val="nil"/>
              <w:bottom w:val="single" w:sz="4" w:space="0" w:color="000000"/>
              <w:right w:val="single" w:sz="4" w:space="0" w:color="000000"/>
            </w:tcBorders>
            <w:shd w:val="clear" w:color="auto" w:fill="auto"/>
            <w:noWrap/>
            <w:vAlign w:val="bottom"/>
            <w:hideMark/>
          </w:tcPr>
          <w:p w14:paraId="670A735C"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1.17</w:t>
            </w:r>
          </w:p>
        </w:tc>
        <w:tc>
          <w:tcPr>
            <w:tcW w:w="993" w:type="dxa"/>
            <w:tcBorders>
              <w:top w:val="nil"/>
              <w:left w:val="nil"/>
              <w:bottom w:val="single" w:sz="4" w:space="0" w:color="000000"/>
              <w:right w:val="single" w:sz="4" w:space="0" w:color="000000"/>
            </w:tcBorders>
            <w:shd w:val="clear" w:color="000000" w:fill="D9D9D9"/>
            <w:noWrap/>
            <w:vAlign w:val="bottom"/>
            <w:hideMark/>
          </w:tcPr>
          <w:p w14:paraId="16F88995"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992" w:type="dxa"/>
            <w:tcBorders>
              <w:top w:val="nil"/>
              <w:left w:val="nil"/>
              <w:bottom w:val="single" w:sz="4" w:space="0" w:color="000000"/>
              <w:right w:val="single" w:sz="4" w:space="0" w:color="000000"/>
            </w:tcBorders>
            <w:shd w:val="clear" w:color="000000" w:fill="D9D9D9"/>
            <w:noWrap/>
            <w:vAlign w:val="bottom"/>
            <w:hideMark/>
          </w:tcPr>
          <w:p w14:paraId="57C2E7F4"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1933" w:type="dxa"/>
            <w:tcBorders>
              <w:top w:val="nil"/>
              <w:left w:val="nil"/>
              <w:bottom w:val="single" w:sz="4" w:space="0" w:color="000000"/>
              <w:right w:val="single" w:sz="4" w:space="0" w:color="000000"/>
            </w:tcBorders>
            <w:shd w:val="clear" w:color="auto" w:fill="auto"/>
            <w:noWrap/>
            <w:vAlign w:val="bottom"/>
          </w:tcPr>
          <w:p w14:paraId="6B4958C6" w14:textId="5A4348DB"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Berstad et al., 2025</w:t>
            </w:r>
            <w:r w:rsidR="00C9560A">
              <w:rPr>
                <w:rFonts w:ascii="Aptos Narrow" w:eastAsia="Times New Roman" w:hAnsi="Aptos Narrow" w:cs="Arial"/>
                <w:kern w:val="0"/>
                <w:sz w:val="20"/>
                <w:szCs w:val="20"/>
                <w:lang w:eastAsia="en-GB"/>
                <w14:ligatures w14:val="none"/>
              </w:rPr>
              <w:fldChar w:fldCharType="begin"/>
            </w:r>
            <w:r w:rsidR="00A5309E">
              <w:rPr>
                <w:rFonts w:ascii="Aptos Narrow" w:eastAsia="Times New Roman" w:hAnsi="Aptos Narrow" w:cs="Arial"/>
                <w:kern w:val="0"/>
                <w:sz w:val="20"/>
                <w:szCs w:val="20"/>
                <w:lang w:eastAsia="en-GB"/>
                <w14:ligatures w14:val="none"/>
              </w:rPr>
              <w:instrText xml:space="preserve"> ADDIN ZOTERO_ITEM CSL_CITATION {"citationID":"NdlJRurQ","properties":{"formattedCitation":"(53)","plainCitation":"(53)","noteIndex":0},"citationItems":[{"id":113,"uris":["http://zotero.org/users/local/fxpU1WWH/items/6FNYZLXL"],"itemData":{"id":113,"type":"article-journal","abstract":"BACKGROUND: Targeting modifiable factors offers significant potential for primary cancer prevention. For public health strategies, it is essential to quantify the contribution from each factor on a national level. We estimated the contribution of 12 modifiable factors on cancer incidence in the Norwegian population.\nMETHODS: Nationally representative data (1990-2015) on the prevalence of tobacco smoking, over-exposure to ultraviolet radiation (UVR), alcohol consumption, physical inactivity, overweight and obesity, intake of processed and red meat, fibre and calcium, menopausal hormone therapy (MHT), human papilloma virus (HPV) infection and insufficient breastfeeding were collected from health surveys. Using these prevalences, cancer risk estimates for for the exposures, and average annual cancer incidence rates for 2016-2020, we estimated annual population-attributable fractions (PAFs) and numbers of preventable cases.\nRESULTS: Of the average 24,608 annual cases of cancers related to our included modifiable factors, 12,250 (6240 in women and 6009 in men) (41</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were attributed to these factors. Tobacco smoking caused the highest proportion of cancers cases, 20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men and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women. Sunburn and indoor tanning caused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and 10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of cancers in men and women, respectively, and overweight and obesity caused 4.5</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xml:space="preserve">% of the cases. Cancers of skin, lung, colon and female breast had the highest number of preventable cases.\nCONCLUSION: Over a third of the annual cancer cases in Norway were attributed to 12 modifiable factors. Based on this study, efforts to reduce tobacco smoking, UVR over-exposure, and overweight and obesity could be the most effective in primary prevention of cancer.","container-title":"European Journal of Cancer (Oxford, England: 1990)","DOI":"10.1016/j.ejca.2025.115232","ISSN":"1879-0852","journalAbbreviation":"Eur J Cancer","language":"eng","note":"PMID: 39813761","page":"115232","source":"PubMed","title":"Cancers attributed to modifiable factors in Norway 2016-2020","volume":"217","author":[{"family":"Berstad","given":"Paula"},{"family":"Haugan","given":"Kristin"},{"family":"Knudsen","given":"Markus D."},{"family":"Nygård","given":"Mari"},{"family":"Ghiasvand","given":"Reza"},{"family":"Robsahm","given":"Trude Eid"}],"issued":{"date-parts":[["2025",2,25]]}}}],"schema":"https://github.com/citation-style-language/schema/raw/master/csl-citation.json"} </w:instrText>
            </w:r>
            <w:r w:rsidR="00C9560A">
              <w:rPr>
                <w:rFonts w:ascii="Aptos Narrow" w:eastAsia="Times New Roman" w:hAnsi="Aptos Narrow" w:cs="Arial"/>
                <w:kern w:val="0"/>
                <w:sz w:val="20"/>
                <w:szCs w:val="20"/>
                <w:lang w:eastAsia="en-GB"/>
                <w14:ligatures w14:val="none"/>
              </w:rPr>
              <w:fldChar w:fldCharType="separate"/>
            </w:r>
            <w:r w:rsidR="00A5309E" w:rsidRPr="00A5309E">
              <w:rPr>
                <w:rFonts w:ascii="Aptos Narrow" w:hAnsi="Aptos Narrow"/>
                <w:sz w:val="20"/>
              </w:rPr>
              <w:t>(53)</w:t>
            </w:r>
            <w:r w:rsidR="00C9560A">
              <w:rPr>
                <w:rFonts w:ascii="Aptos Narrow" w:eastAsia="Times New Roman" w:hAnsi="Aptos Narrow" w:cs="Arial"/>
                <w:kern w:val="0"/>
                <w:sz w:val="20"/>
                <w:szCs w:val="20"/>
                <w:lang w:eastAsia="en-GB"/>
                <w14:ligatures w14:val="none"/>
              </w:rPr>
              <w:fldChar w:fldCharType="end"/>
            </w:r>
          </w:p>
        </w:tc>
      </w:tr>
      <w:tr w:rsidR="003E2932" w:rsidRPr="005832BE" w14:paraId="77665430" w14:textId="77777777" w:rsidTr="0041177B">
        <w:trPr>
          <w:trHeight w:val="300"/>
        </w:trPr>
        <w:tc>
          <w:tcPr>
            <w:tcW w:w="1843" w:type="dxa"/>
            <w:tcBorders>
              <w:top w:val="nil"/>
              <w:left w:val="single" w:sz="4" w:space="0" w:color="000000"/>
              <w:bottom w:val="single" w:sz="4" w:space="0" w:color="000000"/>
              <w:right w:val="single" w:sz="4" w:space="0" w:color="000000"/>
            </w:tcBorders>
            <w:shd w:val="clear" w:color="000000" w:fill="FFFFFF"/>
            <w:vAlign w:val="center"/>
            <w:hideMark/>
          </w:tcPr>
          <w:p w14:paraId="5863ACC9"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Breast</w:t>
            </w:r>
          </w:p>
        </w:tc>
        <w:tc>
          <w:tcPr>
            <w:tcW w:w="837" w:type="dxa"/>
            <w:tcBorders>
              <w:top w:val="nil"/>
              <w:left w:val="nil"/>
              <w:bottom w:val="single" w:sz="4" w:space="0" w:color="000000"/>
              <w:right w:val="single" w:sz="4" w:space="0" w:color="000000"/>
            </w:tcBorders>
            <w:shd w:val="clear" w:color="000000" w:fill="FFFFFF"/>
            <w:vAlign w:val="center"/>
            <w:hideMark/>
          </w:tcPr>
          <w:p w14:paraId="02E887BF"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C50</w:t>
            </w:r>
          </w:p>
        </w:tc>
        <w:tc>
          <w:tcPr>
            <w:tcW w:w="864" w:type="dxa"/>
            <w:tcBorders>
              <w:top w:val="nil"/>
              <w:left w:val="nil"/>
              <w:bottom w:val="single" w:sz="4" w:space="0" w:color="000000"/>
              <w:right w:val="single" w:sz="4" w:space="0" w:color="000000"/>
            </w:tcBorders>
            <w:shd w:val="clear" w:color="000000" w:fill="D9D9D9"/>
            <w:noWrap/>
            <w:vAlign w:val="bottom"/>
            <w:hideMark/>
          </w:tcPr>
          <w:p w14:paraId="2DAC4D01"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709" w:type="dxa"/>
            <w:tcBorders>
              <w:top w:val="nil"/>
              <w:left w:val="nil"/>
              <w:bottom w:val="single" w:sz="4" w:space="0" w:color="000000"/>
              <w:right w:val="single" w:sz="4" w:space="0" w:color="000000"/>
            </w:tcBorders>
            <w:shd w:val="clear" w:color="000000" w:fill="D9D9D9"/>
            <w:noWrap/>
            <w:vAlign w:val="bottom"/>
            <w:hideMark/>
          </w:tcPr>
          <w:p w14:paraId="4612F60F"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60766DFF"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1.07</w:t>
            </w:r>
          </w:p>
        </w:tc>
        <w:tc>
          <w:tcPr>
            <w:tcW w:w="708" w:type="dxa"/>
            <w:tcBorders>
              <w:top w:val="nil"/>
              <w:left w:val="nil"/>
              <w:bottom w:val="single" w:sz="4" w:space="0" w:color="000000"/>
              <w:right w:val="single" w:sz="4" w:space="0" w:color="000000"/>
            </w:tcBorders>
            <w:shd w:val="clear" w:color="auto" w:fill="auto"/>
            <w:noWrap/>
            <w:vAlign w:val="bottom"/>
            <w:hideMark/>
          </w:tcPr>
          <w:p w14:paraId="3A66B397"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1.08</w:t>
            </w:r>
          </w:p>
        </w:tc>
        <w:tc>
          <w:tcPr>
            <w:tcW w:w="993" w:type="dxa"/>
            <w:tcBorders>
              <w:top w:val="nil"/>
              <w:left w:val="nil"/>
              <w:bottom w:val="single" w:sz="4" w:space="0" w:color="000000"/>
              <w:right w:val="single" w:sz="4" w:space="0" w:color="000000"/>
            </w:tcBorders>
            <w:shd w:val="clear" w:color="000000" w:fill="D9D9D9"/>
            <w:noWrap/>
            <w:vAlign w:val="bottom"/>
            <w:hideMark/>
          </w:tcPr>
          <w:p w14:paraId="11048D89"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992" w:type="dxa"/>
            <w:tcBorders>
              <w:top w:val="nil"/>
              <w:left w:val="nil"/>
              <w:bottom w:val="single" w:sz="4" w:space="0" w:color="000000"/>
              <w:right w:val="single" w:sz="4" w:space="0" w:color="000000"/>
            </w:tcBorders>
            <w:shd w:val="clear" w:color="000000" w:fill="D9D9D9"/>
            <w:noWrap/>
            <w:vAlign w:val="bottom"/>
            <w:hideMark/>
          </w:tcPr>
          <w:p w14:paraId="76B686E6"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1933" w:type="dxa"/>
            <w:tcBorders>
              <w:top w:val="nil"/>
              <w:left w:val="nil"/>
              <w:bottom w:val="single" w:sz="4" w:space="0" w:color="000000"/>
              <w:right w:val="single" w:sz="4" w:space="0" w:color="000000"/>
            </w:tcBorders>
            <w:shd w:val="clear" w:color="auto" w:fill="auto"/>
            <w:noWrap/>
            <w:vAlign w:val="bottom"/>
            <w:hideMark/>
          </w:tcPr>
          <w:p w14:paraId="5362265B" w14:textId="6919E2DF"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RCP report Royal College of Physicians, UK, 2021</w:t>
            </w:r>
            <w:r w:rsidR="008059AF">
              <w:rPr>
                <w:rFonts w:ascii="Aptos Narrow" w:eastAsia="Times New Roman" w:hAnsi="Aptos Narrow" w:cs="Arial"/>
                <w:kern w:val="0"/>
                <w:sz w:val="20"/>
                <w:szCs w:val="20"/>
                <w:lang w:eastAsia="en-GB"/>
                <w14:ligatures w14:val="none"/>
              </w:rPr>
              <w:fldChar w:fldCharType="begin"/>
            </w:r>
            <w:r w:rsidR="00A5309E">
              <w:rPr>
                <w:rFonts w:ascii="Aptos Narrow" w:eastAsia="Times New Roman" w:hAnsi="Aptos Narrow" w:cs="Arial"/>
                <w:kern w:val="0"/>
                <w:sz w:val="20"/>
                <w:szCs w:val="20"/>
                <w:lang w:eastAsia="en-GB"/>
                <w14:ligatures w14:val="none"/>
              </w:rPr>
              <w:instrText xml:space="preserve"> ADDIN ZOTERO_ITEM CSL_CITATION {"citationID":"VDy9H9Mx","properties":{"formattedCitation":"(55)","plainCitation":"(55)","noteIndex":0},"citationItems":[{"id":228,"uris":["http://zotero.org/users/local/fxpU1WWH/items/3F5FUWD8"],"itemData":{"id":228,"type":"webpage","language":"en","title":"Hiding in plain sight: Treating tobacco dependency in the NHS","title-short":"Hiding in plain sight","URL":"https://www.rcp.ac.uk/improving-care/resources/hiding-in-plain-sight-treating-tobacco-dependency-in-the-nhs/","accessed":{"date-parts":[["2025",6,5]]}}}],"schema":"https://github.com/citation-style-language/schema/raw/master/csl-citation.json"} </w:instrText>
            </w:r>
            <w:r w:rsidR="008059AF">
              <w:rPr>
                <w:rFonts w:ascii="Aptos Narrow" w:eastAsia="Times New Roman" w:hAnsi="Aptos Narrow" w:cs="Arial"/>
                <w:kern w:val="0"/>
                <w:sz w:val="20"/>
                <w:szCs w:val="20"/>
                <w:lang w:eastAsia="en-GB"/>
                <w14:ligatures w14:val="none"/>
              </w:rPr>
              <w:fldChar w:fldCharType="separate"/>
            </w:r>
            <w:r w:rsidR="00A5309E" w:rsidRPr="00A5309E">
              <w:rPr>
                <w:rFonts w:ascii="Aptos Narrow" w:hAnsi="Aptos Narrow"/>
                <w:sz w:val="20"/>
              </w:rPr>
              <w:t>(55)</w:t>
            </w:r>
            <w:r w:rsidR="008059AF">
              <w:rPr>
                <w:rFonts w:ascii="Aptos Narrow" w:eastAsia="Times New Roman" w:hAnsi="Aptos Narrow" w:cs="Arial"/>
                <w:kern w:val="0"/>
                <w:sz w:val="20"/>
                <w:szCs w:val="20"/>
                <w:lang w:eastAsia="en-GB"/>
                <w14:ligatures w14:val="none"/>
              </w:rPr>
              <w:fldChar w:fldCharType="end"/>
            </w:r>
          </w:p>
        </w:tc>
      </w:tr>
      <w:tr w:rsidR="003E2932" w:rsidRPr="005832BE" w14:paraId="022B4D8E" w14:textId="77777777" w:rsidTr="0041177B">
        <w:trPr>
          <w:trHeight w:val="300"/>
        </w:trPr>
        <w:tc>
          <w:tcPr>
            <w:tcW w:w="1843" w:type="dxa"/>
            <w:tcBorders>
              <w:top w:val="nil"/>
              <w:left w:val="single" w:sz="4" w:space="0" w:color="000000"/>
              <w:bottom w:val="single" w:sz="4" w:space="0" w:color="000000"/>
              <w:right w:val="single" w:sz="4" w:space="0" w:color="000000"/>
            </w:tcBorders>
            <w:shd w:val="clear" w:color="000000" w:fill="FFFFFF"/>
            <w:vAlign w:val="center"/>
            <w:hideMark/>
          </w:tcPr>
          <w:p w14:paraId="2BB89B31"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Kidney</w:t>
            </w:r>
          </w:p>
        </w:tc>
        <w:tc>
          <w:tcPr>
            <w:tcW w:w="837" w:type="dxa"/>
            <w:tcBorders>
              <w:top w:val="nil"/>
              <w:left w:val="nil"/>
              <w:bottom w:val="single" w:sz="4" w:space="0" w:color="000000"/>
              <w:right w:val="single" w:sz="4" w:space="0" w:color="000000"/>
            </w:tcBorders>
            <w:shd w:val="clear" w:color="000000" w:fill="FFFFFF"/>
            <w:vAlign w:val="center"/>
            <w:hideMark/>
          </w:tcPr>
          <w:p w14:paraId="6426740D"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C64-66, C68</w:t>
            </w:r>
          </w:p>
        </w:tc>
        <w:tc>
          <w:tcPr>
            <w:tcW w:w="864" w:type="dxa"/>
            <w:tcBorders>
              <w:top w:val="nil"/>
              <w:left w:val="nil"/>
              <w:bottom w:val="single" w:sz="4" w:space="0" w:color="000000"/>
              <w:right w:val="single" w:sz="4" w:space="0" w:color="000000"/>
            </w:tcBorders>
            <w:shd w:val="clear" w:color="000000" w:fill="FFFFFF"/>
            <w:noWrap/>
            <w:hideMark/>
          </w:tcPr>
          <w:p w14:paraId="323EFAFA"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1.35</w:t>
            </w:r>
          </w:p>
        </w:tc>
        <w:tc>
          <w:tcPr>
            <w:tcW w:w="709" w:type="dxa"/>
            <w:tcBorders>
              <w:top w:val="nil"/>
              <w:left w:val="nil"/>
              <w:bottom w:val="single" w:sz="4" w:space="0" w:color="000000"/>
              <w:right w:val="single" w:sz="4" w:space="0" w:color="000000"/>
            </w:tcBorders>
            <w:shd w:val="clear" w:color="000000" w:fill="FFFFFF"/>
            <w:noWrap/>
            <w:hideMark/>
          </w:tcPr>
          <w:p w14:paraId="352F2402"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1.22</w:t>
            </w:r>
          </w:p>
        </w:tc>
        <w:tc>
          <w:tcPr>
            <w:tcW w:w="851" w:type="dxa"/>
            <w:tcBorders>
              <w:top w:val="nil"/>
              <w:left w:val="nil"/>
              <w:bottom w:val="single" w:sz="4" w:space="0" w:color="000000"/>
              <w:right w:val="single" w:sz="4" w:space="0" w:color="000000"/>
            </w:tcBorders>
            <w:shd w:val="clear" w:color="000000" w:fill="FFFFFF"/>
            <w:noWrap/>
            <w:hideMark/>
          </w:tcPr>
          <w:p w14:paraId="6C853CBC"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1.35</w:t>
            </w:r>
          </w:p>
        </w:tc>
        <w:tc>
          <w:tcPr>
            <w:tcW w:w="708" w:type="dxa"/>
            <w:tcBorders>
              <w:top w:val="nil"/>
              <w:left w:val="nil"/>
              <w:bottom w:val="single" w:sz="4" w:space="0" w:color="000000"/>
              <w:right w:val="single" w:sz="4" w:space="0" w:color="000000"/>
            </w:tcBorders>
            <w:shd w:val="clear" w:color="000000" w:fill="FFFFFF"/>
            <w:noWrap/>
            <w:hideMark/>
          </w:tcPr>
          <w:p w14:paraId="4E77FA99"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1.22</w:t>
            </w:r>
          </w:p>
        </w:tc>
        <w:tc>
          <w:tcPr>
            <w:tcW w:w="993" w:type="dxa"/>
            <w:tcBorders>
              <w:top w:val="nil"/>
              <w:left w:val="nil"/>
              <w:bottom w:val="single" w:sz="4" w:space="0" w:color="000000"/>
              <w:right w:val="single" w:sz="4" w:space="0" w:color="000000"/>
            </w:tcBorders>
            <w:shd w:val="clear" w:color="000000" w:fill="D9D9D9"/>
            <w:noWrap/>
            <w:vAlign w:val="bottom"/>
            <w:hideMark/>
          </w:tcPr>
          <w:p w14:paraId="6BD594A0"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992" w:type="dxa"/>
            <w:tcBorders>
              <w:top w:val="nil"/>
              <w:left w:val="nil"/>
              <w:bottom w:val="single" w:sz="4" w:space="0" w:color="000000"/>
              <w:right w:val="single" w:sz="4" w:space="0" w:color="000000"/>
            </w:tcBorders>
            <w:shd w:val="clear" w:color="000000" w:fill="D9D9D9"/>
            <w:noWrap/>
            <w:vAlign w:val="bottom"/>
            <w:hideMark/>
          </w:tcPr>
          <w:p w14:paraId="7BB39E2E"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1933" w:type="dxa"/>
            <w:tcBorders>
              <w:top w:val="nil"/>
              <w:left w:val="nil"/>
              <w:bottom w:val="single" w:sz="4" w:space="0" w:color="000000"/>
              <w:right w:val="single" w:sz="4" w:space="0" w:color="000000"/>
            </w:tcBorders>
            <w:shd w:val="clear" w:color="auto" w:fill="auto"/>
            <w:noWrap/>
            <w:vAlign w:val="bottom"/>
          </w:tcPr>
          <w:p w14:paraId="34C845D2" w14:textId="369D8C7E"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xml:space="preserve"> Berstad et al., 2025</w:t>
            </w:r>
            <w:r w:rsidR="00C9560A">
              <w:rPr>
                <w:rFonts w:ascii="Aptos Narrow" w:eastAsia="Times New Roman" w:hAnsi="Aptos Narrow" w:cs="Arial"/>
                <w:kern w:val="0"/>
                <w:sz w:val="20"/>
                <w:szCs w:val="20"/>
                <w:lang w:eastAsia="en-GB"/>
                <w14:ligatures w14:val="none"/>
              </w:rPr>
              <w:fldChar w:fldCharType="begin"/>
            </w:r>
            <w:r w:rsidR="00A5309E">
              <w:rPr>
                <w:rFonts w:ascii="Aptos Narrow" w:eastAsia="Times New Roman" w:hAnsi="Aptos Narrow" w:cs="Arial"/>
                <w:kern w:val="0"/>
                <w:sz w:val="20"/>
                <w:szCs w:val="20"/>
                <w:lang w:eastAsia="en-GB"/>
                <w14:ligatures w14:val="none"/>
              </w:rPr>
              <w:instrText xml:space="preserve"> ADDIN ZOTERO_ITEM CSL_CITATION {"citationID":"svxhet1s","properties":{"formattedCitation":"(53)","plainCitation":"(53)","noteIndex":0},"citationItems":[{"id":113,"uris":["http://zotero.org/users/local/fxpU1WWH/items/6FNYZLXL"],"itemData":{"id":113,"type":"article-journal","abstract":"BACKGROUND: Targeting modifiable factors offers significant potential for primary cancer prevention. For public health strategies, it is essential to quantify the contribution from each factor on a national level. We estimated the contribution of 12 modifiable factors on cancer incidence in the Norwegian population.\nMETHODS: Nationally representative data (1990-2015) on the prevalence of tobacco smoking, over-exposure to ultraviolet radiation (UVR), alcohol consumption, physical inactivity, overweight and obesity, intake of processed and red meat, fibre and calcium, menopausal hormone therapy (MHT), human papilloma virus (HPV) infection and insufficient breastfeeding were collected from health surveys. Using these prevalences, cancer risk estimates for for the exposures, and average annual cancer incidence rates for 2016-2020, we estimated annual population-attributable fractions (PAFs) and numbers of preventable cases.\nRESULTS: Of the average 24,608 annual cases of cancers related to our included modifiable factors, 12,250 (6240 in women and 6009 in men) (41</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were attributed to these factors. Tobacco smoking caused the highest proportion of cancers cases, 20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men and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women. Sunburn and indoor tanning caused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and 10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of cancers in men and women, respectively, and overweight and obesity caused 4.5</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xml:space="preserve">% of the cases. Cancers of skin, lung, colon and female breast had the highest number of preventable cases.\nCONCLUSION: Over a third of the annual cancer cases in Norway were attributed to 12 modifiable factors. Based on this study, efforts to reduce tobacco smoking, UVR over-exposure, and overweight and obesity could be the most effective in primary prevention of cancer.","container-title":"European Journal of Cancer (Oxford, England: 1990)","DOI":"10.1016/j.ejca.2025.115232","ISSN":"1879-0852","journalAbbreviation":"Eur J Cancer","language":"eng","note":"PMID: 39813761","page":"115232","source":"PubMed","title":"Cancers attributed to modifiable factors in Norway 2016-2020","volume":"217","author":[{"family":"Berstad","given":"Paula"},{"family":"Haugan","given":"Kristin"},{"family":"Knudsen","given":"Markus D."},{"family":"Nygård","given":"Mari"},{"family":"Ghiasvand","given":"Reza"},{"family":"Robsahm","given":"Trude Eid"}],"issued":{"date-parts":[["2025",2,25]]}}}],"schema":"https://github.com/citation-style-language/schema/raw/master/csl-citation.json"} </w:instrText>
            </w:r>
            <w:r w:rsidR="00C9560A">
              <w:rPr>
                <w:rFonts w:ascii="Aptos Narrow" w:eastAsia="Times New Roman" w:hAnsi="Aptos Narrow" w:cs="Arial"/>
                <w:kern w:val="0"/>
                <w:sz w:val="20"/>
                <w:szCs w:val="20"/>
                <w:lang w:eastAsia="en-GB"/>
                <w14:ligatures w14:val="none"/>
              </w:rPr>
              <w:fldChar w:fldCharType="separate"/>
            </w:r>
            <w:r w:rsidR="00A5309E" w:rsidRPr="00A5309E">
              <w:rPr>
                <w:rFonts w:ascii="Aptos Narrow" w:hAnsi="Aptos Narrow"/>
                <w:sz w:val="20"/>
              </w:rPr>
              <w:t>(53)</w:t>
            </w:r>
            <w:r w:rsidR="00C9560A">
              <w:rPr>
                <w:rFonts w:ascii="Aptos Narrow" w:eastAsia="Times New Roman" w:hAnsi="Aptos Narrow" w:cs="Arial"/>
                <w:kern w:val="0"/>
                <w:sz w:val="20"/>
                <w:szCs w:val="20"/>
                <w:lang w:eastAsia="en-GB"/>
                <w14:ligatures w14:val="none"/>
              </w:rPr>
              <w:fldChar w:fldCharType="end"/>
            </w:r>
          </w:p>
        </w:tc>
      </w:tr>
      <w:tr w:rsidR="003E2932" w:rsidRPr="005832BE" w14:paraId="52C85B5D" w14:textId="77777777" w:rsidTr="0041177B">
        <w:trPr>
          <w:trHeight w:val="300"/>
        </w:trPr>
        <w:tc>
          <w:tcPr>
            <w:tcW w:w="1843" w:type="dxa"/>
            <w:tcBorders>
              <w:top w:val="nil"/>
              <w:left w:val="single" w:sz="4" w:space="0" w:color="000000"/>
              <w:bottom w:val="single" w:sz="4" w:space="0" w:color="000000"/>
              <w:right w:val="single" w:sz="4" w:space="0" w:color="000000"/>
            </w:tcBorders>
            <w:shd w:val="clear" w:color="000000" w:fill="FFFFFF"/>
            <w:vAlign w:val="center"/>
            <w:hideMark/>
          </w:tcPr>
          <w:p w14:paraId="524ADFE8" w14:textId="14540465"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Bladder</w:t>
            </w:r>
            <w:r w:rsidR="00AB7EC2">
              <w:rPr>
                <w:rFonts w:ascii="Aptos Narrow" w:eastAsia="Times New Roman" w:hAnsi="Aptos Narrow" w:cs="Arial"/>
                <w:kern w:val="0"/>
                <w:sz w:val="20"/>
                <w:szCs w:val="20"/>
                <w:lang w:eastAsia="en-GB"/>
                <w14:ligatures w14:val="none"/>
              </w:rPr>
              <w:t xml:space="preserve"> (</w:t>
            </w:r>
            <w:r w:rsidR="00C0348B" w:rsidRPr="00C0348B">
              <w:rPr>
                <w:rFonts w:ascii="Aptos Narrow" w:eastAsia="Times New Roman" w:hAnsi="Aptos Narrow" w:cs="Arial"/>
                <w:kern w:val="0"/>
                <w:sz w:val="20"/>
                <w:szCs w:val="20"/>
                <w:lang w:eastAsia="en-GB"/>
                <w14:ligatures w14:val="none"/>
              </w:rPr>
              <w:t>&amp; Non-Muscle Invasive Bladder</w:t>
            </w:r>
            <w:r w:rsidR="00AB7EC2">
              <w:rPr>
                <w:rFonts w:ascii="Aptos Narrow" w:eastAsia="Times New Roman" w:hAnsi="Aptos Narrow" w:cs="Arial"/>
                <w:kern w:val="0"/>
                <w:sz w:val="20"/>
                <w:szCs w:val="20"/>
                <w:lang w:eastAsia="en-GB"/>
                <w14:ligatures w14:val="none"/>
              </w:rPr>
              <w:t>)</w:t>
            </w:r>
          </w:p>
        </w:tc>
        <w:tc>
          <w:tcPr>
            <w:tcW w:w="837" w:type="dxa"/>
            <w:tcBorders>
              <w:top w:val="nil"/>
              <w:left w:val="nil"/>
              <w:bottom w:val="single" w:sz="4" w:space="0" w:color="000000"/>
              <w:right w:val="single" w:sz="4" w:space="0" w:color="000000"/>
            </w:tcBorders>
            <w:shd w:val="clear" w:color="000000" w:fill="FFFFFF"/>
            <w:vAlign w:val="center"/>
            <w:hideMark/>
          </w:tcPr>
          <w:p w14:paraId="1D7C9E47" w14:textId="366B1E19" w:rsidR="003E2932" w:rsidRPr="005832BE" w:rsidRDefault="00B33307" w:rsidP="00A64503">
            <w:pPr>
              <w:spacing w:after="0" w:line="240" w:lineRule="auto"/>
              <w:rPr>
                <w:rFonts w:ascii="Aptos Narrow" w:eastAsia="Times New Roman" w:hAnsi="Aptos Narrow" w:cs="Arial"/>
                <w:kern w:val="0"/>
                <w:sz w:val="20"/>
                <w:szCs w:val="20"/>
                <w:lang w:eastAsia="en-GB"/>
                <w14:ligatures w14:val="none"/>
              </w:rPr>
            </w:pPr>
            <w:r w:rsidRPr="00B33307">
              <w:rPr>
                <w:rFonts w:ascii="Aptos Narrow" w:eastAsia="Times New Roman" w:hAnsi="Aptos Narrow" w:cs="Arial"/>
                <w:kern w:val="0"/>
                <w:sz w:val="20"/>
                <w:szCs w:val="20"/>
                <w:lang w:eastAsia="en-GB"/>
                <w14:ligatures w14:val="none"/>
              </w:rPr>
              <w:t>C67, D090, D414</w:t>
            </w:r>
          </w:p>
        </w:tc>
        <w:tc>
          <w:tcPr>
            <w:tcW w:w="864" w:type="dxa"/>
            <w:tcBorders>
              <w:top w:val="nil"/>
              <w:left w:val="nil"/>
              <w:bottom w:val="single" w:sz="4" w:space="0" w:color="000000"/>
              <w:right w:val="single" w:sz="4" w:space="0" w:color="000000"/>
            </w:tcBorders>
            <w:shd w:val="clear" w:color="auto" w:fill="auto"/>
            <w:noWrap/>
            <w:vAlign w:val="bottom"/>
            <w:hideMark/>
          </w:tcPr>
          <w:p w14:paraId="50D0CFDA"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3.44</w:t>
            </w:r>
          </w:p>
        </w:tc>
        <w:tc>
          <w:tcPr>
            <w:tcW w:w="709" w:type="dxa"/>
            <w:tcBorders>
              <w:top w:val="nil"/>
              <w:left w:val="nil"/>
              <w:bottom w:val="single" w:sz="4" w:space="0" w:color="000000"/>
              <w:right w:val="single" w:sz="4" w:space="0" w:color="000000"/>
            </w:tcBorders>
            <w:shd w:val="clear" w:color="auto" w:fill="auto"/>
            <w:noWrap/>
            <w:vAlign w:val="bottom"/>
            <w:hideMark/>
          </w:tcPr>
          <w:p w14:paraId="75C2B1AA"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1.92</w:t>
            </w:r>
          </w:p>
        </w:tc>
        <w:tc>
          <w:tcPr>
            <w:tcW w:w="851" w:type="dxa"/>
            <w:tcBorders>
              <w:top w:val="nil"/>
              <w:left w:val="nil"/>
              <w:bottom w:val="single" w:sz="4" w:space="0" w:color="000000"/>
              <w:right w:val="single" w:sz="4" w:space="0" w:color="000000"/>
            </w:tcBorders>
            <w:shd w:val="clear" w:color="auto" w:fill="auto"/>
            <w:noWrap/>
            <w:vAlign w:val="bottom"/>
            <w:hideMark/>
          </w:tcPr>
          <w:p w14:paraId="4926ADEF"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3.56</w:t>
            </w:r>
          </w:p>
        </w:tc>
        <w:tc>
          <w:tcPr>
            <w:tcW w:w="708" w:type="dxa"/>
            <w:tcBorders>
              <w:top w:val="nil"/>
              <w:left w:val="nil"/>
              <w:bottom w:val="single" w:sz="4" w:space="0" w:color="000000"/>
              <w:right w:val="single" w:sz="4" w:space="0" w:color="000000"/>
            </w:tcBorders>
            <w:shd w:val="clear" w:color="auto" w:fill="auto"/>
            <w:noWrap/>
            <w:vAlign w:val="bottom"/>
            <w:hideMark/>
          </w:tcPr>
          <w:p w14:paraId="6BEB884E"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2.04</w:t>
            </w:r>
          </w:p>
        </w:tc>
        <w:tc>
          <w:tcPr>
            <w:tcW w:w="993" w:type="dxa"/>
            <w:tcBorders>
              <w:top w:val="nil"/>
              <w:left w:val="nil"/>
              <w:bottom w:val="single" w:sz="4" w:space="0" w:color="000000"/>
              <w:right w:val="single" w:sz="4" w:space="0" w:color="000000"/>
            </w:tcBorders>
            <w:shd w:val="clear" w:color="000000" w:fill="D9D9D9"/>
            <w:noWrap/>
            <w:vAlign w:val="bottom"/>
            <w:hideMark/>
          </w:tcPr>
          <w:p w14:paraId="45D91A69"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992" w:type="dxa"/>
            <w:tcBorders>
              <w:top w:val="nil"/>
              <w:left w:val="nil"/>
              <w:bottom w:val="single" w:sz="4" w:space="0" w:color="000000"/>
              <w:right w:val="single" w:sz="4" w:space="0" w:color="000000"/>
            </w:tcBorders>
            <w:shd w:val="clear" w:color="000000" w:fill="D9D9D9"/>
            <w:noWrap/>
            <w:vAlign w:val="bottom"/>
            <w:hideMark/>
          </w:tcPr>
          <w:p w14:paraId="34D71493"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1933" w:type="dxa"/>
            <w:tcBorders>
              <w:top w:val="nil"/>
              <w:left w:val="nil"/>
              <w:bottom w:val="single" w:sz="4" w:space="0" w:color="000000"/>
              <w:right w:val="single" w:sz="4" w:space="0" w:color="000000"/>
            </w:tcBorders>
            <w:shd w:val="clear" w:color="auto" w:fill="auto"/>
            <w:noWrap/>
            <w:vAlign w:val="bottom"/>
          </w:tcPr>
          <w:p w14:paraId="3A3D0A7E" w14:textId="6BD28B92"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xml:space="preserve"> Berstad et al., 2025</w:t>
            </w:r>
            <w:r w:rsidR="00C9560A">
              <w:rPr>
                <w:rFonts w:ascii="Aptos Narrow" w:eastAsia="Times New Roman" w:hAnsi="Aptos Narrow" w:cs="Arial"/>
                <w:kern w:val="0"/>
                <w:sz w:val="20"/>
                <w:szCs w:val="20"/>
                <w:lang w:eastAsia="en-GB"/>
                <w14:ligatures w14:val="none"/>
              </w:rPr>
              <w:fldChar w:fldCharType="begin"/>
            </w:r>
            <w:r w:rsidR="00A5309E">
              <w:rPr>
                <w:rFonts w:ascii="Aptos Narrow" w:eastAsia="Times New Roman" w:hAnsi="Aptos Narrow" w:cs="Arial"/>
                <w:kern w:val="0"/>
                <w:sz w:val="20"/>
                <w:szCs w:val="20"/>
                <w:lang w:eastAsia="en-GB"/>
                <w14:ligatures w14:val="none"/>
              </w:rPr>
              <w:instrText xml:space="preserve"> ADDIN ZOTERO_ITEM CSL_CITATION {"citationID":"OAcvvqN2","properties":{"formattedCitation":"(53)","plainCitation":"(53)","noteIndex":0},"citationItems":[{"id":113,"uris":["http://zotero.org/users/local/fxpU1WWH/items/6FNYZLXL"],"itemData":{"id":113,"type":"article-journal","abstract":"BACKGROUND: Targeting modifiable factors offers significant potential for primary cancer prevention. For public health strategies, it is essential to quantify the contribution from each factor on a national level. We estimated the contribution of 12 modifiable factors on cancer incidence in the Norwegian population.\nMETHODS: Nationally representative data (1990-2015) on the prevalence of tobacco smoking, over-exposure to ultraviolet radiation (UVR), alcohol consumption, physical inactivity, overweight and obesity, intake of processed and red meat, fibre and calcium, menopausal hormone therapy (MHT), human papilloma virus (HPV) infection and insufficient breastfeeding were collected from health surveys. Using these prevalences, cancer risk estimates for for the exposures, and average annual cancer incidence rates for 2016-2020, we estimated annual population-attributable fractions (PAFs) and numbers of preventable cases.\nRESULTS: Of the average 24,608 annual cases of cancers related to our included modifiable factors, 12,250 (6240 in women and 6009 in men) (41</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were attributed to these factors. Tobacco smoking caused the highest proportion of cancers cases, 20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men and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women. Sunburn and indoor tanning caused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and 10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of cancers in men and women, respectively, and overweight and obesity caused 4.5</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xml:space="preserve">% of the cases. Cancers of skin, lung, colon and female breast had the highest number of preventable cases.\nCONCLUSION: Over a third of the annual cancer cases in Norway were attributed to 12 modifiable factors. Based on this study, efforts to reduce tobacco smoking, UVR over-exposure, and overweight and obesity could be the most effective in primary prevention of cancer.","container-title":"European Journal of Cancer (Oxford, England: 1990)","DOI":"10.1016/j.ejca.2025.115232","ISSN":"1879-0852","journalAbbreviation":"Eur J Cancer","language":"eng","note":"PMID: 39813761","page":"115232","source":"PubMed","title":"Cancers attributed to modifiable factors in Norway 2016-2020","volume":"217","author":[{"family":"Berstad","given":"Paula"},{"family":"Haugan","given":"Kristin"},{"family":"Knudsen","given":"Markus D."},{"family":"Nygård","given":"Mari"},{"family":"Ghiasvand","given":"Reza"},{"family":"Robsahm","given":"Trude Eid"}],"issued":{"date-parts":[["2025",2,25]]}}}],"schema":"https://github.com/citation-style-language/schema/raw/master/csl-citation.json"} </w:instrText>
            </w:r>
            <w:r w:rsidR="00C9560A">
              <w:rPr>
                <w:rFonts w:ascii="Aptos Narrow" w:eastAsia="Times New Roman" w:hAnsi="Aptos Narrow" w:cs="Arial"/>
                <w:kern w:val="0"/>
                <w:sz w:val="20"/>
                <w:szCs w:val="20"/>
                <w:lang w:eastAsia="en-GB"/>
                <w14:ligatures w14:val="none"/>
              </w:rPr>
              <w:fldChar w:fldCharType="separate"/>
            </w:r>
            <w:r w:rsidR="00A5309E" w:rsidRPr="00A5309E">
              <w:rPr>
                <w:rFonts w:ascii="Aptos Narrow" w:hAnsi="Aptos Narrow"/>
                <w:sz w:val="20"/>
              </w:rPr>
              <w:t>(53)</w:t>
            </w:r>
            <w:r w:rsidR="00C9560A">
              <w:rPr>
                <w:rFonts w:ascii="Aptos Narrow" w:eastAsia="Times New Roman" w:hAnsi="Aptos Narrow" w:cs="Arial"/>
                <w:kern w:val="0"/>
                <w:sz w:val="20"/>
                <w:szCs w:val="20"/>
                <w:lang w:eastAsia="en-GB"/>
                <w14:ligatures w14:val="none"/>
              </w:rPr>
              <w:fldChar w:fldCharType="end"/>
            </w:r>
          </w:p>
        </w:tc>
      </w:tr>
      <w:tr w:rsidR="003E2932" w:rsidRPr="005832BE" w14:paraId="04F0F5F9" w14:textId="77777777" w:rsidTr="0041177B">
        <w:trPr>
          <w:trHeight w:val="300"/>
        </w:trPr>
        <w:tc>
          <w:tcPr>
            <w:tcW w:w="1843" w:type="dxa"/>
            <w:tcBorders>
              <w:top w:val="nil"/>
              <w:left w:val="single" w:sz="4" w:space="0" w:color="000000"/>
              <w:bottom w:val="single" w:sz="4" w:space="0" w:color="000000"/>
              <w:right w:val="single" w:sz="4" w:space="0" w:color="000000"/>
            </w:tcBorders>
            <w:shd w:val="clear" w:color="000000" w:fill="FFFFFF"/>
            <w:vAlign w:val="center"/>
            <w:hideMark/>
          </w:tcPr>
          <w:p w14:paraId="6B65E596"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Cervix</w:t>
            </w:r>
          </w:p>
        </w:tc>
        <w:tc>
          <w:tcPr>
            <w:tcW w:w="837" w:type="dxa"/>
            <w:tcBorders>
              <w:top w:val="nil"/>
              <w:left w:val="nil"/>
              <w:bottom w:val="single" w:sz="4" w:space="0" w:color="000000"/>
              <w:right w:val="single" w:sz="4" w:space="0" w:color="000000"/>
            </w:tcBorders>
            <w:shd w:val="clear" w:color="000000" w:fill="FFFFFF"/>
            <w:vAlign w:val="center"/>
            <w:hideMark/>
          </w:tcPr>
          <w:p w14:paraId="3F258D6D"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C53</w:t>
            </w:r>
          </w:p>
        </w:tc>
        <w:tc>
          <w:tcPr>
            <w:tcW w:w="864" w:type="dxa"/>
            <w:tcBorders>
              <w:top w:val="nil"/>
              <w:left w:val="nil"/>
              <w:bottom w:val="single" w:sz="4" w:space="0" w:color="000000"/>
              <w:right w:val="single" w:sz="4" w:space="0" w:color="000000"/>
            </w:tcBorders>
            <w:shd w:val="clear" w:color="000000" w:fill="D9D9D9"/>
            <w:noWrap/>
            <w:vAlign w:val="bottom"/>
            <w:hideMark/>
          </w:tcPr>
          <w:p w14:paraId="1EAF51A9"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709" w:type="dxa"/>
            <w:tcBorders>
              <w:top w:val="nil"/>
              <w:left w:val="nil"/>
              <w:bottom w:val="single" w:sz="4" w:space="0" w:color="000000"/>
              <w:right w:val="single" w:sz="4" w:space="0" w:color="000000"/>
            </w:tcBorders>
            <w:shd w:val="clear" w:color="000000" w:fill="D9D9D9"/>
            <w:noWrap/>
            <w:vAlign w:val="bottom"/>
            <w:hideMark/>
          </w:tcPr>
          <w:p w14:paraId="46DC89AD"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159A7E0D"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1.83</w:t>
            </w:r>
          </w:p>
        </w:tc>
        <w:tc>
          <w:tcPr>
            <w:tcW w:w="708" w:type="dxa"/>
            <w:tcBorders>
              <w:top w:val="nil"/>
              <w:left w:val="nil"/>
              <w:bottom w:val="single" w:sz="4" w:space="0" w:color="000000"/>
              <w:right w:val="single" w:sz="4" w:space="0" w:color="000000"/>
            </w:tcBorders>
            <w:shd w:val="clear" w:color="auto" w:fill="auto"/>
            <w:noWrap/>
            <w:vAlign w:val="bottom"/>
            <w:hideMark/>
          </w:tcPr>
          <w:p w14:paraId="62E28825"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1.26</w:t>
            </w:r>
          </w:p>
        </w:tc>
        <w:tc>
          <w:tcPr>
            <w:tcW w:w="993" w:type="dxa"/>
            <w:tcBorders>
              <w:top w:val="nil"/>
              <w:left w:val="nil"/>
              <w:bottom w:val="single" w:sz="4" w:space="0" w:color="000000"/>
              <w:right w:val="single" w:sz="4" w:space="0" w:color="000000"/>
            </w:tcBorders>
            <w:shd w:val="clear" w:color="000000" w:fill="D9D9D9"/>
            <w:noWrap/>
            <w:vAlign w:val="bottom"/>
            <w:hideMark/>
          </w:tcPr>
          <w:p w14:paraId="278DE1F6"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992" w:type="dxa"/>
            <w:tcBorders>
              <w:top w:val="nil"/>
              <w:left w:val="nil"/>
              <w:bottom w:val="single" w:sz="4" w:space="0" w:color="000000"/>
              <w:right w:val="single" w:sz="4" w:space="0" w:color="000000"/>
            </w:tcBorders>
            <w:shd w:val="clear" w:color="000000" w:fill="D9D9D9"/>
            <w:noWrap/>
            <w:vAlign w:val="bottom"/>
            <w:hideMark/>
          </w:tcPr>
          <w:p w14:paraId="09227123"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1933" w:type="dxa"/>
            <w:tcBorders>
              <w:top w:val="nil"/>
              <w:left w:val="nil"/>
              <w:bottom w:val="single" w:sz="4" w:space="0" w:color="000000"/>
              <w:right w:val="single" w:sz="4" w:space="0" w:color="000000"/>
            </w:tcBorders>
            <w:shd w:val="clear" w:color="auto" w:fill="auto"/>
            <w:noWrap/>
            <w:vAlign w:val="bottom"/>
          </w:tcPr>
          <w:p w14:paraId="095B0C3B" w14:textId="3137AB38"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xml:space="preserve"> Berstad et al., 2025</w:t>
            </w:r>
            <w:r w:rsidR="00C9560A">
              <w:rPr>
                <w:rFonts w:ascii="Aptos Narrow" w:eastAsia="Times New Roman" w:hAnsi="Aptos Narrow" w:cs="Arial"/>
                <w:kern w:val="0"/>
                <w:sz w:val="20"/>
                <w:szCs w:val="20"/>
                <w:lang w:eastAsia="en-GB"/>
                <w14:ligatures w14:val="none"/>
              </w:rPr>
              <w:fldChar w:fldCharType="begin"/>
            </w:r>
            <w:r w:rsidR="00A5309E">
              <w:rPr>
                <w:rFonts w:ascii="Aptos Narrow" w:eastAsia="Times New Roman" w:hAnsi="Aptos Narrow" w:cs="Arial"/>
                <w:kern w:val="0"/>
                <w:sz w:val="20"/>
                <w:szCs w:val="20"/>
                <w:lang w:eastAsia="en-GB"/>
                <w14:ligatures w14:val="none"/>
              </w:rPr>
              <w:instrText xml:space="preserve"> ADDIN ZOTERO_ITEM CSL_CITATION {"citationID":"hIR77Ax0","properties":{"formattedCitation":"(53)","plainCitation":"(53)","noteIndex":0},"citationItems":[{"id":113,"uris":["http://zotero.org/users/local/fxpU1WWH/items/6FNYZLXL"],"itemData":{"id":113,"type":"article-journal","abstract":"BACKGROUND: Targeting modifiable factors offers significant potential for primary cancer prevention. For public health strategies, it is essential to quantify the contribution from each factor on a national level. We estimated the contribution of 12 modifiable factors on cancer incidence in the Norwegian population.\nMETHODS: Nationally representative data (1990-2015) on the prevalence of tobacco smoking, over-exposure to ultraviolet radiation (UVR), alcohol consumption, physical inactivity, overweight and obesity, intake of processed and red meat, fibre and calcium, menopausal hormone therapy (MHT), human papilloma virus (HPV) infection and insufficient breastfeeding were collected from health surveys. Using these prevalences, cancer risk estimates for for the exposures, and average annual cancer incidence rates for 2016-2020, we estimated annual population-attributable fractions (PAFs) and numbers of preventable cases.\nRESULTS: Of the average 24,608 annual cases of cancers related to our included modifiable factors, 12,250 (6240 in women and 6009 in men) (41</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were attributed to these factors. Tobacco smoking caused the highest proportion of cancers cases, 20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men and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women. Sunburn and indoor tanning caused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and 10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of cancers in men and women, respectively, and overweight and obesity caused 4.5</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xml:space="preserve">% of the cases. Cancers of skin, lung, colon and female breast had the highest number of preventable cases.\nCONCLUSION: Over a third of the annual cancer cases in Norway were attributed to 12 modifiable factors. Based on this study, efforts to reduce tobacco smoking, UVR over-exposure, and overweight and obesity could be the most effective in primary prevention of cancer.","container-title":"European Journal of Cancer (Oxford, England: 1990)","DOI":"10.1016/j.ejca.2025.115232","ISSN":"1879-0852","journalAbbreviation":"Eur J Cancer","language":"eng","note":"PMID: 39813761","page":"115232","source":"PubMed","title":"Cancers attributed to modifiable factors in Norway 2016-2020","volume":"217","author":[{"family":"Berstad","given":"Paula"},{"family":"Haugan","given":"Kristin"},{"family":"Knudsen","given":"Markus D."},{"family":"Nygård","given":"Mari"},{"family":"Ghiasvand","given":"Reza"},{"family":"Robsahm","given":"Trude Eid"}],"issued":{"date-parts":[["2025",2,25]]}}}],"schema":"https://github.com/citation-style-language/schema/raw/master/csl-citation.json"} </w:instrText>
            </w:r>
            <w:r w:rsidR="00C9560A">
              <w:rPr>
                <w:rFonts w:ascii="Aptos Narrow" w:eastAsia="Times New Roman" w:hAnsi="Aptos Narrow" w:cs="Arial"/>
                <w:kern w:val="0"/>
                <w:sz w:val="20"/>
                <w:szCs w:val="20"/>
                <w:lang w:eastAsia="en-GB"/>
                <w14:ligatures w14:val="none"/>
              </w:rPr>
              <w:fldChar w:fldCharType="separate"/>
            </w:r>
            <w:r w:rsidR="00A5309E" w:rsidRPr="00A5309E">
              <w:rPr>
                <w:rFonts w:ascii="Aptos Narrow" w:hAnsi="Aptos Narrow"/>
                <w:sz w:val="20"/>
              </w:rPr>
              <w:t>(53)</w:t>
            </w:r>
            <w:r w:rsidR="00C9560A">
              <w:rPr>
                <w:rFonts w:ascii="Aptos Narrow" w:eastAsia="Times New Roman" w:hAnsi="Aptos Narrow" w:cs="Arial"/>
                <w:kern w:val="0"/>
                <w:sz w:val="20"/>
                <w:szCs w:val="20"/>
                <w:lang w:eastAsia="en-GB"/>
                <w14:ligatures w14:val="none"/>
              </w:rPr>
              <w:fldChar w:fldCharType="end"/>
            </w:r>
          </w:p>
        </w:tc>
      </w:tr>
      <w:tr w:rsidR="003E2932" w:rsidRPr="005832BE" w14:paraId="4965E811" w14:textId="77777777" w:rsidTr="0041177B">
        <w:trPr>
          <w:trHeight w:val="300"/>
        </w:trPr>
        <w:tc>
          <w:tcPr>
            <w:tcW w:w="1843" w:type="dxa"/>
            <w:tcBorders>
              <w:top w:val="nil"/>
              <w:left w:val="single" w:sz="4" w:space="0" w:color="000000"/>
              <w:bottom w:val="single" w:sz="4" w:space="0" w:color="000000"/>
              <w:right w:val="single" w:sz="4" w:space="0" w:color="000000"/>
            </w:tcBorders>
            <w:shd w:val="clear" w:color="000000" w:fill="FFFFFF"/>
            <w:vAlign w:val="center"/>
            <w:hideMark/>
          </w:tcPr>
          <w:p w14:paraId="2B191053"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Ovary (mucinous)</w:t>
            </w:r>
          </w:p>
        </w:tc>
        <w:tc>
          <w:tcPr>
            <w:tcW w:w="837" w:type="dxa"/>
            <w:tcBorders>
              <w:top w:val="nil"/>
              <w:left w:val="nil"/>
              <w:bottom w:val="single" w:sz="4" w:space="0" w:color="000000"/>
              <w:right w:val="single" w:sz="4" w:space="0" w:color="000000"/>
            </w:tcBorders>
            <w:shd w:val="clear" w:color="000000" w:fill="FFFFFF"/>
            <w:vAlign w:val="center"/>
            <w:hideMark/>
          </w:tcPr>
          <w:p w14:paraId="7B9402D6"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C56-57, C48</w:t>
            </w:r>
          </w:p>
        </w:tc>
        <w:tc>
          <w:tcPr>
            <w:tcW w:w="864" w:type="dxa"/>
            <w:tcBorders>
              <w:top w:val="nil"/>
              <w:left w:val="nil"/>
              <w:bottom w:val="single" w:sz="4" w:space="0" w:color="000000"/>
              <w:right w:val="single" w:sz="4" w:space="0" w:color="000000"/>
            </w:tcBorders>
            <w:shd w:val="clear" w:color="000000" w:fill="D9D9D9"/>
            <w:noWrap/>
            <w:vAlign w:val="bottom"/>
            <w:hideMark/>
          </w:tcPr>
          <w:p w14:paraId="783DBEE7"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709" w:type="dxa"/>
            <w:tcBorders>
              <w:top w:val="nil"/>
              <w:left w:val="nil"/>
              <w:bottom w:val="single" w:sz="4" w:space="0" w:color="000000"/>
              <w:right w:val="single" w:sz="4" w:space="0" w:color="000000"/>
            </w:tcBorders>
            <w:shd w:val="clear" w:color="000000" w:fill="D9D9D9"/>
            <w:noWrap/>
            <w:vAlign w:val="bottom"/>
            <w:hideMark/>
          </w:tcPr>
          <w:p w14:paraId="73D1AB29"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4DA03EDA"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1.83</w:t>
            </w:r>
          </w:p>
        </w:tc>
        <w:tc>
          <w:tcPr>
            <w:tcW w:w="708" w:type="dxa"/>
            <w:tcBorders>
              <w:top w:val="nil"/>
              <w:left w:val="nil"/>
              <w:bottom w:val="single" w:sz="4" w:space="0" w:color="000000"/>
              <w:right w:val="single" w:sz="4" w:space="0" w:color="000000"/>
            </w:tcBorders>
            <w:shd w:val="clear" w:color="auto" w:fill="auto"/>
            <w:noWrap/>
            <w:vAlign w:val="bottom"/>
            <w:hideMark/>
          </w:tcPr>
          <w:p w14:paraId="17980DE2"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1.26</w:t>
            </w:r>
          </w:p>
        </w:tc>
        <w:tc>
          <w:tcPr>
            <w:tcW w:w="993" w:type="dxa"/>
            <w:tcBorders>
              <w:top w:val="nil"/>
              <w:left w:val="nil"/>
              <w:bottom w:val="single" w:sz="4" w:space="0" w:color="000000"/>
              <w:right w:val="single" w:sz="4" w:space="0" w:color="000000"/>
            </w:tcBorders>
            <w:shd w:val="clear" w:color="000000" w:fill="D9D9D9"/>
            <w:noWrap/>
            <w:vAlign w:val="bottom"/>
            <w:hideMark/>
          </w:tcPr>
          <w:p w14:paraId="3F596507"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992" w:type="dxa"/>
            <w:tcBorders>
              <w:top w:val="nil"/>
              <w:left w:val="nil"/>
              <w:bottom w:val="single" w:sz="4" w:space="0" w:color="000000"/>
              <w:right w:val="single" w:sz="4" w:space="0" w:color="000000"/>
            </w:tcBorders>
            <w:shd w:val="clear" w:color="000000" w:fill="D9D9D9"/>
            <w:noWrap/>
            <w:vAlign w:val="bottom"/>
            <w:hideMark/>
          </w:tcPr>
          <w:p w14:paraId="638593C9"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1933" w:type="dxa"/>
            <w:tcBorders>
              <w:top w:val="nil"/>
              <w:left w:val="nil"/>
              <w:bottom w:val="single" w:sz="4" w:space="0" w:color="000000"/>
              <w:right w:val="single" w:sz="4" w:space="0" w:color="000000"/>
            </w:tcBorders>
            <w:shd w:val="clear" w:color="auto" w:fill="auto"/>
            <w:noWrap/>
            <w:vAlign w:val="bottom"/>
          </w:tcPr>
          <w:p w14:paraId="1683627C" w14:textId="2A55470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xml:space="preserve"> Berstad et al., 2025</w:t>
            </w:r>
            <w:r w:rsidR="00C9560A">
              <w:rPr>
                <w:rFonts w:ascii="Aptos Narrow" w:eastAsia="Times New Roman" w:hAnsi="Aptos Narrow" w:cs="Arial"/>
                <w:kern w:val="0"/>
                <w:sz w:val="20"/>
                <w:szCs w:val="20"/>
                <w:lang w:eastAsia="en-GB"/>
                <w14:ligatures w14:val="none"/>
              </w:rPr>
              <w:fldChar w:fldCharType="begin"/>
            </w:r>
            <w:r w:rsidR="00A5309E">
              <w:rPr>
                <w:rFonts w:ascii="Aptos Narrow" w:eastAsia="Times New Roman" w:hAnsi="Aptos Narrow" w:cs="Arial"/>
                <w:kern w:val="0"/>
                <w:sz w:val="20"/>
                <w:szCs w:val="20"/>
                <w:lang w:eastAsia="en-GB"/>
                <w14:ligatures w14:val="none"/>
              </w:rPr>
              <w:instrText xml:space="preserve"> ADDIN ZOTERO_ITEM CSL_CITATION {"citationID":"DfUWmjv1","properties":{"formattedCitation":"(53)","plainCitation":"(53)","noteIndex":0},"citationItems":[{"id":113,"uris":["http://zotero.org/users/local/fxpU1WWH/items/6FNYZLXL"],"itemData":{"id":113,"type":"article-journal","abstract":"BACKGROUND: Targeting modifiable factors offers significant potential for primary cancer prevention. For public health strategies, it is essential to quantify the contribution from each factor on a national level. We estimated the contribution of 12 modifiable factors on cancer incidence in the Norwegian population.\nMETHODS: Nationally representative data (1990-2015) on the prevalence of tobacco smoking, over-exposure to ultraviolet radiation (UVR), alcohol consumption, physical inactivity, overweight and obesity, intake of processed and red meat, fibre and calcium, menopausal hormone therapy (MHT), human papilloma virus (HPV) infection and insufficient breastfeeding were collected from health surveys. Using these prevalences, cancer risk estimates for for the exposures, and average annual cancer incidence rates for 2016-2020, we estimated annual population-attributable fractions (PAFs) and numbers of preventable cases.\nRESULTS: Of the average 24,608 annual cases of cancers related to our included modifiable factors, 12,250 (6240 in women and 6009 in men) (41</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were attributed to these factors. Tobacco smoking caused the highest proportion of cancers cases, 20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men and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women. Sunburn and indoor tanning caused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and 10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of cancers in men and women, respectively, and overweight and obesity caused 4.5</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xml:space="preserve">% of the cases. Cancers of skin, lung, colon and female breast had the highest number of preventable cases.\nCONCLUSION: Over a third of the annual cancer cases in Norway were attributed to 12 modifiable factors. Based on this study, efforts to reduce tobacco smoking, UVR over-exposure, and overweight and obesity could be the most effective in primary prevention of cancer.","container-title":"European Journal of Cancer (Oxford, England: 1990)","DOI":"10.1016/j.ejca.2025.115232","ISSN":"1879-0852","journalAbbreviation":"Eur J Cancer","language":"eng","note":"PMID: 39813761","page":"115232","source":"PubMed","title":"Cancers attributed to modifiable factors in Norway 2016-2020","volume":"217","author":[{"family":"Berstad","given":"Paula"},{"family":"Haugan","given":"Kristin"},{"family":"Knudsen","given":"Markus D."},{"family":"Nygård","given":"Mari"},{"family":"Ghiasvand","given":"Reza"},{"family":"Robsahm","given":"Trude Eid"}],"issued":{"date-parts":[["2025",2,25]]}}}],"schema":"https://github.com/citation-style-language/schema/raw/master/csl-citation.json"} </w:instrText>
            </w:r>
            <w:r w:rsidR="00C9560A">
              <w:rPr>
                <w:rFonts w:ascii="Aptos Narrow" w:eastAsia="Times New Roman" w:hAnsi="Aptos Narrow" w:cs="Arial"/>
                <w:kern w:val="0"/>
                <w:sz w:val="20"/>
                <w:szCs w:val="20"/>
                <w:lang w:eastAsia="en-GB"/>
                <w14:ligatures w14:val="none"/>
              </w:rPr>
              <w:fldChar w:fldCharType="separate"/>
            </w:r>
            <w:r w:rsidR="00A5309E" w:rsidRPr="00A5309E">
              <w:rPr>
                <w:rFonts w:ascii="Aptos Narrow" w:hAnsi="Aptos Narrow"/>
                <w:sz w:val="20"/>
              </w:rPr>
              <w:t>(53)</w:t>
            </w:r>
            <w:r w:rsidR="00C9560A">
              <w:rPr>
                <w:rFonts w:ascii="Aptos Narrow" w:eastAsia="Times New Roman" w:hAnsi="Aptos Narrow" w:cs="Arial"/>
                <w:kern w:val="0"/>
                <w:sz w:val="20"/>
                <w:szCs w:val="20"/>
                <w:lang w:eastAsia="en-GB"/>
                <w14:ligatures w14:val="none"/>
              </w:rPr>
              <w:fldChar w:fldCharType="end"/>
            </w:r>
          </w:p>
        </w:tc>
      </w:tr>
      <w:tr w:rsidR="003E2932" w:rsidRPr="005832BE" w14:paraId="4BDA2040" w14:textId="77777777" w:rsidTr="0041177B">
        <w:trPr>
          <w:trHeight w:val="1029"/>
        </w:trPr>
        <w:tc>
          <w:tcPr>
            <w:tcW w:w="1843" w:type="dxa"/>
            <w:tcBorders>
              <w:top w:val="nil"/>
              <w:left w:val="single" w:sz="4" w:space="0" w:color="000000"/>
              <w:bottom w:val="single" w:sz="4" w:space="0" w:color="000000"/>
              <w:right w:val="single" w:sz="4" w:space="0" w:color="000000"/>
            </w:tcBorders>
            <w:shd w:val="clear" w:color="000000" w:fill="FFFFFF"/>
            <w:vAlign w:val="center"/>
            <w:hideMark/>
          </w:tcPr>
          <w:p w14:paraId="6584B6C8"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Acute myeloid leukaemia (AML)</w:t>
            </w:r>
          </w:p>
        </w:tc>
        <w:tc>
          <w:tcPr>
            <w:tcW w:w="837" w:type="dxa"/>
            <w:tcBorders>
              <w:top w:val="nil"/>
              <w:left w:val="nil"/>
              <w:bottom w:val="single" w:sz="4" w:space="0" w:color="000000"/>
              <w:right w:val="single" w:sz="4" w:space="0" w:color="000000"/>
            </w:tcBorders>
            <w:shd w:val="clear" w:color="000000" w:fill="FFFFFF"/>
            <w:vAlign w:val="center"/>
            <w:hideMark/>
          </w:tcPr>
          <w:p w14:paraId="2F64F1FF"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C92.0, C92.4-C92.6, C92.8, C93.0, C94.0, C94.2</w:t>
            </w:r>
          </w:p>
        </w:tc>
        <w:tc>
          <w:tcPr>
            <w:tcW w:w="864" w:type="dxa"/>
            <w:tcBorders>
              <w:top w:val="nil"/>
              <w:left w:val="nil"/>
              <w:bottom w:val="single" w:sz="4" w:space="0" w:color="000000"/>
              <w:right w:val="single" w:sz="4" w:space="0" w:color="000000"/>
            </w:tcBorders>
            <w:shd w:val="clear" w:color="auto" w:fill="auto"/>
            <w:noWrap/>
            <w:vAlign w:val="center"/>
            <w:hideMark/>
          </w:tcPr>
          <w:p w14:paraId="4EA48739"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1.52</w:t>
            </w:r>
          </w:p>
        </w:tc>
        <w:tc>
          <w:tcPr>
            <w:tcW w:w="709" w:type="dxa"/>
            <w:tcBorders>
              <w:top w:val="nil"/>
              <w:left w:val="nil"/>
              <w:bottom w:val="single" w:sz="4" w:space="0" w:color="000000"/>
              <w:right w:val="single" w:sz="4" w:space="0" w:color="000000"/>
            </w:tcBorders>
            <w:shd w:val="clear" w:color="auto" w:fill="auto"/>
            <w:noWrap/>
            <w:vAlign w:val="center"/>
            <w:hideMark/>
          </w:tcPr>
          <w:p w14:paraId="18E46968"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1.45</w:t>
            </w:r>
          </w:p>
        </w:tc>
        <w:tc>
          <w:tcPr>
            <w:tcW w:w="851" w:type="dxa"/>
            <w:tcBorders>
              <w:top w:val="nil"/>
              <w:left w:val="nil"/>
              <w:bottom w:val="single" w:sz="4" w:space="0" w:color="000000"/>
              <w:right w:val="single" w:sz="4" w:space="0" w:color="000000"/>
            </w:tcBorders>
            <w:shd w:val="clear" w:color="auto" w:fill="auto"/>
            <w:noWrap/>
            <w:vAlign w:val="center"/>
            <w:hideMark/>
          </w:tcPr>
          <w:p w14:paraId="0DAC6A24"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1.52</w:t>
            </w:r>
          </w:p>
        </w:tc>
        <w:tc>
          <w:tcPr>
            <w:tcW w:w="708" w:type="dxa"/>
            <w:tcBorders>
              <w:top w:val="nil"/>
              <w:left w:val="nil"/>
              <w:bottom w:val="single" w:sz="4" w:space="0" w:color="000000"/>
              <w:right w:val="single" w:sz="4" w:space="0" w:color="000000"/>
            </w:tcBorders>
            <w:shd w:val="clear" w:color="auto" w:fill="auto"/>
            <w:noWrap/>
            <w:vAlign w:val="center"/>
            <w:hideMark/>
          </w:tcPr>
          <w:p w14:paraId="2A7092C3"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1.45</w:t>
            </w:r>
          </w:p>
        </w:tc>
        <w:tc>
          <w:tcPr>
            <w:tcW w:w="993" w:type="dxa"/>
            <w:tcBorders>
              <w:top w:val="nil"/>
              <w:left w:val="nil"/>
              <w:bottom w:val="single" w:sz="4" w:space="0" w:color="000000"/>
              <w:right w:val="single" w:sz="4" w:space="0" w:color="000000"/>
            </w:tcBorders>
            <w:shd w:val="clear" w:color="000000" w:fill="D9D9D9"/>
            <w:noWrap/>
            <w:vAlign w:val="bottom"/>
            <w:hideMark/>
          </w:tcPr>
          <w:p w14:paraId="3BBB18B5"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992" w:type="dxa"/>
            <w:tcBorders>
              <w:top w:val="nil"/>
              <w:left w:val="nil"/>
              <w:bottom w:val="single" w:sz="4" w:space="0" w:color="000000"/>
              <w:right w:val="single" w:sz="4" w:space="0" w:color="000000"/>
            </w:tcBorders>
            <w:shd w:val="clear" w:color="000000" w:fill="D9D9D9"/>
            <w:noWrap/>
            <w:vAlign w:val="bottom"/>
            <w:hideMark/>
          </w:tcPr>
          <w:p w14:paraId="13AFB7BD"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1933" w:type="dxa"/>
            <w:tcBorders>
              <w:top w:val="nil"/>
              <w:left w:val="nil"/>
              <w:bottom w:val="single" w:sz="4" w:space="0" w:color="000000"/>
              <w:right w:val="single" w:sz="4" w:space="0" w:color="000000"/>
            </w:tcBorders>
            <w:shd w:val="clear" w:color="auto" w:fill="auto"/>
            <w:noWrap/>
            <w:vAlign w:val="bottom"/>
            <w:hideMark/>
          </w:tcPr>
          <w:p w14:paraId="57289B49" w14:textId="73EB7885" w:rsidR="003E2932" w:rsidRPr="005832BE" w:rsidRDefault="006727B2" w:rsidP="00A64503">
            <w:pPr>
              <w:spacing w:after="0" w:line="240" w:lineRule="auto"/>
              <w:rPr>
                <w:rFonts w:ascii="Aptos Narrow" w:eastAsia="Times New Roman" w:hAnsi="Aptos Narrow" w:cs="Arial"/>
                <w:kern w:val="0"/>
                <w:sz w:val="20"/>
                <w:szCs w:val="20"/>
                <w:lang w:eastAsia="en-GB"/>
                <w14:ligatures w14:val="none"/>
              </w:rPr>
            </w:pPr>
            <w:r>
              <w:rPr>
                <w:rFonts w:ascii="Aptos Narrow" w:eastAsia="Times New Roman" w:hAnsi="Aptos Narrow" w:cs="Arial"/>
                <w:kern w:val="0"/>
                <w:sz w:val="20"/>
                <w:szCs w:val="20"/>
                <w:lang w:eastAsia="en-GB"/>
                <w14:ligatures w14:val="none"/>
              </w:rPr>
              <w:t>Cancer Research UK</w:t>
            </w:r>
            <w:r w:rsidR="00A63282">
              <w:rPr>
                <w:rFonts w:ascii="Aptos Narrow" w:eastAsia="Times New Roman" w:hAnsi="Aptos Narrow" w:cs="Arial"/>
                <w:kern w:val="0"/>
                <w:sz w:val="20"/>
                <w:szCs w:val="20"/>
                <w:lang w:eastAsia="en-GB"/>
                <w14:ligatures w14:val="none"/>
              </w:rPr>
              <w:fldChar w:fldCharType="begin"/>
            </w:r>
            <w:r w:rsidR="00A5309E">
              <w:rPr>
                <w:rFonts w:ascii="Aptos Narrow" w:eastAsia="Times New Roman" w:hAnsi="Aptos Narrow" w:cs="Arial"/>
                <w:kern w:val="0"/>
                <w:sz w:val="20"/>
                <w:szCs w:val="20"/>
                <w:lang w:eastAsia="en-GB"/>
                <w14:ligatures w14:val="none"/>
              </w:rPr>
              <w:instrText xml:space="preserve"> ADDIN ZOTERO_ITEM CSL_CITATION {"citationID":"Og4PF8R5","properties":{"formattedCitation":"(56)","plainCitation":"(56)","noteIndex":0},"citationItems":[{"id":226,"uris":["http://zotero.org/users/local/fxpU1WWH/items/FKSZ9J43"],"itemData":{"id":226,"type":"webpage","abstract":"The latest tobacco prevalence statistics for the UK for Health Professionals. See data for sex, age, trends over time and more.","container-title":"Cancer Research UK","language":"en","title":"Tobacco statistics","URL":"https://www.cancerresearchuk.org/health-professional/cancer-statistics/risk/tobacco","accessed":{"date-parts":[["2025",6,5]]},"issued":{"date-parts":[["2015",5,13]]}}}],"schema":"https://github.com/citation-style-language/schema/raw/master/csl-citation.json"} </w:instrText>
            </w:r>
            <w:r w:rsidR="00A63282">
              <w:rPr>
                <w:rFonts w:ascii="Aptos Narrow" w:eastAsia="Times New Roman" w:hAnsi="Aptos Narrow" w:cs="Arial"/>
                <w:kern w:val="0"/>
                <w:sz w:val="20"/>
                <w:szCs w:val="20"/>
                <w:lang w:eastAsia="en-GB"/>
                <w14:ligatures w14:val="none"/>
              </w:rPr>
              <w:fldChar w:fldCharType="separate"/>
            </w:r>
            <w:r w:rsidR="00A5309E" w:rsidRPr="00A5309E">
              <w:rPr>
                <w:rFonts w:ascii="Aptos Narrow" w:hAnsi="Aptos Narrow"/>
                <w:sz w:val="20"/>
              </w:rPr>
              <w:t>(56)</w:t>
            </w:r>
            <w:r w:rsidR="00A63282">
              <w:rPr>
                <w:rFonts w:ascii="Aptos Narrow" w:eastAsia="Times New Roman" w:hAnsi="Aptos Narrow" w:cs="Arial"/>
                <w:kern w:val="0"/>
                <w:sz w:val="20"/>
                <w:szCs w:val="20"/>
                <w:lang w:eastAsia="en-GB"/>
                <w14:ligatures w14:val="none"/>
              </w:rPr>
              <w:fldChar w:fldCharType="end"/>
            </w:r>
            <w:r w:rsidR="004D7EA0">
              <w:rPr>
                <w:rFonts w:ascii="Aptos Narrow" w:eastAsia="Times New Roman" w:hAnsi="Aptos Narrow" w:cs="Arial"/>
                <w:kern w:val="0"/>
                <w:sz w:val="20"/>
                <w:szCs w:val="20"/>
                <w:lang w:eastAsia="en-GB"/>
                <w14:ligatures w14:val="none"/>
              </w:rPr>
              <w:t>; Cal</w:t>
            </w:r>
            <w:r w:rsidR="00FE20EA">
              <w:rPr>
                <w:rFonts w:ascii="Aptos Narrow" w:eastAsia="Times New Roman" w:hAnsi="Aptos Narrow" w:cs="Arial"/>
                <w:kern w:val="0"/>
                <w:sz w:val="20"/>
                <w:szCs w:val="20"/>
                <w:lang w:eastAsia="en-GB"/>
                <w14:ligatures w14:val="none"/>
              </w:rPr>
              <w:t>a</w:t>
            </w:r>
            <w:r w:rsidR="004D7EA0">
              <w:rPr>
                <w:rFonts w:ascii="Aptos Narrow" w:eastAsia="Times New Roman" w:hAnsi="Aptos Narrow" w:cs="Arial"/>
                <w:kern w:val="0"/>
                <w:sz w:val="20"/>
                <w:szCs w:val="20"/>
                <w:lang w:eastAsia="en-GB"/>
                <w14:ligatures w14:val="none"/>
              </w:rPr>
              <w:t>mesta et al., 2016</w:t>
            </w:r>
            <w:r w:rsidR="004D7EA0">
              <w:rPr>
                <w:rFonts w:ascii="Aptos Narrow" w:eastAsia="Times New Roman" w:hAnsi="Aptos Narrow" w:cs="Arial"/>
                <w:kern w:val="0"/>
                <w:sz w:val="20"/>
                <w:szCs w:val="20"/>
                <w:lang w:eastAsia="en-GB"/>
                <w14:ligatures w14:val="none"/>
              </w:rPr>
              <w:fldChar w:fldCharType="begin"/>
            </w:r>
            <w:r w:rsidR="00A5309E">
              <w:rPr>
                <w:rFonts w:ascii="Aptos Narrow" w:eastAsia="Times New Roman" w:hAnsi="Aptos Narrow" w:cs="Arial"/>
                <w:kern w:val="0"/>
                <w:sz w:val="20"/>
                <w:szCs w:val="20"/>
                <w:lang w:eastAsia="en-GB"/>
                <w14:ligatures w14:val="none"/>
              </w:rPr>
              <w:instrText xml:space="preserve"> ADDIN ZOTERO_ITEM CSL_CITATION {"citationID":"8IL4pSl1","properties":{"formattedCitation":"(57)","plainCitation":"(57)","noteIndex":0},"citationItems":[{"id":224,"uris":["http://zotero.org/users/local/fxpU1WWH/items/AVAB3APK"],"itemData":{"id":224,"type":"article-journal","abstract":"Background\nThe aim was to perform a systematic review and meta-analysis on the relationship between tobacco smoking and the onset of acute myeloid leukemia (AML) in adults.\nMethods\nPubMed and Scopus databases were systematically searched. In the meta-analysis, random or fixed effects models were used according to the presence of heterogeneity. Study quality was assessed using the Newcastle-Ottawa Scale.\nResults\nTwenty-seven articles were included. Case-control and cohort meta-analyses show that current, ever and former smokers have a significant increased risk to develop AML compared to never smokers [current: OR=1.36 (1.11–1.66) and RR=1.52 (1.10–2.14); ever: OR=1.25 (1.14–1.38) and RR=1.45 (1.10–1.90); former: OR=1.21 (1.03–1.41) and RR=1.45 (1.08–1.94)]. Moreover, increasing smoking intensity and duration is associated with an increase of the risk, OR shift from 1.14 (1–20 pack/years) to 2.36 (&gt;40 pack/years).\nDiscussion and conclusion\nSmoking may have a significant role in AML onset in a multistep pathogenesis.","container-title":"Critical Reviews in Oncology/Hematology","DOI":"10.1016/j.critrevonc.2016.01.003","ISSN":"1040-8428","journalAbbreviation":"Critical Reviews in Oncology/Hematology","page":"376-388","source":"ScienceDirect","title":"Do the smoking intensity and duration, the years since quitting, the methodological quality and the year of publication of the studies affect the results of the meta-analysis on cigarette smoking and Acute Myeloid Leukemia (AML) in adults?","volume":"99","author":[{"family":"Colamesta","given":"Vittoria"},{"family":"D'Aguanno","given":"Silvia"},{"family":"Breccia","given":"Massimo"},{"family":"Bruffa","given":"Sara"},{"family":"Cartoni","given":"Claudio"},{"family":"La Torre","given":"Giuseppe"}],"issued":{"date-parts":[["2016",3,1]]}}}],"schema":"https://github.com/citation-style-language/schema/raw/master/csl-citation.json"} </w:instrText>
            </w:r>
            <w:r w:rsidR="004D7EA0">
              <w:rPr>
                <w:rFonts w:ascii="Aptos Narrow" w:eastAsia="Times New Roman" w:hAnsi="Aptos Narrow" w:cs="Arial"/>
                <w:kern w:val="0"/>
                <w:sz w:val="20"/>
                <w:szCs w:val="20"/>
                <w:lang w:eastAsia="en-GB"/>
                <w14:ligatures w14:val="none"/>
              </w:rPr>
              <w:fldChar w:fldCharType="separate"/>
            </w:r>
            <w:r w:rsidR="00A5309E" w:rsidRPr="00A5309E">
              <w:rPr>
                <w:rFonts w:ascii="Aptos Narrow" w:hAnsi="Aptos Narrow"/>
                <w:sz w:val="20"/>
              </w:rPr>
              <w:t>(57)</w:t>
            </w:r>
            <w:r w:rsidR="004D7EA0">
              <w:rPr>
                <w:rFonts w:ascii="Aptos Narrow" w:eastAsia="Times New Roman" w:hAnsi="Aptos Narrow" w:cs="Arial"/>
                <w:kern w:val="0"/>
                <w:sz w:val="20"/>
                <w:szCs w:val="20"/>
                <w:lang w:eastAsia="en-GB"/>
                <w14:ligatures w14:val="none"/>
              </w:rPr>
              <w:fldChar w:fldCharType="end"/>
            </w:r>
          </w:p>
        </w:tc>
      </w:tr>
    </w:tbl>
    <w:p w14:paraId="6F10F96F" w14:textId="77777777" w:rsidR="005C34ED" w:rsidRDefault="005C34ED" w:rsidP="00A64503">
      <w:pPr>
        <w:spacing w:after="0" w:line="240" w:lineRule="auto"/>
        <w:rPr>
          <w:rFonts w:eastAsiaTheme="majorEastAsia" w:cstheme="majorBidi"/>
          <w:color w:val="0F4761" w:themeColor="accent1" w:themeShade="BF"/>
          <w:sz w:val="28"/>
          <w:szCs w:val="28"/>
        </w:rPr>
      </w:pPr>
      <w:r>
        <w:br w:type="page"/>
      </w:r>
    </w:p>
    <w:p w14:paraId="4F8C029D" w14:textId="3A40B15D" w:rsidR="003E2932" w:rsidRPr="00B63D4B" w:rsidRDefault="003E2932" w:rsidP="00A64503">
      <w:pPr>
        <w:pStyle w:val="Heading3"/>
        <w:spacing w:before="0" w:after="0" w:line="240" w:lineRule="auto"/>
      </w:pPr>
      <w:bookmarkStart w:id="52" w:name="_Toc201512429"/>
      <w:r w:rsidRPr="00B63D4B">
        <w:t>PAF</w:t>
      </w:r>
      <w:r>
        <w:t xml:space="preserve"> formula</w:t>
      </w:r>
      <w:bookmarkEnd w:id="52"/>
    </w:p>
    <w:p w14:paraId="1B806D0E" w14:textId="23BC3F00" w:rsidR="003E2932" w:rsidRPr="008A7167" w:rsidRDefault="003E2932" w:rsidP="00A64503">
      <w:pPr>
        <w:shd w:val="clear" w:color="auto" w:fill="FFFFFF" w:themeFill="background1"/>
        <w:spacing w:after="0" w:line="240" w:lineRule="auto"/>
      </w:pPr>
      <w:r w:rsidRPr="008A7167">
        <w:t>P</w:t>
      </w:r>
      <w:r>
        <w:t xml:space="preserve">opulation </w:t>
      </w:r>
      <w:r w:rsidR="00F52D16">
        <w:t>a</w:t>
      </w:r>
      <w:r>
        <w:t xml:space="preserve">ttributable </w:t>
      </w:r>
      <w:r w:rsidR="00F52D16">
        <w:t>f</w:t>
      </w:r>
      <w:r>
        <w:t>ractions (PA</w:t>
      </w:r>
      <w:r w:rsidRPr="008A7167">
        <w:t>Fs</w:t>
      </w:r>
      <w:r>
        <w:t>)</w:t>
      </w:r>
      <w:r w:rsidRPr="008A7167">
        <w:t xml:space="preserve"> were calculated using the standard formula described by </w:t>
      </w:r>
      <w:r w:rsidRPr="00FE259E">
        <w:t>Parkin et al</w:t>
      </w:r>
      <w:r w:rsidR="00FE259E" w:rsidRPr="00FE259E">
        <w:t>.</w:t>
      </w:r>
      <w:r w:rsidR="00FE259E" w:rsidRPr="00FE259E">
        <w:fldChar w:fldCharType="begin"/>
      </w:r>
      <w:r w:rsidR="00A5309E">
        <w:instrText xml:space="preserve"> ADDIN ZOTERO_ITEM CSL_CITATION {"citationID":"UV0XHcRk","properties":{"formattedCitation":"(58)","plainCitation":"(58)","noteIndex":0},"citationItems":[{"id":200,"uris":["http://zotero.org/users/local/fxpU1WWH/items/7YDA9I4Z"],"itemData":{"id":200,"type":"article-journal","container-title":"British Journal of Cancer","DOI":"10.1038/bjc.2011.489","ISSN":"0007-0920, 1532-1827","issue":"S2","journalAbbreviation":"Br J Cancer","language":"en","license":"http://www.springer.com/tdm","page":"S77-S81","source":"DOI.org (Crossref)","title":"16. The fraction of cancer attributable to lifestyle and environmental factors in the UK in 2010: Summary and conclusions","title-short":"16. The fraction of cancer attributable to lifestyle and environmental factors in the UK in 2010","volume":"105","author":[{"family":"Parkin","given":"D M"},{"family":"Boyd","given":"L"},{"family":"Walker","given":"L C"}],"issued":{"date-parts":[["2011",12]]}}}],"schema":"https://github.com/citation-style-language/schema/raw/master/csl-citation.json"} </w:instrText>
      </w:r>
      <w:r w:rsidR="00FE259E" w:rsidRPr="00FE259E">
        <w:fldChar w:fldCharType="separate"/>
      </w:r>
      <w:r w:rsidR="00A5309E" w:rsidRPr="00A5309E">
        <w:rPr>
          <w:rFonts w:ascii="Aptos" w:hAnsi="Aptos"/>
        </w:rPr>
        <w:t>(58)</w:t>
      </w:r>
      <w:r w:rsidR="00FE259E" w:rsidRPr="00FE259E">
        <w:fldChar w:fldCharType="end"/>
      </w:r>
      <w:r>
        <w:t>:</w:t>
      </w:r>
    </w:p>
    <w:p w14:paraId="28E46CC2" w14:textId="055A3ACE" w:rsidR="003E2932" w:rsidRPr="008A7167" w:rsidRDefault="003E2932" w:rsidP="00A64503">
      <w:pPr>
        <w:shd w:val="clear" w:color="auto" w:fill="FFFFFF" w:themeFill="background1"/>
        <w:spacing w:after="0" w:line="240" w:lineRule="auto"/>
      </w:pPr>
      <w:r>
        <w:rPr>
          <w:noProof/>
        </w:rPr>
        <w:drawing>
          <wp:inline distT="0" distB="0" distL="0" distR="0" wp14:anchorId="46DBFACA" wp14:editId="0030EC48">
            <wp:extent cx="3390900" cy="638175"/>
            <wp:effectExtent l="0" t="0" r="0" b="9525"/>
            <wp:docPr id="431011055" name="Picture 1" descr="A math equation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011055" name="Picture 1" descr="A math equation with numbers and symbols&#10;&#10;AI-generated content may be incorrect."/>
                    <pic:cNvPicPr/>
                  </pic:nvPicPr>
                  <pic:blipFill>
                    <a:blip r:embed="rId13"/>
                    <a:stretch>
                      <a:fillRect/>
                    </a:stretch>
                  </pic:blipFill>
                  <pic:spPr>
                    <a:xfrm>
                      <a:off x="0" y="0"/>
                      <a:ext cx="3390900" cy="638175"/>
                    </a:xfrm>
                    <a:prstGeom prst="rect">
                      <a:avLst/>
                    </a:prstGeom>
                  </pic:spPr>
                </pic:pic>
              </a:graphicData>
            </a:graphic>
          </wp:inline>
        </w:drawing>
      </w:r>
    </w:p>
    <w:p w14:paraId="5E2D0A91" w14:textId="4D1847A1" w:rsidR="003E2932" w:rsidRDefault="003E2932" w:rsidP="00A64503">
      <w:pPr>
        <w:shd w:val="clear" w:color="auto" w:fill="FFFFFF" w:themeFill="background1"/>
        <w:spacing w:after="0" w:line="240" w:lineRule="auto"/>
      </w:pPr>
      <w:r>
        <w:t xml:space="preserve">where </w:t>
      </w:r>
      <w:r w:rsidRPr="00245999">
        <w:rPr>
          <w:i/>
          <w:iCs/>
        </w:rPr>
        <w:t>a</w:t>
      </w:r>
      <w:r>
        <w:t xml:space="preserve"> is the smoking population attributable fraction, </w:t>
      </w:r>
      <w:r w:rsidR="006C651F">
        <w:rPr>
          <w:i/>
          <w:iCs/>
        </w:rPr>
        <w:t>p</w:t>
      </w:r>
      <w:r w:rsidR="006C651F" w:rsidRPr="006C1190">
        <w:rPr>
          <w:i/>
          <w:iCs/>
          <w:sz w:val="28"/>
          <w:szCs w:val="28"/>
          <w:vertAlign w:val="subscript"/>
        </w:rPr>
        <w:t>cur</w:t>
      </w:r>
      <w:r w:rsidRPr="006C1190">
        <w:rPr>
          <w:sz w:val="28"/>
          <w:szCs w:val="28"/>
        </w:rPr>
        <w:t xml:space="preserve"> </w:t>
      </w:r>
      <w:r>
        <w:t xml:space="preserve">is the proportion of current smokers, </w:t>
      </w:r>
      <w:r w:rsidR="006C651F">
        <w:rPr>
          <w:i/>
          <w:iCs/>
        </w:rPr>
        <w:t>p</w:t>
      </w:r>
      <w:r w:rsidR="006C651F" w:rsidRPr="006C1190">
        <w:rPr>
          <w:i/>
          <w:iCs/>
          <w:sz w:val="28"/>
          <w:szCs w:val="28"/>
          <w:vertAlign w:val="subscript"/>
        </w:rPr>
        <w:t>ex</w:t>
      </w:r>
      <w:r>
        <w:t xml:space="preserve"> </w:t>
      </w:r>
      <w:r w:rsidRPr="00175D90">
        <w:t>is the</w:t>
      </w:r>
      <w:r>
        <w:t xml:space="preserve"> proportion of ex-smokers, </w:t>
      </w:r>
      <w:r w:rsidR="006C651F">
        <w:rPr>
          <w:i/>
          <w:iCs/>
        </w:rPr>
        <w:t>r</w:t>
      </w:r>
      <w:r w:rsidR="006C651F" w:rsidRPr="006C1190">
        <w:rPr>
          <w:i/>
          <w:iCs/>
          <w:sz w:val="28"/>
          <w:szCs w:val="28"/>
          <w:vertAlign w:val="subscript"/>
        </w:rPr>
        <w:t>cur</w:t>
      </w:r>
      <w:r w:rsidRPr="00245999">
        <w:rPr>
          <w:i/>
          <w:iCs/>
        </w:rPr>
        <w:t xml:space="preserve"> </w:t>
      </w:r>
      <w:r w:rsidRPr="00175D90">
        <w:t>is the</w:t>
      </w:r>
      <w:r>
        <w:t xml:space="preserve"> relative risk for current smokers and </w:t>
      </w:r>
      <w:r w:rsidR="006C651F">
        <w:rPr>
          <w:i/>
          <w:iCs/>
        </w:rPr>
        <w:t>r</w:t>
      </w:r>
      <w:r w:rsidR="006C651F" w:rsidRPr="006C1190">
        <w:rPr>
          <w:i/>
          <w:iCs/>
          <w:sz w:val="28"/>
          <w:szCs w:val="28"/>
          <w:vertAlign w:val="subscript"/>
        </w:rPr>
        <w:t>ex</w:t>
      </w:r>
      <w:r w:rsidRPr="00245999">
        <w:rPr>
          <w:i/>
          <w:iCs/>
        </w:rPr>
        <w:t xml:space="preserve"> </w:t>
      </w:r>
      <w:r w:rsidRPr="00175D90">
        <w:t>is the</w:t>
      </w:r>
      <w:r>
        <w:t xml:space="preserve"> relative risk for ex-smokers.</w:t>
      </w:r>
    </w:p>
    <w:p w14:paraId="087A5F90" w14:textId="77777777" w:rsidR="003B4D48" w:rsidRDefault="003B4D48" w:rsidP="00A64503">
      <w:pPr>
        <w:shd w:val="clear" w:color="auto" w:fill="FFFFFF" w:themeFill="background1"/>
        <w:spacing w:after="0" w:line="240" w:lineRule="auto"/>
      </w:pPr>
    </w:p>
    <w:p w14:paraId="00FB5072" w14:textId="77777777" w:rsidR="003E2932" w:rsidRDefault="003E2932" w:rsidP="00A64503">
      <w:pPr>
        <w:shd w:val="clear" w:color="auto" w:fill="FFFFFF" w:themeFill="background1"/>
        <w:spacing w:after="0" w:line="240" w:lineRule="auto"/>
      </w:pPr>
      <w:r>
        <w:t>Secondly, the PAF for exposure to SHS for never smokers was derived using the following 2-step formula:</w:t>
      </w:r>
    </w:p>
    <w:p w14:paraId="4449CAE1" w14:textId="357CC3DD" w:rsidR="003E2932" w:rsidRDefault="003E2932" w:rsidP="00A64503">
      <w:pPr>
        <w:shd w:val="clear" w:color="auto" w:fill="FFFFFF" w:themeFill="background1"/>
        <w:spacing w:after="0" w:line="240" w:lineRule="auto"/>
      </w:pPr>
      <w:r w:rsidRPr="00175D90">
        <w:rPr>
          <w:noProof/>
        </w:rPr>
        <w:drawing>
          <wp:inline distT="0" distB="0" distL="0" distR="0" wp14:anchorId="6FE531E9" wp14:editId="46B8BAD8">
            <wp:extent cx="3762375" cy="1333500"/>
            <wp:effectExtent l="0" t="0" r="9525" b="0"/>
            <wp:docPr id="536043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2375" cy="1333500"/>
                    </a:xfrm>
                    <a:prstGeom prst="rect">
                      <a:avLst/>
                    </a:prstGeom>
                    <a:noFill/>
                    <a:ln>
                      <a:noFill/>
                    </a:ln>
                  </pic:spPr>
                </pic:pic>
              </a:graphicData>
            </a:graphic>
          </wp:inline>
        </w:drawing>
      </w:r>
    </w:p>
    <w:p w14:paraId="5DF8ECAF" w14:textId="621099D5" w:rsidR="003E2932" w:rsidRDefault="003E2932" w:rsidP="00A64503">
      <w:pPr>
        <w:shd w:val="clear" w:color="auto" w:fill="FFFFFF" w:themeFill="background1"/>
        <w:spacing w:after="0" w:line="240" w:lineRule="auto"/>
      </w:pPr>
      <w:r>
        <w:t xml:space="preserve">Where, </w:t>
      </w:r>
      <w:r w:rsidRPr="00F8491D">
        <w:rPr>
          <w:i/>
          <w:iCs/>
        </w:rPr>
        <w:t>b</w:t>
      </w:r>
      <w:r>
        <w:t xml:space="preserve"> </w:t>
      </w:r>
      <w:r w:rsidRPr="00175D90">
        <w:t>is the</w:t>
      </w:r>
      <w:r>
        <w:t xml:space="preserve"> exposure to SHS PAF for each disease, </w:t>
      </w:r>
      <w:r w:rsidR="00E33254">
        <w:rPr>
          <w:i/>
          <w:iCs/>
        </w:rPr>
        <w:t>p</w:t>
      </w:r>
      <w:r w:rsidRPr="006C1190">
        <w:rPr>
          <w:i/>
          <w:iCs/>
          <w:sz w:val="28"/>
          <w:szCs w:val="28"/>
          <w:vertAlign w:val="subscript"/>
        </w:rPr>
        <w:t>shs</w:t>
      </w:r>
      <w:r>
        <w:t xml:space="preserve"> is the proportion of non-smoking population exposed to SHS, </w:t>
      </w:r>
      <w:r w:rsidR="00E33254">
        <w:rPr>
          <w:i/>
          <w:iCs/>
        </w:rPr>
        <w:t>r</w:t>
      </w:r>
      <w:r w:rsidRPr="006C1190">
        <w:rPr>
          <w:i/>
          <w:iCs/>
          <w:sz w:val="28"/>
          <w:szCs w:val="28"/>
          <w:vertAlign w:val="subscript"/>
        </w:rPr>
        <w:t>shs</w:t>
      </w:r>
      <w:r>
        <w:t xml:space="preserve"> is the relative risk for people exposed to SHS, </w:t>
      </w:r>
      <w:r w:rsidRPr="00F8491D">
        <w:rPr>
          <w:i/>
          <w:iCs/>
        </w:rPr>
        <w:t>NSB</w:t>
      </w:r>
      <w:r>
        <w:t xml:space="preserve"> is the burden to non-smokers and </w:t>
      </w:r>
      <w:r w:rsidRPr="00F8491D">
        <w:rPr>
          <w:i/>
          <w:iCs/>
        </w:rPr>
        <w:t>T</w:t>
      </w:r>
      <w:r>
        <w:t xml:space="preserve"> is the total number.</w:t>
      </w:r>
    </w:p>
    <w:p w14:paraId="2B0DF045" w14:textId="77777777" w:rsidR="003B4D48" w:rsidRPr="008A7167" w:rsidRDefault="003B4D48" w:rsidP="00A64503">
      <w:pPr>
        <w:shd w:val="clear" w:color="auto" w:fill="FFFFFF" w:themeFill="background1"/>
        <w:spacing w:after="0" w:line="240" w:lineRule="auto"/>
      </w:pPr>
    </w:p>
    <w:p w14:paraId="69F5CE59" w14:textId="7A079F57" w:rsidR="003E2932" w:rsidRDefault="003E2932" w:rsidP="00A64503">
      <w:pPr>
        <w:shd w:val="clear" w:color="auto" w:fill="FFFFFF" w:themeFill="background1"/>
        <w:spacing w:after="0" w:line="240" w:lineRule="auto"/>
        <w:rPr>
          <w:highlight w:val="yellow"/>
        </w:rPr>
        <w:sectPr w:rsidR="003E2932" w:rsidSect="002746C0">
          <w:pgSz w:w="11906" w:h="16838"/>
          <w:pgMar w:top="1440" w:right="1440" w:bottom="1440" w:left="1440" w:header="708" w:footer="708" w:gutter="0"/>
          <w:cols w:space="708"/>
          <w:docGrid w:linePitch="360"/>
        </w:sectPr>
      </w:pPr>
      <w:r w:rsidRPr="008A7167">
        <w:t xml:space="preserve">PAFs were calculated and different PAF types were combined in Stata and are expressed in this report as percentages. Using this approach, the number of cancer </w:t>
      </w:r>
      <w:r w:rsidR="008B55DB">
        <w:t xml:space="preserve">cases </w:t>
      </w:r>
      <w:r w:rsidRPr="008A7167">
        <w:t xml:space="preserve">that could be attributed to smoking was estimated </w:t>
      </w:r>
      <w:r w:rsidR="00297282">
        <w:t xml:space="preserve">by applying the </w:t>
      </w:r>
      <w:r w:rsidR="00F42625">
        <w:t>smoking PAFs</w:t>
      </w:r>
      <w:r w:rsidRPr="008A7167">
        <w:t xml:space="preserve"> to the NCRI cancer incidence data</w:t>
      </w:r>
      <w:r w:rsidR="00F42625">
        <w:t>.</w:t>
      </w:r>
      <w:r w:rsidR="008B55DB">
        <w:t xml:space="preserve"> T</w:t>
      </w:r>
      <w:r w:rsidR="00F42625" w:rsidRPr="00F42625">
        <w:t xml:space="preserve">he PAF for exposure to SHS was applied to the </w:t>
      </w:r>
      <w:r w:rsidR="00D11E8E">
        <w:t>NSB</w:t>
      </w:r>
      <w:r w:rsidR="00F42625" w:rsidRPr="00F42625">
        <w:t xml:space="preserve"> to estimate the number of </w:t>
      </w:r>
      <w:r w:rsidR="00D11E8E">
        <w:t>cancer cases</w:t>
      </w:r>
      <w:r w:rsidR="00F42625" w:rsidRPr="00F42625">
        <w:t xml:space="preserve"> due to exposure to SHS.</w:t>
      </w:r>
    </w:p>
    <w:p w14:paraId="15FA141C" w14:textId="77777777" w:rsidR="003E2932" w:rsidRPr="00521C88" w:rsidRDefault="003E2932" w:rsidP="00D232AE">
      <w:pPr>
        <w:pStyle w:val="Heading1"/>
        <w:spacing w:before="0" w:after="0"/>
        <w:rPr>
          <w:color w:val="595959" w:themeColor="text1" w:themeTint="A6"/>
        </w:rPr>
      </w:pPr>
      <w:bookmarkStart w:id="53" w:name="_Toc197557036"/>
      <w:bookmarkStart w:id="54" w:name="_Toc201512430"/>
      <w:r w:rsidRPr="00521C88">
        <w:t>P</w:t>
      </w:r>
      <w:r>
        <w:t>opulation</w:t>
      </w:r>
      <w:r w:rsidRPr="00521C88">
        <w:t xml:space="preserve"> Characteristics</w:t>
      </w:r>
      <w:bookmarkEnd w:id="53"/>
      <w:bookmarkEnd w:id="54"/>
    </w:p>
    <w:p w14:paraId="35E23F9A" w14:textId="5F478FB1" w:rsidR="003E2932" w:rsidRPr="00CA54F1" w:rsidRDefault="003E2932" w:rsidP="00D232AE">
      <w:pPr>
        <w:spacing w:after="0" w:line="240" w:lineRule="auto"/>
        <w:rPr>
          <w:rFonts w:ascii="Times New Roman" w:eastAsia="Times New Roman" w:hAnsi="Times New Roman" w:cs="Times New Roman"/>
          <w:kern w:val="0"/>
          <w:lang w:eastAsia="en-GB"/>
          <w14:ligatures w14:val="none"/>
        </w:rPr>
      </w:pPr>
      <w:r w:rsidRPr="00E835BF">
        <w:t xml:space="preserve">Table </w:t>
      </w:r>
      <w:r w:rsidR="0075645A">
        <w:t>3.1</w:t>
      </w:r>
      <w:r w:rsidRPr="00E835BF">
        <w:t xml:space="preserve"> presents </w:t>
      </w:r>
      <w:r>
        <w:t xml:space="preserve">total </w:t>
      </w:r>
      <w:r w:rsidRPr="00E835BF">
        <w:t>case numbers by cancer type across the full 1994-2022 period</w:t>
      </w:r>
      <w:r>
        <w:t xml:space="preserve"> and median age at diagnosis</w:t>
      </w:r>
      <w:r w:rsidRPr="00E835BF">
        <w:t xml:space="preserve"> and sex by cancer type. A breakdown of cases by 5</w:t>
      </w:r>
      <w:r>
        <w:t>-</w:t>
      </w:r>
      <w:r w:rsidRPr="00E835BF">
        <w:t xml:space="preserve">year </w:t>
      </w:r>
      <w:r>
        <w:t xml:space="preserve">time </w:t>
      </w:r>
      <w:r w:rsidRPr="00E835BF">
        <w:t xml:space="preserve">periods can be found in </w:t>
      </w:r>
      <w:r w:rsidR="008A4FDD">
        <w:t>A</w:t>
      </w:r>
      <w:r w:rsidRPr="00E835BF">
        <w:t>ppendix 1.</w:t>
      </w:r>
      <w:r>
        <w:t xml:space="preserve"> There were 305,914 cases of tobacco-related cancer between 1994 and 2022. </w:t>
      </w:r>
      <w:r w:rsidR="00DB12A1">
        <w:t>A</w:t>
      </w:r>
      <w:r>
        <w:t xml:space="preserve">n estimated </w:t>
      </w:r>
      <w:r w:rsidRPr="00E54545">
        <w:t>168,521</w:t>
      </w:r>
      <w:r>
        <w:t xml:space="preserve"> deaths </w:t>
      </w:r>
      <w:r w:rsidR="00DB12A1">
        <w:t xml:space="preserve">occurred due to </w:t>
      </w:r>
      <w:r>
        <w:t>tobacco-related cancers between 1994</w:t>
      </w:r>
      <w:r w:rsidR="003B4D48">
        <w:t xml:space="preserve"> and </w:t>
      </w:r>
      <w:r>
        <w:t>2022.</w:t>
      </w:r>
    </w:p>
    <w:p w14:paraId="43AED116" w14:textId="77777777" w:rsidR="003E2932" w:rsidRDefault="003E2932" w:rsidP="00D232AE">
      <w:pPr>
        <w:spacing w:after="0" w:line="240" w:lineRule="auto"/>
      </w:pPr>
    </w:p>
    <w:tbl>
      <w:tblPr>
        <w:tblStyle w:val="TableGrid"/>
        <w:tblW w:w="0" w:type="auto"/>
        <w:tblLook w:val="04A0" w:firstRow="1" w:lastRow="0" w:firstColumn="1" w:lastColumn="0" w:noHBand="0" w:noVBand="1"/>
      </w:tblPr>
      <w:tblGrid>
        <w:gridCol w:w="3309"/>
        <w:gridCol w:w="953"/>
        <w:gridCol w:w="950"/>
        <w:gridCol w:w="950"/>
        <w:gridCol w:w="1369"/>
        <w:gridCol w:w="1485"/>
      </w:tblGrid>
      <w:tr w:rsidR="003E2932" w:rsidRPr="00FD1F06" w14:paraId="764B8740" w14:textId="77777777" w:rsidTr="0041177B">
        <w:tc>
          <w:tcPr>
            <w:tcW w:w="9016" w:type="dxa"/>
            <w:gridSpan w:val="6"/>
            <w:shd w:val="clear" w:color="auto" w:fill="0E2841" w:themeFill="text2"/>
          </w:tcPr>
          <w:p w14:paraId="2498002D" w14:textId="37C46EAD" w:rsidR="003E2932" w:rsidRPr="00CD71C7" w:rsidRDefault="003E2932" w:rsidP="00D232AE">
            <w:pPr>
              <w:rPr>
                <w:rFonts w:asciiTheme="minorHAnsi" w:hAnsiTheme="minorHAnsi"/>
                <w:b/>
                <w:bCs/>
                <w:color w:val="FFFFFF" w:themeColor="background1"/>
                <w:sz w:val="21"/>
                <w:szCs w:val="21"/>
              </w:rPr>
            </w:pPr>
            <w:r w:rsidRPr="00CD71C7">
              <w:rPr>
                <w:rFonts w:asciiTheme="minorHAnsi" w:hAnsiTheme="minorHAnsi"/>
                <w:b/>
                <w:bCs/>
                <w:color w:val="FFFFFF" w:themeColor="background1"/>
                <w:sz w:val="21"/>
                <w:szCs w:val="21"/>
              </w:rPr>
              <w:t xml:space="preserve">Table </w:t>
            </w:r>
            <w:r w:rsidR="0075645A" w:rsidRPr="00CD71C7">
              <w:rPr>
                <w:rFonts w:asciiTheme="minorHAnsi" w:hAnsiTheme="minorHAnsi"/>
                <w:b/>
                <w:bCs/>
                <w:color w:val="FFFFFF" w:themeColor="background1"/>
                <w:sz w:val="21"/>
                <w:szCs w:val="21"/>
              </w:rPr>
              <w:t>3.1</w:t>
            </w:r>
            <w:r w:rsidRPr="00CD71C7">
              <w:rPr>
                <w:rFonts w:asciiTheme="minorHAnsi" w:hAnsiTheme="minorHAnsi"/>
                <w:b/>
                <w:bCs/>
                <w:color w:val="FFFFFF" w:themeColor="background1"/>
                <w:sz w:val="21"/>
                <w:szCs w:val="21"/>
              </w:rPr>
              <w:t>: Cases numbers and median age at diagnosis by sex and tumour type, 1994-2022</w:t>
            </w:r>
          </w:p>
        </w:tc>
      </w:tr>
      <w:tr w:rsidR="003E2932" w:rsidRPr="00FD1F06" w14:paraId="6248BC7E" w14:textId="77777777" w:rsidTr="0041177B">
        <w:tc>
          <w:tcPr>
            <w:tcW w:w="3374" w:type="dxa"/>
            <w:vMerge w:val="restart"/>
          </w:tcPr>
          <w:p w14:paraId="75706A45" w14:textId="77777777" w:rsidR="003E2932" w:rsidRPr="00CD71C7" w:rsidRDefault="003E2932" w:rsidP="00D232AE">
            <w:pPr>
              <w:rPr>
                <w:rFonts w:asciiTheme="minorHAnsi" w:hAnsiTheme="minorHAnsi"/>
                <w:b/>
                <w:bCs/>
                <w:sz w:val="21"/>
                <w:szCs w:val="21"/>
              </w:rPr>
            </w:pPr>
            <w:r w:rsidRPr="00CD71C7">
              <w:rPr>
                <w:rFonts w:asciiTheme="minorHAnsi" w:hAnsiTheme="minorHAnsi"/>
                <w:b/>
                <w:bCs/>
                <w:sz w:val="21"/>
                <w:szCs w:val="21"/>
              </w:rPr>
              <w:t>Cancer type</w:t>
            </w:r>
          </w:p>
          <w:p w14:paraId="4A909856" w14:textId="0AF0A856" w:rsidR="00591649" w:rsidRPr="00CD71C7" w:rsidRDefault="00591649" w:rsidP="00D232AE">
            <w:pPr>
              <w:rPr>
                <w:rFonts w:asciiTheme="minorHAnsi" w:hAnsiTheme="minorHAnsi"/>
                <w:b/>
                <w:bCs/>
                <w:sz w:val="21"/>
                <w:szCs w:val="21"/>
              </w:rPr>
            </w:pPr>
          </w:p>
        </w:tc>
        <w:tc>
          <w:tcPr>
            <w:tcW w:w="2736" w:type="dxa"/>
            <w:gridSpan w:val="3"/>
          </w:tcPr>
          <w:p w14:paraId="2830FF46" w14:textId="77777777" w:rsidR="003E2932" w:rsidRPr="00CD71C7" w:rsidRDefault="003E2932" w:rsidP="00D232AE">
            <w:pPr>
              <w:rPr>
                <w:rFonts w:asciiTheme="minorHAnsi" w:hAnsiTheme="minorHAnsi"/>
                <w:b/>
                <w:bCs/>
                <w:sz w:val="21"/>
                <w:szCs w:val="21"/>
              </w:rPr>
            </w:pPr>
            <w:r w:rsidRPr="00CD71C7">
              <w:rPr>
                <w:rFonts w:asciiTheme="minorHAnsi" w:hAnsiTheme="minorHAnsi"/>
                <w:b/>
                <w:bCs/>
                <w:sz w:val="21"/>
                <w:szCs w:val="21"/>
              </w:rPr>
              <w:t>Number of cases</w:t>
            </w:r>
          </w:p>
        </w:tc>
        <w:tc>
          <w:tcPr>
            <w:tcW w:w="2906" w:type="dxa"/>
            <w:gridSpan w:val="2"/>
          </w:tcPr>
          <w:p w14:paraId="7ABDE6B6" w14:textId="68B4AF25" w:rsidR="003E2932" w:rsidRPr="00CD71C7" w:rsidRDefault="003E2932" w:rsidP="00D232AE">
            <w:pPr>
              <w:rPr>
                <w:rFonts w:asciiTheme="minorHAnsi" w:hAnsiTheme="minorHAnsi"/>
                <w:b/>
                <w:bCs/>
                <w:sz w:val="21"/>
                <w:szCs w:val="21"/>
              </w:rPr>
            </w:pPr>
            <w:r w:rsidRPr="00CD71C7">
              <w:rPr>
                <w:rFonts w:asciiTheme="minorHAnsi" w:hAnsiTheme="minorHAnsi"/>
                <w:b/>
                <w:bCs/>
                <w:sz w:val="21"/>
                <w:szCs w:val="21"/>
              </w:rPr>
              <w:t>Median age at diagnosis</w:t>
            </w:r>
            <w:r w:rsidR="00746A77" w:rsidRPr="00CD71C7">
              <w:rPr>
                <w:rFonts w:asciiTheme="minorHAnsi" w:hAnsiTheme="minorHAnsi"/>
                <w:b/>
                <w:bCs/>
                <w:sz w:val="21"/>
                <w:szCs w:val="21"/>
              </w:rPr>
              <w:t>,</w:t>
            </w:r>
            <w:r w:rsidRPr="00CD71C7">
              <w:rPr>
                <w:rFonts w:asciiTheme="minorHAnsi" w:hAnsiTheme="minorHAnsi"/>
                <w:b/>
                <w:bCs/>
                <w:sz w:val="21"/>
                <w:szCs w:val="21"/>
              </w:rPr>
              <w:t xml:space="preserve"> </w:t>
            </w:r>
            <w:r w:rsidR="00746A77" w:rsidRPr="00CD71C7">
              <w:rPr>
                <w:rFonts w:asciiTheme="minorHAnsi" w:hAnsiTheme="minorHAnsi"/>
                <w:b/>
                <w:bCs/>
                <w:sz w:val="21"/>
                <w:szCs w:val="21"/>
              </w:rPr>
              <w:t xml:space="preserve">years </w:t>
            </w:r>
            <w:r w:rsidRPr="00CD71C7">
              <w:rPr>
                <w:rFonts w:asciiTheme="minorHAnsi" w:hAnsiTheme="minorHAnsi"/>
                <w:b/>
                <w:bCs/>
                <w:sz w:val="21"/>
                <w:szCs w:val="21"/>
              </w:rPr>
              <w:t>(IQR)</w:t>
            </w:r>
          </w:p>
        </w:tc>
      </w:tr>
      <w:tr w:rsidR="003E2932" w:rsidRPr="00FD1F06" w14:paraId="6C0AD8BD" w14:textId="77777777" w:rsidTr="0041177B">
        <w:tc>
          <w:tcPr>
            <w:tcW w:w="3374" w:type="dxa"/>
            <w:vMerge/>
          </w:tcPr>
          <w:p w14:paraId="1B7408AA" w14:textId="77777777" w:rsidR="003E2932" w:rsidRPr="00CD71C7" w:rsidRDefault="003E2932" w:rsidP="00D232AE">
            <w:pPr>
              <w:rPr>
                <w:rFonts w:asciiTheme="minorHAnsi" w:hAnsiTheme="minorHAnsi"/>
                <w:b/>
                <w:bCs/>
                <w:sz w:val="21"/>
                <w:szCs w:val="21"/>
              </w:rPr>
            </w:pPr>
          </w:p>
        </w:tc>
        <w:tc>
          <w:tcPr>
            <w:tcW w:w="953" w:type="dxa"/>
          </w:tcPr>
          <w:p w14:paraId="4D7D21E5" w14:textId="77777777" w:rsidR="003E2932" w:rsidRPr="00CD71C7" w:rsidRDefault="003E2932" w:rsidP="00D232AE">
            <w:pPr>
              <w:rPr>
                <w:rFonts w:asciiTheme="minorHAnsi" w:hAnsiTheme="minorHAnsi"/>
                <w:b/>
                <w:bCs/>
                <w:sz w:val="21"/>
                <w:szCs w:val="21"/>
              </w:rPr>
            </w:pPr>
            <w:r w:rsidRPr="00CD71C7">
              <w:rPr>
                <w:rFonts w:asciiTheme="minorHAnsi" w:hAnsiTheme="minorHAnsi"/>
                <w:b/>
                <w:bCs/>
                <w:sz w:val="21"/>
                <w:szCs w:val="21"/>
              </w:rPr>
              <w:t>Total</w:t>
            </w:r>
          </w:p>
        </w:tc>
        <w:tc>
          <w:tcPr>
            <w:tcW w:w="890" w:type="dxa"/>
          </w:tcPr>
          <w:p w14:paraId="548A3A9D" w14:textId="77777777" w:rsidR="003E2932" w:rsidRPr="00CD71C7" w:rsidRDefault="003E2932" w:rsidP="00D232AE">
            <w:pPr>
              <w:rPr>
                <w:rFonts w:asciiTheme="minorHAnsi" w:hAnsiTheme="minorHAnsi"/>
                <w:b/>
                <w:bCs/>
                <w:sz w:val="21"/>
                <w:szCs w:val="21"/>
              </w:rPr>
            </w:pPr>
            <w:r w:rsidRPr="00CD71C7">
              <w:rPr>
                <w:rFonts w:asciiTheme="minorHAnsi" w:hAnsiTheme="minorHAnsi"/>
                <w:b/>
                <w:bCs/>
                <w:sz w:val="21"/>
                <w:szCs w:val="21"/>
              </w:rPr>
              <w:t>Male</w:t>
            </w:r>
          </w:p>
        </w:tc>
        <w:tc>
          <w:tcPr>
            <w:tcW w:w="893" w:type="dxa"/>
          </w:tcPr>
          <w:p w14:paraId="55F76C81" w14:textId="77777777" w:rsidR="003E2932" w:rsidRPr="00CD71C7" w:rsidRDefault="003E2932" w:rsidP="00D232AE">
            <w:pPr>
              <w:rPr>
                <w:rFonts w:asciiTheme="minorHAnsi" w:hAnsiTheme="minorHAnsi"/>
                <w:b/>
                <w:bCs/>
                <w:sz w:val="21"/>
                <w:szCs w:val="21"/>
              </w:rPr>
            </w:pPr>
            <w:r w:rsidRPr="00CD71C7">
              <w:rPr>
                <w:rFonts w:asciiTheme="minorHAnsi" w:hAnsiTheme="minorHAnsi"/>
                <w:b/>
                <w:bCs/>
                <w:sz w:val="21"/>
                <w:szCs w:val="21"/>
              </w:rPr>
              <w:t>Female</w:t>
            </w:r>
          </w:p>
        </w:tc>
        <w:tc>
          <w:tcPr>
            <w:tcW w:w="1398" w:type="dxa"/>
          </w:tcPr>
          <w:p w14:paraId="100A780B" w14:textId="77777777" w:rsidR="003E2932" w:rsidRPr="00CD71C7" w:rsidRDefault="003E2932" w:rsidP="00D232AE">
            <w:pPr>
              <w:jc w:val="center"/>
              <w:rPr>
                <w:rFonts w:asciiTheme="minorHAnsi" w:hAnsiTheme="minorHAnsi"/>
                <w:b/>
                <w:bCs/>
                <w:sz w:val="21"/>
                <w:szCs w:val="21"/>
              </w:rPr>
            </w:pPr>
            <w:r w:rsidRPr="00CD71C7">
              <w:rPr>
                <w:rFonts w:asciiTheme="minorHAnsi" w:hAnsiTheme="minorHAnsi"/>
                <w:b/>
                <w:bCs/>
                <w:sz w:val="21"/>
                <w:szCs w:val="21"/>
              </w:rPr>
              <w:t>Male</w:t>
            </w:r>
          </w:p>
        </w:tc>
        <w:tc>
          <w:tcPr>
            <w:tcW w:w="1508" w:type="dxa"/>
          </w:tcPr>
          <w:p w14:paraId="7CABF60A" w14:textId="77777777" w:rsidR="003E2932" w:rsidRPr="00CD71C7" w:rsidRDefault="003E2932" w:rsidP="00D232AE">
            <w:pPr>
              <w:jc w:val="center"/>
              <w:rPr>
                <w:rFonts w:asciiTheme="minorHAnsi" w:hAnsiTheme="minorHAnsi"/>
                <w:b/>
                <w:bCs/>
                <w:sz w:val="21"/>
                <w:szCs w:val="21"/>
              </w:rPr>
            </w:pPr>
            <w:r w:rsidRPr="00CD71C7">
              <w:rPr>
                <w:rFonts w:asciiTheme="minorHAnsi" w:hAnsiTheme="minorHAnsi"/>
                <w:b/>
                <w:bCs/>
                <w:sz w:val="21"/>
                <w:szCs w:val="21"/>
              </w:rPr>
              <w:t>Female</w:t>
            </w:r>
          </w:p>
        </w:tc>
      </w:tr>
      <w:tr w:rsidR="003E2932" w:rsidRPr="00FD1F06" w14:paraId="1C3B559F" w14:textId="77777777" w:rsidTr="0041177B">
        <w:tc>
          <w:tcPr>
            <w:tcW w:w="3374" w:type="dxa"/>
          </w:tcPr>
          <w:p w14:paraId="7729B548" w14:textId="56AE7693" w:rsidR="003E2932" w:rsidRPr="00FD1F06" w:rsidRDefault="003E2932" w:rsidP="00D232AE">
            <w:pPr>
              <w:rPr>
                <w:rFonts w:asciiTheme="minorHAnsi" w:hAnsiTheme="minorHAnsi"/>
                <w:sz w:val="21"/>
                <w:szCs w:val="21"/>
              </w:rPr>
            </w:pPr>
            <w:r w:rsidRPr="00FD1F06">
              <w:rPr>
                <w:rFonts w:asciiTheme="minorHAnsi" w:hAnsiTheme="minorHAnsi"/>
                <w:sz w:val="21"/>
                <w:szCs w:val="21"/>
              </w:rPr>
              <w:t>All tobacco</w:t>
            </w:r>
            <w:r w:rsidR="00A45DCC">
              <w:rPr>
                <w:rFonts w:asciiTheme="minorHAnsi" w:hAnsiTheme="minorHAnsi"/>
                <w:sz w:val="21"/>
                <w:szCs w:val="21"/>
              </w:rPr>
              <w:t>-</w:t>
            </w:r>
            <w:r w:rsidRPr="00FD1F06">
              <w:rPr>
                <w:rFonts w:asciiTheme="minorHAnsi" w:hAnsiTheme="minorHAnsi"/>
                <w:sz w:val="21"/>
                <w:szCs w:val="21"/>
              </w:rPr>
              <w:t>related</w:t>
            </w:r>
          </w:p>
        </w:tc>
        <w:tc>
          <w:tcPr>
            <w:tcW w:w="953" w:type="dxa"/>
          </w:tcPr>
          <w:p w14:paraId="161C7748" w14:textId="7777777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305</w:t>
            </w:r>
            <w:r>
              <w:rPr>
                <w:rFonts w:asciiTheme="minorHAnsi" w:hAnsiTheme="minorHAnsi"/>
                <w:sz w:val="21"/>
                <w:szCs w:val="21"/>
              </w:rPr>
              <w:t>,</w:t>
            </w:r>
            <w:r w:rsidRPr="00FD1F06">
              <w:rPr>
                <w:rFonts w:asciiTheme="minorHAnsi" w:hAnsiTheme="minorHAnsi"/>
                <w:sz w:val="21"/>
                <w:szCs w:val="21"/>
              </w:rPr>
              <w:t>914</w:t>
            </w:r>
          </w:p>
        </w:tc>
        <w:tc>
          <w:tcPr>
            <w:tcW w:w="890" w:type="dxa"/>
          </w:tcPr>
          <w:p w14:paraId="5D18BCD4" w14:textId="7777777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136</w:t>
            </w:r>
            <w:r>
              <w:rPr>
                <w:rFonts w:asciiTheme="minorHAnsi" w:hAnsiTheme="minorHAnsi"/>
                <w:sz w:val="21"/>
                <w:szCs w:val="21"/>
              </w:rPr>
              <w:t>,</w:t>
            </w:r>
            <w:r w:rsidRPr="00FD1F06">
              <w:rPr>
                <w:rFonts w:asciiTheme="minorHAnsi" w:hAnsiTheme="minorHAnsi"/>
                <w:sz w:val="21"/>
                <w:szCs w:val="21"/>
              </w:rPr>
              <w:t>268</w:t>
            </w:r>
          </w:p>
        </w:tc>
        <w:tc>
          <w:tcPr>
            <w:tcW w:w="893" w:type="dxa"/>
          </w:tcPr>
          <w:p w14:paraId="1910E949" w14:textId="7777777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169</w:t>
            </w:r>
            <w:r>
              <w:rPr>
                <w:rFonts w:asciiTheme="minorHAnsi" w:hAnsiTheme="minorHAnsi"/>
                <w:sz w:val="21"/>
                <w:szCs w:val="21"/>
              </w:rPr>
              <w:t>,</w:t>
            </w:r>
            <w:r w:rsidRPr="00FD1F06">
              <w:rPr>
                <w:rFonts w:asciiTheme="minorHAnsi" w:hAnsiTheme="minorHAnsi"/>
                <w:sz w:val="21"/>
                <w:szCs w:val="21"/>
              </w:rPr>
              <w:t>646</w:t>
            </w:r>
          </w:p>
        </w:tc>
        <w:tc>
          <w:tcPr>
            <w:tcW w:w="1398" w:type="dxa"/>
          </w:tcPr>
          <w:p w14:paraId="38D247F2"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69 (61-77)</w:t>
            </w:r>
          </w:p>
        </w:tc>
        <w:tc>
          <w:tcPr>
            <w:tcW w:w="1508" w:type="dxa"/>
          </w:tcPr>
          <w:p w14:paraId="761EF21E"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65 (53-76)</w:t>
            </w:r>
          </w:p>
        </w:tc>
      </w:tr>
      <w:tr w:rsidR="003E2932" w:rsidRPr="00FD1F06" w14:paraId="766AD28E" w14:textId="77777777" w:rsidTr="0041177B">
        <w:tc>
          <w:tcPr>
            <w:tcW w:w="3374" w:type="dxa"/>
          </w:tcPr>
          <w:p w14:paraId="2B507DD2" w14:textId="77777777" w:rsidR="003E2932" w:rsidRPr="00FD1F06" w:rsidRDefault="003E2932" w:rsidP="00D232AE">
            <w:pPr>
              <w:rPr>
                <w:rFonts w:asciiTheme="minorHAnsi" w:hAnsiTheme="minorHAnsi"/>
                <w:sz w:val="21"/>
                <w:szCs w:val="21"/>
              </w:rPr>
            </w:pPr>
            <w:r w:rsidRPr="00FD1F06">
              <w:rPr>
                <w:rFonts w:asciiTheme="minorHAnsi" w:hAnsiTheme="minorHAnsi"/>
                <w:sz w:val="21"/>
                <w:szCs w:val="21"/>
              </w:rPr>
              <w:t>C00-06 oral cavity</w:t>
            </w:r>
          </w:p>
        </w:tc>
        <w:tc>
          <w:tcPr>
            <w:tcW w:w="953" w:type="dxa"/>
          </w:tcPr>
          <w:p w14:paraId="49F79896" w14:textId="7777777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6</w:t>
            </w:r>
            <w:r>
              <w:rPr>
                <w:rFonts w:asciiTheme="minorHAnsi" w:hAnsiTheme="minorHAnsi"/>
                <w:sz w:val="21"/>
                <w:szCs w:val="21"/>
              </w:rPr>
              <w:t>,</w:t>
            </w:r>
            <w:r w:rsidRPr="00FD1F06">
              <w:rPr>
                <w:rFonts w:asciiTheme="minorHAnsi" w:hAnsiTheme="minorHAnsi"/>
                <w:sz w:val="21"/>
                <w:szCs w:val="21"/>
              </w:rPr>
              <w:t>078</w:t>
            </w:r>
          </w:p>
        </w:tc>
        <w:tc>
          <w:tcPr>
            <w:tcW w:w="890" w:type="dxa"/>
          </w:tcPr>
          <w:p w14:paraId="3AA58E48" w14:textId="7777777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4</w:t>
            </w:r>
            <w:r>
              <w:rPr>
                <w:rFonts w:asciiTheme="minorHAnsi" w:hAnsiTheme="minorHAnsi"/>
                <w:sz w:val="21"/>
                <w:szCs w:val="21"/>
              </w:rPr>
              <w:t>,</w:t>
            </w:r>
            <w:r w:rsidRPr="00FD1F06">
              <w:rPr>
                <w:rFonts w:asciiTheme="minorHAnsi" w:hAnsiTheme="minorHAnsi"/>
                <w:sz w:val="21"/>
                <w:szCs w:val="21"/>
              </w:rPr>
              <w:t>163</w:t>
            </w:r>
          </w:p>
        </w:tc>
        <w:tc>
          <w:tcPr>
            <w:tcW w:w="893" w:type="dxa"/>
          </w:tcPr>
          <w:p w14:paraId="7C50272F" w14:textId="7777777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1</w:t>
            </w:r>
            <w:r>
              <w:rPr>
                <w:rFonts w:asciiTheme="minorHAnsi" w:hAnsiTheme="minorHAnsi"/>
                <w:sz w:val="21"/>
                <w:szCs w:val="21"/>
              </w:rPr>
              <w:t>,</w:t>
            </w:r>
            <w:r w:rsidRPr="00FD1F06">
              <w:rPr>
                <w:rFonts w:asciiTheme="minorHAnsi" w:hAnsiTheme="minorHAnsi"/>
                <w:sz w:val="21"/>
                <w:szCs w:val="21"/>
              </w:rPr>
              <w:t>915</w:t>
            </w:r>
          </w:p>
        </w:tc>
        <w:tc>
          <w:tcPr>
            <w:tcW w:w="1398" w:type="dxa"/>
          </w:tcPr>
          <w:p w14:paraId="29FC3DC5"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64 (55-72)</w:t>
            </w:r>
          </w:p>
        </w:tc>
        <w:tc>
          <w:tcPr>
            <w:tcW w:w="1508" w:type="dxa"/>
          </w:tcPr>
          <w:p w14:paraId="4CDA869B"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66 (56-76)</w:t>
            </w:r>
          </w:p>
        </w:tc>
      </w:tr>
      <w:tr w:rsidR="003E2932" w:rsidRPr="00FD1F06" w14:paraId="310BDCF6" w14:textId="77777777" w:rsidTr="0041177B">
        <w:tc>
          <w:tcPr>
            <w:tcW w:w="3374" w:type="dxa"/>
          </w:tcPr>
          <w:p w14:paraId="7B1C8127" w14:textId="41CD453F" w:rsidR="003E2932" w:rsidRPr="00FD1F06" w:rsidRDefault="003E2932" w:rsidP="00D232AE">
            <w:pPr>
              <w:rPr>
                <w:rFonts w:asciiTheme="minorHAnsi" w:hAnsiTheme="minorHAnsi"/>
                <w:sz w:val="21"/>
                <w:szCs w:val="21"/>
              </w:rPr>
            </w:pPr>
            <w:r w:rsidRPr="00FD1F06">
              <w:rPr>
                <w:rFonts w:asciiTheme="minorHAnsi" w:hAnsiTheme="minorHAnsi"/>
                <w:sz w:val="21"/>
                <w:szCs w:val="21"/>
              </w:rPr>
              <w:t>C09-10,</w:t>
            </w:r>
            <w:r w:rsidR="005F4BDB">
              <w:rPr>
                <w:rFonts w:asciiTheme="minorHAnsi" w:hAnsiTheme="minorHAnsi"/>
                <w:sz w:val="21"/>
                <w:szCs w:val="21"/>
              </w:rPr>
              <w:t xml:space="preserve"> </w:t>
            </w:r>
            <w:r w:rsidRPr="00FD1F06">
              <w:rPr>
                <w:rFonts w:asciiTheme="minorHAnsi" w:hAnsiTheme="minorHAnsi"/>
                <w:sz w:val="21"/>
                <w:szCs w:val="21"/>
              </w:rPr>
              <w:t>C12-14 pharynx</w:t>
            </w:r>
          </w:p>
        </w:tc>
        <w:tc>
          <w:tcPr>
            <w:tcW w:w="953" w:type="dxa"/>
          </w:tcPr>
          <w:p w14:paraId="0F93A0D8" w14:textId="20B3C3E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3</w:t>
            </w:r>
            <w:r w:rsidR="006F198F">
              <w:rPr>
                <w:rFonts w:asciiTheme="minorHAnsi" w:hAnsiTheme="minorHAnsi"/>
                <w:sz w:val="21"/>
                <w:szCs w:val="21"/>
              </w:rPr>
              <w:t>,</w:t>
            </w:r>
            <w:r w:rsidRPr="00FD1F06">
              <w:rPr>
                <w:rFonts w:asciiTheme="minorHAnsi" w:hAnsiTheme="minorHAnsi"/>
                <w:sz w:val="21"/>
                <w:szCs w:val="21"/>
              </w:rPr>
              <w:t>512</w:t>
            </w:r>
          </w:p>
        </w:tc>
        <w:tc>
          <w:tcPr>
            <w:tcW w:w="890" w:type="dxa"/>
          </w:tcPr>
          <w:p w14:paraId="2D8E32B2" w14:textId="2B6F33DC"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2</w:t>
            </w:r>
            <w:r w:rsidR="006F198F">
              <w:rPr>
                <w:rFonts w:asciiTheme="minorHAnsi" w:hAnsiTheme="minorHAnsi"/>
                <w:sz w:val="21"/>
                <w:szCs w:val="21"/>
              </w:rPr>
              <w:t>,</w:t>
            </w:r>
            <w:r w:rsidRPr="00FD1F06">
              <w:rPr>
                <w:rFonts w:asciiTheme="minorHAnsi" w:hAnsiTheme="minorHAnsi"/>
                <w:sz w:val="21"/>
                <w:szCs w:val="21"/>
              </w:rPr>
              <w:t>691</w:t>
            </w:r>
          </w:p>
        </w:tc>
        <w:tc>
          <w:tcPr>
            <w:tcW w:w="893" w:type="dxa"/>
          </w:tcPr>
          <w:p w14:paraId="433BA14B" w14:textId="7777777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821</w:t>
            </w:r>
          </w:p>
        </w:tc>
        <w:tc>
          <w:tcPr>
            <w:tcW w:w="1398" w:type="dxa"/>
          </w:tcPr>
          <w:p w14:paraId="61A790C9"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62 (55-70)</w:t>
            </w:r>
          </w:p>
        </w:tc>
        <w:tc>
          <w:tcPr>
            <w:tcW w:w="1508" w:type="dxa"/>
          </w:tcPr>
          <w:p w14:paraId="746A675A"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63 (54-72)</w:t>
            </w:r>
          </w:p>
        </w:tc>
      </w:tr>
      <w:tr w:rsidR="003E2932" w:rsidRPr="00FD1F06" w14:paraId="019E4EA9" w14:textId="77777777" w:rsidTr="0041177B">
        <w:tc>
          <w:tcPr>
            <w:tcW w:w="3374" w:type="dxa"/>
          </w:tcPr>
          <w:p w14:paraId="2F28872F" w14:textId="77777777" w:rsidR="003E2932" w:rsidRPr="00FD1F06" w:rsidRDefault="003E2932" w:rsidP="00D232AE">
            <w:pPr>
              <w:rPr>
                <w:rFonts w:asciiTheme="minorHAnsi" w:hAnsiTheme="minorHAnsi"/>
                <w:sz w:val="21"/>
                <w:szCs w:val="21"/>
              </w:rPr>
            </w:pPr>
            <w:r w:rsidRPr="00FD1F06">
              <w:rPr>
                <w:rFonts w:asciiTheme="minorHAnsi" w:hAnsiTheme="minorHAnsi"/>
                <w:sz w:val="21"/>
                <w:szCs w:val="21"/>
              </w:rPr>
              <w:t>C11 nasopharynx</w:t>
            </w:r>
          </w:p>
        </w:tc>
        <w:tc>
          <w:tcPr>
            <w:tcW w:w="953" w:type="dxa"/>
          </w:tcPr>
          <w:p w14:paraId="40D6EA4B" w14:textId="7777777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468</w:t>
            </w:r>
          </w:p>
        </w:tc>
        <w:tc>
          <w:tcPr>
            <w:tcW w:w="890" w:type="dxa"/>
          </w:tcPr>
          <w:p w14:paraId="0FE71F62" w14:textId="7777777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355</w:t>
            </w:r>
          </w:p>
        </w:tc>
        <w:tc>
          <w:tcPr>
            <w:tcW w:w="893" w:type="dxa"/>
          </w:tcPr>
          <w:p w14:paraId="30ABA7CD" w14:textId="7777777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113</w:t>
            </w:r>
          </w:p>
        </w:tc>
        <w:tc>
          <w:tcPr>
            <w:tcW w:w="1398" w:type="dxa"/>
          </w:tcPr>
          <w:p w14:paraId="44513BF7"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56 (45-65)</w:t>
            </w:r>
          </w:p>
        </w:tc>
        <w:tc>
          <w:tcPr>
            <w:tcW w:w="1508" w:type="dxa"/>
          </w:tcPr>
          <w:p w14:paraId="7B763A0F"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55 (44-70)</w:t>
            </w:r>
          </w:p>
        </w:tc>
      </w:tr>
      <w:tr w:rsidR="003E2932" w:rsidRPr="00FD1F06" w14:paraId="68A4BFC7" w14:textId="77777777" w:rsidTr="0041177B">
        <w:tc>
          <w:tcPr>
            <w:tcW w:w="3374" w:type="dxa"/>
          </w:tcPr>
          <w:p w14:paraId="313C4A97" w14:textId="77777777" w:rsidR="003E2932" w:rsidRPr="00FD1F06" w:rsidRDefault="003E2932" w:rsidP="00D232AE">
            <w:pPr>
              <w:rPr>
                <w:rFonts w:asciiTheme="minorHAnsi" w:hAnsiTheme="minorHAnsi"/>
                <w:sz w:val="21"/>
                <w:szCs w:val="21"/>
              </w:rPr>
            </w:pPr>
            <w:r w:rsidRPr="00FD1F06">
              <w:rPr>
                <w:rFonts w:asciiTheme="minorHAnsi" w:hAnsiTheme="minorHAnsi"/>
                <w:sz w:val="21"/>
                <w:szCs w:val="21"/>
              </w:rPr>
              <w:t>C15 oesophagus adenocarcinoma</w:t>
            </w:r>
          </w:p>
        </w:tc>
        <w:tc>
          <w:tcPr>
            <w:tcW w:w="953" w:type="dxa"/>
          </w:tcPr>
          <w:p w14:paraId="7106483D" w14:textId="7777777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5</w:t>
            </w:r>
            <w:r>
              <w:rPr>
                <w:rFonts w:asciiTheme="minorHAnsi" w:hAnsiTheme="minorHAnsi"/>
                <w:sz w:val="21"/>
                <w:szCs w:val="21"/>
              </w:rPr>
              <w:t>,</w:t>
            </w:r>
            <w:r w:rsidRPr="00FD1F06">
              <w:rPr>
                <w:rFonts w:asciiTheme="minorHAnsi" w:hAnsiTheme="minorHAnsi"/>
                <w:sz w:val="21"/>
                <w:szCs w:val="21"/>
              </w:rPr>
              <w:t>212</w:t>
            </w:r>
          </w:p>
        </w:tc>
        <w:tc>
          <w:tcPr>
            <w:tcW w:w="890" w:type="dxa"/>
          </w:tcPr>
          <w:p w14:paraId="190E3925" w14:textId="7777777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4</w:t>
            </w:r>
            <w:r>
              <w:rPr>
                <w:rFonts w:asciiTheme="minorHAnsi" w:hAnsiTheme="minorHAnsi"/>
                <w:sz w:val="21"/>
                <w:szCs w:val="21"/>
              </w:rPr>
              <w:t>,</w:t>
            </w:r>
            <w:r w:rsidRPr="00FD1F06">
              <w:rPr>
                <w:rFonts w:asciiTheme="minorHAnsi" w:hAnsiTheme="minorHAnsi"/>
                <w:sz w:val="21"/>
                <w:szCs w:val="21"/>
              </w:rPr>
              <w:t>152</w:t>
            </w:r>
          </w:p>
        </w:tc>
        <w:tc>
          <w:tcPr>
            <w:tcW w:w="893" w:type="dxa"/>
          </w:tcPr>
          <w:p w14:paraId="51B30EBE" w14:textId="7777777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1</w:t>
            </w:r>
            <w:r>
              <w:rPr>
                <w:rFonts w:asciiTheme="minorHAnsi" w:hAnsiTheme="minorHAnsi"/>
                <w:sz w:val="21"/>
                <w:szCs w:val="21"/>
              </w:rPr>
              <w:t>,</w:t>
            </w:r>
            <w:r w:rsidRPr="00FD1F06">
              <w:rPr>
                <w:rFonts w:asciiTheme="minorHAnsi" w:hAnsiTheme="minorHAnsi"/>
                <w:sz w:val="21"/>
                <w:szCs w:val="21"/>
              </w:rPr>
              <w:t>060</w:t>
            </w:r>
          </w:p>
        </w:tc>
        <w:tc>
          <w:tcPr>
            <w:tcW w:w="1398" w:type="dxa"/>
          </w:tcPr>
          <w:p w14:paraId="5D4961BE"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68 (59-76)</w:t>
            </w:r>
          </w:p>
        </w:tc>
        <w:tc>
          <w:tcPr>
            <w:tcW w:w="1508" w:type="dxa"/>
          </w:tcPr>
          <w:p w14:paraId="6337A43E"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74 (65-81)</w:t>
            </w:r>
          </w:p>
        </w:tc>
      </w:tr>
      <w:tr w:rsidR="003E2932" w:rsidRPr="00FD1F06" w14:paraId="5EE7DF6C" w14:textId="77777777" w:rsidTr="0041177B">
        <w:tc>
          <w:tcPr>
            <w:tcW w:w="3374" w:type="dxa"/>
          </w:tcPr>
          <w:p w14:paraId="135E2CA8" w14:textId="10C055BD" w:rsidR="003E2932" w:rsidRPr="00FD1F06" w:rsidRDefault="003E2932" w:rsidP="00D232AE">
            <w:pPr>
              <w:rPr>
                <w:rFonts w:asciiTheme="minorHAnsi" w:hAnsiTheme="minorHAnsi"/>
                <w:sz w:val="21"/>
                <w:szCs w:val="21"/>
              </w:rPr>
            </w:pPr>
            <w:r w:rsidRPr="00FD1F06">
              <w:rPr>
                <w:rFonts w:asciiTheme="minorHAnsi" w:hAnsiTheme="minorHAnsi"/>
                <w:sz w:val="21"/>
                <w:szCs w:val="21"/>
              </w:rPr>
              <w:t xml:space="preserve">C15 </w:t>
            </w:r>
            <w:r w:rsidR="0004335B">
              <w:rPr>
                <w:rFonts w:asciiTheme="minorHAnsi" w:hAnsiTheme="minorHAnsi"/>
                <w:sz w:val="21"/>
                <w:szCs w:val="21"/>
              </w:rPr>
              <w:t xml:space="preserve">oesophagus, </w:t>
            </w:r>
            <w:r w:rsidRPr="00FD1F06">
              <w:rPr>
                <w:rFonts w:asciiTheme="minorHAnsi" w:hAnsiTheme="minorHAnsi"/>
                <w:sz w:val="21"/>
                <w:szCs w:val="21"/>
              </w:rPr>
              <w:t>squamous cell carcinoma</w:t>
            </w:r>
          </w:p>
        </w:tc>
        <w:tc>
          <w:tcPr>
            <w:tcW w:w="953" w:type="dxa"/>
          </w:tcPr>
          <w:p w14:paraId="1EE3EA12" w14:textId="64254893"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4</w:t>
            </w:r>
            <w:r w:rsidR="006F198F">
              <w:rPr>
                <w:rFonts w:asciiTheme="minorHAnsi" w:hAnsiTheme="minorHAnsi"/>
                <w:sz w:val="21"/>
                <w:szCs w:val="21"/>
              </w:rPr>
              <w:t>,</w:t>
            </w:r>
            <w:r w:rsidRPr="00FD1F06">
              <w:rPr>
                <w:rFonts w:asciiTheme="minorHAnsi" w:hAnsiTheme="minorHAnsi"/>
                <w:sz w:val="21"/>
                <w:szCs w:val="21"/>
              </w:rPr>
              <w:t>467</w:t>
            </w:r>
          </w:p>
        </w:tc>
        <w:tc>
          <w:tcPr>
            <w:tcW w:w="890" w:type="dxa"/>
          </w:tcPr>
          <w:p w14:paraId="2897817E" w14:textId="055E1E73"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2</w:t>
            </w:r>
            <w:r w:rsidR="006F198F">
              <w:rPr>
                <w:rFonts w:asciiTheme="minorHAnsi" w:hAnsiTheme="minorHAnsi"/>
                <w:sz w:val="21"/>
                <w:szCs w:val="21"/>
              </w:rPr>
              <w:t>,</w:t>
            </w:r>
            <w:r w:rsidRPr="00FD1F06">
              <w:rPr>
                <w:rFonts w:asciiTheme="minorHAnsi" w:hAnsiTheme="minorHAnsi"/>
                <w:sz w:val="21"/>
                <w:szCs w:val="21"/>
              </w:rPr>
              <w:t>227</w:t>
            </w:r>
          </w:p>
        </w:tc>
        <w:tc>
          <w:tcPr>
            <w:tcW w:w="893" w:type="dxa"/>
          </w:tcPr>
          <w:p w14:paraId="574F8727" w14:textId="06C2DC9A"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2</w:t>
            </w:r>
            <w:r w:rsidR="006F198F">
              <w:rPr>
                <w:rFonts w:asciiTheme="minorHAnsi" w:hAnsiTheme="minorHAnsi"/>
                <w:sz w:val="21"/>
                <w:szCs w:val="21"/>
              </w:rPr>
              <w:t>,</w:t>
            </w:r>
            <w:r w:rsidRPr="00FD1F06">
              <w:rPr>
                <w:rFonts w:asciiTheme="minorHAnsi" w:hAnsiTheme="minorHAnsi"/>
                <w:sz w:val="21"/>
                <w:szCs w:val="21"/>
              </w:rPr>
              <w:t>240</w:t>
            </w:r>
          </w:p>
        </w:tc>
        <w:tc>
          <w:tcPr>
            <w:tcW w:w="1398" w:type="dxa"/>
          </w:tcPr>
          <w:p w14:paraId="2100CED8"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69 (61-76)</w:t>
            </w:r>
          </w:p>
        </w:tc>
        <w:tc>
          <w:tcPr>
            <w:tcW w:w="1508" w:type="dxa"/>
          </w:tcPr>
          <w:p w14:paraId="370BE89F"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74 (64-81)</w:t>
            </w:r>
          </w:p>
        </w:tc>
      </w:tr>
      <w:tr w:rsidR="003E2932" w:rsidRPr="00FD1F06" w14:paraId="5D3DD6D2" w14:textId="77777777" w:rsidTr="0041177B">
        <w:tc>
          <w:tcPr>
            <w:tcW w:w="3374" w:type="dxa"/>
          </w:tcPr>
          <w:p w14:paraId="00730CE7" w14:textId="77777777" w:rsidR="003E2932" w:rsidRPr="00FD1F06" w:rsidRDefault="003E2932" w:rsidP="00D232AE">
            <w:pPr>
              <w:rPr>
                <w:rFonts w:asciiTheme="minorHAnsi" w:hAnsiTheme="minorHAnsi"/>
                <w:sz w:val="21"/>
                <w:szCs w:val="21"/>
              </w:rPr>
            </w:pPr>
            <w:r w:rsidRPr="00FD1F06">
              <w:rPr>
                <w:rFonts w:asciiTheme="minorHAnsi" w:hAnsiTheme="minorHAnsi"/>
                <w:sz w:val="21"/>
                <w:szCs w:val="21"/>
              </w:rPr>
              <w:t>C16 stomach</w:t>
            </w:r>
          </w:p>
        </w:tc>
        <w:tc>
          <w:tcPr>
            <w:tcW w:w="953" w:type="dxa"/>
          </w:tcPr>
          <w:p w14:paraId="58C2A527" w14:textId="7C95A39C"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15</w:t>
            </w:r>
            <w:r w:rsidR="006F198F">
              <w:rPr>
                <w:rFonts w:asciiTheme="minorHAnsi" w:hAnsiTheme="minorHAnsi"/>
                <w:sz w:val="21"/>
                <w:szCs w:val="21"/>
              </w:rPr>
              <w:t>,</w:t>
            </w:r>
            <w:r w:rsidRPr="00FD1F06">
              <w:rPr>
                <w:rFonts w:asciiTheme="minorHAnsi" w:hAnsiTheme="minorHAnsi"/>
                <w:sz w:val="21"/>
                <w:szCs w:val="21"/>
              </w:rPr>
              <w:t>068</w:t>
            </w:r>
          </w:p>
        </w:tc>
        <w:tc>
          <w:tcPr>
            <w:tcW w:w="890" w:type="dxa"/>
          </w:tcPr>
          <w:p w14:paraId="3E469B97" w14:textId="13B28332"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9</w:t>
            </w:r>
            <w:r w:rsidR="006F198F">
              <w:rPr>
                <w:rFonts w:asciiTheme="minorHAnsi" w:hAnsiTheme="minorHAnsi"/>
                <w:sz w:val="21"/>
                <w:szCs w:val="21"/>
              </w:rPr>
              <w:t>,</w:t>
            </w:r>
            <w:r w:rsidRPr="00FD1F06">
              <w:rPr>
                <w:rFonts w:asciiTheme="minorHAnsi" w:hAnsiTheme="minorHAnsi"/>
                <w:sz w:val="21"/>
                <w:szCs w:val="21"/>
              </w:rPr>
              <w:t>486</w:t>
            </w:r>
          </w:p>
        </w:tc>
        <w:tc>
          <w:tcPr>
            <w:tcW w:w="893" w:type="dxa"/>
          </w:tcPr>
          <w:p w14:paraId="35CBCDAB" w14:textId="425FE1D1"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5</w:t>
            </w:r>
            <w:r w:rsidR="006F198F">
              <w:rPr>
                <w:rFonts w:asciiTheme="minorHAnsi" w:hAnsiTheme="minorHAnsi"/>
                <w:sz w:val="21"/>
                <w:szCs w:val="21"/>
              </w:rPr>
              <w:t>,</w:t>
            </w:r>
            <w:r w:rsidRPr="00FD1F06">
              <w:rPr>
                <w:rFonts w:asciiTheme="minorHAnsi" w:hAnsiTheme="minorHAnsi"/>
                <w:sz w:val="21"/>
                <w:szCs w:val="21"/>
              </w:rPr>
              <w:t>582</w:t>
            </w:r>
          </w:p>
        </w:tc>
        <w:tc>
          <w:tcPr>
            <w:tcW w:w="1398" w:type="dxa"/>
          </w:tcPr>
          <w:p w14:paraId="669DDC7B"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71 (62-78)</w:t>
            </w:r>
          </w:p>
        </w:tc>
        <w:tc>
          <w:tcPr>
            <w:tcW w:w="1508" w:type="dxa"/>
          </w:tcPr>
          <w:p w14:paraId="51203FD6"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73 (63-81)</w:t>
            </w:r>
          </w:p>
        </w:tc>
      </w:tr>
      <w:tr w:rsidR="003E2932" w:rsidRPr="00FD1F06" w14:paraId="7AFE683E" w14:textId="77777777" w:rsidTr="0041177B">
        <w:tc>
          <w:tcPr>
            <w:tcW w:w="3374" w:type="dxa"/>
          </w:tcPr>
          <w:p w14:paraId="28672D94" w14:textId="77777777" w:rsidR="003E2932" w:rsidRPr="00FD1F06" w:rsidRDefault="003E2932" w:rsidP="00D232AE">
            <w:pPr>
              <w:rPr>
                <w:rFonts w:asciiTheme="minorHAnsi" w:hAnsiTheme="minorHAnsi"/>
                <w:sz w:val="21"/>
                <w:szCs w:val="21"/>
              </w:rPr>
            </w:pPr>
            <w:r w:rsidRPr="00FD1F06">
              <w:rPr>
                <w:rFonts w:asciiTheme="minorHAnsi" w:hAnsiTheme="minorHAnsi"/>
                <w:sz w:val="21"/>
                <w:szCs w:val="21"/>
              </w:rPr>
              <w:t>C18-19 colon &amp; rectosigmoid junction</w:t>
            </w:r>
          </w:p>
        </w:tc>
        <w:tc>
          <w:tcPr>
            <w:tcW w:w="953" w:type="dxa"/>
          </w:tcPr>
          <w:p w14:paraId="194C40D6" w14:textId="7366E1CB"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47</w:t>
            </w:r>
            <w:r w:rsidR="006F198F">
              <w:rPr>
                <w:rFonts w:asciiTheme="minorHAnsi" w:hAnsiTheme="minorHAnsi"/>
                <w:sz w:val="21"/>
                <w:szCs w:val="21"/>
              </w:rPr>
              <w:t>,</w:t>
            </w:r>
            <w:r w:rsidRPr="00FD1F06">
              <w:rPr>
                <w:rFonts w:asciiTheme="minorHAnsi" w:hAnsiTheme="minorHAnsi"/>
                <w:sz w:val="21"/>
                <w:szCs w:val="21"/>
              </w:rPr>
              <w:t>422</w:t>
            </w:r>
          </w:p>
        </w:tc>
        <w:tc>
          <w:tcPr>
            <w:tcW w:w="890" w:type="dxa"/>
          </w:tcPr>
          <w:p w14:paraId="1D6022D1" w14:textId="4CF124E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25</w:t>
            </w:r>
            <w:r w:rsidR="006F198F">
              <w:rPr>
                <w:rFonts w:asciiTheme="minorHAnsi" w:hAnsiTheme="minorHAnsi"/>
                <w:sz w:val="21"/>
                <w:szCs w:val="21"/>
              </w:rPr>
              <w:t>,</w:t>
            </w:r>
            <w:r w:rsidRPr="00FD1F06">
              <w:rPr>
                <w:rFonts w:asciiTheme="minorHAnsi" w:hAnsiTheme="minorHAnsi"/>
                <w:sz w:val="21"/>
                <w:szCs w:val="21"/>
              </w:rPr>
              <w:t>884</w:t>
            </w:r>
          </w:p>
        </w:tc>
        <w:tc>
          <w:tcPr>
            <w:tcW w:w="893" w:type="dxa"/>
          </w:tcPr>
          <w:p w14:paraId="0C2473EF" w14:textId="5A218B02"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21</w:t>
            </w:r>
            <w:r w:rsidR="006F198F">
              <w:rPr>
                <w:rFonts w:asciiTheme="minorHAnsi" w:hAnsiTheme="minorHAnsi"/>
                <w:sz w:val="21"/>
                <w:szCs w:val="21"/>
              </w:rPr>
              <w:t>,</w:t>
            </w:r>
            <w:r w:rsidRPr="00FD1F06">
              <w:rPr>
                <w:rFonts w:asciiTheme="minorHAnsi" w:hAnsiTheme="minorHAnsi"/>
                <w:sz w:val="21"/>
                <w:szCs w:val="21"/>
              </w:rPr>
              <w:t>538</w:t>
            </w:r>
          </w:p>
        </w:tc>
        <w:tc>
          <w:tcPr>
            <w:tcW w:w="1398" w:type="dxa"/>
          </w:tcPr>
          <w:p w14:paraId="6D8060A7"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70 (62-78)</w:t>
            </w:r>
          </w:p>
        </w:tc>
        <w:tc>
          <w:tcPr>
            <w:tcW w:w="1508" w:type="dxa"/>
          </w:tcPr>
          <w:p w14:paraId="7108D5C9"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72 (61-80)</w:t>
            </w:r>
          </w:p>
        </w:tc>
      </w:tr>
      <w:tr w:rsidR="003E2932" w:rsidRPr="00FD1F06" w14:paraId="27C524C0" w14:textId="77777777" w:rsidTr="0041177B">
        <w:tc>
          <w:tcPr>
            <w:tcW w:w="3374" w:type="dxa"/>
          </w:tcPr>
          <w:p w14:paraId="0CF205D7" w14:textId="77777777" w:rsidR="003E2932" w:rsidRPr="00FD1F06" w:rsidRDefault="003E2932" w:rsidP="00D232AE">
            <w:pPr>
              <w:rPr>
                <w:rFonts w:asciiTheme="minorHAnsi" w:hAnsiTheme="minorHAnsi"/>
                <w:sz w:val="21"/>
                <w:szCs w:val="21"/>
              </w:rPr>
            </w:pPr>
            <w:r w:rsidRPr="00FD1F06">
              <w:rPr>
                <w:rFonts w:asciiTheme="minorHAnsi" w:hAnsiTheme="minorHAnsi"/>
                <w:sz w:val="21"/>
                <w:szCs w:val="21"/>
              </w:rPr>
              <w:t>C20 rectum</w:t>
            </w:r>
          </w:p>
        </w:tc>
        <w:tc>
          <w:tcPr>
            <w:tcW w:w="953" w:type="dxa"/>
          </w:tcPr>
          <w:p w14:paraId="3BD6D190" w14:textId="53DEA471"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18</w:t>
            </w:r>
            <w:r w:rsidR="006F198F">
              <w:rPr>
                <w:rFonts w:asciiTheme="minorHAnsi" w:hAnsiTheme="minorHAnsi"/>
                <w:sz w:val="21"/>
                <w:szCs w:val="21"/>
              </w:rPr>
              <w:t>,</w:t>
            </w:r>
            <w:r w:rsidRPr="00FD1F06">
              <w:rPr>
                <w:rFonts w:asciiTheme="minorHAnsi" w:hAnsiTheme="minorHAnsi"/>
                <w:sz w:val="21"/>
                <w:szCs w:val="21"/>
              </w:rPr>
              <w:t>150</w:t>
            </w:r>
          </w:p>
        </w:tc>
        <w:tc>
          <w:tcPr>
            <w:tcW w:w="890" w:type="dxa"/>
          </w:tcPr>
          <w:p w14:paraId="3B324D97" w14:textId="1F575F4A"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11</w:t>
            </w:r>
            <w:r w:rsidR="006F198F">
              <w:rPr>
                <w:rFonts w:asciiTheme="minorHAnsi" w:hAnsiTheme="minorHAnsi"/>
                <w:sz w:val="21"/>
                <w:szCs w:val="21"/>
              </w:rPr>
              <w:t>,</w:t>
            </w:r>
            <w:r w:rsidRPr="00FD1F06">
              <w:rPr>
                <w:rFonts w:asciiTheme="minorHAnsi" w:hAnsiTheme="minorHAnsi"/>
                <w:sz w:val="21"/>
                <w:szCs w:val="21"/>
              </w:rPr>
              <w:t>857</w:t>
            </w:r>
          </w:p>
        </w:tc>
        <w:tc>
          <w:tcPr>
            <w:tcW w:w="893" w:type="dxa"/>
          </w:tcPr>
          <w:p w14:paraId="13D77040" w14:textId="75EF645C"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6</w:t>
            </w:r>
            <w:r w:rsidR="006F198F">
              <w:rPr>
                <w:rFonts w:asciiTheme="minorHAnsi" w:hAnsiTheme="minorHAnsi"/>
                <w:sz w:val="21"/>
                <w:szCs w:val="21"/>
              </w:rPr>
              <w:t>,</w:t>
            </w:r>
            <w:r w:rsidRPr="00FD1F06">
              <w:rPr>
                <w:rFonts w:asciiTheme="minorHAnsi" w:hAnsiTheme="minorHAnsi"/>
                <w:sz w:val="21"/>
                <w:szCs w:val="21"/>
              </w:rPr>
              <w:t>293</w:t>
            </w:r>
          </w:p>
        </w:tc>
        <w:tc>
          <w:tcPr>
            <w:tcW w:w="1398" w:type="dxa"/>
          </w:tcPr>
          <w:p w14:paraId="4AFA0B49"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68 (60-76)</w:t>
            </w:r>
          </w:p>
        </w:tc>
        <w:tc>
          <w:tcPr>
            <w:tcW w:w="1508" w:type="dxa"/>
          </w:tcPr>
          <w:p w14:paraId="758FC6A8"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68 (58-78)</w:t>
            </w:r>
          </w:p>
        </w:tc>
      </w:tr>
      <w:tr w:rsidR="003E2932" w:rsidRPr="00FD1F06" w14:paraId="5D7336DF" w14:textId="77777777" w:rsidTr="0041177B">
        <w:tc>
          <w:tcPr>
            <w:tcW w:w="3374" w:type="dxa"/>
          </w:tcPr>
          <w:p w14:paraId="511FAE32" w14:textId="77777777" w:rsidR="003E2932" w:rsidRPr="00FD1F06" w:rsidRDefault="003E2932" w:rsidP="00D232AE">
            <w:pPr>
              <w:rPr>
                <w:rFonts w:asciiTheme="minorHAnsi" w:hAnsiTheme="minorHAnsi"/>
                <w:sz w:val="21"/>
                <w:szCs w:val="21"/>
              </w:rPr>
            </w:pPr>
            <w:r w:rsidRPr="00FD1F06">
              <w:rPr>
                <w:rFonts w:asciiTheme="minorHAnsi" w:hAnsiTheme="minorHAnsi"/>
                <w:sz w:val="21"/>
                <w:szCs w:val="21"/>
              </w:rPr>
              <w:t>C22 liver</w:t>
            </w:r>
          </w:p>
        </w:tc>
        <w:tc>
          <w:tcPr>
            <w:tcW w:w="953" w:type="dxa"/>
          </w:tcPr>
          <w:p w14:paraId="476A82D7" w14:textId="7BEA0C63"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5</w:t>
            </w:r>
            <w:r w:rsidR="006F198F">
              <w:rPr>
                <w:rFonts w:asciiTheme="minorHAnsi" w:hAnsiTheme="minorHAnsi"/>
                <w:sz w:val="21"/>
                <w:szCs w:val="21"/>
              </w:rPr>
              <w:t>,</w:t>
            </w:r>
            <w:r w:rsidRPr="00FD1F06">
              <w:rPr>
                <w:rFonts w:asciiTheme="minorHAnsi" w:hAnsiTheme="minorHAnsi"/>
                <w:sz w:val="21"/>
                <w:szCs w:val="21"/>
              </w:rPr>
              <w:t>701</w:t>
            </w:r>
          </w:p>
        </w:tc>
        <w:tc>
          <w:tcPr>
            <w:tcW w:w="890" w:type="dxa"/>
          </w:tcPr>
          <w:p w14:paraId="5C2A414E" w14:textId="5CEA329E"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3</w:t>
            </w:r>
            <w:r w:rsidR="006F198F">
              <w:rPr>
                <w:rFonts w:asciiTheme="minorHAnsi" w:hAnsiTheme="minorHAnsi"/>
                <w:sz w:val="21"/>
                <w:szCs w:val="21"/>
              </w:rPr>
              <w:t>,</w:t>
            </w:r>
            <w:r w:rsidRPr="00FD1F06">
              <w:rPr>
                <w:rFonts w:asciiTheme="minorHAnsi" w:hAnsiTheme="minorHAnsi"/>
                <w:sz w:val="21"/>
                <w:szCs w:val="21"/>
              </w:rPr>
              <w:t>867</w:t>
            </w:r>
          </w:p>
        </w:tc>
        <w:tc>
          <w:tcPr>
            <w:tcW w:w="893" w:type="dxa"/>
          </w:tcPr>
          <w:p w14:paraId="5C1826F3" w14:textId="1FA4AC98"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1</w:t>
            </w:r>
            <w:r w:rsidR="006F198F">
              <w:rPr>
                <w:rFonts w:asciiTheme="minorHAnsi" w:hAnsiTheme="minorHAnsi"/>
                <w:sz w:val="21"/>
                <w:szCs w:val="21"/>
              </w:rPr>
              <w:t>,</w:t>
            </w:r>
            <w:r w:rsidRPr="00FD1F06">
              <w:rPr>
                <w:rFonts w:asciiTheme="minorHAnsi" w:hAnsiTheme="minorHAnsi"/>
                <w:sz w:val="21"/>
                <w:szCs w:val="21"/>
              </w:rPr>
              <w:t>834</w:t>
            </w:r>
          </w:p>
        </w:tc>
        <w:tc>
          <w:tcPr>
            <w:tcW w:w="1398" w:type="dxa"/>
          </w:tcPr>
          <w:p w14:paraId="259B1B69"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69 (61-77)</w:t>
            </w:r>
          </w:p>
        </w:tc>
        <w:tc>
          <w:tcPr>
            <w:tcW w:w="1508" w:type="dxa"/>
          </w:tcPr>
          <w:p w14:paraId="4A774A89"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72 (62-80)</w:t>
            </w:r>
          </w:p>
        </w:tc>
      </w:tr>
      <w:tr w:rsidR="003E2932" w:rsidRPr="00FD1F06" w14:paraId="07D90848" w14:textId="77777777" w:rsidTr="0041177B">
        <w:tc>
          <w:tcPr>
            <w:tcW w:w="3374" w:type="dxa"/>
          </w:tcPr>
          <w:p w14:paraId="280CDF55" w14:textId="77777777" w:rsidR="003E2932" w:rsidRPr="00FD1F06" w:rsidRDefault="003E2932" w:rsidP="00D232AE">
            <w:pPr>
              <w:rPr>
                <w:rFonts w:asciiTheme="minorHAnsi" w:hAnsiTheme="minorHAnsi"/>
                <w:sz w:val="21"/>
                <w:szCs w:val="21"/>
              </w:rPr>
            </w:pPr>
            <w:r w:rsidRPr="00FD1F06">
              <w:rPr>
                <w:rFonts w:asciiTheme="minorHAnsi" w:hAnsiTheme="minorHAnsi"/>
                <w:sz w:val="21"/>
                <w:szCs w:val="21"/>
              </w:rPr>
              <w:t>C25 pancreas</w:t>
            </w:r>
          </w:p>
        </w:tc>
        <w:tc>
          <w:tcPr>
            <w:tcW w:w="953" w:type="dxa"/>
          </w:tcPr>
          <w:p w14:paraId="10E07CF3" w14:textId="0B7E0ADB"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13</w:t>
            </w:r>
            <w:r w:rsidR="006F198F">
              <w:rPr>
                <w:rFonts w:asciiTheme="minorHAnsi" w:hAnsiTheme="minorHAnsi"/>
                <w:sz w:val="21"/>
                <w:szCs w:val="21"/>
              </w:rPr>
              <w:t>,</w:t>
            </w:r>
            <w:r w:rsidRPr="00FD1F06">
              <w:rPr>
                <w:rFonts w:asciiTheme="minorHAnsi" w:hAnsiTheme="minorHAnsi"/>
                <w:sz w:val="21"/>
                <w:szCs w:val="21"/>
              </w:rPr>
              <w:t>671</w:t>
            </w:r>
          </w:p>
        </w:tc>
        <w:tc>
          <w:tcPr>
            <w:tcW w:w="890" w:type="dxa"/>
          </w:tcPr>
          <w:p w14:paraId="0F262B2E" w14:textId="7D73198B"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6</w:t>
            </w:r>
            <w:r w:rsidR="006F198F">
              <w:rPr>
                <w:rFonts w:asciiTheme="minorHAnsi" w:hAnsiTheme="minorHAnsi"/>
                <w:sz w:val="21"/>
                <w:szCs w:val="21"/>
              </w:rPr>
              <w:t>,</w:t>
            </w:r>
            <w:r w:rsidRPr="00FD1F06">
              <w:rPr>
                <w:rFonts w:asciiTheme="minorHAnsi" w:hAnsiTheme="minorHAnsi"/>
                <w:sz w:val="21"/>
                <w:szCs w:val="21"/>
              </w:rPr>
              <w:t>982</w:t>
            </w:r>
          </w:p>
        </w:tc>
        <w:tc>
          <w:tcPr>
            <w:tcW w:w="893" w:type="dxa"/>
          </w:tcPr>
          <w:p w14:paraId="46534054" w14:textId="43A7ED38"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6</w:t>
            </w:r>
            <w:r w:rsidR="006F198F">
              <w:rPr>
                <w:rFonts w:asciiTheme="minorHAnsi" w:hAnsiTheme="minorHAnsi"/>
                <w:sz w:val="21"/>
                <w:szCs w:val="21"/>
              </w:rPr>
              <w:t>,</w:t>
            </w:r>
            <w:r w:rsidRPr="00FD1F06">
              <w:rPr>
                <w:rFonts w:asciiTheme="minorHAnsi" w:hAnsiTheme="minorHAnsi"/>
                <w:sz w:val="21"/>
                <w:szCs w:val="21"/>
              </w:rPr>
              <w:t>689</w:t>
            </w:r>
          </w:p>
        </w:tc>
        <w:tc>
          <w:tcPr>
            <w:tcW w:w="1398" w:type="dxa"/>
          </w:tcPr>
          <w:p w14:paraId="02D7AE56"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71 (62-78)</w:t>
            </w:r>
          </w:p>
        </w:tc>
        <w:tc>
          <w:tcPr>
            <w:tcW w:w="1508" w:type="dxa"/>
          </w:tcPr>
          <w:p w14:paraId="2747C839"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74 (65-82)</w:t>
            </w:r>
          </w:p>
        </w:tc>
      </w:tr>
      <w:tr w:rsidR="003E2932" w:rsidRPr="00FD1F06" w14:paraId="7D48C194" w14:textId="77777777" w:rsidTr="0041177B">
        <w:tc>
          <w:tcPr>
            <w:tcW w:w="3374" w:type="dxa"/>
          </w:tcPr>
          <w:p w14:paraId="2C1F66E8" w14:textId="77777777" w:rsidR="003E2932" w:rsidRPr="00FD1F06" w:rsidRDefault="003E2932" w:rsidP="00D232AE">
            <w:pPr>
              <w:rPr>
                <w:rFonts w:asciiTheme="minorHAnsi" w:hAnsiTheme="minorHAnsi"/>
                <w:sz w:val="21"/>
                <w:szCs w:val="21"/>
              </w:rPr>
            </w:pPr>
            <w:r w:rsidRPr="00FD1F06">
              <w:rPr>
                <w:rFonts w:asciiTheme="minorHAnsi" w:hAnsiTheme="minorHAnsi"/>
                <w:sz w:val="21"/>
                <w:szCs w:val="21"/>
              </w:rPr>
              <w:t>C30-31 sino-nasal</w:t>
            </w:r>
          </w:p>
        </w:tc>
        <w:tc>
          <w:tcPr>
            <w:tcW w:w="953" w:type="dxa"/>
          </w:tcPr>
          <w:p w14:paraId="4BBBA753" w14:textId="7777777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729</w:t>
            </w:r>
          </w:p>
        </w:tc>
        <w:tc>
          <w:tcPr>
            <w:tcW w:w="890" w:type="dxa"/>
          </w:tcPr>
          <w:p w14:paraId="790EFB35" w14:textId="7777777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424</w:t>
            </w:r>
          </w:p>
        </w:tc>
        <w:tc>
          <w:tcPr>
            <w:tcW w:w="893" w:type="dxa"/>
          </w:tcPr>
          <w:p w14:paraId="4EC81B36" w14:textId="7777777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305</w:t>
            </w:r>
          </w:p>
        </w:tc>
        <w:tc>
          <w:tcPr>
            <w:tcW w:w="1398" w:type="dxa"/>
          </w:tcPr>
          <w:p w14:paraId="6DC8C34D"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65 (54-74.5)</w:t>
            </w:r>
          </w:p>
        </w:tc>
        <w:tc>
          <w:tcPr>
            <w:tcW w:w="1508" w:type="dxa"/>
          </w:tcPr>
          <w:p w14:paraId="49F95543"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67 (51-76)</w:t>
            </w:r>
          </w:p>
        </w:tc>
      </w:tr>
      <w:tr w:rsidR="003E2932" w:rsidRPr="00FD1F06" w14:paraId="0F3E7D0E" w14:textId="77777777" w:rsidTr="0041177B">
        <w:tc>
          <w:tcPr>
            <w:tcW w:w="3374" w:type="dxa"/>
          </w:tcPr>
          <w:p w14:paraId="6B374D97" w14:textId="77777777" w:rsidR="003E2932" w:rsidRPr="00FD1F06" w:rsidRDefault="003E2932" w:rsidP="00D232AE">
            <w:pPr>
              <w:rPr>
                <w:rFonts w:asciiTheme="minorHAnsi" w:hAnsiTheme="minorHAnsi"/>
                <w:sz w:val="21"/>
                <w:szCs w:val="21"/>
              </w:rPr>
            </w:pPr>
            <w:r w:rsidRPr="00FD1F06">
              <w:rPr>
                <w:rFonts w:asciiTheme="minorHAnsi" w:hAnsiTheme="minorHAnsi"/>
                <w:sz w:val="21"/>
                <w:szCs w:val="21"/>
              </w:rPr>
              <w:t>C32 larynx</w:t>
            </w:r>
          </w:p>
        </w:tc>
        <w:tc>
          <w:tcPr>
            <w:tcW w:w="953" w:type="dxa"/>
          </w:tcPr>
          <w:p w14:paraId="43A87964" w14:textId="1C4463C6"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4</w:t>
            </w:r>
            <w:r w:rsidR="006F198F">
              <w:rPr>
                <w:rFonts w:asciiTheme="minorHAnsi" w:hAnsiTheme="minorHAnsi"/>
                <w:sz w:val="21"/>
                <w:szCs w:val="21"/>
              </w:rPr>
              <w:t>,</w:t>
            </w:r>
            <w:r w:rsidRPr="00FD1F06">
              <w:rPr>
                <w:rFonts w:asciiTheme="minorHAnsi" w:hAnsiTheme="minorHAnsi"/>
                <w:sz w:val="21"/>
                <w:szCs w:val="21"/>
              </w:rPr>
              <w:t>326</w:t>
            </w:r>
          </w:p>
        </w:tc>
        <w:tc>
          <w:tcPr>
            <w:tcW w:w="890" w:type="dxa"/>
          </w:tcPr>
          <w:p w14:paraId="3145BB95" w14:textId="7777777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3646</w:t>
            </w:r>
          </w:p>
        </w:tc>
        <w:tc>
          <w:tcPr>
            <w:tcW w:w="893" w:type="dxa"/>
          </w:tcPr>
          <w:p w14:paraId="5B3A1D31" w14:textId="7777777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680</w:t>
            </w:r>
          </w:p>
        </w:tc>
        <w:tc>
          <w:tcPr>
            <w:tcW w:w="1398" w:type="dxa"/>
          </w:tcPr>
          <w:p w14:paraId="5F7EC760"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65 (58-73)</w:t>
            </w:r>
          </w:p>
        </w:tc>
        <w:tc>
          <w:tcPr>
            <w:tcW w:w="1508" w:type="dxa"/>
          </w:tcPr>
          <w:p w14:paraId="1DB3A144"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65 (58-74)</w:t>
            </w:r>
          </w:p>
        </w:tc>
      </w:tr>
      <w:tr w:rsidR="003E2932" w:rsidRPr="00FD1F06" w14:paraId="5088C037" w14:textId="77777777" w:rsidTr="0041177B">
        <w:tc>
          <w:tcPr>
            <w:tcW w:w="3374" w:type="dxa"/>
          </w:tcPr>
          <w:p w14:paraId="6B504345" w14:textId="77777777" w:rsidR="003E2932" w:rsidRPr="00FD1F06" w:rsidRDefault="003E2932" w:rsidP="00D232AE">
            <w:pPr>
              <w:rPr>
                <w:rFonts w:asciiTheme="minorHAnsi" w:hAnsiTheme="minorHAnsi"/>
                <w:sz w:val="21"/>
                <w:szCs w:val="21"/>
              </w:rPr>
            </w:pPr>
            <w:r w:rsidRPr="00FD1F06">
              <w:rPr>
                <w:rFonts w:asciiTheme="minorHAnsi" w:hAnsiTheme="minorHAnsi"/>
                <w:sz w:val="21"/>
                <w:szCs w:val="21"/>
              </w:rPr>
              <w:t>C33-34 lung</w:t>
            </w:r>
          </w:p>
        </w:tc>
        <w:tc>
          <w:tcPr>
            <w:tcW w:w="953" w:type="dxa"/>
          </w:tcPr>
          <w:p w14:paraId="0131AF52" w14:textId="00A44456"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60</w:t>
            </w:r>
            <w:r w:rsidR="006F198F">
              <w:rPr>
                <w:rFonts w:asciiTheme="minorHAnsi" w:hAnsiTheme="minorHAnsi"/>
                <w:sz w:val="21"/>
                <w:szCs w:val="21"/>
              </w:rPr>
              <w:t>,</w:t>
            </w:r>
            <w:r w:rsidRPr="00FD1F06">
              <w:rPr>
                <w:rFonts w:asciiTheme="minorHAnsi" w:hAnsiTheme="minorHAnsi"/>
                <w:sz w:val="21"/>
                <w:szCs w:val="21"/>
              </w:rPr>
              <w:t>635</w:t>
            </w:r>
          </w:p>
        </w:tc>
        <w:tc>
          <w:tcPr>
            <w:tcW w:w="890" w:type="dxa"/>
          </w:tcPr>
          <w:p w14:paraId="6A1F9D00" w14:textId="38DE512A"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35</w:t>
            </w:r>
            <w:r w:rsidR="006F198F">
              <w:rPr>
                <w:rFonts w:asciiTheme="minorHAnsi" w:hAnsiTheme="minorHAnsi"/>
                <w:sz w:val="21"/>
                <w:szCs w:val="21"/>
              </w:rPr>
              <w:t>,</w:t>
            </w:r>
            <w:r w:rsidRPr="00FD1F06">
              <w:rPr>
                <w:rFonts w:asciiTheme="minorHAnsi" w:hAnsiTheme="minorHAnsi"/>
                <w:sz w:val="21"/>
                <w:szCs w:val="21"/>
              </w:rPr>
              <w:t>042</w:t>
            </w:r>
          </w:p>
        </w:tc>
        <w:tc>
          <w:tcPr>
            <w:tcW w:w="893" w:type="dxa"/>
          </w:tcPr>
          <w:p w14:paraId="59D6FC64" w14:textId="43DC7B65"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25</w:t>
            </w:r>
            <w:r w:rsidR="006F198F">
              <w:rPr>
                <w:rFonts w:asciiTheme="minorHAnsi" w:hAnsiTheme="minorHAnsi"/>
                <w:sz w:val="21"/>
                <w:szCs w:val="21"/>
              </w:rPr>
              <w:t>,</w:t>
            </w:r>
            <w:r w:rsidRPr="00FD1F06">
              <w:rPr>
                <w:rFonts w:asciiTheme="minorHAnsi" w:hAnsiTheme="minorHAnsi"/>
                <w:sz w:val="21"/>
                <w:szCs w:val="21"/>
              </w:rPr>
              <w:t>593</w:t>
            </w:r>
          </w:p>
        </w:tc>
        <w:tc>
          <w:tcPr>
            <w:tcW w:w="1398" w:type="dxa"/>
          </w:tcPr>
          <w:p w14:paraId="279D6325"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71 (63-77)</w:t>
            </w:r>
          </w:p>
        </w:tc>
        <w:tc>
          <w:tcPr>
            <w:tcW w:w="1508" w:type="dxa"/>
          </w:tcPr>
          <w:p w14:paraId="5BF13B9C"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71 (63-78)</w:t>
            </w:r>
          </w:p>
        </w:tc>
      </w:tr>
      <w:tr w:rsidR="003E2932" w:rsidRPr="00FD1F06" w14:paraId="1212E195" w14:textId="77777777" w:rsidTr="0041177B">
        <w:tc>
          <w:tcPr>
            <w:tcW w:w="3374" w:type="dxa"/>
          </w:tcPr>
          <w:p w14:paraId="2942D114" w14:textId="77777777" w:rsidR="003E2932" w:rsidRPr="00FD1F06" w:rsidRDefault="003E2932" w:rsidP="00D232AE">
            <w:pPr>
              <w:rPr>
                <w:rFonts w:asciiTheme="minorHAnsi" w:hAnsiTheme="minorHAnsi"/>
                <w:sz w:val="21"/>
                <w:szCs w:val="21"/>
              </w:rPr>
            </w:pPr>
            <w:r w:rsidRPr="00FD1F06">
              <w:rPr>
                <w:rFonts w:asciiTheme="minorHAnsi" w:hAnsiTheme="minorHAnsi"/>
                <w:sz w:val="21"/>
                <w:szCs w:val="21"/>
              </w:rPr>
              <w:t>C50 breast</w:t>
            </w:r>
          </w:p>
        </w:tc>
        <w:tc>
          <w:tcPr>
            <w:tcW w:w="953" w:type="dxa"/>
          </w:tcPr>
          <w:p w14:paraId="035BB09B" w14:textId="7C76AD66"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75</w:t>
            </w:r>
            <w:r w:rsidR="006F198F">
              <w:rPr>
                <w:rFonts w:asciiTheme="minorHAnsi" w:hAnsiTheme="minorHAnsi"/>
                <w:sz w:val="21"/>
                <w:szCs w:val="21"/>
              </w:rPr>
              <w:t>,</w:t>
            </w:r>
            <w:r w:rsidRPr="00FD1F06">
              <w:rPr>
                <w:rFonts w:asciiTheme="minorHAnsi" w:hAnsiTheme="minorHAnsi"/>
                <w:sz w:val="21"/>
                <w:szCs w:val="21"/>
              </w:rPr>
              <w:t>090</w:t>
            </w:r>
          </w:p>
        </w:tc>
        <w:tc>
          <w:tcPr>
            <w:tcW w:w="890" w:type="dxa"/>
          </w:tcPr>
          <w:p w14:paraId="6F92D098" w14:textId="77777777" w:rsidR="003E2932" w:rsidRPr="00FD1F06" w:rsidRDefault="003E2932" w:rsidP="00D232AE">
            <w:pPr>
              <w:jc w:val="right"/>
              <w:rPr>
                <w:rFonts w:asciiTheme="minorHAnsi" w:hAnsiTheme="minorHAnsi"/>
                <w:sz w:val="21"/>
                <w:szCs w:val="21"/>
              </w:rPr>
            </w:pPr>
          </w:p>
        </w:tc>
        <w:tc>
          <w:tcPr>
            <w:tcW w:w="893" w:type="dxa"/>
          </w:tcPr>
          <w:p w14:paraId="6E595073" w14:textId="6FE72ED8"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75</w:t>
            </w:r>
            <w:r w:rsidR="006F198F">
              <w:rPr>
                <w:rFonts w:asciiTheme="minorHAnsi" w:hAnsiTheme="minorHAnsi"/>
                <w:sz w:val="21"/>
                <w:szCs w:val="21"/>
              </w:rPr>
              <w:t>,</w:t>
            </w:r>
            <w:r w:rsidRPr="00FD1F06">
              <w:rPr>
                <w:rFonts w:asciiTheme="minorHAnsi" w:hAnsiTheme="minorHAnsi"/>
                <w:sz w:val="21"/>
                <w:szCs w:val="21"/>
              </w:rPr>
              <w:t>090</w:t>
            </w:r>
          </w:p>
        </w:tc>
        <w:tc>
          <w:tcPr>
            <w:tcW w:w="1398" w:type="dxa"/>
          </w:tcPr>
          <w:p w14:paraId="73704815" w14:textId="77777777" w:rsidR="003E2932" w:rsidRPr="00FD1F06" w:rsidRDefault="003E2932" w:rsidP="00D232AE">
            <w:pPr>
              <w:jc w:val="center"/>
              <w:rPr>
                <w:rFonts w:asciiTheme="minorHAnsi" w:hAnsiTheme="minorHAnsi"/>
                <w:sz w:val="21"/>
                <w:szCs w:val="21"/>
              </w:rPr>
            </w:pPr>
          </w:p>
        </w:tc>
        <w:tc>
          <w:tcPr>
            <w:tcW w:w="1508" w:type="dxa"/>
          </w:tcPr>
          <w:p w14:paraId="358A34A8"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59 (50-71)</w:t>
            </w:r>
          </w:p>
        </w:tc>
      </w:tr>
      <w:tr w:rsidR="003E2932" w:rsidRPr="00FD1F06" w14:paraId="7D843778" w14:textId="77777777" w:rsidTr="0041177B">
        <w:tc>
          <w:tcPr>
            <w:tcW w:w="3374" w:type="dxa"/>
          </w:tcPr>
          <w:p w14:paraId="7964CEB7" w14:textId="77777777" w:rsidR="003E2932" w:rsidRPr="00FD1F06" w:rsidRDefault="003E2932" w:rsidP="00D232AE">
            <w:pPr>
              <w:rPr>
                <w:rFonts w:asciiTheme="minorHAnsi" w:hAnsiTheme="minorHAnsi"/>
                <w:sz w:val="21"/>
                <w:szCs w:val="21"/>
              </w:rPr>
            </w:pPr>
            <w:r w:rsidRPr="00FD1F06">
              <w:rPr>
                <w:rFonts w:asciiTheme="minorHAnsi" w:hAnsiTheme="minorHAnsi"/>
                <w:sz w:val="21"/>
                <w:szCs w:val="21"/>
              </w:rPr>
              <w:t>C53 cervix</w:t>
            </w:r>
          </w:p>
        </w:tc>
        <w:tc>
          <w:tcPr>
            <w:tcW w:w="953" w:type="dxa"/>
          </w:tcPr>
          <w:p w14:paraId="2B5B4E86" w14:textId="12FCFA00"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7</w:t>
            </w:r>
            <w:r w:rsidR="006F198F">
              <w:rPr>
                <w:rFonts w:asciiTheme="minorHAnsi" w:hAnsiTheme="minorHAnsi"/>
                <w:sz w:val="21"/>
                <w:szCs w:val="21"/>
              </w:rPr>
              <w:t>,</w:t>
            </w:r>
            <w:r w:rsidRPr="00FD1F06">
              <w:rPr>
                <w:rFonts w:asciiTheme="minorHAnsi" w:hAnsiTheme="minorHAnsi"/>
                <w:sz w:val="21"/>
                <w:szCs w:val="21"/>
              </w:rPr>
              <w:t>170</w:t>
            </w:r>
          </w:p>
        </w:tc>
        <w:tc>
          <w:tcPr>
            <w:tcW w:w="890" w:type="dxa"/>
          </w:tcPr>
          <w:p w14:paraId="68E030E3" w14:textId="77777777" w:rsidR="003E2932" w:rsidRPr="00FD1F06" w:rsidRDefault="003E2932" w:rsidP="00D232AE">
            <w:pPr>
              <w:jc w:val="right"/>
              <w:rPr>
                <w:rFonts w:asciiTheme="minorHAnsi" w:hAnsiTheme="minorHAnsi"/>
                <w:sz w:val="21"/>
                <w:szCs w:val="21"/>
              </w:rPr>
            </w:pPr>
          </w:p>
        </w:tc>
        <w:tc>
          <w:tcPr>
            <w:tcW w:w="893" w:type="dxa"/>
          </w:tcPr>
          <w:p w14:paraId="7BC055DE" w14:textId="0E0F8A46"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7</w:t>
            </w:r>
            <w:r w:rsidR="006F198F">
              <w:rPr>
                <w:rFonts w:asciiTheme="minorHAnsi" w:hAnsiTheme="minorHAnsi"/>
                <w:sz w:val="21"/>
                <w:szCs w:val="21"/>
              </w:rPr>
              <w:t>,</w:t>
            </w:r>
            <w:r w:rsidRPr="00FD1F06">
              <w:rPr>
                <w:rFonts w:asciiTheme="minorHAnsi" w:hAnsiTheme="minorHAnsi"/>
                <w:sz w:val="21"/>
                <w:szCs w:val="21"/>
              </w:rPr>
              <w:t>170</w:t>
            </w:r>
          </w:p>
        </w:tc>
        <w:tc>
          <w:tcPr>
            <w:tcW w:w="1398" w:type="dxa"/>
          </w:tcPr>
          <w:p w14:paraId="1CAB2AF3" w14:textId="77777777" w:rsidR="003E2932" w:rsidRPr="00FD1F06" w:rsidRDefault="003E2932" w:rsidP="00D232AE">
            <w:pPr>
              <w:jc w:val="center"/>
              <w:rPr>
                <w:rFonts w:asciiTheme="minorHAnsi" w:hAnsiTheme="minorHAnsi"/>
                <w:sz w:val="21"/>
                <w:szCs w:val="21"/>
              </w:rPr>
            </w:pPr>
          </w:p>
        </w:tc>
        <w:tc>
          <w:tcPr>
            <w:tcW w:w="1508" w:type="dxa"/>
          </w:tcPr>
          <w:p w14:paraId="6D9B6525"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45 (37-58)</w:t>
            </w:r>
          </w:p>
        </w:tc>
      </w:tr>
      <w:tr w:rsidR="003E2932" w:rsidRPr="00FD1F06" w14:paraId="37563977" w14:textId="77777777" w:rsidTr="0041177B">
        <w:tc>
          <w:tcPr>
            <w:tcW w:w="3374" w:type="dxa"/>
          </w:tcPr>
          <w:p w14:paraId="545100B0" w14:textId="77777777" w:rsidR="003E2932" w:rsidRPr="00FD1F06" w:rsidRDefault="003E2932" w:rsidP="00D232AE">
            <w:pPr>
              <w:rPr>
                <w:rFonts w:asciiTheme="minorHAnsi" w:hAnsiTheme="minorHAnsi"/>
                <w:sz w:val="21"/>
                <w:szCs w:val="21"/>
              </w:rPr>
            </w:pPr>
            <w:r w:rsidRPr="00FD1F06">
              <w:rPr>
                <w:rFonts w:asciiTheme="minorHAnsi" w:hAnsiTheme="minorHAnsi"/>
                <w:sz w:val="21"/>
                <w:szCs w:val="21"/>
              </w:rPr>
              <w:t>C56-57, C48 ovary-mucinous</w:t>
            </w:r>
          </w:p>
        </w:tc>
        <w:tc>
          <w:tcPr>
            <w:tcW w:w="953" w:type="dxa"/>
          </w:tcPr>
          <w:p w14:paraId="429430C9" w14:textId="7777777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431</w:t>
            </w:r>
          </w:p>
        </w:tc>
        <w:tc>
          <w:tcPr>
            <w:tcW w:w="890" w:type="dxa"/>
          </w:tcPr>
          <w:p w14:paraId="4A20687C" w14:textId="77777777" w:rsidR="003E2932" w:rsidRPr="00FD1F06" w:rsidRDefault="003E2932" w:rsidP="00D232AE">
            <w:pPr>
              <w:jc w:val="right"/>
              <w:rPr>
                <w:rFonts w:asciiTheme="minorHAnsi" w:hAnsiTheme="minorHAnsi"/>
                <w:sz w:val="21"/>
                <w:szCs w:val="21"/>
              </w:rPr>
            </w:pPr>
          </w:p>
        </w:tc>
        <w:tc>
          <w:tcPr>
            <w:tcW w:w="893" w:type="dxa"/>
          </w:tcPr>
          <w:p w14:paraId="5855323D" w14:textId="7777777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431</w:t>
            </w:r>
          </w:p>
        </w:tc>
        <w:tc>
          <w:tcPr>
            <w:tcW w:w="1398" w:type="dxa"/>
          </w:tcPr>
          <w:p w14:paraId="57753C27" w14:textId="77777777" w:rsidR="003E2932" w:rsidRPr="00FD1F06" w:rsidRDefault="003E2932" w:rsidP="00D232AE">
            <w:pPr>
              <w:jc w:val="center"/>
              <w:rPr>
                <w:rFonts w:asciiTheme="minorHAnsi" w:hAnsiTheme="minorHAnsi"/>
                <w:sz w:val="21"/>
                <w:szCs w:val="21"/>
              </w:rPr>
            </w:pPr>
          </w:p>
        </w:tc>
        <w:tc>
          <w:tcPr>
            <w:tcW w:w="1508" w:type="dxa"/>
          </w:tcPr>
          <w:p w14:paraId="479196E2"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55 (43-67)</w:t>
            </w:r>
          </w:p>
        </w:tc>
      </w:tr>
      <w:tr w:rsidR="003E2932" w:rsidRPr="00FD1F06" w14:paraId="4C8CE6CF" w14:textId="77777777" w:rsidTr="0041177B">
        <w:tc>
          <w:tcPr>
            <w:tcW w:w="3374" w:type="dxa"/>
          </w:tcPr>
          <w:p w14:paraId="01E74A26" w14:textId="77777777" w:rsidR="003E2932" w:rsidRPr="00FD1F06" w:rsidRDefault="003E2932" w:rsidP="00D232AE">
            <w:pPr>
              <w:rPr>
                <w:rFonts w:asciiTheme="minorHAnsi" w:hAnsiTheme="minorHAnsi"/>
                <w:sz w:val="21"/>
                <w:szCs w:val="21"/>
              </w:rPr>
            </w:pPr>
            <w:r w:rsidRPr="00FD1F06">
              <w:rPr>
                <w:rFonts w:asciiTheme="minorHAnsi" w:hAnsiTheme="minorHAnsi"/>
                <w:sz w:val="21"/>
                <w:szCs w:val="21"/>
              </w:rPr>
              <w:t>C64-66, C68 kidney</w:t>
            </w:r>
          </w:p>
        </w:tc>
        <w:tc>
          <w:tcPr>
            <w:tcW w:w="953" w:type="dxa"/>
          </w:tcPr>
          <w:p w14:paraId="211444F6" w14:textId="053862B8"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15</w:t>
            </w:r>
            <w:r w:rsidR="006F198F">
              <w:rPr>
                <w:rFonts w:asciiTheme="minorHAnsi" w:hAnsiTheme="minorHAnsi"/>
                <w:sz w:val="21"/>
                <w:szCs w:val="21"/>
              </w:rPr>
              <w:t>,</w:t>
            </w:r>
            <w:r w:rsidRPr="00FD1F06">
              <w:rPr>
                <w:rFonts w:asciiTheme="minorHAnsi" w:hAnsiTheme="minorHAnsi"/>
                <w:sz w:val="21"/>
                <w:szCs w:val="21"/>
              </w:rPr>
              <w:t>079</w:t>
            </w:r>
          </w:p>
        </w:tc>
        <w:tc>
          <w:tcPr>
            <w:tcW w:w="890" w:type="dxa"/>
          </w:tcPr>
          <w:p w14:paraId="21A64AD7" w14:textId="5F2FE4AA"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9</w:t>
            </w:r>
            <w:r w:rsidR="006F198F">
              <w:rPr>
                <w:rFonts w:asciiTheme="minorHAnsi" w:hAnsiTheme="minorHAnsi"/>
                <w:sz w:val="21"/>
                <w:szCs w:val="21"/>
              </w:rPr>
              <w:t>,</w:t>
            </w:r>
            <w:r w:rsidRPr="00FD1F06">
              <w:rPr>
                <w:rFonts w:asciiTheme="minorHAnsi" w:hAnsiTheme="minorHAnsi"/>
                <w:sz w:val="21"/>
                <w:szCs w:val="21"/>
              </w:rPr>
              <w:t>622</w:t>
            </w:r>
          </w:p>
        </w:tc>
        <w:tc>
          <w:tcPr>
            <w:tcW w:w="893" w:type="dxa"/>
          </w:tcPr>
          <w:p w14:paraId="0391F0CD" w14:textId="4B6433F6"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5</w:t>
            </w:r>
            <w:r w:rsidR="006F198F">
              <w:rPr>
                <w:rFonts w:asciiTheme="minorHAnsi" w:hAnsiTheme="minorHAnsi"/>
                <w:sz w:val="21"/>
                <w:szCs w:val="21"/>
              </w:rPr>
              <w:t>,</w:t>
            </w:r>
            <w:r w:rsidRPr="00FD1F06">
              <w:rPr>
                <w:rFonts w:asciiTheme="minorHAnsi" w:hAnsiTheme="minorHAnsi"/>
                <w:sz w:val="21"/>
                <w:szCs w:val="21"/>
              </w:rPr>
              <w:t>457</w:t>
            </w:r>
          </w:p>
        </w:tc>
        <w:tc>
          <w:tcPr>
            <w:tcW w:w="1398" w:type="dxa"/>
          </w:tcPr>
          <w:p w14:paraId="10CFA205"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66 (56-75)</w:t>
            </w:r>
          </w:p>
        </w:tc>
        <w:tc>
          <w:tcPr>
            <w:tcW w:w="1508" w:type="dxa"/>
          </w:tcPr>
          <w:p w14:paraId="0887607A"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68 (57-77)</w:t>
            </w:r>
          </w:p>
        </w:tc>
      </w:tr>
      <w:tr w:rsidR="003E2932" w:rsidRPr="00FD1F06" w14:paraId="21DF48C5" w14:textId="77777777" w:rsidTr="0041177B">
        <w:tc>
          <w:tcPr>
            <w:tcW w:w="3374" w:type="dxa"/>
          </w:tcPr>
          <w:p w14:paraId="547F7FC5" w14:textId="4708CF79" w:rsidR="003E2932" w:rsidRPr="00FD1F06" w:rsidRDefault="003E2932" w:rsidP="00D232AE">
            <w:pPr>
              <w:rPr>
                <w:rFonts w:asciiTheme="minorHAnsi" w:hAnsiTheme="minorHAnsi"/>
                <w:sz w:val="21"/>
                <w:szCs w:val="21"/>
              </w:rPr>
            </w:pPr>
            <w:r w:rsidRPr="00FD1F06">
              <w:rPr>
                <w:rFonts w:asciiTheme="minorHAnsi" w:hAnsiTheme="minorHAnsi"/>
                <w:sz w:val="21"/>
                <w:szCs w:val="21"/>
              </w:rPr>
              <w:t>C67,</w:t>
            </w:r>
            <w:r w:rsidR="005F4BDB">
              <w:rPr>
                <w:rFonts w:asciiTheme="minorHAnsi" w:hAnsiTheme="minorHAnsi"/>
                <w:sz w:val="21"/>
                <w:szCs w:val="21"/>
              </w:rPr>
              <w:t xml:space="preserve"> </w:t>
            </w:r>
            <w:r w:rsidRPr="00FD1F06">
              <w:rPr>
                <w:rFonts w:asciiTheme="minorHAnsi" w:hAnsiTheme="minorHAnsi"/>
                <w:sz w:val="21"/>
                <w:szCs w:val="21"/>
              </w:rPr>
              <w:t>D090,</w:t>
            </w:r>
            <w:r w:rsidR="005F4BDB">
              <w:rPr>
                <w:rFonts w:asciiTheme="minorHAnsi" w:hAnsiTheme="minorHAnsi"/>
                <w:sz w:val="21"/>
                <w:szCs w:val="21"/>
              </w:rPr>
              <w:t xml:space="preserve"> </w:t>
            </w:r>
            <w:r w:rsidRPr="00FD1F06">
              <w:rPr>
                <w:rFonts w:asciiTheme="minorHAnsi" w:hAnsiTheme="minorHAnsi"/>
                <w:sz w:val="21"/>
                <w:szCs w:val="21"/>
              </w:rPr>
              <w:t>D414 bladder &amp; NMIBC</w:t>
            </w:r>
          </w:p>
        </w:tc>
        <w:tc>
          <w:tcPr>
            <w:tcW w:w="953" w:type="dxa"/>
          </w:tcPr>
          <w:p w14:paraId="3A5589F9" w14:textId="5E2A34EA"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19</w:t>
            </w:r>
            <w:r w:rsidR="006F198F">
              <w:rPr>
                <w:rFonts w:asciiTheme="minorHAnsi" w:hAnsiTheme="minorHAnsi"/>
                <w:sz w:val="21"/>
                <w:szCs w:val="21"/>
              </w:rPr>
              <w:t>,</w:t>
            </w:r>
            <w:r w:rsidRPr="00FD1F06">
              <w:rPr>
                <w:rFonts w:asciiTheme="minorHAnsi" w:hAnsiTheme="minorHAnsi"/>
                <w:sz w:val="21"/>
                <w:szCs w:val="21"/>
              </w:rPr>
              <w:t>524</w:t>
            </w:r>
          </w:p>
        </w:tc>
        <w:tc>
          <w:tcPr>
            <w:tcW w:w="890" w:type="dxa"/>
          </w:tcPr>
          <w:p w14:paraId="7E9AF463" w14:textId="143CD8F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14</w:t>
            </w:r>
            <w:r w:rsidR="006F198F">
              <w:rPr>
                <w:rFonts w:asciiTheme="minorHAnsi" w:hAnsiTheme="minorHAnsi"/>
                <w:sz w:val="21"/>
                <w:szCs w:val="21"/>
              </w:rPr>
              <w:t>,</w:t>
            </w:r>
            <w:r w:rsidRPr="00FD1F06">
              <w:rPr>
                <w:rFonts w:asciiTheme="minorHAnsi" w:hAnsiTheme="minorHAnsi"/>
                <w:sz w:val="21"/>
                <w:szCs w:val="21"/>
              </w:rPr>
              <w:t>102</w:t>
            </w:r>
          </w:p>
        </w:tc>
        <w:tc>
          <w:tcPr>
            <w:tcW w:w="893" w:type="dxa"/>
          </w:tcPr>
          <w:p w14:paraId="199E7F7D" w14:textId="7D5C3B0B"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5</w:t>
            </w:r>
            <w:r w:rsidR="006F198F">
              <w:rPr>
                <w:rFonts w:asciiTheme="minorHAnsi" w:hAnsiTheme="minorHAnsi"/>
                <w:sz w:val="21"/>
                <w:szCs w:val="21"/>
              </w:rPr>
              <w:t>,</w:t>
            </w:r>
            <w:r w:rsidRPr="00FD1F06">
              <w:rPr>
                <w:rFonts w:asciiTheme="minorHAnsi" w:hAnsiTheme="minorHAnsi"/>
                <w:sz w:val="21"/>
                <w:szCs w:val="21"/>
              </w:rPr>
              <w:t>422</w:t>
            </w:r>
          </w:p>
        </w:tc>
        <w:tc>
          <w:tcPr>
            <w:tcW w:w="1398" w:type="dxa"/>
          </w:tcPr>
          <w:p w14:paraId="708DAC42"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72 (63-79)</w:t>
            </w:r>
          </w:p>
        </w:tc>
        <w:tc>
          <w:tcPr>
            <w:tcW w:w="1508" w:type="dxa"/>
          </w:tcPr>
          <w:p w14:paraId="0616559E"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72 (62-80)</w:t>
            </w:r>
          </w:p>
        </w:tc>
      </w:tr>
      <w:tr w:rsidR="003E2932" w:rsidRPr="00FD1F06" w14:paraId="5036D9B5" w14:textId="77777777" w:rsidTr="0041177B">
        <w:tc>
          <w:tcPr>
            <w:tcW w:w="3374" w:type="dxa"/>
          </w:tcPr>
          <w:p w14:paraId="0DF77427" w14:textId="049688F1" w:rsidR="003E2932" w:rsidRPr="00FD1F06" w:rsidRDefault="003E2932" w:rsidP="00D232AE">
            <w:pPr>
              <w:rPr>
                <w:rFonts w:asciiTheme="minorHAnsi" w:hAnsiTheme="minorHAnsi"/>
                <w:sz w:val="21"/>
                <w:szCs w:val="21"/>
              </w:rPr>
            </w:pPr>
            <w:r w:rsidRPr="00FD1F06">
              <w:rPr>
                <w:rFonts w:asciiTheme="minorHAnsi" w:hAnsiTheme="minorHAnsi"/>
                <w:sz w:val="21"/>
                <w:szCs w:val="21"/>
              </w:rPr>
              <w:t>C920,</w:t>
            </w:r>
            <w:r w:rsidR="005F4BDB">
              <w:rPr>
                <w:rFonts w:asciiTheme="minorHAnsi" w:hAnsiTheme="minorHAnsi"/>
                <w:sz w:val="21"/>
                <w:szCs w:val="21"/>
              </w:rPr>
              <w:t xml:space="preserve"> </w:t>
            </w:r>
            <w:r w:rsidRPr="00FD1F06">
              <w:rPr>
                <w:rFonts w:asciiTheme="minorHAnsi" w:hAnsiTheme="minorHAnsi"/>
                <w:sz w:val="21"/>
                <w:szCs w:val="21"/>
              </w:rPr>
              <w:t>C924-C926, C928, C930, C940, C942 AML</w:t>
            </w:r>
          </w:p>
        </w:tc>
        <w:tc>
          <w:tcPr>
            <w:tcW w:w="953" w:type="dxa"/>
          </w:tcPr>
          <w:p w14:paraId="692FB3B0" w14:textId="5652017E"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3</w:t>
            </w:r>
            <w:r w:rsidR="006F198F">
              <w:rPr>
                <w:rFonts w:asciiTheme="minorHAnsi" w:hAnsiTheme="minorHAnsi"/>
                <w:sz w:val="21"/>
                <w:szCs w:val="21"/>
              </w:rPr>
              <w:t>,</w:t>
            </w:r>
            <w:r w:rsidRPr="00FD1F06">
              <w:rPr>
                <w:rFonts w:asciiTheme="minorHAnsi" w:hAnsiTheme="minorHAnsi"/>
                <w:sz w:val="21"/>
                <w:szCs w:val="21"/>
              </w:rPr>
              <w:t>181</w:t>
            </w:r>
          </w:p>
        </w:tc>
        <w:tc>
          <w:tcPr>
            <w:tcW w:w="890" w:type="dxa"/>
          </w:tcPr>
          <w:p w14:paraId="660D57A1" w14:textId="2310193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1</w:t>
            </w:r>
            <w:r w:rsidR="006F198F">
              <w:rPr>
                <w:rFonts w:asciiTheme="minorHAnsi" w:hAnsiTheme="minorHAnsi"/>
                <w:sz w:val="21"/>
                <w:szCs w:val="21"/>
              </w:rPr>
              <w:t>,</w:t>
            </w:r>
            <w:r w:rsidRPr="00FD1F06">
              <w:rPr>
                <w:rFonts w:asciiTheme="minorHAnsi" w:hAnsiTheme="minorHAnsi"/>
                <w:sz w:val="21"/>
                <w:szCs w:val="21"/>
              </w:rPr>
              <w:t>768</w:t>
            </w:r>
          </w:p>
        </w:tc>
        <w:tc>
          <w:tcPr>
            <w:tcW w:w="893" w:type="dxa"/>
          </w:tcPr>
          <w:p w14:paraId="28E79C86" w14:textId="3BA40FAC"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1</w:t>
            </w:r>
            <w:r w:rsidR="006F198F">
              <w:rPr>
                <w:rFonts w:asciiTheme="minorHAnsi" w:hAnsiTheme="minorHAnsi"/>
                <w:sz w:val="21"/>
                <w:szCs w:val="21"/>
              </w:rPr>
              <w:t>,</w:t>
            </w:r>
            <w:r w:rsidRPr="00FD1F06">
              <w:rPr>
                <w:rFonts w:asciiTheme="minorHAnsi" w:hAnsiTheme="minorHAnsi"/>
                <w:sz w:val="21"/>
                <w:szCs w:val="21"/>
              </w:rPr>
              <w:t>413</w:t>
            </w:r>
          </w:p>
        </w:tc>
        <w:tc>
          <w:tcPr>
            <w:tcW w:w="1398" w:type="dxa"/>
          </w:tcPr>
          <w:p w14:paraId="586C7CC5"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66 (51-76)</w:t>
            </w:r>
          </w:p>
        </w:tc>
        <w:tc>
          <w:tcPr>
            <w:tcW w:w="1508" w:type="dxa"/>
          </w:tcPr>
          <w:p w14:paraId="54FB8554"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63 (43-76)</w:t>
            </w:r>
          </w:p>
        </w:tc>
      </w:tr>
    </w:tbl>
    <w:p w14:paraId="38E83C17" w14:textId="77777777" w:rsidR="00392601" w:rsidRDefault="00392601" w:rsidP="00D232AE">
      <w:pPr>
        <w:spacing w:after="0"/>
        <w:sectPr w:rsidR="00392601" w:rsidSect="002746C0">
          <w:pgSz w:w="11906" w:h="16838"/>
          <w:pgMar w:top="1440" w:right="1440" w:bottom="1440" w:left="1440" w:header="708" w:footer="708" w:gutter="0"/>
          <w:cols w:space="708"/>
          <w:docGrid w:linePitch="360"/>
        </w:sectPr>
      </w:pPr>
    </w:p>
    <w:p w14:paraId="203B8678" w14:textId="77777777" w:rsidR="00392601" w:rsidRDefault="00392601" w:rsidP="00D232AE">
      <w:pPr>
        <w:pStyle w:val="Heading1"/>
        <w:spacing w:before="0" w:after="0"/>
      </w:pPr>
      <w:bookmarkStart w:id="55" w:name="_Toc197557037"/>
      <w:bookmarkStart w:id="56" w:name="_Toc201512431"/>
      <w:r>
        <w:t>Overall Trends in Tobacco-Related Cancers</w:t>
      </w:r>
      <w:bookmarkEnd w:id="55"/>
      <w:bookmarkEnd w:id="56"/>
    </w:p>
    <w:p w14:paraId="26A26E61" w14:textId="16B5A6EA" w:rsidR="00392601" w:rsidRDefault="00392601" w:rsidP="00D232AE">
      <w:pPr>
        <w:spacing w:after="0" w:line="240" w:lineRule="auto"/>
      </w:pPr>
      <w:r w:rsidRPr="00C32002">
        <w:t xml:space="preserve">This section provides an overview of trends across </w:t>
      </w:r>
      <w:r>
        <w:t xml:space="preserve">all </w:t>
      </w:r>
      <w:r w:rsidRPr="00C32002">
        <w:t>tobacco</w:t>
      </w:r>
      <w:r w:rsidR="00A45DCC">
        <w:t>-</w:t>
      </w:r>
      <w:r w:rsidRPr="00C32002">
        <w:t xml:space="preserve">related cancers </w:t>
      </w:r>
      <w:r>
        <w:t xml:space="preserve">combined </w:t>
      </w:r>
      <w:r w:rsidRPr="00C32002">
        <w:t xml:space="preserve">and </w:t>
      </w:r>
      <w:r>
        <w:t>provides</w:t>
      </w:r>
      <w:r w:rsidRPr="00C32002">
        <w:t xml:space="preserve"> the PAF for tobacco </w:t>
      </w:r>
      <w:r w:rsidR="008A4FDD">
        <w:t xml:space="preserve">smoking </w:t>
      </w:r>
      <w:r w:rsidRPr="00C32002">
        <w:t xml:space="preserve">for cancer incidence in Ireland in 2022 across all cancer </w:t>
      </w:r>
      <w:r w:rsidR="00366242">
        <w:t>types</w:t>
      </w:r>
      <w:r>
        <w:t xml:space="preserve"> (excluding NMSC).</w:t>
      </w:r>
    </w:p>
    <w:p w14:paraId="40714F56" w14:textId="77777777" w:rsidR="00392601" w:rsidRPr="00C32002" w:rsidRDefault="00392601" w:rsidP="00D232AE">
      <w:pPr>
        <w:spacing w:after="0" w:line="240" w:lineRule="auto"/>
      </w:pPr>
    </w:p>
    <w:p w14:paraId="55FD76C0" w14:textId="77777777" w:rsidR="00392601" w:rsidRPr="00C32002" w:rsidRDefault="00392601" w:rsidP="00D232AE">
      <w:pPr>
        <w:numPr>
          <w:ilvl w:val="1"/>
          <w:numId w:val="0"/>
        </w:numPr>
        <w:spacing w:after="0" w:line="240" w:lineRule="auto"/>
        <w:rPr>
          <w:rFonts w:eastAsiaTheme="majorEastAsia" w:cstheme="minorHAnsi"/>
          <w:i/>
          <w:iCs/>
          <w:color w:val="0F4761" w:themeColor="accent1" w:themeShade="BF"/>
          <w:spacing w:val="15"/>
          <w:sz w:val="28"/>
          <w:szCs w:val="28"/>
        </w:rPr>
      </w:pPr>
      <w:r w:rsidRPr="00C32002">
        <w:rPr>
          <w:rFonts w:eastAsiaTheme="majorEastAsia" w:cstheme="minorHAnsi"/>
          <w:i/>
          <w:iCs/>
          <w:color w:val="0F4761" w:themeColor="accent1" w:themeShade="BF"/>
          <w:spacing w:val="15"/>
          <w:sz w:val="28"/>
          <w:szCs w:val="28"/>
        </w:rPr>
        <w:t>Key points</w:t>
      </w:r>
    </w:p>
    <w:p w14:paraId="77C17BCA" w14:textId="77777777" w:rsidR="00392601" w:rsidRPr="00C32002" w:rsidRDefault="00392601" w:rsidP="00D232AE">
      <w:pPr>
        <w:numPr>
          <w:ilvl w:val="1"/>
          <w:numId w:val="0"/>
        </w:numPr>
        <w:spacing w:after="0" w:line="240" w:lineRule="auto"/>
        <w:rPr>
          <w:rFonts w:eastAsiaTheme="majorEastAsia" w:cstheme="minorHAnsi"/>
          <w:i/>
          <w:iCs/>
          <w:color w:val="595959" w:themeColor="text1" w:themeTint="A6"/>
          <w:spacing w:val="15"/>
          <w:sz w:val="28"/>
          <w:szCs w:val="28"/>
        </w:rPr>
      </w:pPr>
      <w:r w:rsidRPr="00C32002">
        <w:rPr>
          <w:rFonts w:eastAsiaTheme="majorEastAsia" w:cstheme="minorHAnsi"/>
          <w:i/>
          <w:iCs/>
          <w:color w:val="595959" w:themeColor="text1" w:themeTint="A6"/>
          <w:spacing w:val="15"/>
          <w:sz w:val="28"/>
          <w:szCs w:val="28"/>
        </w:rPr>
        <w:t>Incidence</w:t>
      </w:r>
    </w:p>
    <w:p w14:paraId="7FFE7B1A" w14:textId="0F2F58C4" w:rsidR="00B32A82" w:rsidRDefault="00B32A82" w:rsidP="00D232AE">
      <w:pPr>
        <w:numPr>
          <w:ilvl w:val="0"/>
          <w:numId w:val="6"/>
        </w:numPr>
        <w:spacing w:after="0" w:line="240" w:lineRule="auto"/>
        <w:contextualSpacing/>
      </w:pPr>
      <w:r w:rsidRPr="00B32A82">
        <w:t xml:space="preserve">Incidence was stable for males </w:t>
      </w:r>
      <w:r w:rsidR="008A4FDD">
        <w:t>from 1994 to 2015 b</w:t>
      </w:r>
      <w:r w:rsidRPr="00B32A82">
        <w:t>efore a decrease of -2.6%</w:t>
      </w:r>
      <w:r w:rsidR="008A4FDD">
        <w:t xml:space="preserve"> </w:t>
      </w:r>
      <w:r w:rsidR="008A4FDD" w:rsidRPr="248D74ED">
        <w:t>(95%CI -3.4; -1.7)</w:t>
      </w:r>
      <w:r w:rsidRPr="00B32A82">
        <w:t xml:space="preserve"> per year from 2015 to 2022.</w:t>
      </w:r>
    </w:p>
    <w:p w14:paraId="05F2A7CD" w14:textId="77777777" w:rsidR="008A4FDD" w:rsidRPr="008A4FDD" w:rsidRDefault="00B32A82" w:rsidP="00D232AE">
      <w:pPr>
        <w:numPr>
          <w:ilvl w:val="0"/>
          <w:numId w:val="6"/>
        </w:numPr>
        <w:spacing w:after="0" w:line="240" w:lineRule="auto"/>
        <w:contextualSpacing/>
        <w:rPr>
          <w:rFonts w:eastAsia="Times New Roman" w:cstheme="minorHAnsi"/>
          <w:i/>
          <w:iCs/>
          <w:color w:val="808080" w:themeColor="background1" w:themeShade="80"/>
        </w:rPr>
      </w:pPr>
      <w:r w:rsidRPr="00B32A82">
        <w:t xml:space="preserve">Incidence for females increased from 1994 to </w:t>
      </w:r>
      <w:r w:rsidR="00D232AE" w:rsidRPr="00B32A82">
        <w:t>2010</w:t>
      </w:r>
      <w:r w:rsidR="00D232AE">
        <w:t xml:space="preserve">, </w:t>
      </w:r>
      <w:r w:rsidR="00D232AE" w:rsidRPr="00B32A82">
        <w:t>before</w:t>
      </w:r>
      <w:r w:rsidRPr="00B32A82">
        <w:t xml:space="preserve"> stabilising from 2010 to 2022</w:t>
      </w:r>
      <w:r>
        <w:t>.</w:t>
      </w:r>
      <w:r w:rsidR="00FC7988">
        <w:t xml:space="preserve"> </w:t>
      </w:r>
    </w:p>
    <w:p w14:paraId="0687B636" w14:textId="42BB6AEB" w:rsidR="00392601" w:rsidRPr="00C32002" w:rsidRDefault="00DB12A1" w:rsidP="00D232AE">
      <w:pPr>
        <w:numPr>
          <w:ilvl w:val="0"/>
          <w:numId w:val="6"/>
        </w:numPr>
        <w:spacing w:after="0" w:line="240" w:lineRule="auto"/>
        <w:contextualSpacing/>
        <w:rPr>
          <w:rFonts w:eastAsia="Times New Roman" w:cstheme="minorHAnsi"/>
          <w:i/>
          <w:iCs/>
          <w:color w:val="808080" w:themeColor="background1" w:themeShade="80"/>
        </w:rPr>
      </w:pPr>
      <w:r>
        <w:rPr>
          <w:rFonts w:cstheme="minorHAnsi"/>
          <w:color w:val="000000" w:themeColor="text1"/>
        </w:rPr>
        <w:t>The a</w:t>
      </w:r>
      <w:r w:rsidR="00392601" w:rsidRPr="00C32002">
        <w:rPr>
          <w:rFonts w:cstheme="minorHAnsi"/>
          <w:color w:val="000000" w:themeColor="text1"/>
        </w:rPr>
        <w:t xml:space="preserve">ge-standardised incidence rate of </w:t>
      </w:r>
      <w:r w:rsidR="00392601" w:rsidRPr="00C32002">
        <w:rPr>
          <w:rFonts w:cstheme="minorHAnsi"/>
        </w:rPr>
        <w:t>tobacco</w:t>
      </w:r>
      <w:r w:rsidR="00A45DCC">
        <w:rPr>
          <w:rFonts w:cstheme="minorHAnsi"/>
        </w:rPr>
        <w:t>-</w:t>
      </w:r>
      <w:r w:rsidR="00392601" w:rsidRPr="00C32002">
        <w:rPr>
          <w:rFonts w:cstheme="minorHAnsi"/>
        </w:rPr>
        <w:t>related cancer</w:t>
      </w:r>
      <w:r w:rsidR="00392601">
        <w:rPr>
          <w:rFonts w:cstheme="minorHAnsi"/>
        </w:rPr>
        <w:t>s</w:t>
      </w:r>
      <w:r w:rsidR="00392601" w:rsidRPr="00C32002">
        <w:rPr>
          <w:rFonts w:cstheme="minorHAnsi"/>
        </w:rPr>
        <w:t xml:space="preserve"> </w:t>
      </w:r>
      <w:r w:rsidR="00392601" w:rsidRPr="00C32002">
        <w:rPr>
          <w:rFonts w:cstheme="minorHAnsi"/>
          <w:color w:val="000000" w:themeColor="text1"/>
        </w:rPr>
        <w:t xml:space="preserve">in 2014-2018 </w:t>
      </w:r>
      <w:r>
        <w:rPr>
          <w:rFonts w:cstheme="minorHAnsi"/>
          <w:color w:val="000000" w:themeColor="text1"/>
        </w:rPr>
        <w:t>increase</w:t>
      </w:r>
      <w:r w:rsidR="009C2EF2">
        <w:rPr>
          <w:rFonts w:cstheme="minorHAnsi"/>
          <w:color w:val="000000" w:themeColor="text1"/>
        </w:rPr>
        <w:t>d</w:t>
      </w:r>
      <w:r>
        <w:rPr>
          <w:rFonts w:cstheme="minorHAnsi"/>
          <w:color w:val="000000" w:themeColor="text1"/>
        </w:rPr>
        <w:t xml:space="preserve"> </w:t>
      </w:r>
      <w:r w:rsidR="00392601" w:rsidRPr="00C32002">
        <w:rPr>
          <w:rFonts w:cstheme="minorHAnsi"/>
          <w:color w:val="000000" w:themeColor="text1"/>
        </w:rPr>
        <w:t>from the le</w:t>
      </w:r>
      <w:r w:rsidR="009C2EF2">
        <w:rPr>
          <w:rFonts w:cstheme="minorHAnsi"/>
          <w:color w:val="000000" w:themeColor="text1"/>
        </w:rPr>
        <w:t>ss deprived to the more</w:t>
      </w:r>
      <w:r w:rsidR="00392601" w:rsidRPr="00C32002">
        <w:rPr>
          <w:rFonts w:cstheme="minorHAnsi"/>
          <w:color w:val="000000" w:themeColor="text1"/>
        </w:rPr>
        <w:t xml:space="preserve"> deprived </w:t>
      </w:r>
      <w:r>
        <w:rPr>
          <w:rFonts w:cstheme="minorHAnsi"/>
          <w:color w:val="000000" w:themeColor="text1"/>
        </w:rPr>
        <w:t xml:space="preserve">population </w:t>
      </w:r>
      <w:r w:rsidR="00392601" w:rsidRPr="00C32002">
        <w:rPr>
          <w:rFonts w:cstheme="minorHAnsi"/>
          <w:color w:val="000000" w:themeColor="text1"/>
        </w:rPr>
        <w:t>quintiles</w:t>
      </w:r>
      <w:r w:rsidR="00392601">
        <w:rPr>
          <w:rFonts w:cstheme="minorHAnsi"/>
          <w:color w:val="000000" w:themeColor="text1"/>
        </w:rPr>
        <w:t>.</w:t>
      </w:r>
      <w:r w:rsidR="00392601" w:rsidRPr="00C32002">
        <w:rPr>
          <w:rFonts w:cstheme="minorHAnsi"/>
          <w:color w:val="000000" w:themeColor="text1"/>
        </w:rPr>
        <w:t xml:space="preserve"> </w:t>
      </w:r>
    </w:p>
    <w:p w14:paraId="1F65E26D" w14:textId="77777777" w:rsidR="00392601" w:rsidRPr="00C32002" w:rsidRDefault="00392601" w:rsidP="00D232AE">
      <w:pPr>
        <w:spacing w:after="0" w:line="240" w:lineRule="auto"/>
        <w:rPr>
          <w:rFonts w:eastAsia="Times New Roman" w:cstheme="minorHAnsi"/>
          <w:i/>
          <w:iCs/>
          <w:color w:val="808080" w:themeColor="background1" w:themeShade="80"/>
        </w:rPr>
      </w:pPr>
      <w:r w:rsidRPr="00C32002">
        <w:rPr>
          <w:rFonts w:cstheme="minorHAnsi"/>
          <w:i/>
          <w:iCs/>
          <w:color w:val="808080" w:themeColor="background1" w:themeShade="80"/>
        </w:rPr>
        <w:t>Mortality</w:t>
      </w:r>
    </w:p>
    <w:p w14:paraId="2F725722" w14:textId="44C4C639" w:rsidR="003D43CD" w:rsidRPr="003D43CD" w:rsidRDefault="003D43CD" w:rsidP="00D232AE">
      <w:pPr>
        <w:pStyle w:val="ListParagraph"/>
        <w:numPr>
          <w:ilvl w:val="0"/>
          <w:numId w:val="7"/>
        </w:numPr>
        <w:spacing w:after="0"/>
        <w:rPr>
          <w:rFonts w:eastAsia="Calibri"/>
          <w:color w:val="000000" w:themeColor="text1"/>
        </w:rPr>
      </w:pPr>
      <w:r w:rsidRPr="003D43CD">
        <w:rPr>
          <w:rFonts w:eastAsia="Calibri"/>
          <w:color w:val="000000" w:themeColor="text1"/>
        </w:rPr>
        <w:t>Age</w:t>
      </w:r>
      <w:r w:rsidR="00366242">
        <w:rPr>
          <w:rFonts w:eastAsia="Calibri"/>
          <w:color w:val="000000" w:themeColor="text1"/>
        </w:rPr>
        <w:t>-</w:t>
      </w:r>
      <w:r w:rsidRPr="003D43CD">
        <w:rPr>
          <w:rFonts w:eastAsia="Calibri"/>
          <w:color w:val="000000" w:themeColor="text1"/>
        </w:rPr>
        <w:t xml:space="preserve">standardised mortality rates for </w:t>
      </w:r>
      <w:r>
        <w:rPr>
          <w:rFonts w:eastAsia="Calibri"/>
          <w:color w:val="000000" w:themeColor="text1"/>
        </w:rPr>
        <w:t>males and fe</w:t>
      </w:r>
      <w:r w:rsidRPr="003D43CD">
        <w:rPr>
          <w:rFonts w:eastAsia="Calibri"/>
          <w:color w:val="000000" w:themeColor="text1"/>
        </w:rPr>
        <w:t>males decreased from 1994 to 2022</w:t>
      </w:r>
      <w:r w:rsidR="00FC7988">
        <w:rPr>
          <w:rFonts w:eastAsia="Calibri"/>
          <w:color w:val="000000" w:themeColor="text1"/>
        </w:rPr>
        <w:t>.</w:t>
      </w:r>
      <w:r w:rsidRPr="003D43CD">
        <w:rPr>
          <w:rFonts w:eastAsia="Calibri"/>
          <w:color w:val="000000" w:themeColor="text1"/>
        </w:rPr>
        <w:t xml:space="preserve"> </w:t>
      </w:r>
    </w:p>
    <w:p w14:paraId="64656373" w14:textId="77777777" w:rsidR="00392601" w:rsidRPr="00C32002" w:rsidRDefault="00392601" w:rsidP="00D232AE">
      <w:pPr>
        <w:numPr>
          <w:ilvl w:val="1"/>
          <w:numId w:val="0"/>
        </w:numPr>
        <w:spacing w:after="0" w:line="240" w:lineRule="auto"/>
        <w:rPr>
          <w:rFonts w:eastAsiaTheme="majorEastAsia" w:cstheme="minorHAnsi"/>
          <w:i/>
          <w:iCs/>
          <w:color w:val="595959" w:themeColor="text1" w:themeTint="A6"/>
          <w:spacing w:val="15"/>
        </w:rPr>
      </w:pPr>
      <w:r w:rsidRPr="00C32002">
        <w:rPr>
          <w:rFonts w:eastAsiaTheme="majorEastAsia" w:cstheme="minorHAnsi"/>
          <w:i/>
          <w:iCs/>
          <w:color w:val="595959" w:themeColor="text1" w:themeTint="A6"/>
          <w:spacing w:val="15"/>
        </w:rPr>
        <w:t>Survival</w:t>
      </w:r>
    </w:p>
    <w:p w14:paraId="20A51D8D" w14:textId="1B75DFAF" w:rsidR="00392601" w:rsidRPr="00C32002" w:rsidRDefault="00392601" w:rsidP="00D232AE">
      <w:pPr>
        <w:numPr>
          <w:ilvl w:val="0"/>
          <w:numId w:val="8"/>
        </w:numPr>
        <w:spacing w:after="0" w:line="240" w:lineRule="auto"/>
        <w:contextualSpacing/>
      </w:pPr>
      <w:r w:rsidRPr="00C32002">
        <w:t xml:space="preserve">5-year net survival was 49% for cases diagnosed during 2019-2022. </w:t>
      </w:r>
    </w:p>
    <w:p w14:paraId="2BC79638" w14:textId="77777777" w:rsidR="00392601" w:rsidRPr="00C32002" w:rsidRDefault="00392601" w:rsidP="00D232AE">
      <w:pPr>
        <w:numPr>
          <w:ilvl w:val="1"/>
          <w:numId w:val="0"/>
        </w:numPr>
        <w:spacing w:after="0" w:line="240" w:lineRule="auto"/>
        <w:rPr>
          <w:rFonts w:eastAsiaTheme="majorEastAsia" w:cstheme="minorHAnsi"/>
          <w:i/>
          <w:iCs/>
          <w:color w:val="595959" w:themeColor="text1" w:themeTint="A6"/>
          <w:spacing w:val="15"/>
        </w:rPr>
      </w:pPr>
      <w:r w:rsidRPr="00C32002">
        <w:rPr>
          <w:rFonts w:eastAsiaTheme="majorEastAsia" w:cstheme="minorHAnsi"/>
          <w:i/>
          <w:iCs/>
          <w:color w:val="595959" w:themeColor="text1" w:themeTint="A6"/>
          <w:spacing w:val="15"/>
        </w:rPr>
        <w:t>Population attributable fraction</w:t>
      </w:r>
    </w:p>
    <w:p w14:paraId="22DAB897" w14:textId="77777777" w:rsidR="00392601" w:rsidRPr="00C32002" w:rsidRDefault="00392601" w:rsidP="00D232AE">
      <w:pPr>
        <w:numPr>
          <w:ilvl w:val="0"/>
          <w:numId w:val="9"/>
        </w:numPr>
        <w:spacing w:after="0" w:line="240" w:lineRule="auto"/>
        <w:contextualSpacing/>
        <w:rPr>
          <w:rFonts w:cstheme="minorHAnsi"/>
          <w:i/>
          <w:iCs/>
        </w:rPr>
      </w:pPr>
      <w:r w:rsidRPr="00C32002">
        <w:rPr>
          <w:rFonts w:ascii="Aptos" w:hAnsi="Aptos"/>
          <w:color w:val="000000"/>
          <w:shd w:val="clear" w:color="auto" w:fill="FFFFFF"/>
        </w:rPr>
        <w:t>The estimated total number of</w:t>
      </w:r>
      <w:r w:rsidRPr="0028504F">
        <w:rPr>
          <w:rFonts w:ascii="Aptos" w:hAnsi="Aptos"/>
          <w:color w:val="000000"/>
          <w:shd w:val="clear" w:color="auto" w:fill="FFFFFF"/>
        </w:rPr>
        <w:t xml:space="preserve"> all invasive cancers excluding NMSC</w:t>
      </w:r>
      <w:r>
        <w:rPr>
          <w:rFonts w:ascii="Aptos" w:hAnsi="Aptos"/>
          <w:color w:val="000000"/>
          <w:shd w:val="clear" w:color="auto" w:fill="FFFFFF"/>
        </w:rPr>
        <w:t xml:space="preserve"> </w:t>
      </w:r>
      <w:r w:rsidRPr="00C32002">
        <w:rPr>
          <w:rFonts w:ascii="Aptos" w:hAnsi="Aptos"/>
          <w:color w:val="000000"/>
          <w:shd w:val="clear" w:color="auto" w:fill="FFFFFF"/>
        </w:rPr>
        <w:t>cases attributable to smoking in Ireland in 2022 was 3</w:t>
      </w:r>
      <w:r>
        <w:rPr>
          <w:rFonts w:ascii="Aptos" w:hAnsi="Aptos"/>
          <w:color w:val="000000"/>
          <w:shd w:val="clear" w:color="auto" w:fill="FFFFFF"/>
        </w:rPr>
        <w:t>,</w:t>
      </w:r>
      <w:r w:rsidRPr="00C32002">
        <w:rPr>
          <w:rFonts w:ascii="Aptos" w:hAnsi="Aptos"/>
          <w:color w:val="000000"/>
          <w:shd w:val="clear" w:color="auto" w:fill="FFFFFF"/>
        </w:rPr>
        <w:t xml:space="preserve">756 (PAF </w:t>
      </w:r>
      <w:r>
        <w:rPr>
          <w:rFonts w:ascii="Aptos" w:hAnsi="Aptos"/>
          <w:color w:val="000000"/>
          <w:shd w:val="clear" w:color="auto" w:fill="FFFFFF"/>
        </w:rPr>
        <w:t>14.7</w:t>
      </w:r>
      <w:r w:rsidRPr="00C32002">
        <w:rPr>
          <w:rFonts w:ascii="Aptos" w:hAnsi="Aptos"/>
          <w:color w:val="000000"/>
          <w:shd w:val="clear" w:color="auto" w:fill="FFFFFF"/>
        </w:rPr>
        <w:t>%).</w:t>
      </w:r>
    </w:p>
    <w:p w14:paraId="3BE82EF4" w14:textId="77777777" w:rsidR="00392601" w:rsidRDefault="00392601" w:rsidP="00D232AE">
      <w:pPr>
        <w:spacing w:after="0"/>
        <w:sectPr w:rsidR="00392601" w:rsidSect="002746C0">
          <w:footerReference w:type="default" r:id="rId15"/>
          <w:pgSz w:w="11906" w:h="16838"/>
          <w:pgMar w:top="1440" w:right="1440" w:bottom="1440" w:left="1440" w:header="708" w:footer="708" w:gutter="0"/>
          <w:cols w:space="708"/>
          <w:docGrid w:linePitch="360"/>
        </w:sectPr>
      </w:pPr>
    </w:p>
    <w:p w14:paraId="555E2606" w14:textId="77777777" w:rsidR="00392601" w:rsidRPr="00C32002" w:rsidRDefault="00392601" w:rsidP="00D232AE">
      <w:pPr>
        <w:pStyle w:val="Heading2"/>
        <w:spacing w:before="0" w:after="0"/>
      </w:pPr>
      <w:bookmarkStart w:id="57" w:name="_Toc197557038"/>
      <w:bookmarkStart w:id="58" w:name="_Toc201512432"/>
      <w:bookmarkStart w:id="59" w:name="_Toc196914552"/>
      <w:r w:rsidRPr="00C32002">
        <w:t>Incidence</w:t>
      </w:r>
      <w:bookmarkEnd w:id="57"/>
      <w:bookmarkEnd w:id="58"/>
    </w:p>
    <w:p w14:paraId="17E596CA" w14:textId="755A5B7B" w:rsidR="00392601" w:rsidRDefault="00392601" w:rsidP="00D232AE">
      <w:pPr>
        <w:spacing w:after="0" w:line="240" w:lineRule="auto"/>
        <w:rPr>
          <w:rFonts w:cstheme="minorHAnsi"/>
        </w:rPr>
      </w:pPr>
      <w:r>
        <w:t>Between</w:t>
      </w:r>
      <w:r w:rsidRPr="00C32002">
        <w:t xml:space="preserve"> 1994</w:t>
      </w:r>
      <w:r>
        <w:t xml:space="preserve"> and </w:t>
      </w:r>
      <w:r w:rsidRPr="00C32002">
        <w:t>2022, 305,914 cases of tobacco</w:t>
      </w:r>
      <w:r w:rsidR="00A45DCC">
        <w:t>-</w:t>
      </w:r>
      <w:r w:rsidRPr="00C32002">
        <w:t>related cancer</w:t>
      </w:r>
      <w:r>
        <w:t>s</w:t>
      </w:r>
      <w:r w:rsidRPr="00C32002">
        <w:t xml:space="preserve"> </w:t>
      </w:r>
      <w:r>
        <w:t>were</w:t>
      </w:r>
      <w:r w:rsidRPr="00C32002">
        <w:t xml:space="preserve"> reported (136,268 </w:t>
      </w:r>
      <w:r>
        <w:t>m</w:t>
      </w:r>
      <w:r w:rsidRPr="00C32002">
        <w:t>ales, 169,646</w:t>
      </w:r>
      <w:r>
        <w:t xml:space="preserve"> f</w:t>
      </w:r>
      <w:r w:rsidRPr="00C32002">
        <w:t>emales). The median age at diagnosis was 69 years (</w:t>
      </w:r>
      <w:r>
        <w:t xml:space="preserve">IQR: </w:t>
      </w:r>
      <w:r w:rsidRPr="00C32002">
        <w:t>61-77) for males and 65</w:t>
      </w:r>
      <w:r>
        <w:t xml:space="preserve"> years</w:t>
      </w:r>
      <w:r w:rsidRPr="00C32002">
        <w:t xml:space="preserve"> (</w:t>
      </w:r>
      <w:r>
        <w:t xml:space="preserve">IQR: </w:t>
      </w:r>
      <w:r w:rsidRPr="00C32002">
        <w:t>53-76) for females.</w:t>
      </w:r>
      <w:r>
        <w:t xml:space="preserve"> </w:t>
      </w:r>
      <w:r w:rsidR="00630D66">
        <w:t>The a</w:t>
      </w:r>
      <w:r w:rsidRPr="00C32002">
        <w:rPr>
          <w:rFonts w:cstheme="minorHAnsi"/>
        </w:rPr>
        <w:t>ge-standardised incidence rate of tobacco</w:t>
      </w:r>
      <w:r w:rsidR="00A45DCC">
        <w:rPr>
          <w:rFonts w:cstheme="minorHAnsi"/>
        </w:rPr>
        <w:t>-</w:t>
      </w:r>
      <w:r w:rsidRPr="00C32002">
        <w:rPr>
          <w:rFonts w:cstheme="minorHAnsi"/>
        </w:rPr>
        <w:t>related cancer</w:t>
      </w:r>
      <w:r>
        <w:rPr>
          <w:rFonts w:cstheme="minorHAnsi"/>
        </w:rPr>
        <w:t>s</w:t>
      </w:r>
      <w:r w:rsidRPr="00C32002">
        <w:rPr>
          <w:rFonts w:cstheme="minorHAnsi"/>
        </w:rPr>
        <w:t xml:space="preserve"> </w:t>
      </w:r>
      <w:r w:rsidR="00630D66">
        <w:rPr>
          <w:rFonts w:cstheme="minorHAnsi"/>
        </w:rPr>
        <w:t xml:space="preserve">during the period </w:t>
      </w:r>
      <w:r w:rsidRPr="00C32002">
        <w:rPr>
          <w:rFonts w:cstheme="minorHAnsi"/>
        </w:rPr>
        <w:t xml:space="preserve">1994-2022 </w:t>
      </w:r>
      <w:r>
        <w:rPr>
          <w:rFonts w:cstheme="minorHAnsi"/>
        </w:rPr>
        <w:t xml:space="preserve">was </w:t>
      </w:r>
      <w:r w:rsidRPr="00C32002">
        <w:rPr>
          <w:rFonts w:cstheme="minorHAnsi"/>
        </w:rPr>
        <w:t xml:space="preserve">356.3 cases per 100,000 males and 350.6 cases per 100,000 females per year. Figure </w:t>
      </w:r>
      <w:r w:rsidR="007D226C">
        <w:rPr>
          <w:rFonts w:cstheme="minorHAnsi"/>
        </w:rPr>
        <w:t>4.1</w:t>
      </w:r>
      <w:r w:rsidRPr="00C32002">
        <w:rPr>
          <w:rFonts w:cstheme="minorHAnsi"/>
        </w:rPr>
        <w:t xml:space="preserve"> breaks this down further by sex and age group.</w:t>
      </w:r>
    </w:p>
    <w:p w14:paraId="5DD6785B" w14:textId="77777777" w:rsidR="00392601" w:rsidRPr="00C32002" w:rsidRDefault="00392601" w:rsidP="00D232AE">
      <w:pPr>
        <w:spacing w:after="0"/>
        <w:rPr>
          <w:rFonts w:cstheme="minorHAnsi"/>
        </w:rPr>
      </w:pPr>
    </w:p>
    <w:tbl>
      <w:tblPr>
        <w:tblStyle w:val="TableGrid"/>
        <w:tblW w:w="0" w:type="auto"/>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3259"/>
        <w:gridCol w:w="3259"/>
      </w:tblGrid>
      <w:tr w:rsidR="00392601" w:rsidRPr="00985AB9" w14:paraId="709C916B" w14:textId="77777777" w:rsidTr="0041177B">
        <w:trPr>
          <w:trHeight w:val="113"/>
        </w:trPr>
        <w:tc>
          <w:tcPr>
            <w:tcW w:w="0" w:type="auto"/>
            <w:gridSpan w:val="3"/>
            <w:shd w:val="clear" w:color="auto" w:fill="002060"/>
            <w:hideMark/>
          </w:tcPr>
          <w:p w14:paraId="07D42503" w14:textId="2C7A3C2E" w:rsidR="00392601" w:rsidRPr="006553B7" w:rsidRDefault="00392601" w:rsidP="00D232AE">
            <w:pPr>
              <w:rPr>
                <w:rFonts w:asciiTheme="minorHAnsi" w:hAnsiTheme="minorHAnsi" w:cstheme="minorHAnsi"/>
                <w:b/>
                <w:bCs/>
                <w:color w:val="FFFFFF" w:themeColor="background1"/>
              </w:rPr>
            </w:pPr>
            <w:r w:rsidRPr="006553B7">
              <w:rPr>
                <w:rFonts w:asciiTheme="minorHAnsi" w:hAnsiTheme="minorHAnsi" w:cstheme="minorHAnsi"/>
                <w:b/>
                <w:bCs/>
                <w:color w:val="FFFFFF" w:themeColor="background1"/>
              </w:rPr>
              <w:t xml:space="preserve">Figure </w:t>
            </w:r>
            <w:r w:rsidR="007D226C" w:rsidRPr="006553B7">
              <w:rPr>
                <w:rFonts w:asciiTheme="minorHAnsi" w:hAnsiTheme="minorHAnsi" w:cstheme="minorHAnsi"/>
                <w:b/>
                <w:bCs/>
                <w:color w:val="FFFFFF" w:themeColor="background1"/>
              </w:rPr>
              <w:t>4.1:</w:t>
            </w:r>
            <w:r w:rsidRPr="006553B7">
              <w:rPr>
                <w:rFonts w:asciiTheme="minorHAnsi" w:hAnsiTheme="minorHAnsi" w:cstheme="minorHAnsi"/>
                <w:b/>
                <w:bCs/>
                <w:color w:val="FFFFFF" w:themeColor="background1"/>
              </w:rPr>
              <w:t xml:space="preserve"> Incidence rate (per 100,000) for tobacco</w:t>
            </w:r>
            <w:r w:rsidR="00A45DCC" w:rsidRPr="006553B7">
              <w:rPr>
                <w:rFonts w:asciiTheme="minorHAnsi" w:hAnsiTheme="minorHAnsi" w:cstheme="minorHAnsi"/>
                <w:b/>
                <w:bCs/>
                <w:color w:val="FFFFFF" w:themeColor="background1"/>
              </w:rPr>
              <w:t>-</w:t>
            </w:r>
            <w:r w:rsidRPr="006553B7">
              <w:rPr>
                <w:rFonts w:asciiTheme="minorHAnsi" w:hAnsiTheme="minorHAnsi" w:cstheme="minorHAnsi"/>
                <w:b/>
                <w:bCs/>
                <w:color w:val="FFFFFF" w:themeColor="background1"/>
              </w:rPr>
              <w:t>related cancer</w:t>
            </w:r>
            <w:r w:rsidR="00A45DCC" w:rsidRPr="006553B7">
              <w:rPr>
                <w:rFonts w:asciiTheme="minorHAnsi" w:hAnsiTheme="minorHAnsi" w:cstheme="minorHAnsi"/>
                <w:b/>
                <w:bCs/>
                <w:color w:val="FFFFFF" w:themeColor="background1"/>
              </w:rPr>
              <w:t>s combined</w:t>
            </w:r>
            <w:r w:rsidRPr="006553B7">
              <w:rPr>
                <w:rFonts w:asciiTheme="minorHAnsi" w:hAnsiTheme="minorHAnsi" w:cstheme="minorHAnsi"/>
                <w:b/>
                <w:bCs/>
                <w:color w:val="FFFFFF" w:themeColor="background1"/>
              </w:rPr>
              <w:t xml:space="preserve"> by </w:t>
            </w:r>
            <w:r w:rsidR="00366242">
              <w:rPr>
                <w:rFonts w:asciiTheme="minorHAnsi" w:hAnsiTheme="minorHAnsi" w:cstheme="minorHAnsi"/>
                <w:b/>
                <w:bCs/>
                <w:color w:val="FFFFFF" w:themeColor="background1"/>
              </w:rPr>
              <w:t>age group</w:t>
            </w:r>
            <w:r w:rsidRPr="006553B7">
              <w:rPr>
                <w:rFonts w:asciiTheme="minorHAnsi" w:hAnsiTheme="minorHAnsi" w:cstheme="minorHAnsi"/>
                <w:b/>
                <w:bCs/>
                <w:color w:val="FFFFFF" w:themeColor="background1"/>
              </w:rPr>
              <w:t>,1994-2022</w:t>
            </w:r>
          </w:p>
        </w:tc>
      </w:tr>
      <w:tr w:rsidR="00392601" w:rsidRPr="00D26638" w14:paraId="444266F8" w14:textId="77777777" w:rsidTr="0041177B">
        <w:trPr>
          <w:trHeight w:val="113"/>
        </w:trPr>
        <w:tc>
          <w:tcPr>
            <w:tcW w:w="0" w:type="auto"/>
            <w:hideMark/>
          </w:tcPr>
          <w:p w14:paraId="4183B1F4" w14:textId="77777777" w:rsidR="00392601" w:rsidRPr="00D26638" w:rsidRDefault="00392601" w:rsidP="00D232AE">
            <w:pPr>
              <w:jc w:val="center"/>
              <w:rPr>
                <w:rFonts w:asciiTheme="minorHAnsi" w:hAnsiTheme="minorHAnsi" w:cstheme="minorHAnsi"/>
                <w:color w:val="000000" w:themeColor="text1"/>
              </w:rPr>
            </w:pPr>
            <w:r w:rsidRPr="00D26638">
              <w:rPr>
                <w:rFonts w:asciiTheme="minorHAnsi" w:hAnsiTheme="minorHAnsi" w:cstheme="minorHAnsi"/>
                <w:color w:val="000000" w:themeColor="text1"/>
              </w:rPr>
              <w:t>Total</w:t>
            </w:r>
          </w:p>
        </w:tc>
        <w:tc>
          <w:tcPr>
            <w:tcW w:w="0" w:type="auto"/>
          </w:tcPr>
          <w:p w14:paraId="744EAFAF" w14:textId="77777777" w:rsidR="00392601" w:rsidRPr="00D26638" w:rsidRDefault="00392601" w:rsidP="00D232AE">
            <w:pPr>
              <w:jc w:val="center"/>
              <w:rPr>
                <w:rFonts w:asciiTheme="minorHAnsi" w:hAnsiTheme="minorHAnsi" w:cstheme="minorHAnsi"/>
                <w:color w:val="000000" w:themeColor="text1"/>
              </w:rPr>
            </w:pPr>
            <w:r w:rsidRPr="00D26638">
              <w:rPr>
                <w:rFonts w:asciiTheme="minorHAnsi" w:hAnsiTheme="minorHAnsi" w:cstheme="minorHAnsi"/>
                <w:color w:val="000000" w:themeColor="text1"/>
              </w:rPr>
              <w:t>Males</w:t>
            </w:r>
          </w:p>
        </w:tc>
        <w:tc>
          <w:tcPr>
            <w:tcW w:w="0" w:type="auto"/>
          </w:tcPr>
          <w:p w14:paraId="09B6C8CF" w14:textId="77777777" w:rsidR="00392601" w:rsidRPr="00D26638" w:rsidRDefault="00392601" w:rsidP="00D232AE">
            <w:pPr>
              <w:jc w:val="center"/>
              <w:rPr>
                <w:rFonts w:asciiTheme="minorHAnsi" w:hAnsiTheme="minorHAnsi" w:cstheme="minorHAnsi"/>
                <w:color w:val="000000" w:themeColor="text1"/>
              </w:rPr>
            </w:pPr>
            <w:r w:rsidRPr="00D26638">
              <w:rPr>
                <w:rFonts w:asciiTheme="minorHAnsi" w:hAnsiTheme="minorHAnsi" w:cstheme="minorHAnsi"/>
                <w:color w:val="000000" w:themeColor="text1"/>
              </w:rPr>
              <w:t>Females</w:t>
            </w:r>
          </w:p>
        </w:tc>
      </w:tr>
      <w:tr w:rsidR="00392601" w:rsidRPr="00C32002" w14:paraId="605181EE" w14:textId="77777777" w:rsidTr="0041177B">
        <w:trPr>
          <w:trHeight w:val="2747"/>
        </w:trPr>
        <w:tc>
          <w:tcPr>
            <w:tcW w:w="0" w:type="auto"/>
          </w:tcPr>
          <w:p w14:paraId="427513A8" w14:textId="77777777" w:rsidR="00392601" w:rsidRPr="00C32002" w:rsidRDefault="00392601" w:rsidP="00D232AE">
            <w:pPr>
              <w:jc w:val="center"/>
              <w:rPr>
                <w:rFonts w:asciiTheme="minorHAnsi" w:hAnsiTheme="minorHAnsi" w:cstheme="minorHAnsi"/>
                <w:color w:val="000000" w:themeColor="text1"/>
              </w:rPr>
            </w:pPr>
            <w:r>
              <w:rPr>
                <w:rFonts w:cstheme="minorHAnsi"/>
                <w:noProof/>
                <w:color w:val="000000" w:themeColor="text1"/>
              </w:rPr>
              <w:drawing>
                <wp:inline distT="0" distB="0" distL="0" distR="0" wp14:anchorId="02550C91" wp14:editId="1856C52D">
                  <wp:extent cx="1936621" cy="1692000"/>
                  <wp:effectExtent l="0" t="0" r="6985" b="3810"/>
                  <wp:docPr id="785156543" name="Picture 1" descr="A graph of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156543" name="Picture 1" descr="A graph of numbers and a bar char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6621" cy="1692000"/>
                          </a:xfrm>
                          <a:prstGeom prst="rect">
                            <a:avLst/>
                          </a:prstGeom>
                          <a:noFill/>
                        </pic:spPr>
                      </pic:pic>
                    </a:graphicData>
                  </a:graphic>
                </wp:inline>
              </w:drawing>
            </w:r>
          </w:p>
        </w:tc>
        <w:tc>
          <w:tcPr>
            <w:tcW w:w="0" w:type="auto"/>
            <w:vAlign w:val="center"/>
          </w:tcPr>
          <w:p w14:paraId="207FEC86" w14:textId="77777777" w:rsidR="00392601" w:rsidRPr="00C32002" w:rsidRDefault="00392601" w:rsidP="00D232AE">
            <w:pPr>
              <w:jc w:val="center"/>
              <w:rPr>
                <w:rFonts w:asciiTheme="minorHAnsi" w:hAnsiTheme="minorHAnsi" w:cstheme="minorHAnsi"/>
                <w:color w:val="000000" w:themeColor="text1"/>
              </w:rPr>
            </w:pPr>
            <w:r>
              <w:rPr>
                <w:rFonts w:eastAsia="Times New Roman" w:cs="Times New Roman"/>
                <w:noProof/>
                <w:lang w:eastAsia="en-GB"/>
              </w:rPr>
              <w:drawing>
                <wp:inline distT="0" distB="0" distL="0" distR="0" wp14:anchorId="255FEDC9" wp14:editId="7E42FFE7">
                  <wp:extent cx="1936622" cy="1692000"/>
                  <wp:effectExtent l="0" t="0" r="6985" b="3810"/>
                  <wp:docPr id="664940485" name="Picture 3"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940485" name="Picture 3" descr="A graph with numbers and a bar&#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6622" cy="1692000"/>
                          </a:xfrm>
                          <a:prstGeom prst="rect">
                            <a:avLst/>
                          </a:prstGeom>
                          <a:noFill/>
                        </pic:spPr>
                      </pic:pic>
                    </a:graphicData>
                  </a:graphic>
                </wp:inline>
              </w:drawing>
            </w:r>
          </w:p>
        </w:tc>
        <w:tc>
          <w:tcPr>
            <w:tcW w:w="0" w:type="auto"/>
          </w:tcPr>
          <w:p w14:paraId="66A19802" w14:textId="77777777" w:rsidR="00392601" w:rsidRPr="00C32002" w:rsidRDefault="00392601" w:rsidP="00D232AE">
            <w:pPr>
              <w:jc w:val="center"/>
              <w:rPr>
                <w:rFonts w:cstheme="minorHAnsi"/>
                <w:color w:val="000000" w:themeColor="text1"/>
              </w:rPr>
            </w:pPr>
            <w:r>
              <w:rPr>
                <w:rFonts w:cstheme="minorHAnsi"/>
                <w:noProof/>
                <w:color w:val="000000" w:themeColor="text1"/>
              </w:rPr>
              <w:drawing>
                <wp:inline distT="0" distB="0" distL="0" distR="0" wp14:anchorId="53496B9E" wp14:editId="6544E44D">
                  <wp:extent cx="1936623" cy="1692000"/>
                  <wp:effectExtent l="0" t="0" r="6985" b="3810"/>
                  <wp:docPr id="784652464" name="Picture 2"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52464" name="Picture 2" descr="A graph with numbers and a bar chart&#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6623" cy="1692000"/>
                          </a:xfrm>
                          <a:prstGeom prst="rect">
                            <a:avLst/>
                          </a:prstGeom>
                          <a:noFill/>
                        </pic:spPr>
                      </pic:pic>
                    </a:graphicData>
                  </a:graphic>
                </wp:inline>
              </w:drawing>
            </w:r>
          </w:p>
        </w:tc>
      </w:tr>
    </w:tbl>
    <w:p w14:paraId="31F2754F" w14:textId="77777777" w:rsidR="00392601" w:rsidRDefault="00392601" w:rsidP="00D232AE">
      <w:pPr>
        <w:spacing w:after="0"/>
        <w:rPr>
          <w:rFonts w:cstheme="minorHAnsi"/>
          <w:highlight w:val="yellow"/>
        </w:rPr>
      </w:pPr>
    </w:p>
    <w:p w14:paraId="3D8B161D" w14:textId="77777777" w:rsidR="00392601" w:rsidRDefault="00392601" w:rsidP="00D232AE">
      <w:pPr>
        <w:spacing w:after="0"/>
        <w:rPr>
          <w:rFonts w:cstheme="minorHAnsi"/>
          <w:highlight w:val="yellow"/>
        </w:rPr>
      </w:pPr>
      <w:r>
        <w:rPr>
          <w:rFonts w:cstheme="minorHAnsi"/>
          <w:highlight w:val="yellow"/>
        </w:rPr>
        <w:br w:type="page"/>
      </w:r>
    </w:p>
    <w:p w14:paraId="1BDC3C24" w14:textId="77777777" w:rsidR="00392601" w:rsidRPr="00C32002" w:rsidRDefault="00392601" w:rsidP="00D232AE">
      <w:pPr>
        <w:pStyle w:val="Heading3"/>
        <w:spacing w:before="0" w:after="0"/>
      </w:pPr>
      <w:bookmarkStart w:id="60" w:name="_Toc197557039"/>
      <w:bookmarkStart w:id="61" w:name="_Toc201512433"/>
      <w:r w:rsidRPr="00C32002">
        <w:t>Trends over time</w:t>
      </w:r>
      <w:bookmarkEnd w:id="60"/>
      <w:bookmarkEnd w:id="61"/>
    </w:p>
    <w:p w14:paraId="6AFBF03E" w14:textId="32D3C254" w:rsidR="00392601" w:rsidRPr="00C32002" w:rsidRDefault="00392601" w:rsidP="00D232AE">
      <w:pPr>
        <w:spacing w:after="0" w:line="240" w:lineRule="auto"/>
        <w:rPr>
          <w:highlight w:val="yellow"/>
        </w:rPr>
      </w:pPr>
      <w:r w:rsidRPr="248D74ED">
        <w:t xml:space="preserve">Figure </w:t>
      </w:r>
      <w:r w:rsidR="006553B7" w:rsidRPr="248D74ED">
        <w:t>4.2</w:t>
      </w:r>
      <w:r w:rsidRPr="248D74ED">
        <w:t xml:space="preserve"> shows the incidence of tobacco</w:t>
      </w:r>
      <w:r w:rsidR="00A45DCC" w:rsidRPr="248D74ED">
        <w:t>-</w:t>
      </w:r>
      <w:r w:rsidRPr="248D74ED">
        <w:t>related cancer</w:t>
      </w:r>
      <w:r w:rsidR="00A45DCC" w:rsidRPr="248D74ED">
        <w:t>s</w:t>
      </w:r>
      <w:r w:rsidRPr="248D74ED">
        <w:t xml:space="preserve"> from 1994 to 2022. Incidence was stable for males from 1994 to 2015 (0.2% per year (95%CI 0.0; 0.4)), before a decrease </w:t>
      </w:r>
      <w:r w:rsidR="0898DE4E">
        <w:t>o</w:t>
      </w:r>
      <w:r>
        <w:t>f</w:t>
      </w:r>
      <w:r w:rsidR="0898DE4E" w:rsidRPr="248D74ED">
        <w:t xml:space="preserve"> </w:t>
      </w:r>
      <w:r w:rsidR="41663640" w:rsidRPr="557855A4">
        <w:t>-</w:t>
      </w:r>
      <w:r w:rsidR="0898DE4E" w:rsidRPr="248D74ED">
        <w:t xml:space="preserve">2.6% per year </w:t>
      </w:r>
      <w:r w:rsidRPr="248D74ED">
        <w:t xml:space="preserve">from 2015 to 2022 (95%CI -3.4; -1.7). Incidence for females increased </w:t>
      </w:r>
      <w:r w:rsidR="4E8AB56B" w:rsidRPr="248D74ED">
        <w:t>by 1.5% annually</w:t>
      </w:r>
      <w:r w:rsidRPr="248D74ED">
        <w:t xml:space="preserve"> from 1994 to 2010 </w:t>
      </w:r>
      <w:r w:rsidRPr="25BE2B40">
        <w:t>(</w:t>
      </w:r>
      <w:r w:rsidRPr="248D74ED">
        <w:t>95%CI 1.0; 1.9</w:t>
      </w:r>
      <w:r w:rsidRPr="25BE2B40">
        <w:t>),</w:t>
      </w:r>
      <w:r w:rsidRPr="248D74ED">
        <w:t xml:space="preserve"> before stabilising from 2010 to 2022 (-0.4 % per year (95%CI -1.0; 0.2)).</w:t>
      </w:r>
    </w:p>
    <w:p w14:paraId="5E3C5915" w14:textId="77777777" w:rsidR="00392601" w:rsidRPr="00C32002" w:rsidRDefault="00392601" w:rsidP="00D232AE">
      <w:pPr>
        <w:spacing w:after="0"/>
        <w:rPr>
          <w:rFonts w:cstheme="minorHAnsi"/>
          <w:highlight w:val="yellow"/>
        </w:rPr>
      </w:pPr>
      <w:r w:rsidRPr="00C32002">
        <w:rPr>
          <w:rFonts w:cstheme="minorHAnsi"/>
          <w:highlight w:val="yellow"/>
        </w:rPr>
        <w:t xml:space="preserve"> </w:t>
      </w:r>
    </w:p>
    <w:tbl>
      <w:tblPr>
        <w:tblStyle w:val="TableGrid"/>
        <w:tblW w:w="9634"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tblGrid>
      <w:tr w:rsidR="00392601" w:rsidRPr="00985AB9" w14:paraId="433841BF" w14:textId="77777777" w:rsidTr="0041177B">
        <w:trPr>
          <w:trHeight w:val="20"/>
        </w:trPr>
        <w:tc>
          <w:tcPr>
            <w:tcW w:w="9634" w:type="dxa"/>
            <w:shd w:val="clear" w:color="auto" w:fill="002060"/>
            <w:vAlign w:val="center"/>
            <w:hideMark/>
          </w:tcPr>
          <w:p w14:paraId="4C325D75" w14:textId="021F87E6" w:rsidR="00392601" w:rsidRPr="00985AB9" w:rsidRDefault="00392601" w:rsidP="00D232AE">
            <w:pPr>
              <w:rPr>
                <w:rFonts w:asciiTheme="minorHAnsi" w:hAnsiTheme="minorHAnsi"/>
                <w:b/>
                <w:bCs/>
                <w:bdr w:val="single" w:sz="4" w:space="0" w:color="auto" w:frame="1"/>
              </w:rPr>
            </w:pPr>
            <w:r w:rsidRPr="00985AB9">
              <w:rPr>
                <w:rFonts w:asciiTheme="minorHAnsi" w:hAnsiTheme="minorHAnsi"/>
                <w:b/>
                <w:bCs/>
              </w:rPr>
              <w:t xml:space="preserve">Figure </w:t>
            </w:r>
            <w:r w:rsidR="006553B7">
              <w:rPr>
                <w:rFonts w:asciiTheme="minorHAnsi" w:hAnsiTheme="minorHAnsi"/>
                <w:b/>
                <w:bCs/>
              </w:rPr>
              <w:t>4.2:</w:t>
            </w:r>
            <w:r w:rsidRPr="00985AB9">
              <w:rPr>
                <w:rFonts w:asciiTheme="minorHAnsi" w:hAnsiTheme="minorHAnsi"/>
                <w:b/>
                <w:bCs/>
              </w:rPr>
              <w:t xml:space="preserve"> Age-</w:t>
            </w:r>
            <w:r w:rsidRPr="00985AB9">
              <w:rPr>
                <w:rFonts w:asciiTheme="minorHAnsi" w:hAnsiTheme="minorHAnsi"/>
                <w:b/>
                <w:bCs/>
                <w:bdr w:val="single" w:sz="4" w:space="0" w:color="auto" w:frame="1"/>
              </w:rPr>
              <w:t xml:space="preserve">standardised incidence rate </w:t>
            </w:r>
            <w:r>
              <w:rPr>
                <w:rFonts w:asciiTheme="minorHAnsi" w:hAnsiTheme="minorHAnsi"/>
                <w:b/>
                <w:bCs/>
                <w:bdr w:val="single" w:sz="4" w:space="0" w:color="auto" w:frame="1"/>
              </w:rPr>
              <w:t>per 100,000</w:t>
            </w:r>
            <w:r w:rsidRPr="00985AB9">
              <w:rPr>
                <w:rFonts w:asciiTheme="minorHAnsi" w:hAnsiTheme="minorHAnsi"/>
                <w:b/>
                <w:bCs/>
                <w:bdr w:val="single" w:sz="4" w:space="0" w:color="auto" w:frame="1"/>
              </w:rPr>
              <w:t>, 1994-2022 tobacco</w:t>
            </w:r>
            <w:r w:rsidR="00A45DCC">
              <w:rPr>
                <w:rFonts w:asciiTheme="minorHAnsi" w:hAnsiTheme="minorHAnsi"/>
                <w:b/>
                <w:bCs/>
                <w:bdr w:val="single" w:sz="4" w:space="0" w:color="auto" w:frame="1"/>
              </w:rPr>
              <w:t>-</w:t>
            </w:r>
            <w:r w:rsidRPr="00985AB9">
              <w:rPr>
                <w:rFonts w:asciiTheme="minorHAnsi" w:hAnsiTheme="minorHAnsi"/>
                <w:b/>
                <w:bCs/>
                <w:bdr w:val="single" w:sz="4" w:space="0" w:color="auto" w:frame="1"/>
              </w:rPr>
              <w:t>related cancer</w:t>
            </w:r>
            <w:r w:rsidR="00A45DCC">
              <w:rPr>
                <w:rFonts w:asciiTheme="minorHAnsi" w:hAnsiTheme="minorHAnsi"/>
                <w:b/>
                <w:bCs/>
                <w:bdr w:val="single" w:sz="4" w:space="0" w:color="auto" w:frame="1"/>
              </w:rPr>
              <w:t>s</w:t>
            </w:r>
          </w:p>
        </w:tc>
      </w:tr>
      <w:tr w:rsidR="00392601" w:rsidRPr="00985AB9" w14:paraId="6FD43A46" w14:textId="77777777" w:rsidTr="0041177B">
        <w:trPr>
          <w:trHeight w:val="20"/>
        </w:trPr>
        <w:tc>
          <w:tcPr>
            <w:tcW w:w="9634" w:type="dxa"/>
            <w:vAlign w:val="center"/>
          </w:tcPr>
          <w:p w14:paraId="603F19F8" w14:textId="77777777" w:rsidR="00392601" w:rsidRPr="00985AB9" w:rsidRDefault="00392601" w:rsidP="00D232AE">
            <w:pPr>
              <w:jc w:val="center"/>
              <w:rPr>
                <w:rFonts w:asciiTheme="minorHAnsi" w:hAnsiTheme="minorHAnsi"/>
              </w:rPr>
            </w:pPr>
            <w:r>
              <w:rPr>
                <w:noProof/>
              </w:rPr>
              <w:drawing>
                <wp:inline distT="0" distB="0" distL="0" distR="0" wp14:anchorId="513701C3" wp14:editId="1135896C">
                  <wp:extent cx="5883275" cy="3084830"/>
                  <wp:effectExtent l="0" t="0" r="3175" b="1270"/>
                  <wp:docPr id="146184423" name="Picture 1" descr="A graph of a number of men and wom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84423" name="Picture 1" descr="A graph of a number of men and women&#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3275" cy="3084830"/>
                          </a:xfrm>
                          <a:prstGeom prst="rect">
                            <a:avLst/>
                          </a:prstGeom>
                          <a:noFill/>
                        </pic:spPr>
                      </pic:pic>
                    </a:graphicData>
                  </a:graphic>
                </wp:inline>
              </w:drawing>
            </w:r>
          </w:p>
        </w:tc>
      </w:tr>
      <w:tr w:rsidR="00392601" w:rsidRPr="00985AB9" w14:paraId="463BD945" w14:textId="77777777" w:rsidTr="0041177B">
        <w:trPr>
          <w:trHeight w:val="20"/>
        </w:trPr>
        <w:tc>
          <w:tcPr>
            <w:tcW w:w="9634" w:type="dxa"/>
            <w:vAlign w:val="center"/>
          </w:tcPr>
          <w:tbl>
            <w:tblPr>
              <w:tblW w:w="7927" w:type="dxa"/>
              <w:tblInd w:w="816" w:type="dxa"/>
              <w:tblLook w:val="04A0" w:firstRow="1" w:lastRow="0" w:firstColumn="1" w:lastColumn="0" w:noHBand="0" w:noVBand="1"/>
            </w:tblPr>
            <w:tblGrid>
              <w:gridCol w:w="660"/>
              <w:gridCol w:w="963"/>
              <w:gridCol w:w="696"/>
              <w:gridCol w:w="941"/>
              <w:gridCol w:w="765"/>
              <w:gridCol w:w="495"/>
              <w:gridCol w:w="1037"/>
              <w:gridCol w:w="696"/>
              <w:gridCol w:w="879"/>
              <w:gridCol w:w="795"/>
            </w:tblGrid>
            <w:tr w:rsidR="00392601" w:rsidRPr="00D26638" w14:paraId="34E30B72" w14:textId="77777777" w:rsidTr="45F7E84B">
              <w:trPr>
                <w:trHeight w:val="113"/>
              </w:trPr>
              <w:tc>
                <w:tcPr>
                  <w:tcW w:w="660" w:type="dxa"/>
                  <w:noWrap/>
                  <w:tcMar>
                    <w:top w:w="15" w:type="dxa"/>
                    <w:left w:w="108" w:type="dxa"/>
                    <w:bottom w:w="15" w:type="dxa"/>
                    <w:right w:w="108" w:type="dxa"/>
                  </w:tcMar>
                  <w:vAlign w:val="center"/>
                  <w:hideMark/>
                </w:tcPr>
                <w:p w14:paraId="3BCC80F2" w14:textId="77777777" w:rsidR="00392601" w:rsidRPr="00AA0B0A" w:rsidRDefault="00392601" w:rsidP="00D232AE">
                  <w:pPr>
                    <w:spacing w:after="0" w:line="240" w:lineRule="auto"/>
                    <w:jc w:val="center"/>
                    <w:rPr>
                      <w:rFonts w:ascii="Calibri" w:eastAsia="Times New Roman" w:hAnsi="Calibri" w:cs="Calibri"/>
                      <w:b/>
                      <w:bCs/>
                      <w:color w:val="000000"/>
                      <w:kern w:val="0"/>
                      <w:sz w:val="20"/>
                      <w:szCs w:val="20"/>
                      <w:u w:val="single"/>
                      <w:lang w:eastAsia="en-GB"/>
                      <w14:ligatures w14:val="none"/>
                    </w:rPr>
                  </w:pPr>
                  <w:r w:rsidRPr="00AA0B0A">
                    <w:rPr>
                      <w:rFonts w:ascii="Calibri" w:eastAsia="Times New Roman" w:hAnsi="Calibri" w:cs="Calibri"/>
                      <w:b/>
                      <w:bCs/>
                      <w:color w:val="000000"/>
                      <w:kern w:val="0"/>
                      <w:sz w:val="20"/>
                      <w:szCs w:val="20"/>
                      <w:u w:val="single"/>
                      <w:lang w:eastAsia="en-GB"/>
                      <w14:ligatures w14:val="none"/>
                    </w:rPr>
                    <w:t>sex</w:t>
                  </w:r>
                </w:p>
              </w:tc>
              <w:tc>
                <w:tcPr>
                  <w:tcW w:w="963" w:type="dxa"/>
                  <w:noWrap/>
                  <w:tcMar>
                    <w:top w:w="15" w:type="dxa"/>
                    <w:left w:w="108" w:type="dxa"/>
                    <w:bottom w:w="15" w:type="dxa"/>
                    <w:right w:w="108" w:type="dxa"/>
                  </w:tcMar>
                  <w:vAlign w:val="center"/>
                  <w:hideMark/>
                </w:tcPr>
                <w:p w14:paraId="2F7BA4F3" w14:textId="77777777" w:rsidR="00392601" w:rsidRPr="00AA0B0A" w:rsidRDefault="00392601" w:rsidP="00D232AE">
                  <w:pPr>
                    <w:spacing w:after="0" w:line="240" w:lineRule="auto"/>
                    <w:jc w:val="center"/>
                    <w:rPr>
                      <w:rFonts w:ascii="Calibri" w:eastAsia="Times New Roman" w:hAnsi="Calibri" w:cs="Calibri"/>
                      <w:b/>
                      <w:bCs/>
                      <w:color w:val="000000"/>
                      <w:kern w:val="0"/>
                      <w:sz w:val="20"/>
                      <w:szCs w:val="20"/>
                      <w:u w:val="single"/>
                      <w:lang w:eastAsia="en-GB"/>
                      <w14:ligatures w14:val="none"/>
                    </w:rPr>
                  </w:pPr>
                  <w:r w:rsidRPr="00AA0B0A">
                    <w:rPr>
                      <w:rFonts w:ascii="Calibri" w:eastAsia="Times New Roman" w:hAnsi="Calibri" w:cs="Calibri"/>
                      <w:b/>
                      <w:bCs/>
                      <w:color w:val="000000"/>
                      <w:kern w:val="0"/>
                      <w:sz w:val="20"/>
                      <w:szCs w:val="20"/>
                      <w:u w:val="single"/>
                      <w:lang w:eastAsia="en-GB"/>
                      <w14:ligatures w14:val="none"/>
                    </w:rPr>
                    <w:t>period</w:t>
                  </w:r>
                </w:p>
              </w:tc>
              <w:tc>
                <w:tcPr>
                  <w:tcW w:w="696" w:type="dxa"/>
                  <w:noWrap/>
                  <w:tcMar>
                    <w:top w:w="15" w:type="dxa"/>
                    <w:left w:w="108" w:type="dxa"/>
                    <w:bottom w:w="15" w:type="dxa"/>
                    <w:right w:w="108" w:type="dxa"/>
                  </w:tcMar>
                  <w:vAlign w:val="center"/>
                  <w:hideMark/>
                </w:tcPr>
                <w:p w14:paraId="3573BA5F" w14:textId="77777777" w:rsidR="00392601" w:rsidRPr="00AA0B0A" w:rsidRDefault="00392601" w:rsidP="00D232AE">
                  <w:pPr>
                    <w:spacing w:after="0" w:line="240" w:lineRule="auto"/>
                    <w:jc w:val="center"/>
                    <w:rPr>
                      <w:rFonts w:ascii="Calibri" w:eastAsia="Times New Roman" w:hAnsi="Calibri" w:cs="Calibri"/>
                      <w:b/>
                      <w:bCs/>
                      <w:color w:val="000000"/>
                      <w:kern w:val="0"/>
                      <w:sz w:val="20"/>
                      <w:szCs w:val="20"/>
                      <w:u w:val="single"/>
                      <w:lang w:eastAsia="en-GB"/>
                      <w14:ligatures w14:val="none"/>
                    </w:rPr>
                  </w:pPr>
                  <w:r w:rsidRPr="00AA0B0A">
                    <w:rPr>
                      <w:rFonts w:ascii="Calibri" w:eastAsia="Times New Roman" w:hAnsi="Calibri" w:cs="Calibri"/>
                      <w:b/>
                      <w:bCs/>
                      <w:color w:val="000000"/>
                      <w:kern w:val="0"/>
                      <w:sz w:val="20"/>
                      <w:szCs w:val="20"/>
                      <w:u w:val="single"/>
                      <w:lang w:eastAsia="en-GB"/>
                      <w14:ligatures w14:val="none"/>
                    </w:rPr>
                    <w:t>APC</w:t>
                  </w:r>
                </w:p>
              </w:tc>
              <w:tc>
                <w:tcPr>
                  <w:tcW w:w="941" w:type="dxa"/>
                  <w:noWrap/>
                  <w:tcMar>
                    <w:top w:w="15" w:type="dxa"/>
                    <w:left w:w="108" w:type="dxa"/>
                    <w:bottom w:w="15" w:type="dxa"/>
                    <w:right w:w="108" w:type="dxa"/>
                  </w:tcMar>
                  <w:vAlign w:val="center"/>
                  <w:hideMark/>
                </w:tcPr>
                <w:p w14:paraId="33C19BEA" w14:textId="77777777" w:rsidR="00392601" w:rsidRPr="00AA0B0A" w:rsidRDefault="00392601" w:rsidP="00D232AE">
                  <w:pPr>
                    <w:spacing w:after="0" w:line="240" w:lineRule="auto"/>
                    <w:jc w:val="center"/>
                    <w:rPr>
                      <w:rFonts w:ascii="Calibri" w:eastAsia="Times New Roman" w:hAnsi="Calibri" w:cs="Calibri"/>
                      <w:b/>
                      <w:bCs/>
                      <w:color w:val="000000"/>
                      <w:kern w:val="0"/>
                      <w:sz w:val="20"/>
                      <w:szCs w:val="20"/>
                      <w:u w:val="single"/>
                      <w:lang w:eastAsia="en-GB"/>
                      <w14:ligatures w14:val="none"/>
                    </w:rPr>
                  </w:pPr>
                  <w:r w:rsidRPr="00AA0B0A">
                    <w:rPr>
                      <w:rFonts w:ascii="Calibri" w:eastAsia="Times New Roman" w:hAnsi="Calibri" w:cs="Calibri"/>
                      <w:b/>
                      <w:bCs/>
                      <w:color w:val="000000"/>
                      <w:kern w:val="0"/>
                      <w:sz w:val="20"/>
                      <w:szCs w:val="20"/>
                      <w:u w:val="single"/>
                      <w:lang w:eastAsia="en-GB"/>
                      <w14:ligatures w14:val="none"/>
                    </w:rPr>
                    <w:t>95%CI</w:t>
                  </w:r>
                </w:p>
              </w:tc>
              <w:tc>
                <w:tcPr>
                  <w:tcW w:w="765" w:type="dxa"/>
                  <w:tcBorders>
                    <w:right w:val="single" w:sz="4" w:space="0" w:color="auto"/>
                  </w:tcBorders>
                  <w:noWrap/>
                  <w:tcMar>
                    <w:top w:w="15" w:type="dxa"/>
                    <w:left w:w="108" w:type="dxa"/>
                    <w:bottom w:w="15" w:type="dxa"/>
                    <w:right w:w="108" w:type="dxa"/>
                  </w:tcMar>
                  <w:vAlign w:val="center"/>
                  <w:hideMark/>
                </w:tcPr>
                <w:p w14:paraId="25872BD6" w14:textId="77777777" w:rsidR="00392601" w:rsidRPr="00AA0B0A" w:rsidRDefault="00392601" w:rsidP="00D232AE">
                  <w:pPr>
                    <w:spacing w:after="0" w:line="240" w:lineRule="auto"/>
                    <w:jc w:val="center"/>
                    <w:rPr>
                      <w:rFonts w:ascii="Calibri" w:eastAsia="Times New Roman" w:hAnsi="Calibri" w:cs="Calibri"/>
                      <w:b/>
                      <w:bCs/>
                      <w:color w:val="000000"/>
                      <w:kern w:val="0"/>
                      <w:sz w:val="20"/>
                      <w:szCs w:val="20"/>
                      <w:u w:val="single"/>
                      <w:lang w:eastAsia="en-GB"/>
                      <w14:ligatures w14:val="none"/>
                    </w:rPr>
                  </w:pPr>
                  <w:r w:rsidRPr="00AA0B0A">
                    <w:rPr>
                      <w:rFonts w:ascii="Calibri" w:eastAsia="Times New Roman" w:hAnsi="Calibri" w:cs="Calibri"/>
                      <w:b/>
                      <w:bCs/>
                      <w:color w:val="000000"/>
                      <w:kern w:val="0"/>
                      <w:sz w:val="20"/>
                      <w:szCs w:val="20"/>
                      <w:u w:val="single"/>
                      <w:lang w:eastAsia="en-GB"/>
                      <w14:ligatures w14:val="none"/>
                    </w:rPr>
                    <w:t>trend</w:t>
                  </w:r>
                </w:p>
              </w:tc>
              <w:tc>
                <w:tcPr>
                  <w:tcW w:w="495" w:type="dxa"/>
                  <w:tcBorders>
                    <w:left w:val="single" w:sz="4" w:space="0" w:color="auto"/>
                  </w:tcBorders>
                  <w:vAlign w:val="center"/>
                </w:tcPr>
                <w:p w14:paraId="4DA983B0" w14:textId="0911A096" w:rsidR="00392601" w:rsidRPr="00AA0B0A" w:rsidRDefault="00392601" w:rsidP="00D232AE">
                  <w:pPr>
                    <w:spacing w:after="0" w:line="240" w:lineRule="auto"/>
                    <w:jc w:val="center"/>
                    <w:rPr>
                      <w:rFonts w:ascii="Calibri" w:eastAsia="Times New Roman" w:hAnsi="Calibri" w:cs="Calibri"/>
                      <w:b/>
                      <w:bCs/>
                      <w:color w:val="000000"/>
                      <w:kern w:val="0"/>
                      <w:sz w:val="20"/>
                      <w:szCs w:val="20"/>
                      <w:u w:val="single"/>
                      <w:lang w:eastAsia="en-GB"/>
                      <w14:ligatures w14:val="none"/>
                    </w:rPr>
                  </w:pPr>
                  <w:r w:rsidRPr="00AA0B0A">
                    <w:rPr>
                      <w:rFonts w:ascii="Calibri" w:eastAsia="Times New Roman" w:hAnsi="Calibri" w:cs="Calibri"/>
                      <w:b/>
                      <w:bCs/>
                      <w:color w:val="000000"/>
                      <w:kern w:val="0"/>
                      <w:sz w:val="20"/>
                      <w:szCs w:val="20"/>
                      <w:u w:val="single"/>
                      <w:lang w:eastAsia="en-GB"/>
                      <w14:ligatures w14:val="none"/>
                    </w:rPr>
                    <w:t>se</w:t>
                  </w:r>
                  <w:r w:rsidR="00A84A33">
                    <w:rPr>
                      <w:rFonts w:ascii="Calibri" w:eastAsia="Times New Roman" w:hAnsi="Calibri" w:cs="Calibri"/>
                      <w:b/>
                      <w:bCs/>
                      <w:color w:val="000000"/>
                      <w:kern w:val="0"/>
                      <w:sz w:val="20"/>
                      <w:szCs w:val="20"/>
                      <w:u w:val="single"/>
                      <w:lang w:eastAsia="en-GB"/>
                      <w14:ligatures w14:val="none"/>
                    </w:rPr>
                    <w:t>x</w:t>
                  </w:r>
                </w:p>
              </w:tc>
              <w:tc>
                <w:tcPr>
                  <w:tcW w:w="1037" w:type="dxa"/>
                  <w:vAlign w:val="center"/>
                </w:tcPr>
                <w:p w14:paraId="7B2DD3B2" w14:textId="77777777" w:rsidR="00392601" w:rsidRPr="00AA0B0A" w:rsidRDefault="00392601" w:rsidP="00D232AE">
                  <w:pPr>
                    <w:spacing w:after="0" w:line="240" w:lineRule="auto"/>
                    <w:jc w:val="center"/>
                    <w:rPr>
                      <w:rFonts w:ascii="Calibri" w:eastAsia="Times New Roman" w:hAnsi="Calibri" w:cs="Calibri"/>
                      <w:b/>
                      <w:bCs/>
                      <w:color w:val="000000"/>
                      <w:kern w:val="0"/>
                      <w:sz w:val="20"/>
                      <w:szCs w:val="20"/>
                      <w:u w:val="single"/>
                      <w:lang w:eastAsia="en-GB"/>
                      <w14:ligatures w14:val="none"/>
                    </w:rPr>
                  </w:pPr>
                  <w:r w:rsidRPr="00AA0B0A">
                    <w:rPr>
                      <w:rFonts w:ascii="Calibri" w:eastAsia="Times New Roman" w:hAnsi="Calibri" w:cs="Calibri"/>
                      <w:b/>
                      <w:bCs/>
                      <w:color w:val="000000"/>
                      <w:kern w:val="0"/>
                      <w:sz w:val="20"/>
                      <w:szCs w:val="20"/>
                      <w:u w:val="single"/>
                      <w:lang w:eastAsia="en-GB"/>
                      <w14:ligatures w14:val="none"/>
                    </w:rPr>
                    <w:t>period</w:t>
                  </w:r>
                </w:p>
              </w:tc>
              <w:tc>
                <w:tcPr>
                  <w:tcW w:w="696" w:type="dxa"/>
                  <w:vAlign w:val="center"/>
                </w:tcPr>
                <w:p w14:paraId="281F4EEC" w14:textId="77777777" w:rsidR="00392601" w:rsidRPr="00AA0B0A" w:rsidRDefault="00392601" w:rsidP="00D232AE">
                  <w:pPr>
                    <w:spacing w:after="0" w:line="240" w:lineRule="auto"/>
                    <w:jc w:val="center"/>
                    <w:rPr>
                      <w:rFonts w:ascii="Calibri" w:eastAsia="Times New Roman" w:hAnsi="Calibri" w:cs="Calibri"/>
                      <w:b/>
                      <w:bCs/>
                      <w:color w:val="000000"/>
                      <w:kern w:val="0"/>
                      <w:sz w:val="20"/>
                      <w:szCs w:val="20"/>
                      <w:u w:val="single"/>
                      <w:lang w:eastAsia="en-GB"/>
                      <w14:ligatures w14:val="none"/>
                    </w:rPr>
                  </w:pPr>
                  <w:r w:rsidRPr="00AA0B0A">
                    <w:rPr>
                      <w:rFonts w:ascii="Calibri" w:eastAsia="Times New Roman" w:hAnsi="Calibri" w:cs="Calibri"/>
                      <w:b/>
                      <w:bCs/>
                      <w:color w:val="000000"/>
                      <w:kern w:val="0"/>
                      <w:sz w:val="20"/>
                      <w:szCs w:val="20"/>
                      <w:u w:val="single"/>
                      <w:lang w:eastAsia="en-GB"/>
                      <w14:ligatures w14:val="none"/>
                    </w:rPr>
                    <w:t>APC</w:t>
                  </w:r>
                </w:p>
              </w:tc>
              <w:tc>
                <w:tcPr>
                  <w:tcW w:w="879" w:type="dxa"/>
                  <w:vAlign w:val="center"/>
                </w:tcPr>
                <w:p w14:paraId="542385EE" w14:textId="77777777" w:rsidR="00392601" w:rsidRPr="00AA0B0A" w:rsidRDefault="00392601" w:rsidP="00D232AE">
                  <w:pPr>
                    <w:spacing w:after="0" w:line="240" w:lineRule="auto"/>
                    <w:jc w:val="center"/>
                    <w:rPr>
                      <w:rFonts w:ascii="Calibri" w:eastAsia="Times New Roman" w:hAnsi="Calibri" w:cs="Calibri"/>
                      <w:b/>
                      <w:bCs/>
                      <w:color w:val="000000"/>
                      <w:kern w:val="0"/>
                      <w:sz w:val="20"/>
                      <w:szCs w:val="20"/>
                      <w:u w:val="single"/>
                      <w:lang w:eastAsia="en-GB"/>
                      <w14:ligatures w14:val="none"/>
                    </w:rPr>
                  </w:pPr>
                  <w:r w:rsidRPr="00AA0B0A">
                    <w:rPr>
                      <w:rFonts w:ascii="Calibri" w:eastAsia="Times New Roman" w:hAnsi="Calibri" w:cs="Calibri"/>
                      <w:b/>
                      <w:bCs/>
                      <w:color w:val="000000"/>
                      <w:kern w:val="0"/>
                      <w:sz w:val="20"/>
                      <w:szCs w:val="20"/>
                      <w:u w:val="single"/>
                      <w:lang w:eastAsia="en-GB"/>
                      <w14:ligatures w14:val="none"/>
                    </w:rPr>
                    <w:t>95%CI</w:t>
                  </w:r>
                </w:p>
              </w:tc>
              <w:tc>
                <w:tcPr>
                  <w:tcW w:w="795" w:type="dxa"/>
                  <w:vAlign w:val="center"/>
                </w:tcPr>
                <w:p w14:paraId="71D5DF43" w14:textId="77777777" w:rsidR="00392601" w:rsidRPr="00AA0B0A" w:rsidRDefault="00392601" w:rsidP="00D232AE">
                  <w:pPr>
                    <w:spacing w:after="0" w:line="240" w:lineRule="auto"/>
                    <w:jc w:val="center"/>
                    <w:rPr>
                      <w:rFonts w:ascii="Calibri" w:eastAsia="Times New Roman" w:hAnsi="Calibri" w:cs="Calibri"/>
                      <w:b/>
                      <w:bCs/>
                      <w:color w:val="000000"/>
                      <w:kern w:val="0"/>
                      <w:sz w:val="20"/>
                      <w:szCs w:val="20"/>
                      <w:u w:val="single"/>
                      <w:lang w:eastAsia="en-GB"/>
                      <w14:ligatures w14:val="none"/>
                    </w:rPr>
                  </w:pPr>
                  <w:r w:rsidRPr="00AA0B0A">
                    <w:rPr>
                      <w:rFonts w:ascii="Calibri" w:eastAsia="Times New Roman" w:hAnsi="Calibri" w:cs="Calibri"/>
                      <w:b/>
                      <w:bCs/>
                      <w:color w:val="000000"/>
                      <w:kern w:val="0"/>
                      <w:sz w:val="20"/>
                      <w:szCs w:val="20"/>
                      <w:u w:val="single"/>
                      <w:lang w:eastAsia="en-GB"/>
                      <w14:ligatures w14:val="none"/>
                    </w:rPr>
                    <w:t>trend</w:t>
                  </w:r>
                </w:p>
              </w:tc>
            </w:tr>
            <w:tr w:rsidR="00392601" w:rsidRPr="00D26638" w14:paraId="6EFC600F" w14:textId="77777777" w:rsidTr="45F7E84B">
              <w:trPr>
                <w:trHeight w:val="113"/>
              </w:trPr>
              <w:tc>
                <w:tcPr>
                  <w:tcW w:w="660" w:type="dxa"/>
                  <w:noWrap/>
                  <w:tcMar>
                    <w:top w:w="15" w:type="dxa"/>
                    <w:left w:w="108" w:type="dxa"/>
                    <w:bottom w:w="15" w:type="dxa"/>
                    <w:right w:w="108" w:type="dxa"/>
                  </w:tcMar>
                  <w:hideMark/>
                </w:tcPr>
                <w:p w14:paraId="053AE2DE" w14:textId="77777777" w:rsidR="00392601" w:rsidRPr="00AA0B0A" w:rsidRDefault="00392601" w:rsidP="00D232AE">
                  <w:pPr>
                    <w:spacing w:after="0" w:line="240" w:lineRule="auto"/>
                    <w:jc w:val="center"/>
                    <w:rPr>
                      <w:rFonts w:ascii="Calibri" w:eastAsia="Times New Roman" w:hAnsi="Calibri" w:cs="Calibri"/>
                      <w:color w:val="000000"/>
                      <w:kern w:val="0"/>
                      <w:sz w:val="20"/>
                      <w:szCs w:val="20"/>
                      <w:lang w:eastAsia="en-GB"/>
                      <w14:ligatures w14:val="none"/>
                    </w:rPr>
                  </w:pPr>
                  <w:r w:rsidRPr="00AA0B0A">
                    <w:rPr>
                      <w:rFonts w:ascii="Calibri" w:hAnsi="Calibri" w:cs="Calibri"/>
                      <w:sz w:val="20"/>
                      <w:szCs w:val="20"/>
                    </w:rPr>
                    <w:t>M </w:t>
                  </w:r>
                </w:p>
              </w:tc>
              <w:tc>
                <w:tcPr>
                  <w:tcW w:w="963" w:type="dxa"/>
                  <w:noWrap/>
                  <w:tcMar>
                    <w:top w:w="15" w:type="dxa"/>
                    <w:left w:w="108" w:type="dxa"/>
                    <w:bottom w:w="15" w:type="dxa"/>
                    <w:right w:w="108" w:type="dxa"/>
                  </w:tcMar>
                  <w:hideMark/>
                </w:tcPr>
                <w:p w14:paraId="3F1E18F1" w14:textId="77777777" w:rsidR="00392601" w:rsidRPr="00AA0B0A" w:rsidRDefault="00392601" w:rsidP="00D232AE">
                  <w:pPr>
                    <w:spacing w:after="0" w:line="240" w:lineRule="auto"/>
                    <w:jc w:val="center"/>
                    <w:rPr>
                      <w:rFonts w:ascii="Calibri" w:eastAsia="Times New Roman" w:hAnsi="Calibri" w:cs="Calibri"/>
                      <w:color w:val="000000"/>
                      <w:kern w:val="0"/>
                      <w:sz w:val="20"/>
                      <w:szCs w:val="20"/>
                      <w:lang w:eastAsia="en-GB"/>
                      <w14:ligatures w14:val="none"/>
                    </w:rPr>
                  </w:pPr>
                  <w:r w:rsidRPr="00AA0B0A">
                    <w:rPr>
                      <w:rFonts w:ascii="Calibri" w:hAnsi="Calibri" w:cs="Calibri"/>
                      <w:sz w:val="20"/>
                      <w:szCs w:val="20"/>
                    </w:rPr>
                    <w:t>1994-2015 </w:t>
                  </w:r>
                </w:p>
              </w:tc>
              <w:tc>
                <w:tcPr>
                  <w:tcW w:w="696" w:type="dxa"/>
                  <w:noWrap/>
                  <w:tcMar>
                    <w:top w:w="15" w:type="dxa"/>
                    <w:left w:w="108" w:type="dxa"/>
                    <w:bottom w:w="15" w:type="dxa"/>
                    <w:right w:w="108" w:type="dxa"/>
                  </w:tcMar>
                  <w:hideMark/>
                </w:tcPr>
                <w:p w14:paraId="00AFBB88" w14:textId="77777777" w:rsidR="00392601" w:rsidRPr="00AA0B0A" w:rsidRDefault="00392601" w:rsidP="00D232AE">
                  <w:pPr>
                    <w:spacing w:after="0" w:line="240" w:lineRule="auto"/>
                    <w:jc w:val="center"/>
                    <w:rPr>
                      <w:rFonts w:ascii="Calibri" w:eastAsia="Times New Roman" w:hAnsi="Calibri" w:cs="Calibri"/>
                      <w:color w:val="000000"/>
                      <w:kern w:val="0"/>
                      <w:sz w:val="20"/>
                      <w:szCs w:val="20"/>
                      <w:lang w:eastAsia="en-GB"/>
                      <w14:ligatures w14:val="none"/>
                    </w:rPr>
                  </w:pPr>
                  <w:r w:rsidRPr="00AA0B0A">
                    <w:rPr>
                      <w:rFonts w:ascii="Calibri" w:hAnsi="Calibri" w:cs="Calibri"/>
                      <w:sz w:val="20"/>
                      <w:szCs w:val="20"/>
                    </w:rPr>
                    <w:t>0.2</w:t>
                  </w:r>
                </w:p>
              </w:tc>
              <w:tc>
                <w:tcPr>
                  <w:tcW w:w="941" w:type="dxa"/>
                  <w:noWrap/>
                  <w:tcMar>
                    <w:top w:w="15" w:type="dxa"/>
                    <w:left w:w="108" w:type="dxa"/>
                    <w:bottom w:w="15" w:type="dxa"/>
                    <w:right w:w="108" w:type="dxa"/>
                  </w:tcMar>
                  <w:hideMark/>
                </w:tcPr>
                <w:p w14:paraId="70BA0C0C" w14:textId="77777777" w:rsidR="00392601" w:rsidRPr="00AA0B0A" w:rsidRDefault="00392601" w:rsidP="00D232AE">
                  <w:pPr>
                    <w:spacing w:after="0" w:line="240" w:lineRule="auto"/>
                    <w:jc w:val="center"/>
                    <w:rPr>
                      <w:rFonts w:ascii="Calibri" w:eastAsia="Times New Roman" w:hAnsi="Calibri" w:cs="Calibri"/>
                      <w:color w:val="000000"/>
                      <w:kern w:val="0"/>
                      <w:sz w:val="20"/>
                      <w:szCs w:val="20"/>
                      <w:lang w:eastAsia="en-GB"/>
                      <w14:ligatures w14:val="none"/>
                    </w:rPr>
                  </w:pPr>
                  <w:r w:rsidRPr="00AA0B0A">
                    <w:rPr>
                      <w:rFonts w:ascii="Calibri" w:hAnsi="Calibri" w:cs="Calibri"/>
                      <w:sz w:val="20"/>
                      <w:szCs w:val="20"/>
                    </w:rPr>
                    <w:t>0.0, 0.4</w:t>
                  </w:r>
                </w:p>
              </w:tc>
              <w:tc>
                <w:tcPr>
                  <w:tcW w:w="765" w:type="dxa"/>
                  <w:tcBorders>
                    <w:right w:val="single" w:sz="4" w:space="0" w:color="auto"/>
                  </w:tcBorders>
                  <w:noWrap/>
                  <w:tcMar>
                    <w:top w:w="15" w:type="dxa"/>
                    <w:left w:w="108" w:type="dxa"/>
                    <w:bottom w:w="15" w:type="dxa"/>
                    <w:right w:w="108" w:type="dxa"/>
                  </w:tcMar>
                  <w:hideMark/>
                </w:tcPr>
                <w:p w14:paraId="2C6D18AE" w14:textId="77777777" w:rsidR="00392601" w:rsidRPr="00AA0B0A" w:rsidRDefault="00392601" w:rsidP="00D232AE">
                  <w:pPr>
                    <w:spacing w:after="0" w:line="240" w:lineRule="auto"/>
                    <w:jc w:val="center"/>
                    <w:rPr>
                      <w:rFonts w:ascii="Calibri" w:eastAsia="Times New Roman" w:hAnsi="Calibri" w:cs="Calibri"/>
                      <w:color w:val="000000"/>
                      <w:kern w:val="0"/>
                      <w:sz w:val="20"/>
                      <w:szCs w:val="20"/>
                      <w:lang w:eastAsia="en-GB"/>
                      <w14:ligatures w14:val="none"/>
                    </w:rPr>
                  </w:pPr>
                  <w:r w:rsidRPr="00AA0B0A">
                    <w:rPr>
                      <w:rFonts w:ascii="Calibri" w:hAnsi="Calibri" w:cs="Calibri"/>
                      <w:sz w:val="20"/>
                      <w:szCs w:val="20"/>
                    </w:rPr>
                    <w:t>flat</w:t>
                  </w:r>
                </w:p>
              </w:tc>
              <w:tc>
                <w:tcPr>
                  <w:tcW w:w="495" w:type="dxa"/>
                  <w:tcBorders>
                    <w:left w:val="single" w:sz="4" w:space="0" w:color="auto"/>
                  </w:tcBorders>
                </w:tcPr>
                <w:p w14:paraId="70589503" w14:textId="77777777" w:rsidR="00392601" w:rsidRPr="00AA0B0A" w:rsidRDefault="00392601" w:rsidP="00D232AE">
                  <w:pPr>
                    <w:spacing w:after="0" w:line="240" w:lineRule="auto"/>
                    <w:jc w:val="center"/>
                    <w:rPr>
                      <w:rFonts w:ascii="Calibri" w:hAnsi="Calibri" w:cs="Calibri"/>
                      <w:sz w:val="20"/>
                      <w:szCs w:val="20"/>
                    </w:rPr>
                  </w:pPr>
                  <w:r w:rsidRPr="00AA0B0A">
                    <w:rPr>
                      <w:rFonts w:ascii="Calibri" w:hAnsi="Calibri" w:cs="Calibri"/>
                      <w:sz w:val="20"/>
                      <w:szCs w:val="20"/>
                    </w:rPr>
                    <w:t>F </w:t>
                  </w:r>
                </w:p>
              </w:tc>
              <w:tc>
                <w:tcPr>
                  <w:tcW w:w="1037" w:type="dxa"/>
                </w:tcPr>
                <w:p w14:paraId="11599113" w14:textId="77777777" w:rsidR="00392601" w:rsidRPr="00AA0B0A" w:rsidRDefault="00392601" w:rsidP="00D232AE">
                  <w:pPr>
                    <w:spacing w:after="0" w:line="240" w:lineRule="auto"/>
                    <w:jc w:val="center"/>
                    <w:rPr>
                      <w:rFonts w:ascii="Calibri" w:hAnsi="Calibri" w:cs="Calibri"/>
                      <w:sz w:val="20"/>
                      <w:szCs w:val="20"/>
                    </w:rPr>
                  </w:pPr>
                  <w:r w:rsidRPr="00AA0B0A">
                    <w:rPr>
                      <w:rFonts w:ascii="Calibri" w:hAnsi="Calibri" w:cs="Calibri"/>
                      <w:sz w:val="20"/>
                      <w:szCs w:val="20"/>
                    </w:rPr>
                    <w:t>1994-2010 </w:t>
                  </w:r>
                </w:p>
              </w:tc>
              <w:tc>
                <w:tcPr>
                  <w:tcW w:w="696" w:type="dxa"/>
                </w:tcPr>
                <w:p w14:paraId="341F387B" w14:textId="77777777" w:rsidR="00392601" w:rsidRPr="00AA0B0A" w:rsidRDefault="00392601" w:rsidP="00D232AE">
                  <w:pPr>
                    <w:spacing w:after="0" w:line="240" w:lineRule="auto"/>
                    <w:jc w:val="center"/>
                    <w:rPr>
                      <w:rFonts w:ascii="Calibri" w:hAnsi="Calibri" w:cs="Calibri"/>
                      <w:sz w:val="20"/>
                      <w:szCs w:val="20"/>
                    </w:rPr>
                  </w:pPr>
                  <w:r w:rsidRPr="00AA0B0A">
                    <w:rPr>
                      <w:rFonts w:ascii="Calibri" w:hAnsi="Calibri" w:cs="Calibri"/>
                      <w:sz w:val="20"/>
                      <w:szCs w:val="20"/>
                    </w:rPr>
                    <w:t>1.5</w:t>
                  </w:r>
                </w:p>
              </w:tc>
              <w:tc>
                <w:tcPr>
                  <w:tcW w:w="879" w:type="dxa"/>
                </w:tcPr>
                <w:p w14:paraId="2CC69177" w14:textId="77777777" w:rsidR="00392601" w:rsidRPr="00AA0B0A" w:rsidRDefault="00392601" w:rsidP="00D232AE">
                  <w:pPr>
                    <w:spacing w:after="0" w:line="240" w:lineRule="auto"/>
                    <w:jc w:val="center"/>
                    <w:rPr>
                      <w:rFonts w:ascii="Calibri" w:hAnsi="Calibri" w:cs="Calibri"/>
                      <w:sz w:val="20"/>
                      <w:szCs w:val="20"/>
                    </w:rPr>
                  </w:pPr>
                  <w:r w:rsidRPr="00AA0B0A">
                    <w:rPr>
                      <w:rFonts w:ascii="Calibri" w:hAnsi="Calibri" w:cs="Calibri"/>
                      <w:sz w:val="20"/>
                      <w:szCs w:val="20"/>
                    </w:rPr>
                    <w:t>1.0, 1.9</w:t>
                  </w:r>
                </w:p>
              </w:tc>
              <w:tc>
                <w:tcPr>
                  <w:tcW w:w="795" w:type="dxa"/>
                </w:tcPr>
                <w:p w14:paraId="58C74058" w14:textId="77777777" w:rsidR="00392601" w:rsidRPr="00AA0B0A" w:rsidRDefault="00392601" w:rsidP="00D232AE">
                  <w:pPr>
                    <w:spacing w:after="0" w:line="240" w:lineRule="auto"/>
                    <w:jc w:val="center"/>
                    <w:rPr>
                      <w:rFonts w:ascii="Calibri" w:hAnsi="Calibri" w:cs="Calibri"/>
                      <w:sz w:val="20"/>
                      <w:szCs w:val="20"/>
                    </w:rPr>
                  </w:pPr>
                  <w:r w:rsidRPr="00AA0B0A">
                    <w:rPr>
                      <w:rFonts w:ascii="Calibri" w:hAnsi="Calibri" w:cs="Calibri"/>
                      <w:sz w:val="20"/>
                      <w:szCs w:val="20"/>
                    </w:rPr>
                    <w:t>up</w:t>
                  </w:r>
                </w:p>
              </w:tc>
            </w:tr>
            <w:tr w:rsidR="00392601" w:rsidRPr="00D26638" w14:paraId="26BB0F21" w14:textId="77777777" w:rsidTr="45F7E84B">
              <w:trPr>
                <w:trHeight w:val="113"/>
              </w:trPr>
              <w:tc>
                <w:tcPr>
                  <w:tcW w:w="660" w:type="dxa"/>
                  <w:noWrap/>
                  <w:tcMar>
                    <w:top w:w="15" w:type="dxa"/>
                    <w:left w:w="108" w:type="dxa"/>
                    <w:bottom w:w="15" w:type="dxa"/>
                    <w:right w:w="108" w:type="dxa"/>
                  </w:tcMar>
                </w:tcPr>
                <w:p w14:paraId="62FE1576" w14:textId="77777777" w:rsidR="00392601" w:rsidRPr="00AA0B0A" w:rsidRDefault="00392601" w:rsidP="00D232AE">
                  <w:pPr>
                    <w:spacing w:after="0" w:line="240" w:lineRule="auto"/>
                    <w:jc w:val="center"/>
                    <w:rPr>
                      <w:rFonts w:ascii="Calibri" w:eastAsia="Times New Roman" w:hAnsi="Calibri" w:cs="Calibri"/>
                      <w:color w:val="000000"/>
                      <w:kern w:val="0"/>
                      <w:sz w:val="20"/>
                      <w:szCs w:val="20"/>
                      <w:lang w:eastAsia="en-GB"/>
                      <w14:ligatures w14:val="none"/>
                    </w:rPr>
                  </w:pPr>
                </w:p>
              </w:tc>
              <w:tc>
                <w:tcPr>
                  <w:tcW w:w="963" w:type="dxa"/>
                  <w:noWrap/>
                  <w:tcMar>
                    <w:top w:w="15" w:type="dxa"/>
                    <w:left w:w="108" w:type="dxa"/>
                    <w:bottom w:w="15" w:type="dxa"/>
                    <w:right w:w="108" w:type="dxa"/>
                  </w:tcMar>
                </w:tcPr>
                <w:p w14:paraId="488A2D01" w14:textId="77777777" w:rsidR="00392601" w:rsidRPr="00AA0B0A" w:rsidRDefault="00392601" w:rsidP="00D232AE">
                  <w:pPr>
                    <w:spacing w:after="0" w:line="240" w:lineRule="auto"/>
                    <w:jc w:val="center"/>
                    <w:rPr>
                      <w:rFonts w:ascii="Calibri" w:eastAsia="Times New Roman" w:hAnsi="Calibri" w:cs="Calibri"/>
                      <w:color w:val="000000"/>
                      <w:kern w:val="0"/>
                      <w:sz w:val="20"/>
                      <w:szCs w:val="20"/>
                      <w:lang w:eastAsia="en-GB"/>
                      <w14:ligatures w14:val="none"/>
                    </w:rPr>
                  </w:pPr>
                  <w:r w:rsidRPr="00AA0B0A">
                    <w:rPr>
                      <w:rFonts w:ascii="Calibri" w:hAnsi="Calibri" w:cs="Calibri"/>
                      <w:sz w:val="20"/>
                      <w:szCs w:val="20"/>
                    </w:rPr>
                    <w:t>2015-2022 </w:t>
                  </w:r>
                </w:p>
              </w:tc>
              <w:tc>
                <w:tcPr>
                  <w:tcW w:w="696" w:type="dxa"/>
                  <w:noWrap/>
                  <w:tcMar>
                    <w:top w:w="15" w:type="dxa"/>
                    <w:left w:w="108" w:type="dxa"/>
                    <w:bottom w:w="15" w:type="dxa"/>
                    <w:right w:w="108" w:type="dxa"/>
                  </w:tcMar>
                </w:tcPr>
                <w:p w14:paraId="77ED50BB" w14:textId="77777777" w:rsidR="00392601" w:rsidRPr="00AA0B0A" w:rsidRDefault="00392601" w:rsidP="00D232AE">
                  <w:pPr>
                    <w:spacing w:after="0" w:line="240" w:lineRule="auto"/>
                    <w:jc w:val="center"/>
                    <w:rPr>
                      <w:rFonts w:ascii="Calibri" w:eastAsia="Times New Roman" w:hAnsi="Calibri" w:cs="Calibri"/>
                      <w:color w:val="000000"/>
                      <w:kern w:val="0"/>
                      <w:sz w:val="20"/>
                      <w:szCs w:val="20"/>
                      <w:lang w:eastAsia="en-GB"/>
                      <w14:ligatures w14:val="none"/>
                    </w:rPr>
                  </w:pPr>
                  <w:r w:rsidRPr="00AA0B0A">
                    <w:rPr>
                      <w:rFonts w:ascii="Calibri" w:hAnsi="Calibri" w:cs="Calibri"/>
                      <w:sz w:val="20"/>
                      <w:szCs w:val="20"/>
                    </w:rPr>
                    <w:t>-2.6</w:t>
                  </w:r>
                </w:p>
              </w:tc>
              <w:tc>
                <w:tcPr>
                  <w:tcW w:w="941" w:type="dxa"/>
                  <w:noWrap/>
                  <w:tcMar>
                    <w:top w:w="15" w:type="dxa"/>
                    <w:left w:w="108" w:type="dxa"/>
                    <w:bottom w:w="15" w:type="dxa"/>
                    <w:right w:w="108" w:type="dxa"/>
                  </w:tcMar>
                </w:tcPr>
                <w:p w14:paraId="663F202D" w14:textId="77777777" w:rsidR="00392601" w:rsidRPr="00AA0B0A" w:rsidRDefault="00392601" w:rsidP="00D232AE">
                  <w:pPr>
                    <w:spacing w:after="0" w:line="240" w:lineRule="auto"/>
                    <w:jc w:val="center"/>
                    <w:rPr>
                      <w:rFonts w:ascii="Calibri" w:eastAsia="Times New Roman" w:hAnsi="Calibri" w:cs="Calibri"/>
                      <w:color w:val="000000"/>
                      <w:kern w:val="0"/>
                      <w:sz w:val="20"/>
                      <w:szCs w:val="20"/>
                      <w:lang w:eastAsia="en-GB"/>
                      <w14:ligatures w14:val="none"/>
                    </w:rPr>
                  </w:pPr>
                  <w:r w:rsidRPr="00AA0B0A">
                    <w:rPr>
                      <w:rFonts w:ascii="Calibri" w:hAnsi="Calibri" w:cs="Calibri"/>
                      <w:sz w:val="20"/>
                      <w:szCs w:val="20"/>
                    </w:rPr>
                    <w:t>-3.4, -1.7</w:t>
                  </w:r>
                </w:p>
              </w:tc>
              <w:tc>
                <w:tcPr>
                  <w:tcW w:w="765" w:type="dxa"/>
                  <w:tcBorders>
                    <w:right w:val="single" w:sz="4" w:space="0" w:color="auto"/>
                  </w:tcBorders>
                  <w:noWrap/>
                  <w:tcMar>
                    <w:top w:w="15" w:type="dxa"/>
                    <w:left w:w="108" w:type="dxa"/>
                    <w:bottom w:w="15" w:type="dxa"/>
                    <w:right w:w="108" w:type="dxa"/>
                  </w:tcMar>
                </w:tcPr>
                <w:p w14:paraId="1EC23D22" w14:textId="77777777" w:rsidR="00392601" w:rsidRPr="00AA0B0A" w:rsidRDefault="00392601" w:rsidP="00D232AE">
                  <w:pPr>
                    <w:spacing w:after="0" w:line="240" w:lineRule="auto"/>
                    <w:jc w:val="center"/>
                    <w:rPr>
                      <w:rFonts w:ascii="Calibri" w:eastAsia="Times New Roman" w:hAnsi="Calibri" w:cs="Calibri"/>
                      <w:color w:val="000000"/>
                      <w:kern w:val="0"/>
                      <w:sz w:val="20"/>
                      <w:szCs w:val="20"/>
                      <w:lang w:eastAsia="en-GB"/>
                      <w14:ligatures w14:val="none"/>
                    </w:rPr>
                  </w:pPr>
                  <w:r w:rsidRPr="00AA0B0A">
                    <w:rPr>
                      <w:rFonts w:ascii="Calibri" w:hAnsi="Calibri" w:cs="Calibri"/>
                      <w:sz w:val="20"/>
                      <w:szCs w:val="20"/>
                    </w:rPr>
                    <w:t>down</w:t>
                  </w:r>
                </w:p>
              </w:tc>
              <w:tc>
                <w:tcPr>
                  <w:tcW w:w="495" w:type="dxa"/>
                  <w:tcBorders>
                    <w:left w:val="single" w:sz="4" w:space="0" w:color="auto"/>
                  </w:tcBorders>
                </w:tcPr>
                <w:p w14:paraId="1CB01294" w14:textId="77777777" w:rsidR="00392601" w:rsidRPr="00AA0B0A" w:rsidRDefault="00392601" w:rsidP="00D232AE">
                  <w:pPr>
                    <w:spacing w:after="0" w:line="240" w:lineRule="auto"/>
                    <w:jc w:val="center"/>
                    <w:rPr>
                      <w:rFonts w:ascii="Calibri" w:hAnsi="Calibri" w:cs="Calibri"/>
                      <w:sz w:val="20"/>
                      <w:szCs w:val="20"/>
                    </w:rPr>
                  </w:pPr>
                </w:p>
              </w:tc>
              <w:tc>
                <w:tcPr>
                  <w:tcW w:w="1037" w:type="dxa"/>
                </w:tcPr>
                <w:p w14:paraId="29C56759" w14:textId="77777777" w:rsidR="00392601" w:rsidRPr="00AA0B0A" w:rsidRDefault="00392601" w:rsidP="00D232AE">
                  <w:pPr>
                    <w:spacing w:after="0" w:line="240" w:lineRule="auto"/>
                    <w:jc w:val="center"/>
                    <w:rPr>
                      <w:rFonts w:ascii="Calibri" w:hAnsi="Calibri" w:cs="Calibri"/>
                      <w:sz w:val="20"/>
                      <w:szCs w:val="20"/>
                    </w:rPr>
                  </w:pPr>
                  <w:r w:rsidRPr="00AA0B0A">
                    <w:rPr>
                      <w:rFonts w:ascii="Calibri" w:hAnsi="Calibri" w:cs="Calibri"/>
                      <w:sz w:val="20"/>
                      <w:szCs w:val="20"/>
                    </w:rPr>
                    <w:t>2010-2022</w:t>
                  </w:r>
                </w:p>
              </w:tc>
              <w:tc>
                <w:tcPr>
                  <w:tcW w:w="696" w:type="dxa"/>
                </w:tcPr>
                <w:p w14:paraId="151A81EC" w14:textId="77777777" w:rsidR="00392601" w:rsidRPr="00AA0B0A" w:rsidRDefault="00392601" w:rsidP="00D232AE">
                  <w:pPr>
                    <w:spacing w:after="0" w:line="240" w:lineRule="auto"/>
                    <w:jc w:val="center"/>
                    <w:rPr>
                      <w:rFonts w:ascii="Calibri" w:hAnsi="Calibri" w:cs="Calibri"/>
                      <w:sz w:val="20"/>
                      <w:szCs w:val="20"/>
                    </w:rPr>
                  </w:pPr>
                  <w:r w:rsidRPr="00AA0B0A">
                    <w:rPr>
                      <w:rFonts w:ascii="Calibri" w:hAnsi="Calibri" w:cs="Calibri"/>
                      <w:sz w:val="20"/>
                      <w:szCs w:val="20"/>
                    </w:rPr>
                    <w:t>-0.4</w:t>
                  </w:r>
                </w:p>
              </w:tc>
              <w:tc>
                <w:tcPr>
                  <w:tcW w:w="879" w:type="dxa"/>
                </w:tcPr>
                <w:p w14:paraId="34F7043D" w14:textId="77777777" w:rsidR="00392601" w:rsidRPr="00AA0B0A" w:rsidRDefault="00392601" w:rsidP="00D232AE">
                  <w:pPr>
                    <w:spacing w:after="0" w:line="240" w:lineRule="auto"/>
                    <w:jc w:val="center"/>
                    <w:rPr>
                      <w:rFonts w:ascii="Calibri" w:hAnsi="Calibri" w:cs="Calibri"/>
                      <w:sz w:val="20"/>
                      <w:szCs w:val="20"/>
                    </w:rPr>
                  </w:pPr>
                  <w:r w:rsidRPr="00AA0B0A">
                    <w:rPr>
                      <w:rFonts w:ascii="Calibri" w:hAnsi="Calibri" w:cs="Calibri"/>
                      <w:sz w:val="20"/>
                      <w:szCs w:val="20"/>
                    </w:rPr>
                    <w:t>-1.0, 0.2</w:t>
                  </w:r>
                </w:p>
              </w:tc>
              <w:tc>
                <w:tcPr>
                  <w:tcW w:w="795" w:type="dxa"/>
                </w:tcPr>
                <w:p w14:paraId="036A7945" w14:textId="77777777" w:rsidR="00392601" w:rsidRPr="00AA0B0A" w:rsidRDefault="00392601" w:rsidP="00D232AE">
                  <w:pPr>
                    <w:spacing w:after="0" w:line="240" w:lineRule="auto"/>
                    <w:jc w:val="center"/>
                    <w:rPr>
                      <w:rFonts w:ascii="Calibri" w:hAnsi="Calibri" w:cs="Calibri"/>
                      <w:sz w:val="20"/>
                      <w:szCs w:val="20"/>
                    </w:rPr>
                  </w:pPr>
                  <w:r w:rsidRPr="00AA0B0A">
                    <w:rPr>
                      <w:rFonts w:ascii="Calibri" w:hAnsi="Calibri" w:cs="Calibri"/>
                      <w:sz w:val="20"/>
                      <w:szCs w:val="20"/>
                    </w:rPr>
                    <w:t>flat</w:t>
                  </w:r>
                </w:p>
              </w:tc>
            </w:tr>
          </w:tbl>
          <w:p w14:paraId="71402E44" w14:textId="77777777" w:rsidR="00392601" w:rsidRPr="00985AB9" w:rsidRDefault="00392601" w:rsidP="00D232AE">
            <w:pPr>
              <w:pBdr>
                <w:bottom w:val="single" w:sz="4" w:space="1" w:color="auto"/>
              </w:pBdr>
              <w:rPr>
                <w:rFonts w:asciiTheme="minorHAnsi" w:hAnsiTheme="minorHAnsi"/>
                <w:bCs/>
                <w:sz w:val="18"/>
                <w:szCs w:val="16"/>
              </w:rPr>
            </w:pPr>
          </w:p>
        </w:tc>
      </w:tr>
      <w:tr w:rsidR="00392601" w:rsidRPr="00985AB9" w14:paraId="1D61B8CD" w14:textId="77777777" w:rsidTr="0041177B">
        <w:trPr>
          <w:trHeight w:val="20"/>
        </w:trPr>
        <w:tc>
          <w:tcPr>
            <w:tcW w:w="9634" w:type="dxa"/>
            <w:vAlign w:val="center"/>
          </w:tcPr>
          <w:p w14:paraId="010AFB92" w14:textId="77777777" w:rsidR="00392601" w:rsidRPr="00985AB9" w:rsidRDefault="00392601" w:rsidP="00D232AE">
            <w:pPr>
              <w:pBdr>
                <w:bottom w:val="single" w:sz="4" w:space="1" w:color="auto"/>
              </w:pBdr>
              <w:rPr>
                <w:bCs/>
                <w:sz w:val="18"/>
                <w:szCs w:val="16"/>
              </w:rPr>
            </w:pPr>
            <w:r w:rsidRPr="00985AB9">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tc>
      </w:tr>
    </w:tbl>
    <w:p w14:paraId="48FB631F" w14:textId="77777777" w:rsidR="00392601" w:rsidRPr="00C32002" w:rsidRDefault="00392601" w:rsidP="00D232AE">
      <w:pPr>
        <w:spacing w:after="0"/>
      </w:pPr>
    </w:p>
    <w:p w14:paraId="6F1668A6" w14:textId="77777777" w:rsidR="00392601" w:rsidRPr="00C32002" w:rsidRDefault="00392601" w:rsidP="00D232AE">
      <w:pPr>
        <w:spacing w:after="0"/>
        <w:sectPr w:rsidR="00392601" w:rsidRPr="00C32002" w:rsidSect="002746C0">
          <w:pgSz w:w="11906" w:h="16838"/>
          <w:pgMar w:top="1440" w:right="1440" w:bottom="1440" w:left="1440" w:header="708" w:footer="708" w:gutter="0"/>
          <w:cols w:space="708"/>
          <w:docGrid w:linePitch="360"/>
        </w:sectPr>
      </w:pPr>
    </w:p>
    <w:p w14:paraId="49B99C4B" w14:textId="77777777" w:rsidR="00392601" w:rsidRPr="00C32002" w:rsidRDefault="00392601" w:rsidP="00D232AE">
      <w:pPr>
        <w:pStyle w:val="Heading3"/>
        <w:spacing w:before="0" w:after="0"/>
      </w:pPr>
      <w:bookmarkStart w:id="62" w:name="_Toc197557040"/>
      <w:bookmarkStart w:id="63" w:name="_Toc201512434"/>
      <w:r w:rsidRPr="00C32002">
        <w:t>Variation by deprivation quintile</w:t>
      </w:r>
      <w:bookmarkEnd w:id="62"/>
      <w:bookmarkEnd w:id="63"/>
    </w:p>
    <w:p w14:paraId="70ADC9FA" w14:textId="07E6326D" w:rsidR="00392601" w:rsidRDefault="00392601" w:rsidP="00D232AE">
      <w:pPr>
        <w:spacing w:after="0" w:line="240" w:lineRule="auto"/>
        <w:rPr>
          <w:rFonts w:cstheme="minorHAnsi"/>
          <w:color w:val="000000" w:themeColor="text1"/>
        </w:rPr>
      </w:pPr>
      <w:r w:rsidRPr="00C32002">
        <w:rPr>
          <w:rFonts w:cstheme="minorHAnsi"/>
          <w:color w:val="000000" w:themeColor="text1"/>
        </w:rPr>
        <w:t xml:space="preserve">Age-standardised incidence rates of </w:t>
      </w:r>
      <w:r w:rsidRPr="00C32002">
        <w:rPr>
          <w:rFonts w:cstheme="minorHAnsi"/>
        </w:rPr>
        <w:t>tobacco</w:t>
      </w:r>
      <w:r w:rsidR="00A45DCC">
        <w:rPr>
          <w:rFonts w:cstheme="minorHAnsi"/>
        </w:rPr>
        <w:t>-</w:t>
      </w:r>
      <w:r w:rsidRPr="00C32002">
        <w:rPr>
          <w:rFonts w:cstheme="minorHAnsi"/>
        </w:rPr>
        <w:t>related cancer</w:t>
      </w:r>
      <w:r>
        <w:rPr>
          <w:rFonts w:cstheme="minorHAnsi"/>
        </w:rPr>
        <w:t>s</w:t>
      </w:r>
      <w:r w:rsidRPr="00C32002">
        <w:rPr>
          <w:rFonts w:cstheme="minorHAnsi"/>
        </w:rPr>
        <w:t xml:space="preserve"> </w:t>
      </w:r>
      <w:r w:rsidRPr="00C32002">
        <w:rPr>
          <w:rFonts w:cstheme="minorHAnsi"/>
          <w:color w:val="000000" w:themeColor="text1"/>
        </w:rPr>
        <w:t xml:space="preserve">in 2014-2018 ranged </w:t>
      </w:r>
      <w:r>
        <w:rPr>
          <w:rFonts w:cstheme="minorHAnsi"/>
          <w:color w:val="000000" w:themeColor="text1"/>
        </w:rPr>
        <w:t xml:space="preserve">from </w:t>
      </w:r>
      <w:r w:rsidR="00B0370A">
        <w:rPr>
          <w:rFonts w:cstheme="minorHAnsi"/>
          <w:color w:val="000000" w:themeColor="text1"/>
        </w:rPr>
        <w:t>355.9</w:t>
      </w:r>
      <w:r>
        <w:rPr>
          <w:rFonts w:cstheme="minorHAnsi"/>
          <w:color w:val="000000" w:themeColor="text1"/>
        </w:rPr>
        <w:t xml:space="preserve"> to </w:t>
      </w:r>
      <w:r w:rsidR="00B0370A">
        <w:rPr>
          <w:rFonts w:cstheme="minorHAnsi"/>
          <w:color w:val="000000" w:themeColor="text1"/>
        </w:rPr>
        <w:t>415.4</w:t>
      </w:r>
      <w:r w:rsidRPr="00C32002">
        <w:rPr>
          <w:rFonts w:cstheme="minorHAnsi"/>
          <w:color w:val="000000" w:themeColor="text1"/>
        </w:rPr>
        <w:t xml:space="preserve"> cases per 100,000 </w:t>
      </w:r>
      <w:r>
        <w:rPr>
          <w:rFonts w:cstheme="minorHAnsi"/>
          <w:color w:val="000000" w:themeColor="text1"/>
        </w:rPr>
        <w:t>in</w:t>
      </w:r>
      <w:r w:rsidRPr="00C32002">
        <w:rPr>
          <w:rFonts w:cstheme="minorHAnsi"/>
          <w:color w:val="000000" w:themeColor="text1"/>
        </w:rPr>
        <w:t xml:space="preserve"> the least </w:t>
      </w:r>
      <w:r>
        <w:rPr>
          <w:rFonts w:cstheme="minorHAnsi"/>
          <w:color w:val="000000" w:themeColor="text1"/>
        </w:rPr>
        <w:t>and in</w:t>
      </w:r>
      <w:r w:rsidRPr="00C32002">
        <w:rPr>
          <w:rFonts w:cstheme="minorHAnsi"/>
          <w:color w:val="000000" w:themeColor="text1"/>
        </w:rPr>
        <w:t xml:space="preserve"> the most deprived quintiles</w:t>
      </w:r>
      <w:r>
        <w:rPr>
          <w:rFonts w:cstheme="minorHAnsi"/>
          <w:color w:val="000000" w:themeColor="text1"/>
        </w:rPr>
        <w:t>, respectively</w:t>
      </w:r>
      <w:r w:rsidRPr="00C32002">
        <w:rPr>
          <w:rFonts w:cstheme="minorHAnsi"/>
          <w:color w:val="000000" w:themeColor="text1"/>
        </w:rPr>
        <w:t xml:space="preserve"> (Figure </w:t>
      </w:r>
      <w:r w:rsidR="006553B7">
        <w:rPr>
          <w:rFonts w:cstheme="minorHAnsi"/>
          <w:color w:val="000000" w:themeColor="text1"/>
        </w:rPr>
        <w:t>4.3</w:t>
      </w:r>
      <w:r w:rsidRPr="00C32002">
        <w:rPr>
          <w:rFonts w:cstheme="minorHAnsi"/>
          <w:color w:val="000000" w:themeColor="text1"/>
        </w:rPr>
        <w:t>).</w:t>
      </w:r>
      <w:r>
        <w:rPr>
          <w:rFonts w:cstheme="minorHAnsi"/>
          <w:color w:val="000000" w:themeColor="text1"/>
        </w:rPr>
        <w:t xml:space="preserve"> Similar trends were observed when the rates were stratified into males and females.</w:t>
      </w:r>
    </w:p>
    <w:p w14:paraId="562A68C4" w14:textId="77777777" w:rsidR="00392601" w:rsidRPr="00C32002" w:rsidRDefault="00392601" w:rsidP="00D232AE">
      <w:pPr>
        <w:spacing w:after="0"/>
        <w:rPr>
          <w:rFonts w:cstheme="minorHAnsi"/>
          <w:color w:val="000000" w:themeColor="text1"/>
        </w:rPr>
      </w:pPr>
    </w:p>
    <w:tbl>
      <w:tblPr>
        <w:tblStyle w:val="TableGrid"/>
        <w:tblW w:w="977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4"/>
        <w:gridCol w:w="3210"/>
      </w:tblGrid>
      <w:tr w:rsidR="00392601" w:rsidRPr="00C32002" w14:paraId="4C8FCD6D" w14:textId="77777777" w:rsidTr="0041177B">
        <w:trPr>
          <w:trHeight w:val="113"/>
        </w:trPr>
        <w:tc>
          <w:tcPr>
            <w:tcW w:w="9778" w:type="dxa"/>
            <w:gridSpan w:val="3"/>
            <w:shd w:val="clear" w:color="auto" w:fill="002060"/>
            <w:hideMark/>
          </w:tcPr>
          <w:p w14:paraId="3402053D" w14:textId="77693376" w:rsidR="00392601" w:rsidRPr="006553B7" w:rsidRDefault="00392601" w:rsidP="00D232AE">
            <w:pPr>
              <w:rPr>
                <w:rFonts w:cstheme="minorHAnsi"/>
                <w:b/>
                <w:bCs/>
                <w:color w:val="FFFFFF" w:themeColor="background1"/>
              </w:rPr>
            </w:pPr>
            <w:r w:rsidRPr="006553B7">
              <w:rPr>
                <w:rFonts w:asciiTheme="minorHAnsi" w:hAnsiTheme="minorHAnsi" w:cstheme="minorHAnsi"/>
                <w:b/>
                <w:bCs/>
                <w:color w:val="FFFFFF" w:themeColor="background1"/>
              </w:rPr>
              <w:t xml:space="preserve">Figure </w:t>
            </w:r>
            <w:r w:rsidR="006553B7">
              <w:rPr>
                <w:rFonts w:asciiTheme="minorHAnsi" w:hAnsiTheme="minorHAnsi" w:cstheme="minorHAnsi"/>
                <w:b/>
                <w:bCs/>
                <w:color w:val="FFFFFF" w:themeColor="background1"/>
              </w:rPr>
              <w:t>4.3:</w:t>
            </w:r>
            <w:r w:rsidRPr="006553B7">
              <w:rPr>
                <w:rFonts w:asciiTheme="minorHAnsi" w:hAnsiTheme="minorHAnsi" w:cstheme="minorHAnsi"/>
                <w:b/>
                <w:bCs/>
                <w:color w:val="FFFFFF" w:themeColor="background1"/>
              </w:rPr>
              <w:t xml:space="preserve"> Incidence rate (per 100,000) for tobacco</w:t>
            </w:r>
            <w:r w:rsidR="00A45DCC" w:rsidRPr="006553B7">
              <w:rPr>
                <w:rFonts w:asciiTheme="minorHAnsi" w:hAnsiTheme="minorHAnsi" w:cstheme="minorHAnsi"/>
                <w:b/>
                <w:bCs/>
                <w:color w:val="FFFFFF" w:themeColor="background1"/>
              </w:rPr>
              <w:t>-</w:t>
            </w:r>
            <w:r w:rsidRPr="006553B7">
              <w:rPr>
                <w:rFonts w:asciiTheme="minorHAnsi" w:hAnsiTheme="minorHAnsi" w:cstheme="minorHAnsi"/>
                <w:b/>
                <w:bCs/>
                <w:color w:val="FFFFFF" w:themeColor="background1"/>
              </w:rPr>
              <w:t>related cancer by deprivation quintile, 2014-2018</w:t>
            </w:r>
          </w:p>
        </w:tc>
      </w:tr>
      <w:tr w:rsidR="00392601" w:rsidRPr="00B431A5" w14:paraId="52D3A2F3" w14:textId="77777777" w:rsidTr="0041177B">
        <w:trPr>
          <w:trHeight w:val="113"/>
        </w:trPr>
        <w:tc>
          <w:tcPr>
            <w:tcW w:w="3284" w:type="dxa"/>
            <w:hideMark/>
          </w:tcPr>
          <w:p w14:paraId="43C8A763" w14:textId="77777777" w:rsidR="00392601" w:rsidRPr="00B431A5" w:rsidRDefault="00392601" w:rsidP="00D232AE">
            <w:pPr>
              <w:jc w:val="center"/>
              <w:rPr>
                <w:rFonts w:asciiTheme="minorHAnsi" w:hAnsiTheme="minorHAnsi" w:cstheme="minorHAnsi"/>
                <w:color w:val="000000" w:themeColor="text1"/>
              </w:rPr>
            </w:pPr>
            <w:r w:rsidRPr="00B431A5">
              <w:rPr>
                <w:rFonts w:asciiTheme="minorHAnsi" w:hAnsiTheme="minorHAnsi" w:cstheme="minorHAnsi"/>
                <w:color w:val="000000" w:themeColor="text1"/>
              </w:rPr>
              <w:t>Total</w:t>
            </w:r>
          </w:p>
        </w:tc>
        <w:tc>
          <w:tcPr>
            <w:tcW w:w="3284" w:type="dxa"/>
          </w:tcPr>
          <w:p w14:paraId="03CA642D" w14:textId="77777777" w:rsidR="00392601" w:rsidRPr="00B431A5" w:rsidRDefault="00392601" w:rsidP="00D232AE">
            <w:pPr>
              <w:jc w:val="center"/>
              <w:rPr>
                <w:rFonts w:asciiTheme="minorHAnsi" w:hAnsiTheme="minorHAnsi" w:cstheme="minorHAnsi"/>
                <w:color w:val="000000" w:themeColor="text1"/>
              </w:rPr>
            </w:pPr>
            <w:r w:rsidRPr="00B431A5">
              <w:rPr>
                <w:rFonts w:asciiTheme="minorHAnsi" w:hAnsiTheme="minorHAnsi" w:cstheme="minorHAnsi"/>
                <w:color w:val="000000" w:themeColor="text1"/>
              </w:rPr>
              <w:t>Males</w:t>
            </w:r>
          </w:p>
        </w:tc>
        <w:tc>
          <w:tcPr>
            <w:tcW w:w="3210" w:type="dxa"/>
          </w:tcPr>
          <w:p w14:paraId="0671B259" w14:textId="77777777" w:rsidR="00392601" w:rsidRPr="00B431A5" w:rsidRDefault="00392601" w:rsidP="00D232AE">
            <w:pPr>
              <w:jc w:val="center"/>
              <w:rPr>
                <w:rFonts w:asciiTheme="minorHAnsi" w:hAnsiTheme="minorHAnsi" w:cstheme="minorHAnsi"/>
                <w:color w:val="000000" w:themeColor="text1"/>
              </w:rPr>
            </w:pPr>
            <w:r w:rsidRPr="00B431A5">
              <w:rPr>
                <w:rFonts w:asciiTheme="minorHAnsi" w:hAnsiTheme="minorHAnsi" w:cstheme="minorHAnsi"/>
                <w:color w:val="000000" w:themeColor="text1"/>
              </w:rPr>
              <w:t>Females</w:t>
            </w:r>
          </w:p>
        </w:tc>
      </w:tr>
      <w:tr w:rsidR="00392601" w:rsidRPr="00C32002" w14:paraId="628519BE" w14:textId="77777777" w:rsidTr="0041177B">
        <w:trPr>
          <w:trHeight w:val="113"/>
        </w:trPr>
        <w:tc>
          <w:tcPr>
            <w:tcW w:w="3284" w:type="dxa"/>
          </w:tcPr>
          <w:p w14:paraId="1C1F1AF9" w14:textId="77777777" w:rsidR="00392601" w:rsidRDefault="00392601" w:rsidP="00D232AE">
            <w:pPr>
              <w:rPr>
                <w:rFonts w:eastAsia="Times New Roman" w:cs="Times New Roman"/>
                <w:noProof/>
                <w:lang w:eastAsia="en-GB"/>
              </w:rPr>
            </w:pPr>
            <w:r>
              <w:rPr>
                <w:rFonts w:eastAsia="Times New Roman" w:cs="Times New Roman"/>
                <w:noProof/>
                <w:lang w:eastAsia="en-GB"/>
              </w:rPr>
              <w:drawing>
                <wp:inline distT="0" distB="0" distL="0" distR="0" wp14:anchorId="5894E609" wp14:editId="7B51C03B">
                  <wp:extent cx="1781175" cy="1388269"/>
                  <wp:effectExtent l="0" t="0" r="0" b="2540"/>
                  <wp:docPr id="14704077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407799" name="Picture 4"/>
                          <pic:cNvPicPr>
                            <a:picLocks noChangeAspect="1" noChangeArrowheads="1"/>
                          </pic:cNvPicPr>
                        </pic:nvPicPr>
                        <pic:blipFill>
                          <a:blip r:embed="rId20">
                            <a:extLst>
                              <a:ext uri="{96DAC541-7B7A-43D3-8B79-37D633B846F1}">
                                <asvg:svgBlip xmlns:asvg="http://schemas.microsoft.com/office/drawing/2016/SVG/main" r:embed="rId21"/>
                              </a:ext>
                            </a:extLst>
                          </a:blip>
                          <a:stretch>
                            <a:fillRect/>
                          </a:stretch>
                        </pic:blipFill>
                        <pic:spPr bwMode="auto">
                          <a:xfrm>
                            <a:off x="0" y="0"/>
                            <a:ext cx="1782938" cy="1389643"/>
                          </a:xfrm>
                          <a:prstGeom prst="rect">
                            <a:avLst/>
                          </a:prstGeom>
                        </pic:spPr>
                      </pic:pic>
                    </a:graphicData>
                  </a:graphic>
                </wp:inline>
              </w:drawing>
            </w:r>
          </w:p>
        </w:tc>
        <w:tc>
          <w:tcPr>
            <w:tcW w:w="3284" w:type="dxa"/>
          </w:tcPr>
          <w:p w14:paraId="705A7C00" w14:textId="77777777" w:rsidR="00392601" w:rsidRDefault="00392601" w:rsidP="00D232AE">
            <w:pPr>
              <w:rPr>
                <w:rFonts w:eastAsia="Times New Roman" w:cs="Times New Roman"/>
                <w:noProof/>
                <w:lang w:eastAsia="en-GB"/>
              </w:rPr>
            </w:pPr>
            <w:r>
              <w:rPr>
                <w:rFonts w:eastAsia="Times New Roman" w:cs="Times New Roman"/>
                <w:noProof/>
                <w:lang w:eastAsia="en-GB"/>
              </w:rPr>
              <w:drawing>
                <wp:inline distT="0" distB="0" distL="0" distR="0" wp14:anchorId="207395FC" wp14:editId="35144407">
                  <wp:extent cx="1796451" cy="1400175"/>
                  <wp:effectExtent l="0" t="0" r="0" b="0"/>
                  <wp:docPr id="1536929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2923" name="Picture 5"/>
                          <pic:cNvPicPr>
                            <a:picLocks noChangeAspect="1" noChangeArrowheads="1"/>
                          </pic:cNvPicPr>
                        </pic:nvPicPr>
                        <pic:blipFill>
                          <a:blip r:embed="rId22">
                            <a:extLst>
                              <a:ext uri="{96DAC541-7B7A-43D3-8B79-37D633B846F1}">
                                <asvg:svgBlip xmlns:asvg="http://schemas.microsoft.com/office/drawing/2016/SVG/main" r:embed="rId23"/>
                              </a:ext>
                            </a:extLst>
                          </a:blip>
                          <a:stretch>
                            <a:fillRect/>
                          </a:stretch>
                        </pic:blipFill>
                        <pic:spPr bwMode="auto">
                          <a:xfrm>
                            <a:off x="0" y="0"/>
                            <a:ext cx="1798434" cy="1401721"/>
                          </a:xfrm>
                          <a:prstGeom prst="rect">
                            <a:avLst/>
                          </a:prstGeom>
                        </pic:spPr>
                      </pic:pic>
                    </a:graphicData>
                  </a:graphic>
                </wp:inline>
              </w:drawing>
            </w:r>
          </w:p>
        </w:tc>
        <w:tc>
          <w:tcPr>
            <w:tcW w:w="3210" w:type="dxa"/>
          </w:tcPr>
          <w:p w14:paraId="5A53F905" w14:textId="77777777" w:rsidR="00392601" w:rsidRDefault="00392601" w:rsidP="00D232AE">
            <w:pPr>
              <w:rPr>
                <w:rFonts w:cstheme="minorHAnsi"/>
                <w:noProof/>
                <w:color w:val="000000" w:themeColor="text1"/>
              </w:rPr>
            </w:pPr>
            <w:r>
              <w:rPr>
                <w:rFonts w:cstheme="minorHAnsi"/>
                <w:noProof/>
                <w:color w:val="000000" w:themeColor="text1"/>
              </w:rPr>
              <w:drawing>
                <wp:inline distT="0" distB="0" distL="0" distR="0" wp14:anchorId="749A322D" wp14:editId="7941E7CB">
                  <wp:extent cx="1809750" cy="1410539"/>
                  <wp:effectExtent l="0" t="0" r="0" b="0"/>
                  <wp:docPr id="19990365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036580" name="Picture 7"/>
                          <pic:cNvPicPr>
                            <a:picLocks noChangeAspect="1" noChangeArrowheads="1"/>
                          </pic:cNvPicPr>
                        </pic:nvPicPr>
                        <pic:blipFill>
                          <a:blip r:embed="rId24">
                            <a:extLst>
                              <a:ext uri="{96DAC541-7B7A-43D3-8B79-37D633B846F1}">
                                <asvg:svgBlip xmlns:asvg="http://schemas.microsoft.com/office/drawing/2016/SVG/main" r:embed="rId25"/>
                              </a:ext>
                            </a:extLst>
                          </a:blip>
                          <a:stretch>
                            <a:fillRect/>
                          </a:stretch>
                        </pic:blipFill>
                        <pic:spPr bwMode="auto">
                          <a:xfrm>
                            <a:off x="0" y="0"/>
                            <a:ext cx="1812796" cy="1412913"/>
                          </a:xfrm>
                          <a:prstGeom prst="rect">
                            <a:avLst/>
                          </a:prstGeom>
                        </pic:spPr>
                      </pic:pic>
                    </a:graphicData>
                  </a:graphic>
                </wp:inline>
              </w:drawing>
            </w:r>
          </w:p>
        </w:tc>
      </w:tr>
    </w:tbl>
    <w:p w14:paraId="27398191" w14:textId="77777777" w:rsidR="00392601" w:rsidRPr="00C32002" w:rsidRDefault="00392601" w:rsidP="00D232AE">
      <w:pPr>
        <w:spacing w:after="0"/>
        <w:rPr>
          <w:rFonts w:cstheme="minorHAnsi"/>
          <w:color w:val="000000" w:themeColor="text1"/>
          <w:highlight w:val="yellow"/>
        </w:rPr>
      </w:pPr>
    </w:p>
    <w:p w14:paraId="642C4E99" w14:textId="77777777" w:rsidR="00392601" w:rsidRPr="00C32002" w:rsidRDefault="00392601" w:rsidP="00D232AE">
      <w:pPr>
        <w:pStyle w:val="Heading2"/>
        <w:spacing w:before="0" w:after="0"/>
      </w:pPr>
      <w:bookmarkStart w:id="64" w:name="_Toc197557041"/>
      <w:bookmarkStart w:id="65" w:name="_Toc201512435"/>
      <w:r w:rsidRPr="00C32002">
        <w:t>Mortality</w:t>
      </w:r>
      <w:bookmarkEnd w:id="64"/>
      <w:bookmarkEnd w:id="65"/>
    </w:p>
    <w:p w14:paraId="12D022E5" w14:textId="06C9A996" w:rsidR="00392601" w:rsidRPr="00C32002" w:rsidRDefault="00392601" w:rsidP="00D232AE">
      <w:pPr>
        <w:spacing w:after="0" w:line="240" w:lineRule="auto"/>
      </w:pPr>
      <w:r>
        <w:t>The a</w:t>
      </w:r>
      <w:r w:rsidRPr="00C32002">
        <w:t>ge-standardised mortality rate of tobacco</w:t>
      </w:r>
      <w:r w:rsidR="00B20C1E">
        <w:t>-</w:t>
      </w:r>
      <w:r w:rsidRPr="00C32002">
        <w:t>related cancer</w:t>
      </w:r>
      <w:r>
        <w:t>s</w:t>
      </w:r>
      <w:r w:rsidRPr="00C32002">
        <w:t xml:space="preserve"> </w:t>
      </w:r>
      <w:r w:rsidR="003668DC">
        <w:t>during the period</w:t>
      </w:r>
      <w:r w:rsidRPr="00C32002">
        <w:t xml:space="preserve"> 1994-2022 w</w:t>
      </w:r>
      <w:r>
        <w:t xml:space="preserve">as </w:t>
      </w:r>
      <w:r w:rsidRPr="00C32002">
        <w:t xml:space="preserve">213.0 deaths per 100,000 </w:t>
      </w:r>
      <w:r>
        <w:t xml:space="preserve">in </w:t>
      </w:r>
      <w:r w:rsidRPr="00C32002">
        <w:t xml:space="preserve">males and 162.0 deaths per 100,000 </w:t>
      </w:r>
      <w:r>
        <w:t xml:space="preserve">in </w:t>
      </w:r>
      <w:r w:rsidRPr="00C32002">
        <w:t xml:space="preserve">females per year. Figure </w:t>
      </w:r>
      <w:r w:rsidR="006553B7">
        <w:t>4.4</w:t>
      </w:r>
      <w:r w:rsidRPr="00C32002">
        <w:t xml:space="preserve"> breaks this down further by sex and age group. </w:t>
      </w:r>
      <w:r>
        <w:t>M</w:t>
      </w:r>
      <w:r w:rsidRPr="00C32002">
        <w:t xml:space="preserve">ortality </w:t>
      </w:r>
      <w:r>
        <w:t>was higher among older cases</w:t>
      </w:r>
      <w:r w:rsidRPr="00C32002">
        <w:t xml:space="preserve"> regardless of sex.</w:t>
      </w:r>
    </w:p>
    <w:p w14:paraId="55D76077" w14:textId="77777777" w:rsidR="00392601" w:rsidRPr="00C32002" w:rsidRDefault="00392601" w:rsidP="00D232AE">
      <w:pPr>
        <w:spacing w:after="0"/>
        <w:rPr>
          <w:highlight w:val="yellow"/>
        </w:rPr>
      </w:pPr>
    </w:p>
    <w:tbl>
      <w:tblPr>
        <w:tblStyle w:val="TableGrid"/>
        <w:tblW w:w="976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3259"/>
        <w:gridCol w:w="3259"/>
      </w:tblGrid>
      <w:tr w:rsidR="00392601" w:rsidRPr="00E73D9A" w14:paraId="0C010D84" w14:textId="77777777" w:rsidTr="0041177B">
        <w:trPr>
          <w:trHeight w:val="113"/>
        </w:trPr>
        <w:tc>
          <w:tcPr>
            <w:tcW w:w="9768" w:type="dxa"/>
            <w:gridSpan w:val="3"/>
            <w:shd w:val="clear" w:color="auto" w:fill="002060"/>
            <w:hideMark/>
          </w:tcPr>
          <w:p w14:paraId="429C94B0" w14:textId="0CBB2FAE" w:rsidR="00392601" w:rsidRPr="006553B7" w:rsidRDefault="00392601" w:rsidP="00D232AE">
            <w:pPr>
              <w:rPr>
                <w:rFonts w:asciiTheme="minorHAnsi" w:hAnsiTheme="minorHAnsi" w:cstheme="minorHAnsi"/>
                <w:b/>
                <w:bCs/>
                <w:color w:val="FFFFFF" w:themeColor="background1"/>
              </w:rPr>
            </w:pPr>
            <w:r w:rsidRPr="006553B7">
              <w:rPr>
                <w:rFonts w:asciiTheme="minorHAnsi" w:hAnsiTheme="minorHAnsi" w:cstheme="minorHAnsi"/>
                <w:b/>
                <w:bCs/>
                <w:color w:val="FFFFFF" w:themeColor="background1"/>
              </w:rPr>
              <w:t xml:space="preserve">Figure </w:t>
            </w:r>
            <w:r w:rsidR="006553B7" w:rsidRPr="006553B7">
              <w:rPr>
                <w:rFonts w:asciiTheme="minorHAnsi" w:hAnsiTheme="minorHAnsi" w:cstheme="minorHAnsi"/>
                <w:b/>
                <w:bCs/>
                <w:color w:val="FFFFFF" w:themeColor="background1"/>
              </w:rPr>
              <w:t>4.4:</w:t>
            </w:r>
            <w:r w:rsidRPr="006553B7">
              <w:rPr>
                <w:rFonts w:asciiTheme="minorHAnsi" w:hAnsiTheme="minorHAnsi" w:cstheme="minorHAnsi"/>
                <w:b/>
                <w:bCs/>
                <w:color w:val="FFFFFF" w:themeColor="background1"/>
              </w:rPr>
              <w:t xml:space="preserve"> Mortality rate (per 100,000) for any tobacco</w:t>
            </w:r>
            <w:r w:rsidR="00A45DCC" w:rsidRPr="006553B7">
              <w:rPr>
                <w:rFonts w:asciiTheme="minorHAnsi" w:hAnsiTheme="minorHAnsi" w:cstheme="minorHAnsi"/>
                <w:b/>
                <w:bCs/>
                <w:color w:val="FFFFFF" w:themeColor="background1"/>
              </w:rPr>
              <w:t>-</w:t>
            </w:r>
            <w:r w:rsidRPr="006553B7">
              <w:rPr>
                <w:rFonts w:asciiTheme="minorHAnsi" w:hAnsiTheme="minorHAnsi" w:cstheme="minorHAnsi"/>
                <w:b/>
                <w:bCs/>
                <w:color w:val="FFFFFF" w:themeColor="background1"/>
              </w:rPr>
              <w:t xml:space="preserve">related cancer by </w:t>
            </w:r>
            <w:r w:rsidR="00366242">
              <w:rPr>
                <w:rFonts w:asciiTheme="minorHAnsi" w:hAnsiTheme="minorHAnsi" w:cstheme="minorHAnsi"/>
                <w:b/>
                <w:bCs/>
                <w:color w:val="FFFFFF" w:themeColor="background1"/>
              </w:rPr>
              <w:t>age group</w:t>
            </w:r>
            <w:r w:rsidRPr="006553B7">
              <w:rPr>
                <w:rFonts w:asciiTheme="minorHAnsi" w:hAnsiTheme="minorHAnsi" w:cstheme="minorHAnsi"/>
                <w:b/>
                <w:bCs/>
                <w:color w:val="FFFFFF" w:themeColor="background1"/>
              </w:rPr>
              <w:t>, 1994-2022</w:t>
            </w:r>
          </w:p>
        </w:tc>
      </w:tr>
      <w:tr w:rsidR="00392601" w:rsidRPr="00E73D9A" w14:paraId="078F3AA8" w14:textId="77777777" w:rsidTr="0041177B">
        <w:trPr>
          <w:trHeight w:val="113"/>
        </w:trPr>
        <w:tc>
          <w:tcPr>
            <w:tcW w:w="3256" w:type="dxa"/>
            <w:hideMark/>
          </w:tcPr>
          <w:p w14:paraId="1F7031CF" w14:textId="77777777" w:rsidR="00392601" w:rsidRPr="00E73D9A" w:rsidRDefault="00392601" w:rsidP="00D232AE">
            <w:pPr>
              <w:jc w:val="center"/>
              <w:rPr>
                <w:rFonts w:asciiTheme="minorHAnsi" w:hAnsiTheme="minorHAnsi" w:cstheme="minorHAnsi"/>
                <w:color w:val="000000" w:themeColor="text1"/>
              </w:rPr>
            </w:pPr>
            <w:r w:rsidRPr="00E73D9A">
              <w:rPr>
                <w:rFonts w:asciiTheme="minorHAnsi" w:hAnsiTheme="minorHAnsi" w:cstheme="minorHAnsi"/>
                <w:color w:val="000000" w:themeColor="text1"/>
              </w:rPr>
              <w:t>Total</w:t>
            </w:r>
          </w:p>
        </w:tc>
        <w:tc>
          <w:tcPr>
            <w:tcW w:w="3256" w:type="dxa"/>
          </w:tcPr>
          <w:p w14:paraId="2E339629" w14:textId="77777777" w:rsidR="00392601" w:rsidRPr="00E73D9A" w:rsidRDefault="00392601" w:rsidP="00D232AE">
            <w:pPr>
              <w:jc w:val="center"/>
              <w:rPr>
                <w:rFonts w:asciiTheme="minorHAnsi" w:hAnsiTheme="minorHAnsi" w:cstheme="minorHAnsi"/>
                <w:color w:val="000000" w:themeColor="text1"/>
              </w:rPr>
            </w:pPr>
            <w:r w:rsidRPr="00E73D9A">
              <w:rPr>
                <w:rFonts w:asciiTheme="minorHAnsi" w:hAnsiTheme="minorHAnsi" w:cstheme="minorHAnsi"/>
                <w:color w:val="000000" w:themeColor="text1"/>
              </w:rPr>
              <w:t>Males</w:t>
            </w:r>
          </w:p>
        </w:tc>
        <w:tc>
          <w:tcPr>
            <w:tcW w:w="3256" w:type="dxa"/>
          </w:tcPr>
          <w:p w14:paraId="0C147312" w14:textId="77777777" w:rsidR="00392601" w:rsidRPr="00E73D9A" w:rsidRDefault="00392601" w:rsidP="00D232AE">
            <w:pPr>
              <w:jc w:val="center"/>
              <w:rPr>
                <w:rFonts w:asciiTheme="minorHAnsi" w:hAnsiTheme="minorHAnsi" w:cstheme="minorHAnsi"/>
                <w:color w:val="000000" w:themeColor="text1"/>
              </w:rPr>
            </w:pPr>
            <w:r w:rsidRPr="00E73D9A">
              <w:rPr>
                <w:rFonts w:asciiTheme="minorHAnsi" w:hAnsiTheme="minorHAnsi" w:cstheme="minorHAnsi"/>
                <w:color w:val="000000" w:themeColor="text1"/>
              </w:rPr>
              <w:t>Females</w:t>
            </w:r>
          </w:p>
        </w:tc>
      </w:tr>
      <w:tr w:rsidR="00392601" w:rsidRPr="00E73D9A" w14:paraId="202DC81F" w14:textId="77777777" w:rsidTr="0041177B">
        <w:trPr>
          <w:trHeight w:val="113"/>
        </w:trPr>
        <w:tc>
          <w:tcPr>
            <w:tcW w:w="3256" w:type="dxa"/>
          </w:tcPr>
          <w:p w14:paraId="1CC9EC97" w14:textId="77777777" w:rsidR="00392601" w:rsidRPr="00611632" w:rsidRDefault="00392601" w:rsidP="00D232AE">
            <w:pPr>
              <w:rPr>
                <w:rFonts w:asciiTheme="minorHAnsi" w:eastAsia="Times New Roman" w:hAnsiTheme="minorHAnsi" w:cs="Times New Roman"/>
                <w:lang w:eastAsia="en-GB"/>
              </w:rPr>
            </w:pPr>
            <w:r w:rsidRPr="00E73D9A">
              <w:rPr>
                <w:rFonts w:eastAsia="Times New Roman" w:cs="Times New Roman"/>
                <w:noProof/>
                <w:lang w:eastAsia="en-GB"/>
              </w:rPr>
              <w:drawing>
                <wp:inline distT="0" distB="0" distL="0" distR="0" wp14:anchorId="110A4025" wp14:editId="3531FCC6">
                  <wp:extent cx="1953190" cy="1692000"/>
                  <wp:effectExtent l="0" t="0" r="9525" b="3810"/>
                  <wp:docPr id="1157809409" name="Picture 9"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809409" name="Picture 9" descr="A graph with numbers and a bar&#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3190" cy="1692000"/>
                          </a:xfrm>
                          <a:prstGeom prst="rect">
                            <a:avLst/>
                          </a:prstGeom>
                          <a:noFill/>
                        </pic:spPr>
                      </pic:pic>
                    </a:graphicData>
                  </a:graphic>
                </wp:inline>
              </w:drawing>
            </w:r>
          </w:p>
        </w:tc>
        <w:tc>
          <w:tcPr>
            <w:tcW w:w="3256" w:type="dxa"/>
          </w:tcPr>
          <w:p w14:paraId="0986211E" w14:textId="77777777" w:rsidR="00392601" w:rsidRPr="00E73D9A" w:rsidRDefault="00392601" w:rsidP="00D232AE">
            <w:pPr>
              <w:rPr>
                <w:rFonts w:asciiTheme="minorHAnsi" w:hAnsiTheme="minorHAnsi" w:cstheme="minorHAnsi"/>
                <w:color w:val="000000" w:themeColor="text1"/>
              </w:rPr>
            </w:pPr>
            <w:r w:rsidRPr="00E73D9A">
              <w:rPr>
                <w:rFonts w:eastAsia="Times New Roman" w:cs="Times New Roman"/>
                <w:noProof/>
                <w:lang w:eastAsia="en-GB"/>
              </w:rPr>
              <w:drawing>
                <wp:inline distT="0" distB="0" distL="0" distR="0" wp14:anchorId="5AFFD022" wp14:editId="78E1E185">
                  <wp:extent cx="1953190" cy="1692000"/>
                  <wp:effectExtent l="0" t="0" r="9525" b="3810"/>
                  <wp:docPr id="1620209984" name="Picture 8"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209984" name="Picture 8" descr="A graph with numbers and a bar&#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3190" cy="1692000"/>
                          </a:xfrm>
                          <a:prstGeom prst="rect">
                            <a:avLst/>
                          </a:prstGeom>
                          <a:noFill/>
                        </pic:spPr>
                      </pic:pic>
                    </a:graphicData>
                  </a:graphic>
                </wp:inline>
              </w:drawing>
            </w:r>
          </w:p>
        </w:tc>
        <w:tc>
          <w:tcPr>
            <w:tcW w:w="3256" w:type="dxa"/>
          </w:tcPr>
          <w:p w14:paraId="79B14194" w14:textId="77777777" w:rsidR="00392601" w:rsidRPr="00E73D9A" w:rsidRDefault="00392601" w:rsidP="00D232AE">
            <w:pPr>
              <w:jc w:val="center"/>
              <w:rPr>
                <w:rFonts w:asciiTheme="minorHAnsi" w:hAnsiTheme="minorHAnsi" w:cstheme="minorHAnsi"/>
                <w:color w:val="000000" w:themeColor="text1"/>
              </w:rPr>
            </w:pPr>
            <w:r w:rsidRPr="00E73D9A">
              <w:rPr>
                <w:rFonts w:cstheme="minorHAnsi"/>
                <w:noProof/>
                <w:color w:val="000000" w:themeColor="text1"/>
              </w:rPr>
              <w:drawing>
                <wp:inline distT="0" distB="0" distL="0" distR="0" wp14:anchorId="1BBE2EA7" wp14:editId="635810DB">
                  <wp:extent cx="1953190" cy="1692000"/>
                  <wp:effectExtent l="0" t="0" r="9525" b="3810"/>
                  <wp:docPr id="1748647498" name="Picture 7"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647498" name="Picture 7" descr="A graph with numbers and a bar&#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3190" cy="1692000"/>
                          </a:xfrm>
                          <a:prstGeom prst="rect">
                            <a:avLst/>
                          </a:prstGeom>
                          <a:noFill/>
                        </pic:spPr>
                      </pic:pic>
                    </a:graphicData>
                  </a:graphic>
                </wp:inline>
              </w:drawing>
            </w:r>
          </w:p>
        </w:tc>
      </w:tr>
    </w:tbl>
    <w:p w14:paraId="176322C2" w14:textId="77777777" w:rsidR="00392601" w:rsidRPr="00C32002" w:rsidRDefault="00392601" w:rsidP="00D232AE">
      <w:pPr>
        <w:spacing w:after="0"/>
      </w:pPr>
    </w:p>
    <w:p w14:paraId="5139299E" w14:textId="77777777" w:rsidR="00392601" w:rsidRDefault="00392601" w:rsidP="00D232AE">
      <w:pPr>
        <w:spacing w:after="0"/>
        <w:sectPr w:rsidR="00392601" w:rsidSect="002746C0">
          <w:pgSz w:w="11906" w:h="16838"/>
          <w:pgMar w:top="1440" w:right="1440" w:bottom="1440" w:left="1440" w:header="708" w:footer="708" w:gutter="0"/>
          <w:cols w:space="708"/>
          <w:docGrid w:linePitch="360"/>
        </w:sectPr>
      </w:pPr>
    </w:p>
    <w:p w14:paraId="18FE74A2" w14:textId="77777777" w:rsidR="00392601" w:rsidRPr="00C32002" w:rsidRDefault="00392601" w:rsidP="00D232AE">
      <w:pPr>
        <w:pStyle w:val="Heading3"/>
        <w:spacing w:before="0" w:after="0"/>
      </w:pPr>
      <w:bookmarkStart w:id="66" w:name="_Toc197557042"/>
      <w:bookmarkStart w:id="67" w:name="_Toc201512436"/>
      <w:r w:rsidRPr="00C32002">
        <w:t>Trends over time</w:t>
      </w:r>
      <w:bookmarkEnd w:id="66"/>
      <w:bookmarkEnd w:id="67"/>
    </w:p>
    <w:p w14:paraId="74CD2358" w14:textId="54465D0D" w:rsidR="00392601" w:rsidRPr="00C32002" w:rsidRDefault="00392601" w:rsidP="00D232AE">
      <w:pPr>
        <w:spacing w:after="0" w:line="240" w:lineRule="auto"/>
        <w:rPr>
          <w:highlight w:val="yellow"/>
        </w:rPr>
      </w:pPr>
      <w:r w:rsidRPr="00C32002">
        <w:t xml:space="preserve">Figure </w:t>
      </w:r>
      <w:r w:rsidR="006553B7">
        <w:t>4.5</w:t>
      </w:r>
      <w:r w:rsidRPr="00C32002">
        <w:t xml:space="preserve"> shows the </w:t>
      </w:r>
      <w:r>
        <w:t>mortality rates</w:t>
      </w:r>
      <w:r w:rsidRPr="00C32002">
        <w:t xml:space="preserve"> of tobacco</w:t>
      </w:r>
      <w:r w:rsidR="00A45DCC">
        <w:t>-</w:t>
      </w:r>
      <w:r w:rsidRPr="00C32002">
        <w:t>related cancer</w:t>
      </w:r>
      <w:r>
        <w:t>s</w:t>
      </w:r>
      <w:r w:rsidRPr="00C32002">
        <w:t xml:space="preserve"> from 1994 to 2022. In males</w:t>
      </w:r>
      <w:r>
        <w:t>,</w:t>
      </w:r>
      <w:r w:rsidRPr="00C32002">
        <w:t xml:space="preserve"> there was a decline in mortality </w:t>
      </w:r>
      <w:r>
        <w:t xml:space="preserve">of </w:t>
      </w:r>
      <w:r w:rsidR="22373B0F">
        <w:t>-</w:t>
      </w:r>
      <w:r w:rsidRPr="00C32002">
        <w:t>1.1% per year</w:t>
      </w:r>
      <w:r>
        <w:t xml:space="preserve"> </w:t>
      </w:r>
      <w:r w:rsidRPr="00C32002">
        <w:t>(95%CI -1.3;</w:t>
      </w:r>
      <w:r>
        <w:t xml:space="preserve"> </w:t>
      </w:r>
      <w:r w:rsidRPr="00C32002">
        <w:t>-0.9) from 1994 to 2014.</w:t>
      </w:r>
      <w:r>
        <w:t xml:space="preserve"> The mortality r</w:t>
      </w:r>
      <w:r w:rsidRPr="00C32002">
        <w:t xml:space="preserve">ate </w:t>
      </w:r>
      <w:r>
        <w:t xml:space="preserve">further </w:t>
      </w:r>
      <w:r w:rsidRPr="00C32002">
        <w:t>decrease</w:t>
      </w:r>
      <w:r>
        <w:t>d</w:t>
      </w:r>
      <w:r w:rsidRPr="00C32002">
        <w:t xml:space="preserve"> </w:t>
      </w:r>
      <w:r>
        <w:t>by</w:t>
      </w:r>
      <w:r w:rsidR="7E185B8A">
        <w:t xml:space="preserve"> </w:t>
      </w:r>
      <w:r w:rsidRPr="00C32002">
        <w:t>-2.7% per year (95%CI -3.4;</w:t>
      </w:r>
      <w:r>
        <w:t xml:space="preserve"> </w:t>
      </w:r>
      <w:r w:rsidRPr="00C32002">
        <w:t>-2.0)</w:t>
      </w:r>
      <w:r>
        <w:t xml:space="preserve"> between </w:t>
      </w:r>
      <w:r w:rsidRPr="00C32002">
        <w:t xml:space="preserve">2014-2022. In females there was a </w:t>
      </w:r>
      <w:r w:rsidR="6D7CC4C1">
        <w:t>-</w:t>
      </w:r>
      <w:r>
        <w:t xml:space="preserve">0.5% </w:t>
      </w:r>
      <w:r w:rsidRPr="00C32002">
        <w:t>decline in mortality per year (95%CI -0.8; -0.3)</w:t>
      </w:r>
      <w:r>
        <w:t xml:space="preserve"> in</w:t>
      </w:r>
      <w:r w:rsidRPr="00C32002">
        <w:t xml:space="preserve"> 1994 to 2014</w:t>
      </w:r>
      <w:r>
        <w:t>. The mortality r</w:t>
      </w:r>
      <w:r w:rsidRPr="00C32002">
        <w:t>ate continued to decrease from 2014-2022 at a rate of -1.8% per year (95%CI -2.6;</w:t>
      </w:r>
      <w:r>
        <w:t xml:space="preserve"> </w:t>
      </w:r>
      <w:r w:rsidRPr="00C32002">
        <w:t xml:space="preserve">-1.0)).  </w:t>
      </w:r>
    </w:p>
    <w:p w14:paraId="7CD1E585" w14:textId="77777777" w:rsidR="00392601" w:rsidRPr="00C32002" w:rsidRDefault="00392601" w:rsidP="00D232AE">
      <w:pPr>
        <w:spacing w:after="0"/>
        <w:rPr>
          <w:highlight w:val="yellow"/>
        </w:rPr>
      </w:pPr>
      <w:r w:rsidRPr="00C32002">
        <w:rPr>
          <w:highlight w:val="yellow"/>
        </w:rPr>
        <w:t xml:space="preserve">  </w:t>
      </w:r>
    </w:p>
    <w:tbl>
      <w:tblPr>
        <w:tblStyle w:val="TableGrid"/>
        <w:tblW w:w="978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2"/>
      </w:tblGrid>
      <w:tr w:rsidR="00392601" w:rsidRPr="001C4408" w14:paraId="2A1850C6" w14:textId="77777777" w:rsidTr="0041177B">
        <w:trPr>
          <w:trHeight w:val="113"/>
        </w:trPr>
        <w:tc>
          <w:tcPr>
            <w:tcW w:w="9782" w:type="dxa"/>
            <w:shd w:val="clear" w:color="auto" w:fill="002060"/>
            <w:vAlign w:val="center"/>
            <w:hideMark/>
          </w:tcPr>
          <w:p w14:paraId="1B5F1794" w14:textId="7A836D93" w:rsidR="00392601" w:rsidRPr="001C4408" w:rsidRDefault="00392601" w:rsidP="00D232AE">
            <w:pPr>
              <w:rPr>
                <w:rFonts w:asciiTheme="minorHAnsi" w:hAnsiTheme="minorHAnsi"/>
                <w:b/>
                <w:bCs/>
              </w:rPr>
            </w:pPr>
            <w:r w:rsidRPr="001C4408">
              <w:rPr>
                <w:rFonts w:asciiTheme="minorHAnsi" w:hAnsiTheme="minorHAnsi"/>
                <w:b/>
                <w:bCs/>
              </w:rPr>
              <w:t xml:space="preserve">Figure </w:t>
            </w:r>
            <w:r w:rsidR="006553B7">
              <w:rPr>
                <w:rFonts w:asciiTheme="minorHAnsi" w:hAnsiTheme="minorHAnsi"/>
                <w:b/>
                <w:bCs/>
              </w:rPr>
              <w:t>4.5</w:t>
            </w:r>
            <w:r w:rsidRPr="001C4408">
              <w:rPr>
                <w:rFonts w:asciiTheme="minorHAnsi" w:hAnsiTheme="minorHAnsi"/>
                <w:b/>
                <w:bCs/>
              </w:rPr>
              <w:t xml:space="preserve">   Age-</w:t>
            </w:r>
            <w:r w:rsidRPr="001C4408">
              <w:rPr>
                <w:rFonts w:asciiTheme="minorHAnsi" w:hAnsiTheme="minorHAnsi"/>
                <w:b/>
                <w:bCs/>
                <w:bdr w:val="single" w:sz="4" w:space="0" w:color="auto" w:frame="1"/>
              </w:rPr>
              <w:t>standardised mortality rate 1994-2022, tobacco</w:t>
            </w:r>
            <w:r w:rsidR="00A45DCC">
              <w:rPr>
                <w:rFonts w:asciiTheme="minorHAnsi" w:hAnsiTheme="minorHAnsi"/>
                <w:b/>
                <w:bCs/>
                <w:bdr w:val="single" w:sz="4" w:space="0" w:color="auto" w:frame="1"/>
              </w:rPr>
              <w:t>-</w:t>
            </w:r>
            <w:r w:rsidRPr="001C4408">
              <w:rPr>
                <w:rFonts w:asciiTheme="minorHAnsi" w:hAnsiTheme="minorHAnsi"/>
                <w:b/>
                <w:bCs/>
                <w:bdr w:val="single" w:sz="4" w:space="0" w:color="auto" w:frame="1"/>
              </w:rPr>
              <w:t>related cancer</w:t>
            </w:r>
          </w:p>
        </w:tc>
      </w:tr>
      <w:tr w:rsidR="00392601" w:rsidRPr="001C4408" w14:paraId="2E7EB05F" w14:textId="77777777" w:rsidTr="0041177B">
        <w:trPr>
          <w:trHeight w:val="113"/>
        </w:trPr>
        <w:tc>
          <w:tcPr>
            <w:tcW w:w="9782" w:type="dxa"/>
            <w:vAlign w:val="center"/>
          </w:tcPr>
          <w:p w14:paraId="01DF84C4" w14:textId="77777777" w:rsidR="00392601" w:rsidRPr="001C4408" w:rsidRDefault="00392601" w:rsidP="00D232AE">
            <w:pPr>
              <w:jc w:val="center"/>
              <w:rPr>
                <w:rFonts w:asciiTheme="minorHAnsi" w:hAnsiTheme="minorHAnsi"/>
              </w:rPr>
            </w:pPr>
          </w:p>
          <w:p w14:paraId="76F4F598" w14:textId="77777777" w:rsidR="00392601" w:rsidRPr="001C4408" w:rsidRDefault="00392601" w:rsidP="00D232AE">
            <w:pPr>
              <w:jc w:val="center"/>
              <w:rPr>
                <w:rFonts w:asciiTheme="minorHAnsi" w:hAnsiTheme="minorHAnsi"/>
              </w:rPr>
            </w:pPr>
            <w:r>
              <w:rPr>
                <w:noProof/>
              </w:rPr>
              <w:drawing>
                <wp:inline distT="0" distB="0" distL="0" distR="0" wp14:anchorId="17A77F35" wp14:editId="366E6533">
                  <wp:extent cx="5883275" cy="3084830"/>
                  <wp:effectExtent l="0" t="0" r="3175" b="1270"/>
                  <wp:docPr id="522920986" name="Picture 2"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920986" name="Picture 2" descr="A graph with numbers and lines&#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83275" cy="3084830"/>
                          </a:xfrm>
                          <a:prstGeom prst="rect">
                            <a:avLst/>
                          </a:prstGeom>
                          <a:noFill/>
                        </pic:spPr>
                      </pic:pic>
                    </a:graphicData>
                  </a:graphic>
                </wp:inline>
              </w:drawing>
            </w:r>
          </w:p>
        </w:tc>
      </w:tr>
      <w:tr w:rsidR="00392601" w:rsidRPr="001C4408" w14:paraId="096C53DB" w14:textId="77777777" w:rsidTr="0041177B">
        <w:trPr>
          <w:trHeight w:val="113"/>
        </w:trPr>
        <w:tc>
          <w:tcPr>
            <w:tcW w:w="9782" w:type="dxa"/>
            <w:vAlign w:val="center"/>
          </w:tcPr>
          <w:tbl>
            <w:tblPr>
              <w:tblW w:w="0" w:type="auto"/>
              <w:tblInd w:w="569" w:type="dxa"/>
              <w:tblLook w:val="04A0" w:firstRow="1" w:lastRow="0" w:firstColumn="1" w:lastColumn="0" w:noHBand="0" w:noVBand="1"/>
            </w:tblPr>
            <w:tblGrid>
              <w:gridCol w:w="530"/>
              <w:gridCol w:w="1180"/>
              <w:gridCol w:w="771"/>
              <w:gridCol w:w="992"/>
              <w:gridCol w:w="732"/>
              <w:gridCol w:w="530"/>
              <w:gridCol w:w="1180"/>
              <w:gridCol w:w="771"/>
              <w:gridCol w:w="992"/>
              <w:gridCol w:w="736"/>
            </w:tblGrid>
            <w:tr w:rsidR="00392601" w:rsidRPr="00AA0B0A" w14:paraId="4F32EE02" w14:textId="77777777" w:rsidTr="0041177B">
              <w:trPr>
                <w:trHeight w:val="113"/>
              </w:trPr>
              <w:tc>
                <w:tcPr>
                  <w:tcW w:w="0" w:type="auto"/>
                  <w:noWrap/>
                  <w:tcMar>
                    <w:top w:w="15" w:type="dxa"/>
                    <w:left w:w="108" w:type="dxa"/>
                    <w:bottom w:w="15" w:type="dxa"/>
                    <w:right w:w="108" w:type="dxa"/>
                  </w:tcMar>
                  <w:vAlign w:val="center"/>
                  <w:hideMark/>
                </w:tcPr>
                <w:p w14:paraId="4D41097F" w14:textId="77777777" w:rsidR="00392601" w:rsidRPr="00AA0B0A" w:rsidRDefault="00392601" w:rsidP="00D232AE">
                  <w:pPr>
                    <w:spacing w:after="0" w:line="240" w:lineRule="auto"/>
                    <w:jc w:val="center"/>
                    <w:rPr>
                      <w:rFonts w:eastAsia="Times New Roman" w:cs="Calibri"/>
                      <w:b/>
                      <w:bCs/>
                      <w:color w:val="000000"/>
                      <w:kern w:val="0"/>
                      <w:sz w:val="20"/>
                      <w:szCs w:val="20"/>
                      <w:u w:val="single"/>
                      <w:lang w:eastAsia="en-GB"/>
                      <w14:ligatures w14:val="none"/>
                    </w:rPr>
                  </w:pPr>
                  <w:r w:rsidRPr="00AA0B0A">
                    <w:rPr>
                      <w:rFonts w:eastAsia="Times New Roman" w:cs="Calibri"/>
                      <w:b/>
                      <w:bCs/>
                      <w:color w:val="000000"/>
                      <w:kern w:val="0"/>
                      <w:sz w:val="20"/>
                      <w:szCs w:val="20"/>
                      <w:u w:val="single"/>
                      <w:lang w:eastAsia="en-GB"/>
                      <w14:ligatures w14:val="none"/>
                    </w:rPr>
                    <w:t>sex</w:t>
                  </w:r>
                </w:p>
              </w:tc>
              <w:tc>
                <w:tcPr>
                  <w:tcW w:w="0" w:type="auto"/>
                  <w:noWrap/>
                  <w:tcMar>
                    <w:top w:w="15" w:type="dxa"/>
                    <w:left w:w="108" w:type="dxa"/>
                    <w:bottom w:w="15" w:type="dxa"/>
                    <w:right w:w="108" w:type="dxa"/>
                  </w:tcMar>
                  <w:vAlign w:val="center"/>
                  <w:hideMark/>
                </w:tcPr>
                <w:p w14:paraId="531636EF" w14:textId="77777777" w:rsidR="00392601" w:rsidRPr="00AA0B0A" w:rsidRDefault="00392601" w:rsidP="00D232AE">
                  <w:pPr>
                    <w:spacing w:after="0" w:line="240" w:lineRule="auto"/>
                    <w:jc w:val="center"/>
                    <w:rPr>
                      <w:rFonts w:eastAsia="Times New Roman" w:cs="Calibri"/>
                      <w:b/>
                      <w:bCs/>
                      <w:color w:val="000000"/>
                      <w:kern w:val="0"/>
                      <w:sz w:val="20"/>
                      <w:szCs w:val="20"/>
                      <w:u w:val="single"/>
                      <w:lang w:eastAsia="en-GB"/>
                      <w14:ligatures w14:val="none"/>
                    </w:rPr>
                  </w:pPr>
                  <w:r w:rsidRPr="00AA0B0A">
                    <w:rPr>
                      <w:rFonts w:eastAsia="Times New Roman" w:cs="Calibri"/>
                      <w:b/>
                      <w:bCs/>
                      <w:color w:val="000000"/>
                      <w:kern w:val="0"/>
                      <w:sz w:val="20"/>
                      <w:szCs w:val="20"/>
                      <w:u w:val="single"/>
                      <w:lang w:eastAsia="en-GB"/>
                      <w14:ligatures w14:val="none"/>
                    </w:rPr>
                    <w:t>period</w:t>
                  </w:r>
                </w:p>
              </w:tc>
              <w:tc>
                <w:tcPr>
                  <w:tcW w:w="0" w:type="auto"/>
                  <w:noWrap/>
                  <w:tcMar>
                    <w:top w:w="15" w:type="dxa"/>
                    <w:left w:w="108" w:type="dxa"/>
                    <w:bottom w:w="15" w:type="dxa"/>
                    <w:right w:w="108" w:type="dxa"/>
                  </w:tcMar>
                  <w:vAlign w:val="center"/>
                  <w:hideMark/>
                </w:tcPr>
                <w:p w14:paraId="16465AF3" w14:textId="77777777" w:rsidR="00392601" w:rsidRPr="00AA0B0A" w:rsidRDefault="00392601" w:rsidP="00D232AE">
                  <w:pPr>
                    <w:spacing w:after="0" w:line="240" w:lineRule="auto"/>
                    <w:jc w:val="center"/>
                    <w:rPr>
                      <w:rFonts w:eastAsia="Times New Roman" w:cs="Calibri"/>
                      <w:b/>
                      <w:bCs/>
                      <w:color w:val="000000"/>
                      <w:kern w:val="0"/>
                      <w:sz w:val="20"/>
                      <w:szCs w:val="20"/>
                      <w:u w:val="single"/>
                      <w:lang w:eastAsia="en-GB"/>
                      <w14:ligatures w14:val="none"/>
                    </w:rPr>
                  </w:pPr>
                  <w:r w:rsidRPr="00AA0B0A">
                    <w:rPr>
                      <w:rFonts w:eastAsia="Times New Roman" w:cs="Calibri"/>
                      <w:b/>
                      <w:bCs/>
                      <w:color w:val="000000"/>
                      <w:kern w:val="0"/>
                      <w:sz w:val="20"/>
                      <w:szCs w:val="20"/>
                      <w:u w:val="single"/>
                      <w:lang w:eastAsia="en-GB"/>
                      <w14:ligatures w14:val="none"/>
                    </w:rPr>
                    <w:t>APC%</w:t>
                  </w:r>
                </w:p>
              </w:tc>
              <w:tc>
                <w:tcPr>
                  <w:tcW w:w="0" w:type="auto"/>
                  <w:noWrap/>
                  <w:tcMar>
                    <w:top w:w="15" w:type="dxa"/>
                    <w:left w:w="108" w:type="dxa"/>
                    <w:bottom w:w="15" w:type="dxa"/>
                    <w:right w:w="108" w:type="dxa"/>
                  </w:tcMar>
                  <w:vAlign w:val="center"/>
                  <w:hideMark/>
                </w:tcPr>
                <w:p w14:paraId="241BD3E0" w14:textId="77777777" w:rsidR="00392601" w:rsidRPr="00AA0B0A" w:rsidRDefault="00392601" w:rsidP="00D232AE">
                  <w:pPr>
                    <w:spacing w:after="0" w:line="240" w:lineRule="auto"/>
                    <w:jc w:val="center"/>
                    <w:rPr>
                      <w:rFonts w:eastAsia="Times New Roman" w:cs="Calibri"/>
                      <w:b/>
                      <w:bCs/>
                      <w:color w:val="000000"/>
                      <w:kern w:val="0"/>
                      <w:sz w:val="20"/>
                      <w:szCs w:val="20"/>
                      <w:u w:val="single"/>
                      <w:lang w:eastAsia="en-GB"/>
                      <w14:ligatures w14:val="none"/>
                    </w:rPr>
                  </w:pPr>
                  <w:r w:rsidRPr="00AA0B0A">
                    <w:rPr>
                      <w:rFonts w:eastAsia="Times New Roman" w:cs="Calibri"/>
                      <w:b/>
                      <w:bCs/>
                      <w:color w:val="000000"/>
                      <w:kern w:val="0"/>
                      <w:sz w:val="20"/>
                      <w:szCs w:val="20"/>
                      <w:u w:val="single"/>
                      <w:lang w:eastAsia="en-GB"/>
                      <w14:ligatures w14:val="none"/>
                    </w:rPr>
                    <w:t>95%CI</w:t>
                  </w:r>
                </w:p>
              </w:tc>
              <w:tc>
                <w:tcPr>
                  <w:tcW w:w="0" w:type="auto"/>
                  <w:tcBorders>
                    <w:right w:val="single" w:sz="4" w:space="0" w:color="auto"/>
                  </w:tcBorders>
                  <w:noWrap/>
                  <w:tcMar>
                    <w:top w:w="15" w:type="dxa"/>
                    <w:left w:w="108" w:type="dxa"/>
                    <w:bottom w:w="15" w:type="dxa"/>
                    <w:right w:w="108" w:type="dxa"/>
                  </w:tcMar>
                  <w:vAlign w:val="center"/>
                  <w:hideMark/>
                </w:tcPr>
                <w:p w14:paraId="5A9C09AC" w14:textId="77777777" w:rsidR="00392601" w:rsidRPr="00AA0B0A" w:rsidRDefault="00392601" w:rsidP="00D232AE">
                  <w:pPr>
                    <w:spacing w:after="0" w:line="240" w:lineRule="auto"/>
                    <w:jc w:val="center"/>
                    <w:rPr>
                      <w:rFonts w:eastAsia="Times New Roman" w:cs="Calibri"/>
                      <w:b/>
                      <w:bCs/>
                      <w:color w:val="000000"/>
                      <w:kern w:val="0"/>
                      <w:sz w:val="20"/>
                      <w:szCs w:val="20"/>
                      <w:u w:val="single"/>
                      <w:lang w:eastAsia="en-GB"/>
                      <w14:ligatures w14:val="none"/>
                    </w:rPr>
                  </w:pPr>
                  <w:r w:rsidRPr="00AA0B0A">
                    <w:rPr>
                      <w:rFonts w:eastAsia="Times New Roman" w:cs="Calibri"/>
                      <w:b/>
                      <w:bCs/>
                      <w:color w:val="000000"/>
                      <w:kern w:val="0"/>
                      <w:sz w:val="20"/>
                      <w:szCs w:val="20"/>
                      <w:u w:val="single"/>
                      <w:lang w:eastAsia="en-GB"/>
                      <w14:ligatures w14:val="none"/>
                    </w:rPr>
                    <w:t>trend</w:t>
                  </w:r>
                </w:p>
              </w:tc>
              <w:tc>
                <w:tcPr>
                  <w:tcW w:w="0" w:type="auto"/>
                  <w:tcBorders>
                    <w:left w:val="single" w:sz="4" w:space="0" w:color="auto"/>
                  </w:tcBorders>
                  <w:vAlign w:val="center"/>
                </w:tcPr>
                <w:p w14:paraId="2F2BE866" w14:textId="77777777" w:rsidR="00392601" w:rsidRPr="00AA0B0A" w:rsidRDefault="00392601" w:rsidP="00D232AE">
                  <w:pPr>
                    <w:spacing w:after="0" w:line="240" w:lineRule="auto"/>
                    <w:jc w:val="center"/>
                    <w:rPr>
                      <w:rFonts w:eastAsia="Times New Roman" w:cs="Calibri"/>
                      <w:b/>
                      <w:bCs/>
                      <w:color w:val="000000"/>
                      <w:kern w:val="0"/>
                      <w:sz w:val="20"/>
                      <w:szCs w:val="20"/>
                      <w:u w:val="single"/>
                      <w:lang w:eastAsia="en-GB"/>
                      <w14:ligatures w14:val="none"/>
                    </w:rPr>
                  </w:pPr>
                  <w:r w:rsidRPr="00AA0B0A">
                    <w:rPr>
                      <w:rFonts w:eastAsia="Times New Roman" w:cs="Calibri"/>
                      <w:b/>
                      <w:bCs/>
                      <w:color w:val="000000"/>
                      <w:kern w:val="0"/>
                      <w:sz w:val="20"/>
                      <w:szCs w:val="20"/>
                      <w:u w:val="single"/>
                      <w:lang w:eastAsia="en-GB"/>
                      <w14:ligatures w14:val="none"/>
                    </w:rPr>
                    <w:t>sex</w:t>
                  </w:r>
                </w:p>
              </w:tc>
              <w:tc>
                <w:tcPr>
                  <w:tcW w:w="0" w:type="auto"/>
                  <w:vAlign w:val="center"/>
                </w:tcPr>
                <w:p w14:paraId="427F4D86" w14:textId="77777777" w:rsidR="00392601" w:rsidRPr="00AA0B0A" w:rsidRDefault="00392601" w:rsidP="00D232AE">
                  <w:pPr>
                    <w:spacing w:after="0" w:line="240" w:lineRule="auto"/>
                    <w:jc w:val="center"/>
                    <w:rPr>
                      <w:rFonts w:eastAsia="Times New Roman" w:cs="Calibri"/>
                      <w:b/>
                      <w:bCs/>
                      <w:color w:val="000000"/>
                      <w:kern w:val="0"/>
                      <w:sz w:val="20"/>
                      <w:szCs w:val="20"/>
                      <w:u w:val="single"/>
                      <w:lang w:eastAsia="en-GB"/>
                      <w14:ligatures w14:val="none"/>
                    </w:rPr>
                  </w:pPr>
                  <w:r w:rsidRPr="00AA0B0A">
                    <w:rPr>
                      <w:rFonts w:eastAsia="Times New Roman" w:cs="Calibri"/>
                      <w:b/>
                      <w:bCs/>
                      <w:color w:val="000000"/>
                      <w:kern w:val="0"/>
                      <w:sz w:val="20"/>
                      <w:szCs w:val="20"/>
                      <w:u w:val="single"/>
                      <w:lang w:eastAsia="en-GB"/>
                      <w14:ligatures w14:val="none"/>
                    </w:rPr>
                    <w:t>period</w:t>
                  </w:r>
                </w:p>
              </w:tc>
              <w:tc>
                <w:tcPr>
                  <w:tcW w:w="0" w:type="auto"/>
                  <w:vAlign w:val="center"/>
                </w:tcPr>
                <w:p w14:paraId="28CDD790" w14:textId="77777777" w:rsidR="00392601" w:rsidRPr="00AA0B0A" w:rsidRDefault="00392601" w:rsidP="00D232AE">
                  <w:pPr>
                    <w:spacing w:after="0" w:line="240" w:lineRule="auto"/>
                    <w:jc w:val="center"/>
                    <w:rPr>
                      <w:rFonts w:eastAsia="Times New Roman" w:cs="Calibri"/>
                      <w:b/>
                      <w:bCs/>
                      <w:color w:val="000000"/>
                      <w:kern w:val="0"/>
                      <w:sz w:val="20"/>
                      <w:szCs w:val="20"/>
                      <w:u w:val="single"/>
                      <w:lang w:eastAsia="en-GB"/>
                      <w14:ligatures w14:val="none"/>
                    </w:rPr>
                  </w:pPr>
                  <w:r w:rsidRPr="00AA0B0A">
                    <w:rPr>
                      <w:rFonts w:eastAsia="Times New Roman" w:cs="Calibri"/>
                      <w:b/>
                      <w:bCs/>
                      <w:color w:val="000000"/>
                      <w:kern w:val="0"/>
                      <w:sz w:val="20"/>
                      <w:szCs w:val="20"/>
                      <w:u w:val="single"/>
                      <w:lang w:eastAsia="en-GB"/>
                      <w14:ligatures w14:val="none"/>
                    </w:rPr>
                    <w:t>APC%</w:t>
                  </w:r>
                </w:p>
              </w:tc>
              <w:tc>
                <w:tcPr>
                  <w:tcW w:w="0" w:type="auto"/>
                  <w:vAlign w:val="center"/>
                </w:tcPr>
                <w:p w14:paraId="7BD36688" w14:textId="77777777" w:rsidR="00392601" w:rsidRPr="00AA0B0A" w:rsidRDefault="00392601" w:rsidP="00D232AE">
                  <w:pPr>
                    <w:spacing w:after="0" w:line="240" w:lineRule="auto"/>
                    <w:jc w:val="center"/>
                    <w:rPr>
                      <w:rFonts w:eastAsia="Times New Roman" w:cs="Calibri"/>
                      <w:b/>
                      <w:bCs/>
                      <w:color w:val="000000"/>
                      <w:kern w:val="0"/>
                      <w:sz w:val="20"/>
                      <w:szCs w:val="20"/>
                      <w:u w:val="single"/>
                      <w:lang w:eastAsia="en-GB"/>
                      <w14:ligatures w14:val="none"/>
                    </w:rPr>
                  </w:pPr>
                  <w:r w:rsidRPr="00AA0B0A">
                    <w:rPr>
                      <w:rFonts w:eastAsia="Times New Roman" w:cs="Calibri"/>
                      <w:b/>
                      <w:bCs/>
                      <w:color w:val="000000"/>
                      <w:kern w:val="0"/>
                      <w:sz w:val="20"/>
                      <w:szCs w:val="20"/>
                      <w:u w:val="single"/>
                      <w:lang w:eastAsia="en-GB"/>
                      <w14:ligatures w14:val="none"/>
                    </w:rPr>
                    <w:t>95%CI</w:t>
                  </w:r>
                </w:p>
              </w:tc>
              <w:tc>
                <w:tcPr>
                  <w:tcW w:w="0" w:type="auto"/>
                  <w:vAlign w:val="center"/>
                </w:tcPr>
                <w:p w14:paraId="78116A96" w14:textId="45685AC2" w:rsidR="00392601" w:rsidRPr="00AA0B0A" w:rsidRDefault="001B7DE5" w:rsidP="00D232AE">
                  <w:pPr>
                    <w:spacing w:after="0" w:line="240" w:lineRule="auto"/>
                    <w:jc w:val="center"/>
                    <w:rPr>
                      <w:rFonts w:eastAsia="Times New Roman" w:cs="Calibri"/>
                      <w:b/>
                      <w:bCs/>
                      <w:color w:val="000000"/>
                      <w:kern w:val="0"/>
                      <w:sz w:val="20"/>
                      <w:szCs w:val="20"/>
                      <w:u w:val="single"/>
                      <w:lang w:eastAsia="en-GB"/>
                      <w14:ligatures w14:val="none"/>
                    </w:rPr>
                  </w:pPr>
                  <w:r w:rsidRPr="00AA0B0A">
                    <w:rPr>
                      <w:rFonts w:eastAsia="Times New Roman" w:cs="Calibri"/>
                      <w:b/>
                      <w:bCs/>
                      <w:color w:val="000000"/>
                      <w:kern w:val="0"/>
                      <w:sz w:val="20"/>
                      <w:szCs w:val="20"/>
                      <w:u w:val="single"/>
                      <w:lang w:eastAsia="en-GB"/>
                      <w14:ligatures w14:val="none"/>
                    </w:rPr>
                    <w:t>T</w:t>
                  </w:r>
                  <w:r w:rsidR="00392601" w:rsidRPr="00AA0B0A">
                    <w:rPr>
                      <w:rFonts w:eastAsia="Times New Roman" w:cs="Calibri"/>
                      <w:b/>
                      <w:bCs/>
                      <w:color w:val="000000"/>
                      <w:kern w:val="0"/>
                      <w:sz w:val="20"/>
                      <w:szCs w:val="20"/>
                      <w:u w:val="single"/>
                      <w:lang w:eastAsia="en-GB"/>
                      <w14:ligatures w14:val="none"/>
                    </w:rPr>
                    <w:t>rend</w:t>
                  </w:r>
                </w:p>
              </w:tc>
            </w:tr>
            <w:tr w:rsidR="00392601" w:rsidRPr="00AA0B0A" w14:paraId="6A951DB5" w14:textId="77777777" w:rsidTr="0041177B">
              <w:trPr>
                <w:trHeight w:val="113"/>
              </w:trPr>
              <w:tc>
                <w:tcPr>
                  <w:tcW w:w="0" w:type="auto"/>
                  <w:noWrap/>
                  <w:tcMar>
                    <w:top w:w="15" w:type="dxa"/>
                    <w:left w:w="108" w:type="dxa"/>
                    <w:bottom w:w="15" w:type="dxa"/>
                    <w:right w:w="108" w:type="dxa"/>
                  </w:tcMar>
                  <w:hideMark/>
                </w:tcPr>
                <w:p w14:paraId="6FE1A3C2" w14:textId="77777777" w:rsidR="00392601" w:rsidRPr="00AA0B0A" w:rsidRDefault="00392601" w:rsidP="00D232AE">
                  <w:pPr>
                    <w:spacing w:after="0" w:line="240" w:lineRule="auto"/>
                    <w:jc w:val="center"/>
                    <w:rPr>
                      <w:rFonts w:eastAsia="Times New Roman" w:cs="Calibri"/>
                      <w:color w:val="000000"/>
                      <w:kern w:val="0"/>
                      <w:sz w:val="20"/>
                      <w:szCs w:val="20"/>
                      <w:lang w:eastAsia="en-GB"/>
                      <w14:ligatures w14:val="none"/>
                    </w:rPr>
                  </w:pPr>
                  <w:r w:rsidRPr="00AA0B0A">
                    <w:rPr>
                      <w:rFonts w:cs="Calibri"/>
                      <w:sz w:val="20"/>
                      <w:szCs w:val="20"/>
                    </w:rPr>
                    <w:t>M </w:t>
                  </w:r>
                </w:p>
              </w:tc>
              <w:tc>
                <w:tcPr>
                  <w:tcW w:w="0" w:type="auto"/>
                  <w:noWrap/>
                  <w:tcMar>
                    <w:top w:w="15" w:type="dxa"/>
                    <w:left w:w="108" w:type="dxa"/>
                    <w:bottom w:w="15" w:type="dxa"/>
                    <w:right w:w="108" w:type="dxa"/>
                  </w:tcMar>
                  <w:hideMark/>
                </w:tcPr>
                <w:p w14:paraId="3E542BEF" w14:textId="77777777" w:rsidR="00392601" w:rsidRPr="00AA0B0A" w:rsidRDefault="00392601" w:rsidP="00D232AE">
                  <w:pPr>
                    <w:spacing w:after="0" w:line="240" w:lineRule="auto"/>
                    <w:jc w:val="center"/>
                    <w:rPr>
                      <w:rFonts w:eastAsia="Times New Roman" w:cs="Calibri"/>
                      <w:color w:val="000000"/>
                      <w:kern w:val="0"/>
                      <w:sz w:val="20"/>
                      <w:szCs w:val="20"/>
                      <w:lang w:eastAsia="en-GB"/>
                      <w14:ligatures w14:val="none"/>
                    </w:rPr>
                  </w:pPr>
                  <w:r w:rsidRPr="00AA0B0A">
                    <w:rPr>
                      <w:rFonts w:cs="Calibri"/>
                      <w:sz w:val="20"/>
                      <w:szCs w:val="20"/>
                    </w:rPr>
                    <w:t>1994-2014 </w:t>
                  </w:r>
                </w:p>
              </w:tc>
              <w:tc>
                <w:tcPr>
                  <w:tcW w:w="0" w:type="auto"/>
                  <w:noWrap/>
                  <w:tcMar>
                    <w:top w:w="15" w:type="dxa"/>
                    <w:left w:w="108" w:type="dxa"/>
                    <w:bottom w:w="15" w:type="dxa"/>
                    <w:right w:w="108" w:type="dxa"/>
                  </w:tcMar>
                  <w:hideMark/>
                </w:tcPr>
                <w:p w14:paraId="3E263D60" w14:textId="77777777" w:rsidR="00392601" w:rsidRPr="00AA0B0A" w:rsidRDefault="00392601" w:rsidP="00D232AE">
                  <w:pPr>
                    <w:spacing w:after="0" w:line="240" w:lineRule="auto"/>
                    <w:jc w:val="center"/>
                    <w:rPr>
                      <w:rFonts w:eastAsia="Times New Roman" w:cs="Calibri"/>
                      <w:color w:val="000000"/>
                      <w:kern w:val="0"/>
                      <w:sz w:val="20"/>
                      <w:szCs w:val="20"/>
                      <w:lang w:eastAsia="en-GB"/>
                      <w14:ligatures w14:val="none"/>
                    </w:rPr>
                  </w:pPr>
                  <w:r w:rsidRPr="00AA0B0A">
                    <w:rPr>
                      <w:rFonts w:cs="Calibri"/>
                      <w:sz w:val="20"/>
                      <w:szCs w:val="20"/>
                    </w:rPr>
                    <w:t>-1.1</w:t>
                  </w:r>
                </w:p>
              </w:tc>
              <w:tc>
                <w:tcPr>
                  <w:tcW w:w="0" w:type="auto"/>
                  <w:noWrap/>
                  <w:tcMar>
                    <w:top w:w="15" w:type="dxa"/>
                    <w:left w:w="108" w:type="dxa"/>
                    <w:bottom w:w="15" w:type="dxa"/>
                    <w:right w:w="108" w:type="dxa"/>
                  </w:tcMar>
                  <w:hideMark/>
                </w:tcPr>
                <w:p w14:paraId="5C0D65A3" w14:textId="77777777" w:rsidR="00392601" w:rsidRPr="00AA0B0A" w:rsidRDefault="00392601" w:rsidP="00D232AE">
                  <w:pPr>
                    <w:spacing w:after="0" w:line="240" w:lineRule="auto"/>
                    <w:jc w:val="center"/>
                    <w:rPr>
                      <w:rFonts w:eastAsia="Times New Roman" w:cs="Calibri"/>
                      <w:color w:val="000000"/>
                      <w:kern w:val="0"/>
                      <w:sz w:val="20"/>
                      <w:szCs w:val="20"/>
                      <w:lang w:eastAsia="en-GB"/>
                      <w14:ligatures w14:val="none"/>
                    </w:rPr>
                  </w:pPr>
                  <w:r w:rsidRPr="00AA0B0A">
                    <w:rPr>
                      <w:rFonts w:cs="Calibri"/>
                      <w:sz w:val="20"/>
                      <w:szCs w:val="20"/>
                    </w:rPr>
                    <w:t>-1.3, -0.9</w:t>
                  </w:r>
                </w:p>
              </w:tc>
              <w:tc>
                <w:tcPr>
                  <w:tcW w:w="0" w:type="auto"/>
                  <w:tcBorders>
                    <w:right w:val="single" w:sz="4" w:space="0" w:color="auto"/>
                  </w:tcBorders>
                  <w:noWrap/>
                  <w:tcMar>
                    <w:top w:w="15" w:type="dxa"/>
                    <w:left w:w="108" w:type="dxa"/>
                    <w:bottom w:w="15" w:type="dxa"/>
                    <w:right w:w="108" w:type="dxa"/>
                  </w:tcMar>
                  <w:hideMark/>
                </w:tcPr>
                <w:p w14:paraId="09010F49" w14:textId="77777777" w:rsidR="00392601" w:rsidRPr="00AA0B0A" w:rsidRDefault="00392601" w:rsidP="00D232AE">
                  <w:pPr>
                    <w:spacing w:after="0" w:line="240" w:lineRule="auto"/>
                    <w:jc w:val="center"/>
                    <w:rPr>
                      <w:rFonts w:eastAsia="Times New Roman" w:cs="Calibri"/>
                      <w:color w:val="000000"/>
                      <w:kern w:val="0"/>
                      <w:sz w:val="20"/>
                      <w:szCs w:val="20"/>
                      <w:lang w:eastAsia="en-GB"/>
                      <w14:ligatures w14:val="none"/>
                    </w:rPr>
                  </w:pPr>
                  <w:r w:rsidRPr="00AA0B0A">
                    <w:rPr>
                      <w:rFonts w:cs="Calibri"/>
                      <w:sz w:val="20"/>
                      <w:szCs w:val="20"/>
                    </w:rPr>
                    <w:t>down </w:t>
                  </w:r>
                </w:p>
              </w:tc>
              <w:tc>
                <w:tcPr>
                  <w:tcW w:w="0" w:type="auto"/>
                  <w:tcBorders>
                    <w:left w:val="single" w:sz="4" w:space="0" w:color="auto"/>
                  </w:tcBorders>
                </w:tcPr>
                <w:p w14:paraId="08B41AAC" w14:textId="77777777" w:rsidR="00392601" w:rsidRPr="00AA0B0A" w:rsidRDefault="00392601" w:rsidP="00D232AE">
                  <w:pPr>
                    <w:spacing w:after="0" w:line="240" w:lineRule="auto"/>
                    <w:jc w:val="center"/>
                    <w:rPr>
                      <w:rFonts w:cs="Calibri"/>
                      <w:sz w:val="20"/>
                      <w:szCs w:val="20"/>
                    </w:rPr>
                  </w:pPr>
                  <w:r w:rsidRPr="00AA0B0A">
                    <w:rPr>
                      <w:rFonts w:cs="Calibri"/>
                      <w:sz w:val="20"/>
                      <w:szCs w:val="20"/>
                    </w:rPr>
                    <w:t>F </w:t>
                  </w:r>
                </w:p>
              </w:tc>
              <w:tc>
                <w:tcPr>
                  <w:tcW w:w="0" w:type="auto"/>
                </w:tcPr>
                <w:p w14:paraId="006FDFFA" w14:textId="77777777" w:rsidR="00392601" w:rsidRPr="00AA0B0A" w:rsidRDefault="00392601" w:rsidP="00D232AE">
                  <w:pPr>
                    <w:spacing w:after="0" w:line="240" w:lineRule="auto"/>
                    <w:jc w:val="center"/>
                    <w:rPr>
                      <w:rFonts w:cs="Calibri"/>
                      <w:sz w:val="20"/>
                      <w:szCs w:val="20"/>
                    </w:rPr>
                  </w:pPr>
                  <w:r w:rsidRPr="00AA0B0A">
                    <w:rPr>
                      <w:rFonts w:cs="Calibri"/>
                      <w:sz w:val="20"/>
                      <w:szCs w:val="20"/>
                    </w:rPr>
                    <w:t>1994-2014 </w:t>
                  </w:r>
                </w:p>
              </w:tc>
              <w:tc>
                <w:tcPr>
                  <w:tcW w:w="0" w:type="auto"/>
                </w:tcPr>
                <w:p w14:paraId="5EF022BB" w14:textId="77777777" w:rsidR="00392601" w:rsidRPr="00AA0B0A" w:rsidRDefault="00392601" w:rsidP="00D232AE">
                  <w:pPr>
                    <w:spacing w:after="0" w:line="240" w:lineRule="auto"/>
                    <w:jc w:val="center"/>
                    <w:rPr>
                      <w:rFonts w:cs="Calibri"/>
                      <w:sz w:val="20"/>
                      <w:szCs w:val="20"/>
                    </w:rPr>
                  </w:pPr>
                  <w:r w:rsidRPr="00AA0B0A">
                    <w:rPr>
                      <w:rFonts w:cs="Calibri"/>
                      <w:sz w:val="20"/>
                      <w:szCs w:val="20"/>
                    </w:rPr>
                    <w:t>-0.5</w:t>
                  </w:r>
                </w:p>
              </w:tc>
              <w:tc>
                <w:tcPr>
                  <w:tcW w:w="0" w:type="auto"/>
                </w:tcPr>
                <w:p w14:paraId="3D714085" w14:textId="77777777" w:rsidR="00392601" w:rsidRPr="00AA0B0A" w:rsidRDefault="00392601" w:rsidP="00D232AE">
                  <w:pPr>
                    <w:spacing w:after="0" w:line="240" w:lineRule="auto"/>
                    <w:jc w:val="center"/>
                    <w:rPr>
                      <w:rFonts w:cs="Calibri"/>
                      <w:sz w:val="20"/>
                      <w:szCs w:val="20"/>
                    </w:rPr>
                  </w:pPr>
                  <w:r w:rsidRPr="00AA0B0A">
                    <w:rPr>
                      <w:rFonts w:cs="Calibri"/>
                      <w:sz w:val="20"/>
                      <w:szCs w:val="20"/>
                    </w:rPr>
                    <w:t>-0.8, -0.3</w:t>
                  </w:r>
                </w:p>
              </w:tc>
              <w:tc>
                <w:tcPr>
                  <w:tcW w:w="0" w:type="auto"/>
                </w:tcPr>
                <w:p w14:paraId="3CC4F26D" w14:textId="77777777" w:rsidR="00392601" w:rsidRPr="00AA0B0A" w:rsidRDefault="00392601" w:rsidP="00D232AE">
                  <w:pPr>
                    <w:spacing w:after="0" w:line="240" w:lineRule="auto"/>
                    <w:jc w:val="center"/>
                    <w:rPr>
                      <w:rFonts w:cs="Calibri"/>
                      <w:sz w:val="20"/>
                      <w:szCs w:val="20"/>
                    </w:rPr>
                  </w:pPr>
                  <w:r w:rsidRPr="00AA0B0A">
                    <w:rPr>
                      <w:rFonts w:cs="Calibri"/>
                      <w:sz w:val="20"/>
                      <w:szCs w:val="20"/>
                    </w:rPr>
                    <w:t>down </w:t>
                  </w:r>
                </w:p>
              </w:tc>
            </w:tr>
            <w:tr w:rsidR="00392601" w:rsidRPr="00AA0B0A" w14:paraId="4A63AEAD" w14:textId="77777777" w:rsidTr="0041177B">
              <w:trPr>
                <w:trHeight w:val="113"/>
              </w:trPr>
              <w:tc>
                <w:tcPr>
                  <w:tcW w:w="0" w:type="auto"/>
                  <w:noWrap/>
                  <w:tcMar>
                    <w:top w:w="15" w:type="dxa"/>
                    <w:left w:w="108" w:type="dxa"/>
                    <w:bottom w:w="15" w:type="dxa"/>
                    <w:right w:w="108" w:type="dxa"/>
                  </w:tcMar>
                  <w:hideMark/>
                </w:tcPr>
                <w:p w14:paraId="75A187FC" w14:textId="77777777" w:rsidR="00392601" w:rsidRPr="00AA0B0A" w:rsidRDefault="00392601" w:rsidP="00D232AE">
                  <w:pPr>
                    <w:spacing w:after="0" w:line="240" w:lineRule="auto"/>
                    <w:jc w:val="center"/>
                    <w:rPr>
                      <w:rFonts w:eastAsia="Times New Roman" w:cs="Calibri"/>
                      <w:color w:val="000000"/>
                      <w:kern w:val="0"/>
                      <w:sz w:val="20"/>
                      <w:szCs w:val="20"/>
                      <w:lang w:eastAsia="en-GB"/>
                      <w14:ligatures w14:val="none"/>
                    </w:rPr>
                  </w:pPr>
                </w:p>
              </w:tc>
              <w:tc>
                <w:tcPr>
                  <w:tcW w:w="0" w:type="auto"/>
                  <w:noWrap/>
                  <w:tcMar>
                    <w:top w:w="15" w:type="dxa"/>
                    <w:left w:w="108" w:type="dxa"/>
                    <w:bottom w:w="15" w:type="dxa"/>
                    <w:right w:w="108" w:type="dxa"/>
                  </w:tcMar>
                  <w:hideMark/>
                </w:tcPr>
                <w:p w14:paraId="50EAC994" w14:textId="77777777" w:rsidR="00392601" w:rsidRPr="00AA0B0A" w:rsidRDefault="00392601" w:rsidP="00D232AE">
                  <w:pPr>
                    <w:spacing w:after="0" w:line="240" w:lineRule="auto"/>
                    <w:jc w:val="center"/>
                    <w:rPr>
                      <w:rFonts w:eastAsia="Times New Roman" w:cs="Calibri"/>
                      <w:color w:val="000000"/>
                      <w:kern w:val="0"/>
                      <w:sz w:val="20"/>
                      <w:szCs w:val="20"/>
                      <w:lang w:eastAsia="en-GB"/>
                      <w14:ligatures w14:val="none"/>
                    </w:rPr>
                  </w:pPr>
                  <w:r w:rsidRPr="00AA0B0A">
                    <w:rPr>
                      <w:rFonts w:cs="Calibri"/>
                      <w:sz w:val="20"/>
                      <w:szCs w:val="20"/>
                    </w:rPr>
                    <w:t>2014-2022 </w:t>
                  </w:r>
                </w:p>
              </w:tc>
              <w:tc>
                <w:tcPr>
                  <w:tcW w:w="0" w:type="auto"/>
                  <w:noWrap/>
                  <w:tcMar>
                    <w:top w:w="15" w:type="dxa"/>
                    <w:left w:w="108" w:type="dxa"/>
                    <w:bottom w:w="15" w:type="dxa"/>
                    <w:right w:w="108" w:type="dxa"/>
                  </w:tcMar>
                  <w:hideMark/>
                </w:tcPr>
                <w:p w14:paraId="5A44167E" w14:textId="77777777" w:rsidR="00392601" w:rsidRPr="00AA0B0A" w:rsidRDefault="00392601" w:rsidP="00D232AE">
                  <w:pPr>
                    <w:spacing w:after="0" w:line="240" w:lineRule="auto"/>
                    <w:jc w:val="center"/>
                    <w:rPr>
                      <w:rFonts w:eastAsia="Times New Roman" w:cs="Calibri"/>
                      <w:color w:val="000000"/>
                      <w:kern w:val="0"/>
                      <w:sz w:val="20"/>
                      <w:szCs w:val="20"/>
                      <w:lang w:eastAsia="en-GB"/>
                      <w14:ligatures w14:val="none"/>
                    </w:rPr>
                  </w:pPr>
                  <w:r w:rsidRPr="00AA0B0A">
                    <w:rPr>
                      <w:rFonts w:cs="Calibri"/>
                      <w:sz w:val="20"/>
                      <w:szCs w:val="20"/>
                    </w:rPr>
                    <w:t>-2.7</w:t>
                  </w:r>
                </w:p>
              </w:tc>
              <w:tc>
                <w:tcPr>
                  <w:tcW w:w="0" w:type="auto"/>
                  <w:noWrap/>
                  <w:tcMar>
                    <w:top w:w="15" w:type="dxa"/>
                    <w:left w:w="108" w:type="dxa"/>
                    <w:bottom w:w="15" w:type="dxa"/>
                    <w:right w:w="108" w:type="dxa"/>
                  </w:tcMar>
                  <w:hideMark/>
                </w:tcPr>
                <w:p w14:paraId="011FD6EA" w14:textId="77777777" w:rsidR="00392601" w:rsidRPr="00AA0B0A" w:rsidRDefault="00392601" w:rsidP="00D232AE">
                  <w:pPr>
                    <w:spacing w:after="0" w:line="240" w:lineRule="auto"/>
                    <w:jc w:val="center"/>
                    <w:rPr>
                      <w:rFonts w:eastAsia="Times New Roman" w:cs="Calibri"/>
                      <w:color w:val="000000"/>
                      <w:kern w:val="0"/>
                      <w:sz w:val="20"/>
                      <w:szCs w:val="20"/>
                      <w:lang w:eastAsia="en-GB"/>
                      <w14:ligatures w14:val="none"/>
                    </w:rPr>
                  </w:pPr>
                  <w:r w:rsidRPr="00AA0B0A">
                    <w:rPr>
                      <w:rFonts w:cs="Calibri"/>
                      <w:sz w:val="20"/>
                      <w:szCs w:val="20"/>
                    </w:rPr>
                    <w:t>-3.4, -2.0</w:t>
                  </w:r>
                </w:p>
              </w:tc>
              <w:tc>
                <w:tcPr>
                  <w:tcW w:w="0" w:type="auto"/>
                  <w:tcBorders>
                    <w:right w:val="single" w:sz="4" w:space="0" w:color="auto"/>
                  </w:tcBorders>
                  <w:noWrap/>
                  <w:tcMar>
                    <w:top w:w="15" w:type="dxa"/>
                    <w:left w:w="108" w:type="dxa"/>
                    <w:bottom w:w="15" w:type="dxa"/>
                    <w:right w:w="108" w:type="dxa"/>
                  </w:tcMar>
                  <w:hideMark/>
                </w:tcPr>
                <w:p w14:paraId="3D847B24" w14:textId="77777777" w:rsidR="00392601" w:rsidRPr="00AA0B0A" w:rsidRDefault="00392601" w:rsidP="00D232AE">
                  <w:pPr>
                    <w:spacing w:after="0" w:line="240" w:lineRule="auto"/>
                    <w:jc w:val="center"/>
                    <w:rPr>
                      <w:rFonts w:eastAsia="Times New Roman" w:cs="Calibri"/>
                      <w:color w:val="000000"/>
                      <w:kern w:val="0"/>
                      <w:sz w:val="20"/>
                      <w:szCs w:val="20"/>
                      <w:lang w:eastAsia="en-GB"/>
                      <w14:ligatures w14:val="none"/>
                    </w:rPr>
                  </w:pPr>
                  <w:r w:rsidRPr="00AA0B0A">
                    <w:rPr>
                      <w:rFonts w:cs="Calibri"/>
                      <w:sz w:val="20"/>
                      <w:szCs w:val="20"/>
                    </w:rPr>
                    <w:t>down </w:t>
                  </w:r>
                </w:p>
              </w:tc>
              <w:tc>
                <w:tcPr>
                  <w:tcW w:w="0" w:type="auto"/>
                  <w:tcBorders>
                    <w:left w:val="single" w:sz="4" w:space="0" w:color="auto"/>
                  </w:tcBorders>
                </w:tcPr>
                <w:p w14:paraId="1E74ED65" w14:textId="77777777" w:rsidR="00392601" w:rsidRPr="00AA0B0A" w:rsidRDefault="00392601" w:rsidP="00D232AE">
                  <w:pPr>
                    <w:spacing w:after="0" w:line="240" w:lineRule="auto"/>
                    <w:jc w:val="center"/>
                    <w:rPr>
                      <w:rFonts w:cs="Calibri"/>
                      <w:sz w:val="20"/>
                      <w:szCs w:val="20"/>
                    </w:rPr>
                  </w:pPr>
                </w:p>
              </w:tc>
              <w:tc>
                <w:tcPr>
                  <w:tcW w:w="0" w:type="auto"/>
                </w:tcPr>
                <w:p w14:paraId="06C40E6B" w14:textId="77777777" w:rsidR="00392601" w:rsidRPr="00AA0B0A" w:rsidRDefault="00392601" w:rsidP="00D232AE">
                  <w:pPr>
                    <w:spacing w:after="0" w:line="240" w:lineRule="auto"/>
                    <w:jc w:val="center"/>
                    <w:rPr>
                      <w:rFonts w:cs="Calibri"/>
                      <w:sz w:val="20"/>
                      <w:szCs w:val="20"/>
                    </w:rPr>
                  </w:pPr>
                  <w:r w:rsidRPr="00AA0B0A">
                    <w:rPr>
                      <w:rFonts w:cs="Calibri"/>
                      <w:sz w:val="20"/>
                      <w:szCs w:val="20"/>
                    </w:rPr>
                    <w:t>2014-2022 </w:t>
                  </w:r>
                </w:p>
              </w:tc>
              <w:tc>
                <w:tcPr>
                  <w:tcW w:w="0" w:type="auto"/>
                </w:tcPr>
                <w:p w14:paraId="2A69C05E" w14:textId="77777777" w:rsidR="00392601" w:rsidRPr="00AA0B0A" w:rsidRDefault="00392601" w:rsidP="00D232AE">
                  <w:pPr>
                    <w:spacing w:after="0" w:line="240" w:lineRule="auto"/>
                    <w:jc w:val="center"/>
                    <w:rPr>
                      <w:rFonts w:cs="Calibri"/>
                      <w:sz w:val="20"/>
                      <w:szCs w:val="20"/>
                    </w:rPr>
                  </w:pPr>
                  <w:r w:rsidRPr="00AA0B0A">
                    <w:rPr>
                      <w:rFonts w:cs="Calibri"/>
                      <w:sz w:val="20"/>
                      <w:szCs w:val="20"/>
                    </w:rPr>
                    <w:t>-1.8</w:t>
                  </w:r>
                </w:p>
              </w:tc>
              <w:tc>
                <w:tcPr>
                  <w:tcW w:w="0" w:type="auto"/>
                </w:tcPr>
                <w:p w14:paraId="3605910B" w14:textId="77777777" w:rsidR="00392601" w:rsidRPr="00AA0B0A" w:rsidRDefault="00392601" w:rsidP="00D232AE">
                  <w:pPr>
                    <w:spacing w:after="0" w:line="240" w:lineRule="auto"/>
                    <w:jc w:val="center"/>
                    <w:rPr>
                      <w:rFonts w:cs="Calibri"/>
                      <w:sz w:val="20"/>
                      <w:szCs w:val="20"/>
                    </w:rPr>
                  </w:pPr>
                  <w:r w:rsidRPr="00AA0B0A">
                    <w:rPr>
                      <w:rFonts w:cs="Calibri"/>
                      <w:sz w:val="20"/>
                      <w:szCs w:val="20"/>
                    </w:rPr>
                    <w:t>-2.6, -1.0</w:t>
                  </w:r>
                </w:p>
              </w:tc>
              <w:tc>
                <w:tcPr>
                  <w:tcW w:w="0" w:type="auto"/>
                </w:tcPr>
                <w:p w14:paraId="0E9A23FF" w14:textId="77777777" w:rsidR="00392601" w:rsidRPr="00AA0B0A" w:rsidRDefault="00392601" w:rsidP="00D232AE">
                  <w:pPr>
                    <w:spacing w:after="0" w:line="240" w:lineRule="auto"/>
                    <w:jc w:val="center"/>
                    <w:rPr>
                      <w:rFonts w:cs="Calibri"/>
                      <w:sz w:val="20"/>
                      <w:szCs w:val="20"/>
                    </w:rPr>
                  </w:pPr>
                  <w:r w:rsidRPr="00AA0B0A">
                    <w:rPr>
                      <w:rFonts w:cs="Calibri"/>
                      <w:sz w:val="20"/>
                      <w:szCs w:val="20"/>
                    </w:rPr>
                    <w:t>down </w:t>
                  </w:r>
                </w:p>
              </w:tc>
            </w:tr>
          </w:tbl>
          <w:p w14:paraId="6D30EFCC" w14:textId="77777777" w:rsidR="00392601" w:rsidRPr="001C4408" w:rsidRDefault="00392601" w:rsidP="00D232AE">
            <w:pPr>
              <w:jc w:val="center"/>
            </w:pPr>
          </w:p>
        </w:tc>
      </w:tr>
      <w:tr w:rsidR="00392601" w:rsidRPr="001C4408" w14:paraId="51798AB3" w14:textId="77777777" w:rsidTr="0041177B">
        <w:trPr>
          <w:trHeight w:val="113"/>
        </w:trPr>
        <w:tc>
          <w:tcPr>
            <w:tcW w:w="9782" w:type="dxa"/>
            <w:vAlign w:val="center"/>
          </w:tcPr>
          <w:p w14:paraId="1BD9BE05" w14:textId="77777777" w:rsidR="00392601" w:rsidRPr="001C4408" w:rsidRDefault="00392601" w:rsidP="00D232AE">
            <w:pPr>
              <w:pBdr>
                <w:bottom w:val="single" w:sz="4" w:space="1" w:color="auto"/>
              </w:pBdr>
              <w:rPr>
                <w:rFonts w:asciiTheme="minorHAnsi" w:hAnsiTheme="minorHAnsi"/>
                <w:bCs/>
                <w:sz w:val="18"/>
                <w:szCs w:val="16"/>
              </w:rPr>
            </w:pPr>
            <w:r w:rsidRPr="001C4408">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0B5B87E8" w14:textId="77777777" w:rsidR="00392601" w:rsidRPr="001C4408" w:rsidRDefault="00392601" w:rsidP="00D232AE">
            <w:pPr>
              <w:rPr>
                <w:rFonts w:asciiTheme="minorHAnsi" w:hAnsiTheme="minorHAnsi"/>
                <w:b/>
                <w:bCs/>
                <w:noProof/>
                <w:sz w:val="14"/>
                <w:szCs w:val="14"/>
                <w:u w:val="single"/>
              </w:rPr>
            </w:pPr>
          </w:p>
        </w:tc>
      </w:tr>
    </w:tbl>
    <w:p w14:paraId="3ECAD071" w14:textId="77777777" w:rsidR="00392601" w:rsidRPr="00C32002" w:rsidRDefault="00392601" w:rsidP="00D232AE">
      <w:pPr>
        <w:spacing w:after="0"/>
      </w:pPr>
    </w:p>
    <w:p w14:paraId="05AB499C" w14:textId="77777777" w:rsidR="00392601" w:rsidRDefault="00392601" w:rsidP="00D232AE">
      <w:pPr>
        <w:spacing w:after="0"/>
        <w:sectPr w:rsidR="00392601" w:rsidSect="002746C0">
          <w:pgSz w:w="11906" w:h="16838"/>
          <w:pgMar w:top="1440" w:right="1440" w:bottom="1440" w:left="1440" w:header="708" w:footer="708" w:gutter="0"/>
          <w:cols w:space="708"/>
          <w:docGrid w:linePitch="360"/>
        </w:sectPr>
      </w:pPr>
    </w:p>
    <w:p w14:paraId="17338EE3" w14:textId="77777777" w:rsidR="00392601" w:rsidRPr="00C32002" w:rsidRDefault="00392601" w:rsidP="00D232AE">
      <w:pPr>
        <w:pStyle w:val="Heading2"/>
        <w:spacing w:before="0" w:after="0"/>
      </w:pPr>
      <w:bookmarkStart w:id="68" w:name="_Toc197557043"/>
      <w:bookmarkStart w:id="69" w:name="_Toc201512437"/>
      <w:r w:rsidRPr="00C32002">
        <w:t>Survival</w:t>
      </w:r>
      <w:bookmarkEnd w:id="59"/>
      <w:bookmarkEnd w:id="68"/>
      <w:bookmarkEnd w:id="69"/>
      <w:r w:rsidRPr="00C32002">
        <w:t xml:space="preserve"> </w:t>
      </w:r>
    </w:p>
    <w:p w14:paraId="2FFD4A32" w14:textId="28E32AA4" w:rsidR="00392601" w:rsidRDefault="00392601" w:rsidP="00D232AE">
      <w:pPr>
        <w:spacing w:after="0" w:line="240" w:lineRule="auto"/>
        <w:rPr>
          <w:rFonts w:cstheme="minorHAnsi"/>
        </w:rPr>
      </w:pPr>
      <w:r>
        <w:rPr>
          <w:rFonts w:cstheme="minorHAnsi"/>
        </w:rPr>
        <w:t xml:space="preserve">The overall </w:t>
      </w:r>
      <w:r w:rsidRPr="00C32002">
        <w:rPr>
          <w:rFonts w:cstheme="minorHAnsi"/>
        </w:rPr>
        <w:t xml:space="preserve">5-year net survival was 49% for cases diagnosed </w:t>
      </w:r>
      <w:r>
        <w:rPr>
          <w:rFonts w:cstheme="minorHAnsi"/>
        </w:rPr>
        <w:t xml:space="preserve">with a tobacco-related cancer </w:t>
      </w:r>
      <w:r w:rsidRPr="00C32002">
        <w:rPr>
          <w:rFonts w:cstheme="minorHAnsi"/>
        </w:rPr>
        <w:t xml:space="preserve">during 2019-2022 (Figure </w:t>
      </w:r>
      <w:r w:rsidR="006553B7">
        <w:rPr>
          <w:rFonts w:cstheme="minorHAnsi"/>
        </w:rPr>
        <w:t>4.6</w:t>
      </w:r>
      <w:r w:rsidRPr="00C32002">
        <w:rPr>
          <w:rFonts w:cstheme="minorHAnsi"/>
        </w:rPr>
        <w:t xml:space="preserve">). </w:t>
      </w:r>
      <w:r>
        <w:rPr>
          <w:rFonts w:cstheme="minorHAnsi"/>
        </w:rPr>
        <w:t>Five</w:t>
      </w:r>
      <w:r w:rsidRPr="00C32002">
        <w:rPr>
          <w:rFonts w:cstheme="minorHAnsi"/>
        </w:rPr>
        <w:t>-year net survival for 2019-2022 was slightly higher for females (51%) than for males (47%).</w:t>
      </w:r>
    </w:p>
    <w:p w14:paraId="23142EB1" w14:textId="77777777" w:rsidR="00392601" w:rsidRPr="00C32002" w:rsidRDefault="00392601" w:rsidP="00D232AE">
      <w:pPr>
        <w:spacing w:after="0"/>
        <w:rPr>
          <w:rFonts w:cstheme="minorHAnsi"/>
        </w:rPr>
      </w:pPr>
    </w:p>
    <w:tbl>
      <w:tblPr>
        <w:tblStyle w:val="TableGrid"/>
        <w:tblW w:w="976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256"/>
        <w:gridCol w:w="3256"/>
      </w:tblGrid>
      <w:tr w:rsidR="00392601" w:rsidRPr="001C4408" w14:paraId="0FBF5F2C" w14:textId="77777777" w:rsidTr="0041177B">
        <w:trPr>
          <w:trHeight w:val="113"/>
        </w:trPr>
        <w:tc>
          <w:tcPr>
            <w:tcW w:w="9768" w:type="dxa"/>
            <w:gridSpan w:val="3"/>
            <w:shd w:val="clear" w:color="auto" w:fill="002060"/>
            <w:hideMark/>
          </w:tcPr>
          <w:p w14:paraId="584FFD90" w14:textId="221F6C25" w:rsidR="00392601" w:rsidRPr="006553B7" w:rsidRDefault="00392601" w:rsidP="00D232AE">
            <w:pPr>
              <w:rPr>
                <w:rFonts w:asciiTheme="minorHAnsi" w:hAnsiTheme="minorHAnsi" w:cstheme="minorHAnsi"/>
                <w:b/>
                <w:bCs/>
              </w:rPr>
            </w:pPr>
            <w:r w:rsidRPr="006553B7">
              <w:rPr>
                <w:rFonts w:asciiTheme="minorHAnsi" w:hAnsiTheme="minorHAnsi" w:cstheme="minorHAnsi"/>
                <w:b/>
                <w:bCs/>
              </w:rPr>
              <w:t xml:space="preserve">Figure </w:t>
            </w:r>
            <w:r w:rsidR="006553B7" w:rsidRPr="006553B7">
              <w:rPr>
                <w:rFonts w:asciiTheme="minorHAnsi" w:hAnsiTheme="minorHAnsi" w:cstheme="minorHAnsi"/>
                <w:b/>
                <w:bCs/>
              </w:rPr>
              <w:t>4.6:</w:t>
            </w:r>
            <w:r w:rsidRPr="006553B7">
              <w:rPr>
                <w:rFonts w:asciiTheme="minorHAnsi" w:hAnsiTheme="minorHAnsi" w:cstheme="minorHAnsi"/>
                <w:b/>
                <w:bCs/>
              </w:rPr>
              <w:t xml:space="preserve"> Age-standardised 5-year net survival (%) for tobacco</w:t>
            </w:r>
            <w:r w:rsidR="00A45DCC" w:rsidRPr="006553B7">
              <w:rPr>
                <w:rFonts w:asciiTheme="minorHAnsi" w:hAnsiTheme="minorHAnsi" w:cstheme="minorHAnsi"/>
                <w:b/>
                <w:bCs/>
              </w:rPr>
              <w:t>-</w:t>
            </w:r>
            <w:r w:rsidRPr="006553B7">
              <w:rPr>
                <w:rFonts w:asciiTheme="minorHAnsi" w:hAnsiTheme="minorHAnsi" w:cstheme="minorHAnsi"/>
                <w:b/>
                <w:bCs/>
              </w:rPr>
              <w:t>related cancer over six consecutive diagnosis periods</w:t>
            </w:r>
          </w:p>
        </w:tc>
      </w:tr>
      <w:tr w:rsidR="00392601" w:rsidRPr="001C4408" w14:paraId="5D352B05" w14:textId="77777777" w:rsidTr="0041177B">
        <w:trPr>
          <w:trHeight w:val="113"/>
        </w:trPr>
        <w:tc>
          <w:tcPr>
            <w:tcW w:w="3256" w:type="dxa"/>
            <w:hideMark/>
          </w:tcPr>
          <w:p w14:paraId="3BB2D701" w14:textId="77777777" w:rsidR="00392601" w:rsidRPr="001C4408" w:rsidRDefault="00392601" w:rsidP="00D232AE">
            <w:pPr>
              <w:jc w:val="center"/>
              <w:rPr>
                <w:rFonts w:asciiTheme="minorHAnsi" w:hAnsiTheme="minorHAnsi" w:cstheme="minorHAnsi"/>
                <w:color w:val="000000" w:themeColor="text1"/>
              </w:rPr>
            </w:pPr>
            <w:r w:rsidRPr="001C4408">
              <w:rPr>
                <w:rFonts w:asciiTheme="minorHAnsi" w:hAnsiTheme="minorHAnsi" w:cstheme="minorHAnsi"/>
                <w:color w:val="000000" w:themeColor="text1"/>
              </w:rPr>
              <w:t>Total</w:t>
            </w:r>
          </w:p>
        </w:tc>
        <w:tc>
          <w:tcPr>
            <w:tcW w:w="3256" w:type="dxa"/>
          </w:tcPr>
          <w:p w14:paraId="56EF07CB" w14:textId="77777777" w:rsidR="00392601" w:rsidRPr="001C4408" w:rsidRDefault="00392601" w:rsidP="00D232AE">
            <w:pPr>
              <w:jc w:val="center"/>
              <w:rPr>
                <w:rFonts w:asciiTheme="minorHAnsi" w:hAnsiTheme="minorHAnsi" w:cstheme="minorHAnsi"/>
                <w:color w:val="000000" w:themeColor="text1"/>
              </w:rPr>
            </w:pPr>
            <w:r w:rsidRPr="001C4408">
              <w:rPr>
                <w:rFonts w:asciiTheme="minorHAnsi" w:hAnsiTheme="minorHAnsi" w:cstheme="minorHAnsi"/>
                <w:color w:val="000000" w:themeColor="text1"/>
              </w:rPr>
              <w:t>Males</w:t>
            </w:r>
          </w:p>
        </w:tc>
        <w:tc>
          <w:tcPr>
            <w:tcW w:w="3256" w:type="dxa"/>
          </w:tcPr>
          <w:p w14:paraId="2B0AED0F" w14:textId="77777777" w:rsidR="00392601" w:rsidRPr="001C4408" w:rsidRDefault="00392601" w:rsidP="00D232AE">
            <w:pPr>
              <w:jc w:val="center"/>
              <w:rPr>
                <w:rFonts w:asciiTheme="minorHAnsi" w:hAnsiTheme="minorHAnsi" w:cstheme="minorHAnsi"/>
                <w:color w:val="000000" w:themeColor="text1"/>
              </w:rPr>
            </w:pPr>
            <w:r w:rsidRPr="001C4408">
              <w:rPr>
                <w:rFonts w:asciiTheme="minorHAnsi" w:hAnsiTheme="minorHAnsi" w:cstheme="minorHAnsi"/>
                <w:color w:val="000000" w:themeColor="text1"/>
              </w:rPr>
              <w:t>Females</w:t>
            </w:r>
          </w:p>
        </w:tc>
      </w:tr>
      <w:tr w:rsidR="00392601" w:rsidRPr="001C4408" w14:paraId="7B4C8864" w14:textId="77777777" w:rsidTr="0041177B">
        <w:trPr>
          <w:trHeight w:val="113"/>
        </w:trPr>
        <w:tc>
          <w:tcPr>
            <w:tcW w:w="3256" w:type="dxa"/>
          </w:tcPr>
          <w:p w14:paraId="5BC03F19" w14:textId="77777777" w:rsidR="00392601" w:rsidRPr="001C4408" w:rsidRDefault="00392601" w:rsidP="00D232AE">
            <w:pPr>
              <w:rPr>
                <w:rFonts w:asciiTheme="minorHAnsi" w:hAnsiTheme="minorHAnsi" w:cstheme="minorHAnsi"/>
                <w:color w:val="000000" w:themeColor="text1"/>
              </w:rPr>
            </w:pPr>
            <w:r w:rsidRPr="001C4408">
              <w:rPr>
                <w:rFonts w:cstheme="minorHAnsi"/>
                <w:noProof/>
                <w:color w:val="000000" w:themeColor="text1"/>
              </w:rPr>
              <w:drawing>
                <wp:inline distT="0" distB="0" distL="0" distR="0" wp14:anchorId="7D6E8C4D" wp14:editId="442D3822">
                  <wp:extent cx="1645068" cy="1436400"/>
                  <wp:effectExtent l="0" t="0" r="0" b="0"/>
                  <wp:docPr id="1776345279" name="Picture 15" descr="A graph with numbers and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345279" name="Picture 15" descr="A graph with numbers and a number of numbers&#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45068" cy="1436400"/>
                          </a:xfrm>
                          <a:prstGeom prst="rect">
                            <a:avLst/>
                          </a:prstGeom>
                          <a:noFill/>
                        </pic:spPr>
                      </pic:pic>
                    </a:graphicData>
                  </a:graphic>
                </wp:inline>
              </w:drawing>
            </w:r>
          </w:p>
        </w:tc>
        <w:tc>
          <w:tcPr>
            <w:tcW w:w="3256" w:type="dxa"/>
          </w:tcPr>
          <w:p w14:paraId="79418B94" w14:textId="77777777" w:rsidR="00392601" w:rsidRPr="001C4408" w:rsidRDefault="00392601" w:rsidP="00D232AE">
            <w:pPr>
              <w:rPr>
                <w:rFonts w:asciiTheme="minorHAnsi" w:hAnsiTheme="minorHAnsi" w:cstheme="minorHAnsi"/>
                <w:color w:val="000000" w:themeColor="text1"/>
              </w:rPr>
            </w:pPr>
            <w:r w:rsidRPr="001C4408">
              <w:rPr>
                <w:rFonts w:eastAsia="Times New Roman" w:cs="Times New Roman"/>
                <w:noProof/>
                <w:lang w:eastAsia="en-GB"/>
              </w:rPr>
              <w:drawing>
                <wp:inline distT="0" distB="0" distL="0" distR="0" wp14:anchorId="24E3BB32" wp14:editId="15CF4BB1">
                  <wp:extent cx="1645068" cy="1436400"/>
                  <wp:effectExtent l="0" t="0" r="0" b="0"/>
                  <wp:docPr id="1501962234" name="Picture 13" descr="A graph with numbers and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962234" name="Picture 13" descr="A graph with numbers and a number of objects&#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45068" cy="1436400"/>
                          </a:xfrm>
                          <a:prstGeom prst="rect">
                            <a:avLst/>
                          </a:prstGeom>
                          <a:noFill/>
                        </pic:spPr>
                      </pic:pic>
                    </a:graphicData>
                  </a:graphic>
                </wp:inline>
              </w:drawing>
            </w:r>
          </w:p>
        </w:tc>
        <w:tc>
          <w:tcPr>
            <w:tcW w:w="3256" w:type="dxa"/>
          </w:tcPr>
          <w:p w14:paraId="6294A360" w14:textId="77777777" w:rsidR="00392601" w:rsidRPr="001C4408" w:rsidRDefault="00392601" w:rsidP="00D232AE">
            <w:pPr>
              <w:jc w:val="center"/>
              <w:rPr>
                <w:rFonts w:asciiTheme="minorHAnsi" w:hAnsiTheme="minorHAnsi" w:cstheme="minorHAnsi"/>
                <w:color w:val="000000" w:themeColor="text1"/>
              </w:rPr>
            </w:pPr>
            <w:r w:rsidRPr="001C4408">
              <w:rPr>
                <w:rFonts w:cstheme="minorHAnsi"/>
                <w:noProof/>
                <w:color w:val="000000" w:themeColor="text1"/>
              </w:rPr>
              <w:drawing>
                <wp:inline distT="0" distB="0" distL="0" distR="0" wp14:anchorId="12AE6AED" wp14:editId="4C9788E3">
                  <wp:extent cx="1645068" cy="1436400"/>
                  <wp:effectExtent l="0" t="0" r="0" b="0"/>
                  <wp:docPr id="207223331" name="Picture 14" descr="A graph with numbers and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3331" name="Picture 14" descr="A graph with numbers and a number of objects&#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45068" cy="1436400"/>
                          </a:xfrm>
                          <a:prstGeom prst="rect">
                            <a:avLst/>
                          </a:prstGeom>
                          <a:noFill/>
                        </pic:spPr>
                      </pic:pic>
                    </a:graphicData>
                  </a:graphic>
                </wp:inline>
              </w:drawing>
            </w:r>
          </w:p>
        </w:tc>
      </w:tr>
    </w:tbl>
    <w:p w14:paraId="42196175" w14:textId="77777777" w:rsidR="00392601" w:rsidRDefault="00392601" w:rsidP="00D232AE">
      <w:pPr>
        <w:spacing w:after="0"/>
        <w:sectPr w:rsidR="00392601" w:rsidSect="002746C0">
          <w:pgSz w:w="11906" w:h="16838"/>
          <w:pgMar w:top="1440" w:right="1440" w:bottom="1440" w:left="1440" w:header="708" w:footer="708" w:gutter="0"/>
          <w:cols w:space="708"/>
          <w:docGrid w:linePitch="360"/>
        </w:sectPr>
      </w:pPr>
    </w:p>
    <w:p w14:paraId="62BCAC87" w14:textId="77777777" w:rsidR="00392601" w:rsidRPr="00C32002" w:rsidRDefault="00392601" w:rsidP="00D232AE">
      <w:pPr>
        <w:pStyle w:val="Heading2"/>
        <w:spacing w:before="0" w:after="0"/>
      </w:pPr>
      <w:bookmarkStart w:id="70" w:name="_Toc196914553"/>
      <w:bookmarkStart w:id="71" w:name="_Toc197557044"/>
      <w:bookmarkStart w:id="72" w:name="_Toc201512438"/>
      <w:r w:rsidRPr="00C32002">
        <w:t>Population Attributable Fraction</w:t>
      </w:r>
      <w:bookmarkEnd w:id="70"/>
      <w:bookmarkEnd w:id="71"/>
      <w:bookmarkEnd w:id="72"/>
    </w:p>
    <w:p w14:paraId="7B33ADE0" w14:textId="552342F5" w:rsidR="00392601" w:rsidRDefault="00392601" w:rsidP="00D232AE">
      <w:pPr>
        <w:spacing w:after="0" w:line="240" w:lineRule="auto"/>
        <w:rPr>
          <w:rFonts w:ascii="Aptos" w:hAnsi="Aptos"/>
          <w:color w:val="000000"/>
          <w:shd w:val="clear" w:color="auto" w:fill="FFFFFF"/>
        </w:rPr>
      </w:pPr>
      <w:r w:rsidRPr="00C32002">
        <w:rPr>
          <w:rFonts w:cstheme="minorHAnsi"/>
        </w:rPr>
        <w:t xml:space="preserve">In 2022, </w:t>
      </w:r>
      <w:r>
        <w:rPr>
          <w:rFonts w:cstheme="minorHAnsi"/>
        </w:rPr>
        <w:t>25,540</w:t>
      </w:r>
      <w:r w:rsidRPr="00C32002">
        <w:rPr>
          <w:rFonts w:cstheme="minorHAnsi"/>
        </w:rPr>
        <w:t xml:space="preserve"> cases of </w:t>
      </w:r>
      <w:r w:rsidRPr="00B403D4">
        <w:rPr>
          <w:rFonts w:cstheme="minorHAnsi"/>
        </w:rPr>
        <w:t>invasive cancers excluding NMSC</w:t>
      </w:r>
      <w:r>
        <w:rPr>
          <w:rFonts w:cstheme="minorHAnsi"/>
        </w:rPr>
        <w:t xml:space="preserve"> </w:t>
      </w:r>
      <w:r w:rsidRPr="00C32002">
        <w:rPr>
          <w:rFonts w:cstheme="minorHAnsi"/>
        </w:rPr>
        <w:t>were recorded (</w:t>
      </w:r>
      <w:r>
        <w:rPr>
          <w:rFonts w:cstheme="minorHAnsi"/>
        </w:rPr>
        <w:t>13,654</w:t>
      </w:r>
      <w:r w:rsidRPr="00C32002">
        <w:rPr>
          <w:rFonts w:cstheme="minorHAnsi"/>
        </w:rPr>
        <w:t xml:space="preserve"> males, </w:t>
      </w:r>
      <w:r>
        <w:rPr>
          <w:rFonts w:cstheme="minorHAnsi"/>
        </w:rPr>
        <w:t>11,886</w:t>
      </w:r>
      <w:r w:rsidRPr="00C32002">
        <w:rPr>
          <w:rFonts w:cstheme="minorHAnsi"/>
        </w:rPr>
        <w:t xml:space="preserve"> females). </w:t>
      </w:r>
      <w:r w:rsidRPr="00C32002">
        <w:rPr>
          <w:rFonts w:ascii="Aptos" w:hAnsi="Aptos"/>
          <w:color w:val="000000"/>
          <w:shd w:val="clear" w:color="auto" w:fill="FFFFFF"/>
        </w:rPr>
        <w:t>The estimated total number of cancer cases attributable to smoking in Ireland in 2022 was 3</w:t>
      </w:r>
      <w:r>
        <w:rPr>
          <w:rFonts w:ascii="Aptos" w:hAnsi="Aptos"/>
          <w:color w:val="000000"/>
          <w:shd w:val="clear" w:color="auto" w:fill="FFFFFF"/>
        </w:rPr>
        <w:t>,</w:t>
      </w:r>
      <w:r w:rsidRPr="00C32002">
        <w:rPr>
          <w:rFonts w:ascii="Aptos" w:hAnsi="Aptos"/>
          <w:color w:val="000000"/>
          <w:shd w:val="clear" w:color="auto" w:fill="FFFFFF"/>
        </w:rPr>
        <w:t xml:space="preserve">756 (PAF </w:t>
      </w:r>
      <w:r>
        <w:rPr>
          <w:rFonts w:ascii="Aptos" w:hAnsi="Aptos"/>
          <w:color w:val="000000"/>
          <w:shd w:val="clear" w:color="auto" w:fill="FFFFFF"/>
        </w:rPr>
        <w:t>14.7</w:t>
      </w:r>
      <w:r w:rsidRPr="00C32002">
        <w:rPr>
          <w:rFonts w:ascii="Aptos" w:hAnsi="Aptos"/>
          <w:color w:val="000000"/>
          <w:shd w:val="clear" w:color="auto" w:fill="FFFFFF"/>
        </w:rPr>
        <w:t xml:space="preserve">%). Table </w:t>
      </w:r>
      <w:r w:rsidR="006553B7">
        <w:rPr>
          <w:rFonts w:ascii="Aptos" w:hAnsi="Aptos"/>
          <w:color w:val="000000"/>
          <w:shd w:val="clear" w:color="auto" w:fill="FFFFFF"/>
        </w:rPr>
        <w:t>4.</w:t>
      </w:r>
      <w:r w:rsidR="002F5530">
        <w:rPr>
          <w:rFonts w:ascii="Aptos" w:hAnsi="Aptos"/>
          <w:color w:val="000000"/>
          <w:shd w:val="clear" w:color="auto" w:fill="FFFFFF"/>
        </w:rPr>
        <w:t>1</w:t>
      </w:r>
      <w:r w:rsidRPr="00C32002">
        <w:rPr>
          <w:rFonts w:ascii="Aptos" w:hAnsi="Aptos"/>
          <w:color w:val="000000"/>
          <w:shd w:val="clear" w:color="auto" w:fill="FFFFFF"/>
        </w:rPr>
        <w:t xml:space="preserve"> presents the difference between male</w:t>
      </w:r>
      <w:r>
        <w:rPr>
          <w:rFonts w:ascii="Aptos" w:hAnsi="Aptos"/>
          <w:color w:val="000000"/>
          <w:shd w:val="clear" w:color="auto" w:fill="FFFFFF"/>
        </w:rPr>
        <w:t>s</w:t>
      </w:r>
      <w:r w:rsidRPr="00C32002">
        <w:rPr>
          <w:rFonts w:ascii="Aptos" w:hAnsi="Aptos"/>
          <w:color w:val="000000"/>
          <w:shd w:val="clear" w:color="auto" w:fill="FFFFFF"/>
        </w:rPr>
        <w:t xml:space="preserve"> and female</w:t>
      </w:r>
      <w:r>
        <w:rPr>
          <w:rFonts w:ascii="Aptos" w:hAnsi="Aptos"/>
          <w:color w:val="000000"/>
          <w:shd w:val="clear" w:color="auto" w:fill="FFFFFF"/>
        </w:rPr>
        <w:t>s</w:t>
      </w:r>
      <w:r w:rsidRPr="00C32002">
        <w:rPr>
          <w:rFonts w:ascii="Aptos" w:hAnsi="Aptos"/>
          <w:color w:val="000000"/>
          <w:shd w:val="clear" w:color="auto" w:fill="FFFFFF"/>
        </w:rPr>
        <w:t xml:space="preserve">. </w:t>
      </w:r>
    </w:p>
    <w:p w14:paraId="08A26DBA" w14:textId="77777777" w:rsidR="00392601" w:rsidRPr="00C32002" w:rsidRDefault="00392601" w:rsidP="00D232AE">
      <w:pPr>
        <w:spacing w:after="0"/>
        <w:rPr>
          <w:rFonts w:cstheme="minorHAnsi"/>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25"/>
        <w:gridCol w:w="2293"/>
        <w:gridCol w:w="2428"/>
        <w:gridCol w:w="2264"/>
      </w:tblGrid>
      <w:tr w:rsidR="00392601" w:rsidRPr="00C32002" w14:paraId="0605BE5C" w14:textId="77777777" w:rsidTr="006C1190">
        <w:trPr>
          <w:trHeight w:val="300"/>
        </w:trPr>
        <w:tc>
          <w:tcPr>
            <w:tcW w:w="9010" w:type="dxa"/>
            <w:gridSpan w:val="4"/>
            <w:tcBorders>
              <w:top w:val="single" w:sz="6" w:space="0" w:color="auto"/>
              <w:left w:val="single" w:sz="6" w:space="0" w:color="auto"/>
              <w:bottom w:val="single" w:sz="6" w:space="0" w:color="auto"/>
              <w:right w:val="single" w:sz="6" w:space="0" w:color="auto"/>
            </w:tcBorders>
            <w:shd w:val="clear" w:color="auto" w:fill="002060"/>
            <w:hideMark/>
          </w:tcPr>
          <w:p w14:paraId="5A583C14" w14:textId="1FC9925C" w:rsidR="00392601" w:rsidRPr="006553B7" w:rsidRDefault="00392601" w:rsidP="00D232AE">
            <w:pPr>
              <w:spacing w:after="0" w:line="240" w:lineRule="auto"/>
              <w:textAlignment w:val="baseline"/>
              <w:rPr>
                <w:rFonts w:ascii="Segoe UI" w:eastAsia="Times New Roman" w:hAnsi="Segoe UI" w:cs="Segoe UI"/>
                <w:b/>
                <w:bCs/>
                <w:kern w:val="0"/>
                <w:sz w:val="18"/>
                <w:szCs w:val="18"/>
                <w:lang w:eastAsia="en-GB"/>
                <w14:ligatures w14:val="none"/>
              </w:rPr>
            </w:pPr>
            <w:r w:rsidRPr="006553B7">
              <w:rPr>
                <w:rFonts w:ascii="Aptos" w:eastAsia="Times New Roman" w:hAnsi="Aptos" w:cs="Segoe UI"/>
                <w:b/>
                <w:bCs/>
                <w:color w:val="FFFFFF"/>
                <w:kern w:val="0"/>
                <w:lang w:eastAsia="en-GB"/>
                <w14:ligatures w14:val="none"/>
              </w:rPr>
              <w:t xml:space="preserve">Table </w:t>
            </w:r>
            <w:r w:rsidR="006553B7" w:rsidRPr="006553B7">
              <w:rPr>
                <w:rFonts w:ascii="Aptos" w:eastAsia="Times New Roman" w:hAnsi="Aptos" w:cs="Segoe UI"/>
                <w:b/>
                <w:bCs/>
                <w:color w:val="FFFFFF"/>
                <w:kern w:val="0"/>
                <w:lang w:eastAsia="en-GB"/>
                <w14:ligatures w14:val="none"/>
              </w:rPr>
              <w:t>4.</w:t>
            </w:r>
            <w:r w:rsidR="002F5530">
              <w:rPr>
                <w:rFonts w:ascii="Aptos" w:eastAsia="Times New Roman" w:hAnsi="Aptos" w:cs="Segoe UI"/>
                <w:b/>
                <w:bCs/>
                <w:color w:val="FFFFFF"/>
                <w:kern w:val="0"/>
                <w:lang w:eastAsia="en-GB"/>
                <w14:ligatures w14:val="none"/>
              </w:rPr>
              <w:t>1</w:t>
            </w:r>
            <w:r w:rsidRPr="006553B7">
              <w:rPr>
                <w:rFonts w:ascii="Aptos" w:eastAsia="Times New Roman" w:hAnsi="Aptos" w:cs="Segoe UI"/>
                <w:b/>
                <w:bCs/>
                <w:color w:val="FFFFFF"/>
                <w:kern w:val="0"/>
                <w:lang w:eastAsia="en-GB"/>
                <w14:ligatures w14:val="none"/>
              </w:rPr>
              <w:t>: Population attributable fraction and attributable cases for tobacco</w:t>
            </w:r>
            <w:r w:rsidR="00A45DCC" w:rsidRPr="006553B7">
              <w:rPr>
                <w:rFonts w:ascii="Aptos" w:eastAsia="Times New Roman" w:hAnsi="Aptos" w:cs="Segoe UI"/>
                <w:b/>
                <w:bCs/>
                <w:color w:val="FFFFFF"/>
                <w:kern w:val="0"/>
                <w:lang w:eastAsia="en-GB"/>
                <w14:ligatures w14:val="none"/>
              </w:rPr>
              <w:t>-</w:t>
            </w:r>
            <w:r w:rsidRPr="006553B7">
              <w:rPr>
                <w:rFonts w:ascii="Aptos" w:eastAsia="Times New Roman" w:hAnsi="Aptos" w:cs="Segoe UI"/>
                <w:b/>
                <w:bCs/>
                <w:color w:val="FFFFFF"/>
                <w:kern w:val="0"/>
                <w:lang w:eastAsia="en-GB"/>
                <w14:ligatures w14:val="none"/>
              </w:rPr>
              <w:t>related cancers in 2022 </w:t>
            </w:r>
          </w:p>
        </w:tc>
      </w:tr>
      <w:tr w:rsidR="00392601" w:rsidRPr="00C32002" w14:paraId="77CDB678" w14:textId="77777777" w:rsidTr="006C1190">
        <w:trPr>
          <w:trHeight w:val="300"/>
        </w:trPr>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56482E6" w14:textId="77777777" w:rsidR="00392601" w:rsidRPr="00C32002" w:rsidRDefault="00392601" w:rsidP="00D232AE">
            <w:pPr>
              <w:spacing w:after="0" w:line="240" w:lineRule="auto"/>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1BFE833B" w14:textId="77777777" w:rsidR="00392601" w:rsidRPr="00C32002" w:rsidRDefault="00392601" w:rsidP="00D232AE">
            <w:pPr>
              <w:spacing w:after="0" w:line="240" w:lineRule="auto"/>
              <w:jc w:val="center"/>
              <w:textAlignment w:val="baseline"/>
              <w:rPr>
                <w:rFonts w:eastAsia="Times New Roman" w:cs="Segoe UI"/>
                <w:kern w:val="0"/>
                <w:lang w:eastAsia="en-GB"/>
                <w14:ligatures w14:val="none"/>
              </w:rPr>
            </w:pPr>
            <w:r w:rsidRPr="00C32002">
              <w:rPr>
                <w:rFonts w:eastAsia="Times New Roman" w:cs="Segoe UI"/>
                <w:kern w:val="0"/>
                <w:lang w:eastAsia="en-GB"/>
                <w14:ligatures w14:val="none"/>
              </w:rPr>
              <w:t>Total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0DFD2177" w14:textId="77777777" w:rsidR="00392601" w:rsidRPr="00C32002" w:rsidRDefault="00392601" w:rsidP="00D232AE">
            <w:pPr>
              <w:spacing w:after="0" w:line="240" w:lineRule="auto"/>
              <w:jc w:val="center"/>
              <w:textAlignment w:val="baseline"/>
              <w:rPr>
                <w:rFonts w:eastAsia="Times New Roman" w:cs="Segoe UI"/>
                <w:kern w:val="0"/>
                <w:lang w:eastAsia="en-GB"/>
                <w14:ligatures w14:val="none"/>
              </w:rPr>
            </w:pPr>
            <w:r w:rsidRPr="00C32002">
              <w:rPr>
                <w:rFonts w:eastAsia="Times New Roman" w:cs="Segoe UI"/>
                <w:kern w:val="0"/>
                <w:lang w:eastAsia="en-GB"/>
                <w14:ligatures w14:val="none"/>
              </w:rPr>
              <w:t>Males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42F97A18" w14:textId="77777777" w:rsidR="00392601" w:rsidRPr="00C32002" w:rsidRDefault="00392601" w:rsidP="00D232AE">
            <w:pPr>
              <w:spacing w:after="0" w:line="240" w:lineRule="auto"/>
              <w:jc w:val="center"/>
              <w:textAlignment w:val="baseline"/>
              <w:rPr>
                <w:rFonts w:eastAsia="Times New Roman" w:cs="Segoe UI"/>
                <w:kern w:val="0"/>
                <w:lang w:eastAsia="en-GB"/>
                <w14:ligatures w14:val="none"/>
              </w:rPr>
            </w:pPr>
            <w:r w:rsidRPr="00C32002">
              <w:rPr>
                <w:rFonts w:eastAsia="Times New Roman" w:cs="Segoe UI"/>
                <w:kern w:val="0"/>
                <w:lang w:eastAsia="en-GB"/>
                <w14:ligatures w14:val="none"/>
              </w:rPr>
              <w:t>Females </w:t>
            </w:r>
          </w:p>
        </w:tc>
      </w:tr>
      <w:tr w:rsidR="00392601" w:rsidRPr="00C32002" w14:paraId="26E56F63" w14:textId="77777777" w:rsidTr="006C1190">
        <w:trPr>
          <w:trHeight w:val="300"/>
        </w:trPr>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9DE0BF0" w14:textId="77777777" w:rsidR="00392601" w:rsidRPr="00C32002" w:rsidRDefault="00392601" w:rsidP="00D232AE">
            <w:pPr>
              <w:spacing w:after="0" w:line="240" w:lineRule="auto"/>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PAF (%)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467CB0DB" w14:textId="77777777" w:rsidR="00392601" w:rsidRPr="00C32002" w:rsidRDefault="00392601" w:rsidP="00D232AE">
            <w:pPr>
              <w:spacing w:after="0" w:line="240" w:lineRule="auto"/>
              <w:jc w:val="center"/>
              <w:textAlignment w:val="baseline"/>
              <w:rPr>
                <w:rFonts w:eastAsia="Times New Roman" w:cs="Segoe UI"/>
                <w:kern w:val="0"/>
                <w:lang w:eastAsia="en-GB"/>
                <w14:ligatures w14:val="none"/>
              </w:rPr>
            </w:pPr>
            <w:r>
              <w:rPr>
                <w:rFonts w:eastAsia="Times New Roman" w:cs="Segoe UI"/>
                <w:kern w:val="0"/>
                <w:lang w:eastAsia="en-GB"/>
                <w14:ligatures w14:val="none"/>
              </w:rPr>
              <w:t>14.7</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3899A404" w14:textId="6FE9E296" w:rsidR="00392601" w:rsidRPr="00C32002" w:rsidRDefault="007B670A" w:rsidP="00D232AE">
            <w:pPr>
              <w:spacing w:after="0" w:line="240" w:lineRule="auto"/>
              <w:jc w:val="center"/>
              <w:textAlignment w:val="baseline"/>
              <w:rPr>
                <w:rFonts w:eastAsia="Times New Roman" w:cs="Segoe UI"/>
                <w:kern w:val="0"/>
                <w:lang w:eastAsia="en-GB"/>
                <w14:ligatures w14:val="none"/>
              </w:rPr>
            </w:pPr>
            <w:r>
              <w:rPr>
                <w:rFonts w:eastAsia="Times New Roman" w:cs="Segoe UI"/>
                <w:kern w:val="0"/>
                <w:lang w:eastAsia="en-GB"/>
                <w14:ligatures w14:val="none"/>
              </w:rPr>
              <w:t>16.0</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7935FADA" w14:textId="7AA692BE" w:rsidR="00392601" w:rsidRPr="00C32002" w:rsidRDefault="007B670A" w:rsidP="00D232AE">
            <w:pPr>
              <w:spacing w:after="0" w:line="240" w:lineRule="auto"/>
              <w:jc w:val="center"/>
              <w:textAlignment w:val="baseline"/>
              <w:rPr>
                <w:rFonts w:eastAsia="Times New Roman" w:cs="Segoe UI"/>
                <w:kern w:val="0"/>
                <w:lang w:eastAsia="en-GB"/>
                <w14:ligatures w14:val="none"/>
              </w:rPr>
            </w:pPr>
            <w:r>
              <w:rPr>
                <w:rFonts w:eastAsia="Times New Roman" w:cs="Segoe UI"/>
                <w:kern w:val="0"/>
                <w:lang w:eastAsia="en-GB"/>
                <w14:ligatures w14:val="none"/>
              </w:rPr>
              <w:t>13.3</w:t>
            </w:r>
          </w:p>
        </w:tc>
      </w:tr>
      <w:tr w:rsidR="00104E96" w:rsidRPr="00C32002" w14:paraId="3ACF5EBB" w14:textId="77777777" w:rsidTr="006C1190">
        <w:trPr>
          <w:trHeight w:val="300"/>
        </w:trPr>
        <w:tc>
          <w:tcPr>
            <w:tcW w:w="2025" w:type="dxa"/>
            <w:tcBorders>
              <w:top w:val="single" w:sz="6" w:space="0" w:color="auto"/>
              <w:left w:val="single" w:sz="6" w:space="0" w:color="auto"/>
              <w:bottom w:val="single" w:sz="6" w:space="0" w:color="auto"/>
              <w:right w:val="single" w:sz="6" w:space="0" w:color="auto"/>
            </w:tcBorders>
            <w:shd w:val="clear" w:color="auto" w:fill="auto"/>
          </w:tcPr>
          <w:p w14:paraId="64A88813" w14:textId="1BB4A8D1" w:rsidR="00104E96" w:rsidRPr="00C32002" w:rsidRDefault="00104E96" w:rsidP="00D232AE">
            <w:pPr>
              <w:spacing w:after="0" w:line="240" w:lineRule="auto"/>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Total cases</w:t>
            </w:r>
          </w:p>
        </w:tc>
        <w:tc>
          <w:tcPr>
            <w:tcW w:w="2293" w:type="dxa"/>
            <w:tcBorders>
              <w:top w:val="single" w:sz="6" w:space="0" w:color="auto"/>
              <w:left w:val="single" w:sz="6" w:space="0" w:color="auto"/>
              <w:bottom w:val="single" w:sz="6" w:space="0" w:color="auto"/>
              <w:right w:val="single" w:sz="6" w:space="0" w:color="auto"/>
            </w:tcBorders>
            <w:shd w:val="clear" w:color="auto" w:fill="auto"/>
          </w:tcPr>
          <w:p w14:paraId="30792B87" w14:textId="47BC5A19" w:rsidR="00104E96" w:rsidRDefault="00104E96" w:rsidP="00D232AE">
            <w:pPr>
              <w:spacing w:after="0" w:line="240" w:lineRule="auto"/>
              <w:jc w:val="center"/>
              <w:textAlignment w:val="baseline"/>
              <w:rPr>
                <w:rFonts w:eastAsia="Times New Roman" w:cs="Segoe UI"/>
                <w:kern w:val="0"/>
                <w:lang w:eastAsia="en-GB"/>
                <w14:ligatures w14:val="none"/>
              </w:rPr>
            </w:pPr>
            <w:r>
              <w:rPr>
                <w:rFonts w:eastAsia="Times New Roman" w:cs="Segoe UI"/>
                <w:kern w:val="0"/>
                <w:lang w:eastAsia="en-GB"/>
                <w14:ligatures w14:val="none"/>
              </w:rPr>
              <w:t>25,540</w:t>
            </w:r>
          </w:p>
        </w:tc>
        <w:tc>
          <w:tcPr>
            <w:tcW w:w="2428" w:type="dxa"/>
            <w:tcBorders>
              <w:top w:val="single" w:sz="6" w:space="0" w:color="auto"/>
              <w:left w:val="single" w:sz="6" w:space="0" w:color="auto"/>
              <w:bottom w:val="single" w:sz="6" w:space="0" w:color="auto"/>
              <w:right w:val="single" w:sz="6" w:space="0" w:color="auto"/>
            </w:tcBorders>
            <w:shd w:val="clear" w:color="auto" w:fill="auto"/>
          </w:tcPr>
          <w:p w14:paraId="33879FBA" w14:textId="73581C95" w:rsidR="00104E96" w:rsidRDefault="007D2A08" w:rsidP="00D232AE">
            <w:pPr>
              <w:spacing w:after="0" w:line="240" w:lineRule="auto"/>
              <w:jc w:val="center"/>
              <w:textAlignment w:val="baseline"/>
              <w:rPr>
                <w:rFonts w:eastAsia="Times New Roman" w:cs="Segoe UI"/>
                <w:kern w:val="0"/>
                <w:lang w:eastAsia="en-GB"/>
                <w14:ligatures w14:val="none"/>
              </w:rPr>
            </w:pPr>
            <w:r>
              <w:rPr>
                <w:rFonts w:eastAsia="Times New Roman" w:cs="Segoe UI"/>
                <w:kern w:val="0"/>
                <w:lang w:eastAsia="en-GB"/>
                <w14:ligatures w14:val="none"/>
              </w:rPr>
              <w:t>13,654</w:t>
            </w:r>
          </w:p>
        </w:tc>
        <w:tc>
          <w:tcPr>
            <w:tcW w:w="2264" w:type="dxa"/>
            <w:tcBorders>
              <w:top w:val="single" w:sz="6" w:space="0" w:color="auto"/>
              <w:left w:val="single" w:sz="6" w:space="0" w:color="auto"/>
              <w:bottom w:val="single" w:sz="6" w:space="0" w:color="auto"/>
              <w:right w:val="single" w:sz="6" w:space="0" w:color="auto"/>
            </w:tcBorders>
            <w:shd w:val="clear" w:color="auto" w:fill="auto"/>
          </w:tcPr>
          <w:p w14:paraId="7507798F" w14:textId="05388CD1" w:rsidR="00104E96" w:rsidRDefault="007D2A08" w:rsidP="00D232AE">
            <w:pPr>
              <w:spacing w:after="0" w:line="240" w:lineRule="auto"/>
              <w:jc w:val="center"/>
              <w:textAlignment w:val="baseline"/>
              <w:rPr>
                <w:rFonts w:eastAsia="Times New Roman" w:cs="Segoe UI"/>
                <w:kern w:val="0"/>
                <w:lang w:eastAsia="en-GB"/>
                <w14:ligatures w14:val="none"/>
              </w:rPr>
            </w:pPr>
            <w:r>
              <w:rPr>
                <w:rFonts w:eastAsia="Times New Roman" w:cs="Segoe UI"/>
                <w:kern w:val="0"/>
                <w:lang w:eastAsia="en-GB"/>
                <w14:ligatures w14:val="none"/>
              </w:rPr>
              <w:t>11,886</w:t>
            </w:r>
          </w:p>
        </w:tc>
      </w:tr>
      <w:tr w:rsidR="00392601" w:rsidRPr="00C32002" w14:paraId="268914EF" w14:textId="77777777" w:rsidTr="006C1190">
        <w:trPr>
          <w:trHeight w:val="300"/>
        </w:trPr>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AEEFBE9" w14:textId="77777777" w:rsidR="00392601" w:rsidRPr="00C32002" w:rsidRDefault="00392601" w:rsidP="00D232AE">
            <w:pPr>
              <w:spacing w:after="0" w:line="240" w:lineRule="auto"/>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Attributable cases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4D42F668" w14:textId="77777777" w:rsidR="00392601" w:rsidRPr="00C32002" w:rsidRDefault="00392601" w:rsidP="00D232AE">
            <w:pPr>
              <w:spacing w:after="0" w:line="240" w:lineRule="auto"/>
              <w:jc w:val="center"/>
              <w:textAlignment w:val="baseline"/>
              <w:rPr>
                <w:rFonts w:eastAsia="Times New Roman" w:cs="Segoe UI"/>
                <w:kern w:val="0"/>
                <w:lang w:eastAsia="en-GB"/>
                <w14:ligatures w14:val="none"/>
              </w:rPr>
            </w:pPr>
            <w:r w:rsidRPr="00C32002">
              <w:rPr>
                <w:rFonts w:eastAsia="Times New Roman" w:cs="Segoe UI"/>
                <w:kern w:val="0"/>
                <w:lang w:eastAsia="en-GB"/>
                <w14:ligatures w14:val="none"/>
              </w:rPr>
              <w:t>3</w:t>
            </w:r>
            <w:r>
              <w:rPr>
                <w:rFonts w:eastAsia="Times New Roman" w:cs="Segoe UI"/>
                <w:kern w:val="0"/>
                <w:lang w:eastAsia="en-GB"/>
                <w14:ligatures w14:val="none"/>
              </w:rPr>
              <w:t>,</w:t>
            </w:r>
            <w:r w:rsidRPr="00C32002">
              <w:rPr>
                <w:rFonts w:eastAsia="Times New Roman" w:cs="Segoe UI"/>
                <w:kern w:val="0"/>
                <w:lang w:eastAsia="en-GB"/>
                <w14:ligatures w14:val="none"/>
              </w:rPr>
              <w:t>756</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1CF3C8AD" w14:textId="635885C5" w:rsidR="00392601" w:rsidRPr="00C32002" w:rsidRDefault="00EA4067" w:rsidP="00D232AE">
            <w:pPr>
              <w:spacing w:after="0" w:line="240" w:lineRule="auto"/>
              <w:jc w:val="center"/>
              <w:textAlignment w:val="baseline"/>
              <w:rPr>
                <w:rFonts w:eastAsia="Times New Roman" w:cs="Segoe UI"/>
                <w:kern w:val="0"/>
                <w:lang w:eastAsia="en-GB"/>
                <w14:ligatures w14:val="none"/>
              </w:rPr>
            </w:pPr>
            <w:r>
              <w:rPr>
                <w:rFonts w:eastAsia="Times New Roman" w:cs="Segoe UI"/>
                <w:kern w:val="0"/>
                <w:lang w:eastAsia="en-GB"/>
                <w14:ligatures w14:val="none"/>
              </w:rPr>
              <w:t>2179</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4F6666F8" w14:textId="5610D56B" w:rsidR="00392601" w:rsidRPr="00C32002" w:rsidRDefault="007B670A" w:rsidP="00D232AE">
            <w:pPr>
              <w:spacing w:after="0" w:line="240" w:lineRule="auto"/>
              <w:jc w:val="center"/>
              <w:textAlignment w:val="baseline"/>
              <w:rPr>
                <w:rFonts w:eastAsia="Times New Roman" w:cs="Segoe UI"/>
                <w:kern w:val="0"/>
                <w:lang w:eastAsia="en-GB"/>
                <w14:ligatures w14:val="none"/>
              </w:rPr>
            </w:pPr>
            <w:r>
              <w:rPr>
                <w:rFonts w:eastAsia="Times New Roman" w:cs="Segoe UI"/>
                <w:kern w:val="0"/>
                <w:lang w:eastAsia="en-GB"/>
                <w14:ligatures w14:val="none"/>
              </w:rPr>
              <w:t>1578</w:t>
            </w:r>
          </w:p>
        </w:tc>
      </w:tr>
    </w:tbl>
    <w:p w14:paraId="73F4CA52" w14:textId="77777777" w:rsidR="00392601" w:rsidRPr="00C32002" w:rsidRDefault="00392601" w:rsidP="00D232AE">
      <w:pPr>
        <w:spacing w:after="0"/>
      </w:pPr>
    </w:p>
    <w:p w14:paraId="1102A028" w14:textId="33021E44" w:rsidR="00392601" w:rsidRDefault="00392601" w:rsidP="00D232AE">
      <w:pPr>
        <w:spacing w:after="0" w:line="240" w:lineRule="auto"/>
      </w:pPr>
      <w:r w:rsidRPr="00C32002">
        <w:t xml:space="preserve">Table </w:t>
      </w:r>
      <w:r w:rsidR="006553B7">
        <w:t>4.</w:t>
      </w:r>
      <w:r w:rsidR="002F5530">
        <w:t>2</w:t>
      </w:r>
      <w:r w:rsidRPr="00C32002">
        <w:t xml:space="preserve"> </w:t>
      </w:r>
      <w:r>
        <w:t xml:space="preserve">presents </w:t>
      </w:r>
      <w:r w:rsidRPr="00C32002">
        <w:t xml:space="preserve">the PAF and number of cases attributable to smoking for each cancer type. Figure </w:t>
      </w:r>
      <w:r w:rsidR="00CD2A49">
        <w:t>4.7</w:t>
      </w:r>
      <w:r w:rsidRPr="00C32002">
        <w:t xml:space="preserve"> presents a heat map of </w:t>
      </w:r>
      <w:r w:rsidR="003668DC">
        <w:t>the PAF for each cancer type</w:t>
      </w:r>
      <w:r w:rsidRPr="00C32002">
        <w:t xml:space="preserve"> </w:t>
      </w:r>
      <w:r w:rsidR="003668DC">
        <w:t>(darker shading reflects a higher PAF)</w:t>
      </w:r>
      <w:r w:rsidRPr="00C32002">
        <w:t xml:space="preserve">. </w:t>
      </w:r>
      <w:r w:rsidR="003668DC">
        <w:t xml:space="preserve">Figure 4.7 additionally presents the PAF across cancer types by sex. </w:t>
      </w:r>
      <w:r w:rsidRPr="00C32002">
        <w:t xml:space="preserve">Lung, </w:t>
      </w:r>
      <w:r>
        <w:t>l</w:t>
      </w:r>
      <w:r w:rsidRPr="00C32002">
        <w:t>aryn</w:t>
      </w:r>
      <w:r w:rsidR="003668DC">
        <w:t>geal</w:t>
      </w:r>
      <w:r w:rsidRPr="00C32002">
        <w:t xml:space="preserve"> and bladder were the cancer types </w:t>
      </w:r>
      <w:r w:rsidR="003668DC">
        <w:t>with the greatest proportion of cases</w:t>
      </w:r>
      <w:r w:rsidRPr="00C32002">
        <w:t xml:space="preserve"> attributable to </w:t>
      </w:r>
      <w:r w:rsidR="003668DC">
        <w:t>tobacco</w:t>
      </w:r>
      <w:r w:rsidRPr="00C32002">
        <w:t xml:space="preserve"> </w:t>
      </w:r>
      <w:r w:rsidR="003668DC">
        <w:t xml:space="preserve">smoking </w:t>
      </w:r>
      <w:r w:rsidRPr="00C32002">
        <w:t>with PAFs of 73.3% (</w:t>
      </w:r>
      <w:r>
        <w:t>l</w:t>
      </w:r>
      <w:r w:rsidRPr="00C32002">
        <w:t>ung), 65.9% (</w:t>
      </w:r>
      <w:r>
        <w:t>l</w:t>
      </w:r>
      <w:r w:rsidRPr="00C32002">
        <w:t>arynx) and 47.5% (</w:t>
      </w:r>
      <w:r>
        <w:t>b</w:t>
      </w:r>
      <w:r w:rsidRPr="00C32002">
        <w:t>ladder &amp; NMIBC).</w:t>
      </w:r>
      <w:r w:rsidR="006553B7">
        <w:t xml:space="preserve"> </w:t>
      </w:r>
    </w:p>
    <w:p w14:paraId="2CC6D575" w14:textId="77777777" w:rsidR="00392601" w:rsidRPr="00C32002" w:rsidRDefault="00392601" w:rsidP="00D232AE">
      <w:pPr>
        <w:spacing w:after="0"/>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4"/>
        <w:gridCol w:w="1878"/>
        <w:gridCol w:w="2181"/>
      </w:tblGrid>
      <w:tr w:rsidR="00392601" w:rsidRPr="00C32002" w14:paraId="511FF16A" w14:textId="77777777" w:rsidTr="0041177B">
        <w:trPr>
          <w:trHeight w:val="57"/>
        </w:trPr>
        <w:tc>
          <w:tcPr>
            <w:tcW w:w="5000" w:type="pct"/>
            <w:gridSpan w:val="3"/>
            <w:tcBorders>
              <w:top w:val="single" w:sz="6" w:space="0" w:color="auto"/>
              <w:left w:val="single" w:sz="6" w:space="0" w:color="auto"/>
              <w:bottom w:val="single" w:sz="6" w:space="0" w:color="auto"/>
              <w:right w:val="single" w:sz="4" w:space="0" w:color="auto"/>
            </w:tcBorders>
            <w:shd w:val="clear" w:color="auto" w:fill="002060"/>
            <w:vAlign w:val="bottom"/>
          </w:tcPr>
          <w:p w14:paraId="62F7A273" w14:textId="4E36E18A" w:rsidR="00392601" w:rsidRPr="00C32002" w:rsidRDefault="00392601" w:rsidP="00D232AE">
            <w:pPr>
              <w:spacing w:after="0" w:line="240" w:lineRule="auto"/>
              <w:textAlignment w:val="baseline"/>
              <w:rPr>
                <w:rFonts w:eastAsia="Times New Roman" w:cs="Calibri"/>
                <w:b/>
                <w:bCs/>
                <w:color w:val="FFFFFF" w:themeColor="background1"/>
                <w:kern w:val="0"/>
                <w:lang w:val="en-IE" w:eastAsia="en-GB"/>
                <w14:ligatures w14:val="none"/>
              </w:rPr>
            </w:pPr>
            <w:r w:rsidRPr="00C32002">
              <w:rPr>
                <w:rFonts w:eastAsia="Times New Roman" w:cs="Calibri"/>
                <w:b/>
                <w:bCs/>
                <w:color w:val="FFFFFF" w:themeColor="background1"/>
                <w:kern w:val="0"/>
                <w:lang w:val="en-IE" w:eastAsia="en-GB"/>
                <w14:ligatures w14:val="none"/>
              </w:rPr>
              <w:t xml:space="preserve">Table </w:t>
            </w:r>
            <w:r w:rsidR="006553B7">
              <w:rPr>
                <w:rFonts w:eastAsia="Times New Roman" w:cs="Calibri"/>
                <w:b/>
                <w:bCs/>
                <w:color w:val="FFFFFF" w:themeColor="background1"/>
                <w:kern w:val="0"/>
                <w:lang w:val="en-IE" w:eastAsia="en-GB"/>
                <w14:ligatures w14:val="none"/>
              </w:rPr>
              <w:t>4.</w:t>
            </w:r>
            <w:r w:rsidR="002F5530">
              <w:rPr>
                <w:rFonts w:eastAsia="Times New Roman" w:cs="Calibri"/>
                <w:b/>
                <w:bCs/>
                <w:color w:val="FFFFFF" w:themeColor="background1"/>
                <w:kern w:val="0"/>
                <w:lang w:val="en-IE" w:eastAsia="en-GB"/>
                <w14:ligatures w14:val="none"/>
              </w:rPr>
              <w:t>2</w:t>
            </w:r>
            <w:r w:rsidRPr="00C32002">
              <w:rPr>
                <w:rFonts w:eastAsia="Times New Roman" w:cs="Calibri"/>
                <w:b/>
                <w:bCs/>
                <w:color w:val="FFFFFF" w:themeColor="background1"/>
                <w:kern w:val="0"/>
                <w:lang w:val="en-IE" w:eastAsia="en-GB"/>
                <w14:ligatures w14:val="none"/>
              </w:rPr>
              <w:t>: Population attributable fractions and attributable cases by cancer type</w:t>
            </w:r>
          </w:p>
        </w:tc>
      </w:tr>
      <w:tr w:rsidR="00392601" w:rsidRPr="00C32002" w14:paraId="66A3B18B" w14:textId="77777777" w:rsidTr="0041177B">
        <w:trPr>
          <w:trHeight w:val="57"/>
        </w:trPr>
        <w:tc>
          <w:tcPr>
            <w:tcW w:w="2748" w:type="pct"/>
            <w:tcBorders>
              <w:top w:val="single" w:sz="6" w:space="0" w:color="auto"/>
              <w:left w:val="single" w:sz="6" w:space="0" w:color="auto"/>
              <w:bottom w:val="single" w:sz="6" w:space="0" w:color="auto"/>
              <w:right w:val="single" w:sz="4" w:space="0" w:color="auto"/>
            </w:tcBorders>
            <w:shd w:val="clear" w:color="auto" w:fill="FFFFFF" w:themeFill="background1"/>
            <w:vAlign w:val="center"/>
            <w:hideMark/>
          </w:tcPr>
          <w:p w14:paraId="517D4EF7" w14:textId="34E3E823" w:rsidR="00392601" w:rsidRPr="00C32002" w:rsidRDefault="00392601" w:rsidP="00D232AE">
            <w:pPr>
              <w:spacing w:after="0" w:line="240" w:lineRule="auto"/>
              <w:textAlignment w:val="baseline"/>
              <w:rPr>
                <w:rFonts w:eastAsia="Times New Roman" w:cs="Segoe UI"/>
                <w:b/>
                <w:bCs/>
                <w:kern w:val="0"/>
                <w:lang w:eastAsia="en-GB"/>
                <w14:ligatures w14:val="none"/>
              </w:rPr>
            </w:pPr>
            <w:r w:rsidRPr="00C32002">
              <w:rPr>
                <w:rFonts w:eastAsia="Times New Roman" w:cs="Calibri"/>
                <w:b/>
                <w:bCs/>
                <w:color w:val="000000"/>
                <w:kern w:val="0"/>
                <w:lang w:val="en-IE" w:eastAsia="en-GB"/>
                <w14:ligatures w14:val="none"/>
              </w:rPr>
              <w:t xml:space="preserve">Cancer </w:t>
            </w:r>
            <w:r w:rsidR="00366242">
              <w:rPr>
                <w:rFonts w:eastAsia="Times New Roman" w:cs="Calibri"/>
                <w:b/>
                <w:bCs/>
                <w:color w:val="000000"/>
                <w:kern w:val="0"/>
                <w:lang w:val="en-IE" w:eastAsia="en-GB"/>
                <w14:ligatures w14:val="none"/>
              </w:rPr>
              <w:t>Types</w:t>
            </w:r>
          </w:p>
        </w:tc>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4B434E" w14:textId="54F81A8A" w:rsidR="00392601" w:rsidRPr="00C32002" w:rsidRDefault="00392601" w:rsidP="00D232AE">
            <w:pPr>
              <w:spacing w:after="0" w:line="240" w:lineRule="auto"/>
              <w:jc w:val="center"/>
              <w:textAlignment w:val="baseline"/>
              <w:rPr>
                <w:rFonts w:eastAsia="Times New Roman" w:cs="Calibri"/>
                <w:b/>
                <w:bCs/>
                <w:color w:val="000000"/>
                <w:kern w:val="0"/>
                <w:lang w:val="en-IE" w:eastAsia="en-GB"/>
                <w14:ligatures w14:val="none"/>
              </w:rPr>
            </w:pPr>
            <w:r w:rsidRPr="00C32002">
              <w:rPr>
                <w:b/>
                <w:bCs/>
              </w:rPr>
              <w:t>PAF</w:t>
            </w:r>
            <w:r w:rsidR="006F198F">
              <w:rPr>
                <w:b/>
                <w:bCs/>
              </w:rPr>
              <w:t xml:space="preserve"> (%)</w:t>
            </w:r>
          </w:p>
        </w:tc>
        <w:tc>
          <w:tcPr>
            <w:tcW w:w="12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61DE8E" w14:textId="77777777" w:rsidR="00392601" w:rsidRPr="00C32002" w:rsidRDefault="00392601" w:rsidP="00D232AE">
            <w:pPr>
              <w:spacing w:after="0" w:line="240" w:lineRule="auto"/>
              <w:jc w:val="center"/>
              <w:textAlignment w:val="baseline"/>
              <w:rPr>
                <w:rFonts w:eastAsia="Times New Roman" w:cs="Segoe UI"/>
                <w:b/>
                <w:bCs/>
                <w:kern w:val="0"/>
                <w:lang w:eastAsia="en-GB"/>
                <w14:ligatures w14:val="none"/>
              </w:rPr>
            </w:pPr>
            <w:r w:rsidRPr="00C32002">
              <w:rPr>
                <w:rFonts w:eastAsia="Times New Roman" w:cs="Calibri"/>
                <w:b/>
                <w:bCs/>
                <w:color w:val="000000"/>
                <w:kern w:val="0"/>
                <w:lang w:val="en-IE" w:eastAsia="en-GB"/>
                <w14:ligatures w14:val="none"/>
              </w:rPr>
              <w:t>Attributable cases</w:t>
            </w:r>
          </w:p>
        </w:tc>
      </w:tr>
      <w:tr w:rsidR="00392601" w:rsidRPr="00C32002" w14:paraId="1DF151F1" w14:textId="77777777" w:rsidTr="0041177B">
        <w:trPr>
          <w:trHeight w:val="57"/>
        </w:trPr>
        <w:tc>
          <w:tcPr>
            <w:tcW w:w="2748" w:type="pct"/>
            <w:tcBorders>
              <w:top w:val="nil"/>
              <w:left w:val="single" w:sz="6" w:space="0" w:color="auto"/>
              <w:bottom w:val="single" w:sz="6" w:space="0" w:color="auto"/>
              <w:right w:val="single" w:sz="4" w:space="0" w:color="auto"/>
            </w:tcBorders>
            <w:shd w:val="clear" w:color="auto" w:fill="auto"/>
            <w:vAlign w:val="bottom"/>
            <w:hideMark/>
          </w:tcPr>
          <w:p w14:paraId="30DF1809" w14:textId="77777777" w:rsidR="00392601" w:rsidRPr="00C32002" w:rsidRDefault="00392601" w:rsidP="00D232AE">
            <w:pPr>
              <w:spacing w:after="0" w:line="240" w:lineRule="auto"/>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C00-06 oral cavity</w:t>
            </w:r>
            <w:r w:rsidRPr="00C32002">
              <w:rPr>
                <w:rFonts w:eastAsia="Times New Roman" w:cs="Calibri"/>
                <w:color w:val="000000"/>
                <w:kern w:val="0"/>
                <w:lang w:eastAsia="en-GB"/>
                <w14:ligatures w14:val="none"/>
              </w:rPr>
              <w:t> </w:t>
            </w:r>
          </w:p>
        </w:tc>
        <w:tc>
          <w:tcPr>
            <w:tcW w:w="1042" w:type="pct"/>
            <w:tcBorders>
              <w:top w:val="single" w:sz="4" w:space="0" w:color="auto"/>
              <w:left w:val="single" w:sz="4" w:space="0" w:color="auto"/>
              <w:bottom w:val="single" w:sz="4" w:space="0" w:color="auto"/>
              <w:right w:val="single" w:sz="4" w:space="0" w:color="auto"/>
            </w:tcBorders>
            <w:vAlign w:val="center"/>
          </w:tcPr>
          <w:p w14:paraId="79A9D261" w14:textId="77777777" w:rsidR="00392601" w:rsidRPr="00C32002" w:rsidRDefault="00392601" w:rsidP="00D232AE">
            <w:pPr>
              <w:spacing w:after="0" w:line="240" w:lineRule="auto"/>
              <w:jc w:val="center"/>
              <w:textAlignment w:val="baseline"/>
              <w:rPr>
                <w:rFonts w:eastAsia="Times New Roman" w:cs="Calibri"/>
                <w:color w:val="000000"/>
                <w:kern w:val="0"/>
                <w:lang w:val="en-IE" w:eastAsia="en-GB"/>
                <w14:ligatures w14:val="none"/>
              </w:rPr>
            </w:pPr>
            <w:r w:rsidRPr="00C32002">
              <w:t>18.2</w:t>
            </w:r>
          </w:p>
        </w:tc>
        <w:tc>
          <w:tcPr>
            <w:tcW w:w="1210" w:type="pct"/>
            <w:tcBorders>
              <w:top w:val="single" w:sz="4" w:space="0" w:color="auto"/>
              <w:left w:val="single" w:sz="4" w:space="0" w:color="auto"/>
              <w:bottom w:val="single" w:sz="6" w:space="0" w:color="auto"/>
              <w:right w:val="single" w:sz="6" w:space="0" w:color="auto"/>
            </w:tcBorders>
            <w:shd w:val="clear" w:color="auto" w:fill="auto"/>
            <w:vAlign w:val="center"/>
            <w:hideMark/>
          </w:tcPr>
          <w:p w14:paraId="02F8CD86" w14:textId="77777777" w:rsidR="00392601" w:rsidRPr="00C32002" w:rsidRDefault="00392601" w:rsidP="00D232AE">
            <w:pPr>
              <w:spacing w:after="0" w:line="240" w:lineRule="auto"/>
              <w:jc w:val="center"/>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60</w:t>
            </w:r>
          </w:p>
        </w:tc>
      </w:tr>
      <w:tr w:rsidR="00392601" w:rsidRPr="00C32002" w14:paraId="27AF0772" w14:textId="77777777" w:rsidTr="0041177B">
        <w:trPr>
          <w:trHeight w:val="57"/>
        </w:trPr>
        <w:tc>
          <w:tcPr>
            <w:tcW w:w="2748" w:type="pct"/>
            <w:tcBorders>
              <w:top w:val="nil"/>
              <w:left w:val="single" w:sz="6" w:space="0" w:color="auto"/>
              <w:bottom w:val="single" w:sz="6" w:space="0" w:color="auto"/>
              <w:right w:val="single" w:sz="4" w:space="0" w:color="auto"/>
            </w:tcBorders>
            <w:shd w:val="clear" w:color="auto" w:fill="auto"/>
            <w:vAlign w:val="bottom"/>
            <w:hideMark/>
          </w:tcPr>
          <w:p w14:paraId="4DE1503C" w14:textId="77777777" w:rsidR="00392601" w:rsidRPr="00C32002" w:rsidRDefault="00392601" w:rsidP="00D232AE">
            <w:pPr>
              <w:spacing w:after="0" w:line="240" w:lineRule="auto"/>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C09-10, C12-14 pharynx</w:t>
            </w:r>
            <w:r w:rsidRPr="00C32002">
              <w:rPr>
                <w:rFonts w:eastAsia="Times New Roman" w:cs="Calibri"/>
                <w:color w:val="000000"/>
                <w:kern w:val="0"/>
                <w:lang w:eastAsia="en-GB"/>
                <w14:ligatures w14:val="none"/>
              </w:rPr>
              <w:t> </w:t>
            </w:r>
          </w:p>
        </w:tc>
        <w:tc>
          <w:tcPr>
            <w:tcW w:w="1042" w:type="pct"/>
            <w:tcBorders>
              <w:top w:val="single" w:sz="4" w:space="0" w:color="auto"/>
              <w:left w:val="single" w:sz="4" w:space="0" w:color="auto"/>
              <w:bottom w:val="single" w:sz="4" w:space="0" w:color="auto"/>
              <w:right w:val="single" w:sz="4" w:space="0" w:color="auto"/>
            </w:tcBorders>
            <w:vAlign w:val="center"/>
          </w:tcPr>
          <w:p w14:paraId="57CFFBCA" w14:textId="77777777" w:rsidR="00392601" w:rsidRPr="00C32002" w:rsidRDefault="00392601" w:rsidP="00D232AE">
            <w:pPr>
              <w:spacing w:after="0" w:line="240" w:lineRule="auto"/>
              <w:jc w:val="center"/>
              <w:textAlignment w:val="baseline"/>
              <w:rPr>
                <w:rFonts w:eastAsia="Times New Roman" w:cs="Calibri"/>
                <w:color w:val="000000"/>
                <w:kern w:val="0"/>
                <w:lang w:val="en-IE" w:eastAsia="en-GB"/>
                <w14:ligatures w14:val="none"/>
              </w:rPr>
            </w:pPr>
            <w:r w:rsidRPr="00C32002">
              <w:t>37.6</w:t>
            </w:r>
          </w:p>
        </w:tc>
        <w:tc>
          <w:tcPr>
            <w:tcW w:w="1210" w:type="pct"/>
            <w:tcBorders>
              <w:top w:val="nil"/>
              <w:left w:val="single" w:sz="4" w:space="0" w:color="auto"/>
              <w:bottom w:val="single" w:sz="6" w:space="0" w:color="auto"/>
              <w:right w:val="single" w:sz="6" w:space="0" w:color="auto"/>
            </w:tcBorders>
            <w:shd w:val="clear" w:color="auto" w:fill="auto"/>
            <w:vAlign w:val="center"/>
            <w:hideMark/>
          </w:tcPr>
          <w:p w14:paraId="60FB6719" w14:textId="77777777" w:rsidR="00392601" w:rsidRPr="00C32002" w:rsidRDefault="00392601" w:rsidP="00D232AE">
            <w:pPr>
              <w:spacing w:after="0" w:line="240" w:lineRule="auto"/>
              <w:jc w:val="center"/>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80</w:t>
            </w:r>
          </w:p>
        </w:tc>
      </w:tr>
      <w:tr w:rsidR="00392601" w:rsidRPr="00C32002" w14:paraId="3BD20C54" w14:textId="77777777" w:rsidTr="0041177B">
        <w:trPr>
          <w:trHeight w:val="57"/>
        </w:trPr>
        <w:tc>
          <w:tcPr>
            <w:tcW w:w="2748" w:type="pct"/>
            <w:tcBorders>
              <w:top w:val="nil"/>
              <w:left w:val="single" w:sz="6" w:space="0" w:color="auto"/>
              <w:bottom w:val="single" w:sz="6" w:space="0" w:color="auto"/>
              <w:right w:val="single" w:sz="4" w:space="0" w:color="auto"/>
            </w:tcBorders>
            <w:shd w:val="clear" w:color="auto" w:fill="auto"/>
            <w:vAlign w:val="bottom"/>
            <w:hideMark/>
          </w:tcPr>
          <w:p w14:paraId="00BD6055" w14:textId="77777777" w:rsidR="00392601" w:rsidRPr="00C32002" w:rsidRDefault="00392601" w:rsidP="00D232AE">
            <w:pPr>
              <w:spacing w:after="0" w:line="240" w:lineRule="auto"/>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C11 nasopharynx</w:t>
            </w:r>
            <w:r w:rsidRPr="00C32002">
              <w:rPr>
                <w:rFonts w:eastAsia="Times New Roman" w:cs="Calibri"/>
                <w:color w:val="000000"/>
                <w:kern w:val="0"/>
                <w:lang w:eastAsia="en-GB"/>
                <w14:ligatures w14:val="none"/>
              </w:rPr>
              <w:t> </w:t>
            </w:r>
          </w:p>
        </w:tc>
        <w:tc>
          <w:tcPr>
            <w:tcW w:w="1042" w:type="pct"/>
            <w:tcBorders>
              <w:top w:val="single" w:sz="4" w:space="0" w:color="auto"/>
              <w:left w:val="single" w:sz="4" w:space="0" w:color="auto"/>
              <w:bottom w:val="single" w:sz="4" w:space="0" w:color="auto"/>
              <w:right w:val="single" w:sz="4" w:space="0" w:color="auto"/>
            </w:tcBorders>
            <w:vAlign w:val="center"/>
          </w:tcPr>
          <w:p w14:paraId="7C254E07" w14:textId="77777777" w:rsidR="00392601" w:rsidRPr="00C32002" w:rsidRDefault="00392601" w:rsidP="00D232AE">
            <w:pPr>
              <w:spacing w:after="0" w:line="240" w:lineRule="auto"/>
              <w:jc w:val="center"/>
              <w:textAlignment w:val="baseline"/>
              <w:rPr>
                <w:rFonts w:eastAsia="Times New Roman" w:cs="Calibri"/>
                <w:color w:val="000000"/>
                <w:kern w:val="0"/>
                <w:lang w:val="en-IE" w:eastAsia="en-GB"/>
                <w14:ligatures w14:val="none"/>
              </w:rPr>
            </w:pPr>
            <w:r w:rsidRPr="00C32002">
              <w:t>25.4</w:t>
            </w:r>
          </w:p>
        </w:tc>
        <w:tc>
          <w:tcPr>
            <w:tcW w:w="1210" w:type="pct"/>
            <w:tcBorders>
              <w:top w:val="nil"/>
              <w:left w:val="single" w:sz="4" w:space="0" w:color="auto"/>
              <w:bottom w:val="single" w:sz="6" w:space="0" w:color="auto"/>
              <w:right w:val="single" w:sz="6" w:space="0" w:color="auto"/>
            </w:tcBorders>
            <w:shd w:val="clear" w:color="auto" w:fill="auto"/>
            <w:vAlign w:val="center"/>
            <w:hideMark/>
          </w:tcPr>
          <w:p w14:paraId="3E2F68BE" w14:textId="77777777" w:rsidR="00392601" w:rsidRPr="00C32002" w:rsidRDefault="00392601" w:rsidP="00D232AE">
            <w:pPr>
              <w:spacing w:after="0" w:line="240" w:lineRule="auto"/>
              <w:jc w:val="center"/>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4</w:t>
            </w:r>
          </w:p>
        </w:tc>
      </w:tr>
      <w:tr w:rsidR="00392601" w:rsidRPr="00C32002" w14:paraId="7BE7F289" w14:textId="77777777" w:rsidTr="0041177B">
        <w:trPr>
          <w:trHeight w:val="57"/>
        </w:trPr>
        <w:tc>
          <w:tcPr>
            <w:tcW w:w="2748" w:type="pct"/>
            <w:tcBorders>
              <w:top w:val="nil"/>
              <w:left w:val="single" w:sz="6" w:space="0" w:color="auto"/>
              <w:bottom w:val="single" w:sz="6" w:space="0" w:color="auto"/>
              <w:right w:val="single" w:sz="4" w:space="0" w:color="auto"/>
            </w:tcBorders>
            <w:shd w:val="clear" w:color="auto" w:fill="auto"/>
            <w:vAlign w:val="bottom"/>
            <w:hideMark/>
          </w:tcPr>
          <w:p w14:paraId="042FBB0D" w14:textId="77777777" w:rsidR="00392601" w:rsidRPr="00C32002" w:rsidRDefault="00392601" w:rsidP="00D232AE">
            <w:pPr>
              <w:spacing w:after="0" w:line="240" w:lineRule="auto"/>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C15 oesophagus adenocarcinoma</w:t>
            </w:r>
            <w:r w:rsidRPr="00C32002">
              <w:rPr>
                <w:rFonts w:eastAsia="Times New Roman" w:cs="Calibri"/>
                <w:color w:val="000000"/>
                <w:kern w:val="0"/>
                <w:lang w:eastAsia="en-GB"/>
                <w14:ligatures w14:val="none"/>
              </w:rPr>
              <w:t> </w:t>
            </w:r>
          </w:p>
        </w:tc>
        <w:tc>
          <w:tcPr>
            <w:tcW w:w="1042" w:type="pct"/>
            <w:tcBorders>
              <w:top w:val="single" w:sz="4" w:space="0" w:color="auto"/>
              <w:left w:val="single" w:sz="4" w:space="0" w:color="auto"/>
              <w:bottom w:val="single" w:sz="4" w:space="0" w:color="auto"/>
              <w:right w:val="single" w:sz="4" w:space="0" w:color="auto"/>
            </w:tcBorders>
            <w:vAlign w:val="center"/>
          </w:tcPr>
          <w:p w14:paraId="36278E9B" w14:textId="77777777" w:rsidR="00392601" w:rsidRPr="00C32002" w:rsidRDefault="00392601" w:rsidP="00D232AE">
            <w:pPr>
              <w:spacing w:after="0" w:line="240" w:lineRule="auto"/>
              <w:jc w:val="center"/>
              <w:textAlignment w:val="baseline"/>
              <w:rPr>
                <w:rFonts w:eastAsia="Times New Roman" w:cs="Calibri"/>
                <w:color w:val="000000"/>
                <w:kern w:val="0"/>
                <w:lang w:val="en-IE" w:eastAsia="en-GB"/>
                <w14:ligatures w14:val="none"/>
              </w:rPr>
            </w:pPr>
            <w:r w:rsidRPr="00C32002">
              <w:t>38.6</w:t>
            </w:r>
          </w:p>
        </w:tc>
        <w:tc>
          <w:tcPr>
            <w:tcW w:w="1210" w:type="pct"/>
            <w:tcBorders>
              <w:top w:val="nil"/>
              <w:left w:val="single" w:sz="4" w:space="0" w:color="auto"/>
              <w:bottom w:val="single" w:sz="6" w:space="0" w:color="auto"/>
              <w:right w:val="single" w:sz="6" w:space="0" w:color="auto"/>
            </w:tcBorders>
            <w:shd w:val="clear" w:color="auto" w:fill="auto"/>
            <w:vAlign w:val="center"/>
            <w:hideMark/>
          </w:tcPr>
          <w:p w14:paraId="2696A295" w14:textId="77777777" w:rsidR="00392601" w:rsidRPr="00C32002" w:rsidRDefault="00392601" w:rsidP="00D232AE">
            <w:pPr>
              <w:spacing w:after="0" w:line="240" w:lineRule="auto"/>
              <w:jc w:val="center"/>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123</w:t>
            </w:r>
          </w:p>
        </w:tc>
      </w:tr>
      <w:tr w:rsidR="00392601" w:rsidRPr="00C32002" w14:paraId="7746FCA1" w14:textId="77777777" w:rsidTr="0041177B">
        <w:trPr>
          <w:trHeight w:val="57"/>
        </w:trPr>
        <w:tc>
          <w:tcPr>
            <w:tcW w:w="2748" w:type="pct"/>
            <w:tcBorders>
              <w:top w:val="nil"/>
              <w:left w:val="single" w:sz="6" w:space="0" w:color="auto"/>
              <w:bottom w:val="single" w:sz="6" w:space="0" w:color="auto"/>
              <w:right w:val="single" w:sz="4" w:space="0" w:color="auto"/>
            </w:tcBorders>
            <w:shd w:val="clear" w:color="auto" w:fill="auto"/>
            <w:vAlign w:val="bottom"/>
            <w:hideMark/>
          </w:tcPr>
          <w:p w14:paraId="0C506BC2" w14:textId="77777777" w:rsidR="00392601" w:rsidRPr="00C32002" w:rsidRDefault="00392601" w:rsidP="00D232AE">
            <w:pPr>
              <w:spacing w:after="0" w:line="240" w:lineRule="auto"/>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C15 squamous cell carcinoma</w:t>
            </w:r>
            <w:r w:rsidRPr="00C32002">
              <w:rPr>
                <w:rFonts w:eastAsia="Times New Roman" w:cs="Calibri"/>
                <w:color w:val="000000"/>
                <w:kern w:val="0"/>
                <w:lang w:eastAsia="en-GB"/>
                <w14:ligatures w14:val="none"/>
              </w:rPr>
              <w:t> </w:t>
            </w:r>
          </w:p>
        </w:tc>
        <w:tc>
          <w:tcPr>
            <w:tcW w:w="1042" w:type="pct"/>
            <w:tcBorders>
              <w:top w:val="single" w:sz="4" w:space="0" w:color="auto"/>
              <w:left w:val="single" w:sz="4" w:space="0" w:color="auto"/>
              <w:bottom w:val="single" w:sz="4" w:space="0" w:color="auto"/>
              <w:right w:val="single" w:sz="4" w:space="0" w:color="auto"/>
            </w:tcBorders>
            <w:vAlign w:val="center"/>
          </w:tcPr>
          <w:p w14:paraId="044299DE" w14:textId="77777777" w:rsidR="00392601" w:rsidRPr="00C32002" w:rsidRDefault="00392601" w:rsidP="00D232AE">
            <w:pPr>
              <w:spacing w:after="0" w:line="240" w:lineRule="auto"/>
              <w:jc w:val="center"/>
              <w:textAlignment w:val="baseline"/>
              <w:rPr>
                <w:rFonts w:eastAsia="Times New Roman" w:cs="Calibri"/>
                <w:color w:val="000000"/>
                <w:kern w:val="0"/>
                <w:lang w:val="en-IE" w:eastAsia="en-GB"/>
                <w14:ligatures w14:val="none"/>
              </w:rPr>
            </w:pPr>
            <w:r w:rsidRPr="00C32002">
              <w:t>38</w:t>
            </w:r>
          </w:p>
        </w:tc>
        <w:tc>
          <w:tcPr>
            <w:tcW w:w="1210" w:type="pct"/>
            <w:tcBorders>
              <w:top w:val="nil"/>
              <w:left w:val="single" w:sz="4" w:space="0" w:color="auto"/>
              <w:bottom w:val="single" w:sz="6" w:space="0" w:color="auto"/>
              <w:right w:val="single" w:sz="6" w:space="0" w:color="auto"/>
            </w:tcBorders>
            <w:shd w:val="clear" w:color="auto" w:fill="auto"/>
            <w:vAlign w:val="center"/>
            <w:hideMark/>
          </w:tcPr>
          <w:p w14:paraId="0A158975" w14:textId="77777777" w:rsidR="00392601" w:rsidRPr="00C32002" w:rsidRDefault="00392601" w:rsidP="00D232AE">
            <w:pPr>
              <w:spacing w:after="0" w:line="240" w:lineRule="auto"/>
              <w:jc w:val="center"/>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75</w:t>
            </w:r>
          </w:p>
        </w:tc>
      </w:tr>
      <w:tr w:rsidR="00392601" w:rsidRPr="00C32002" w14:paraId="37232D16" w14:textId="77777777" w:rsidTr="0041177B">
        <w:trPr>
          <w:trHeight w:val="57"/>
        </w:trPr>
        <w:tc>
          <w:tcPr>
            <w:tcW w:w="2748" w:type="pct"/>
            <w:tcBorders>
              <w:top w:val="nil"/>
              <w:left w:val="single" w:sz="6" w:space="0" w:color="auto"/>
              <w:bottom w:val="single" w:sz="6" w:space="0" w:color="auto"/>
              <w:right w:val="single" w:sz="4" w:space="0" w:color="auto"/>
            </w:tcBorders>
            <w:shd w:val="clear" w:color="auto" w:fill="auto"/>
            <w:vAlign w:val="bottom"/>
            <w:hideMark/>
          </w:tcPr>
          <w:p w14:paraId="7956B65A" w14:textId="77777777" w:rsidR="00392601" w:rsidRPr="00C32002" w:rsidRDefault="00392601" w:rsidP="00D232AE">
            <w:pPr>
              <w:spacing w:after="0" w:line="240" w:lineRule="auto"/>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C16 stomach</w:t>
            </w:r>
            <w:r w:rsidRPr="00C32002">
              <w:rPr>
                <w:rFonts w:eastAsia="Times New Roman" w:cs="Calibri"/>
                <w:color w:val="000000"/>
                <w:kern w:val="0"/>
                <w:lang w:eastAsia="en-GB"/>
                <w14:ligatures w14:val="none"/>
              </w:rPr>
              <w:t> </w:t>
            </w:r>
          </w:p>
        </w:tc>
        <w:tc>
          <w:tcPr>
            <w:tcW w:w="1042" w:type="pct"/>
            <w:tcBorders>
              <w:top w:val="single" w:sz="4" w:space="0" w:color="auto"/>
              <w:left w:val="single" w:sz="4" w:space="0" w:color="auto"/>
              <w:bottom w:val="single" w:sz="4" w:space="0" w:color="auto"/>
              <w:right w:val="single" w:sz="4" w:space="0" w:color="auto"/>
            </w:tcBorders>
            <w:vAlign w:val="center"/>
          </w:tcPr>
          <w:p w14:paraId="0E9EA34B" w14:textId="77777777" w:rsidR="00392601" w:rsidRPr="00C32002" w:rsidRDefault="00392601" w:rsidP="00D232AE">
            <w:pPr>
              <w:spacing w:after="0" w:line="240" w:lineRule="auto"/>
              <w:jc w:val="center"/>
              <w:textAlignment w:val="baseline"/>
              <w:rPr>
                <w:rFonts w:eastAsia="Times New Roman" w:cs="Calibri"/>
                <w:color w:val="000000"/>
                <w:kern w:val="0"/>
                <w:lang w:val="en-IE" w:eastAsia="en-GB"/>
                <w14:ligatures w14:val="none"/>
              </w:rPr>
            </w:pPr>
            <w:r w:rsidRPr="00C32002">
              <w:t>14.8</w:t>
            </w:r>
          </w:p>
        </w:tc>
        <w:tc>
          <w:tcPr>
            <w:tcW w:w="1210" w:type="pct"/>
            <w:tcBorders>
              <w:top w:val="nil"/>
              <w:left w:val="single" w:sz="4" w:space="0" w:color="auto"/>
              <w:bottom w:val="single" w:sz="6" w:space="0" w:color="auto"/>
              <w:right w:val="single" w:sz="6" w:space="0" w:color="auto"/>
            </w:tcBorders>
            <w:shd w:val="clear" w:color="auto" w:fill="auto"/>
            <w:vAlign w:val="center"/>
            <w:hideMark/>
          </w:tcPr>
          <w:p w14:paraId="76EB2CD0" w14:textId="77777777" w:rsidR="00392601" w:rsidRPr="00C32002" w:rsidRDefault="00392601" w:rsidP="00D232AE">
            <w:pPr>
              <w:spacing w:after="0" w:line="240" w:lineRule="auto"/>
              <w:jc w:val="center"/>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91</w:t>
            </w:r>
          </w:p>
        </w:tc>
      </w:tr>
      <w:tr w:rsidR="00392601" w:rsidRPr="00C32002" w14:paraId="60BBFD51" w14:textId="77777777" w:rsidTr="0041177B">
        <w:trPr>
          <w:trHeight w:val="57"/>
        </w:trPr>
        <w:tc>
          <w:tcPr>
            <w:tcW w:w="2748" w:type="pct"/>
            <w:tcBorders>
              <w:top w:val="nil"/>
              <w:left w:val="single" w:sz="6" w:space="0" w:color="auto"/>
              <w:bottom w:val="single" w:sz="6" w:space="0" w:color="auto"/>
              <w:right w:val="single" w:sz="4" w:space="0" w:color="auto"/>
            </w:tcBorders>
            <w:shd w:val="clear" w:color="auto" w:fill="auto"/>
            <w:vAlign w:val="bottom"/>
            <w:hideMark/>
          </w:tcPr>
          <w:p w14:paraId="5B8572D7" w14:textId="77777777" w:rsidR="00392601" w:rsidRPr="00C32002" w:rsidRDefault="00392601" w:rsidP="00D232AE">
            <w:pPr>
              <w:spacing w:after="0" w:line="240" w:lineRule="auto"/>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C18-19 colon &amp; rectosigmoid junction</w:t>
            </w:r>
            <w:r w:rsidRPr="00C32002">
              <w:rPr>
                <w:rFonts w:eastAsia="Times New Roman" w:cs="Calibri"/>
                <w:color w:val="000000"/>
                <w:kern w:val="0"/>
                <w:lang w:eastAsia="en-GB"/>
                <w14:ligatures w14:val="none"/>
              </w:rPr>
              <w:t> </w:t>
            </w:r>
          </w:p>
        </w:tc>
        <w:tc>
          <w:tcPr>
            <w:tcW w:w="1042" w:type="pct"/>
            <w:tcBorders>
              <w:top w:val="single" w:sz="4" w:space="0" w:color="auto"/>
              <w:left w:val="single" w:sz="4" w:space="0" w:color="auto"/>
              <w:bottom w:val="single" w:sz="4" w:space="0" w:color="auto"/>
              <w:right w:val="single" w:sz="4" w:space="0" w:color="auto"/>
            </w:tcBorders>
            <w:vAlign w:val="center"/>
          </w:tcPr>
          <w:p w14:paraId="299397BF" w14:textId="77777777" w:rsidR="00392601" w:rsidRPr="00C32002" w:rsidRDefault="00392601" w:rsidP="00D232AE">
            <w:pPr>
              <w:spacing w:after="0" w:line="240" w:lineRule="auto"/>
              <w:jc w:val="center"/>
              <w:textAlignment w:val="baseline"/>
              <w:rPr>
                <w:rFonts w:eastAsia="Times New Roman" w:cs="Calibri"/>
                <w:color w:val="000000"/>
                <w:kern w:val="0"/>
                <w:lang w:val="en-IE" w:eastAsia="en-GB"/>
                <w14:ligatures w14:val="none"/>
              </w:rPr>
            </w:pPr>
            <w:r w:rsidRPr="00C32002">
              <w:t>5.4</w:t>
            </w:r>
          </w:p>
        </w:tc>
        <w:tc>
          <w:tcPr>
            <w:tcW w:w="1210" w:type="pct"/>
            <w:tcBorders>
              <w:top w:val="nil"/>
              <w:left w:val="single" w:sz="4" w:space="0" w:color="auto"/>
              <w:bottom w:val="single" w:sz="6" w:space="0" w:color="auto"/>
              <w:right w:val="single" w:sz="6" w:space="0" w:color="auto"/>
            </w:tcBorders>
            <w:shd w:val="clear" w:color="auto" w:fill="auto"/>
            <w:vAlign w:val="center"/>
            <w:hideMark/>
          </w:tcPr>
          <w:p w14:paraId="1E31349C" w14:textId="77777777" w:rsidR="00392601" w:rsidRPr="00C32002" w:rsidRDefault="00392601" w:rsidP="00D232AE">
            <w:pPr>
              <w:spacing w:after="0" w:line="240" w:lineRule="auto"/>
              <w:jc w:val="center"/>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107</w:t>
            </w:r>
          </w:p>
        </w:tc>
      </w:tr>
      <w:tr w:rsidR="00392601" w:rsidRPr="00C32002" w14:paraId="2BBB3C2F" w14:textId="77777777" w:rsidTr="0041177B">
        <w:trPr>
          <w:trHeight w:val="57"/>
        </w:trPr>
        <w:tc>
          <w:tcPr>
            <w:tcW w:w="2748" w:type="pct"/>
            <w:tcBorders>
              <w:top w:val="nil"/>
              <w:left w:val="single" w:sz="6" w:space="0" w:color="auto"/>
              <w:bottom w:val="single" w:sz="6" w:space="0" w:color="auto"/>
              <w:right w:val="single" w:sz="4" w:space="0" w:color="auto"/>
            </w:tcBorders>
            <w:shd w:val="clear" w:color="auto" w:fill="auto"/>
            <w:vAlign w:val="bottom"/>
            <w:hideMark/>
          </w:tcPr>
          <w:p w14:paraId="26F1F28E" w14:textId="77777777" w:rsidR="00392601" w:rsidRPr="00C32002" w:rsidRDefault="00392601" w:rsidP="00D232AE">
            <w:pPr>
              <w:spacing w:after="0" w:line="240" w:lineRule="auto"/>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C20 rectum</w:t>
            </w:r>
            <w:r w:rsidRPr="00C32002">
              <w:rPr>
                <w:rFonts w:eastAsia="Times New Roman" w:cs="Calibri"/>
                <w:color w:val="000000"/>
                <w:kern w:val="0"/>
                <w:lang w:eastAsia="en-GB"/>
                <w14:ligatures w14:val="none"/>
              </w:rPr>
              <w:t> </w:t>
            </w:r>
          </w:p>
        </w:tc>
        <w:tc>
          <w:tcPr>
            <w:tcW w:w="1042" w:type="pct"/>
            <w:tcBorders>
              <w:top w:val="single" w:sz="4" w:space="0" w:color="auto"/>
              <w:left w:val="single" w:sz="4" w:space="0" w:color="auto"/>
              <w:bottom w:val="single" w:sz="4" w:space="0" w:color="auto"/>
              <w:right w:val="single" w:sz="4" w:space="0" w:color="auto"/>
            </w:tcBorders>
            <w:vAlign w:val="center"/>
          </w:tcPr>
          <w:p w14:paraId="2AF2FB2B" w14:textId="77777777" w:rsidR="00392601" w:rsidRPr="00C32002" w:rsidRDefault="00392601" w:rsidP="00D232AE">
            <w:pPr>
              <w:spacing w:after="0" w:line="240" w:lineRule="auto"/>
              <w:jc w:val="center"/>
              <w:textAlignment w:val="baseline"/>
              <w:rPr>
                <w:rFonts w:eastAsia="Times New Roman" w:cs="Calibri"/>
                <w:color w:val="000000"/>
                <w:kern w:val="0"/>
                <w:lang w:val="en-IE" w:eastAsia="en-GB"/>
                <w14:ligatures w14:val="none"/>
              </w:rPr>
            </w:pPr>
            <w:r w:rsidRPr="00C32002">
              <w:t>8.3</w:t>
            </w:r>
          </w:p>
        </w:tc>
        <w:tc>
          <w:tcPr>
            <w:tcW w:w="1210" w:type="pct"/>
            <w:tcBorders>
              <w:top w:val="nil"/>
              <w:left w:val="single" w:sz="4" w:space="0" w:color="auto"/>
              <w:bottom w:val="single" w:sz="6" w:space="0" w:color="auto"/>
              <w:right w:val="single" w:sz="6" w:space="0" w:color="auto"/>
            </w:tcBorders>
            <w:shd w:val="clear" w:color="auto" w:fill="auto"/>
            <w:vAlign w:val="center"/>
            <w:hideMark/>
          </w:tcPr>
          <w:p w14:paraId="469A6255" w14:textId="77777777" w:rsidR="00392601" w:rsidRPr="00C32002" w:rsidRDefault="00392601" w:rsidP="00D232AE">
            <w:pPr>
              <w:spacing w:after="0" w:line="240" w:lineRule="auto"/>
              <w:jc w:val="center"/>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68</w:t>
            </w:r>
          </w:p>
        </w:tc>
      </w:tr>
      <w:tr w:rsidR="00392601" w:rsidRPr="00C32002" w14:paraId="4DE1D45F" w14:textId="77777777" w:rsidTr="0041177B">
        <w:trPr>
          <w:trHeight w:val="57"/>
        </w:trPr>
        <w:tc>
          <w:tcPr>
            <w:tcW w:w="2748" w:type="pct"/>
            <w:tcBorders>
              <w:top w:val="nil"/>
              <w:left w:val="single" w:sz="6" w:space="0" w:color="auto"/>
              <w:bottom w:val="single" w:sz="6" w:space="0" w:color="auto"/>
              <w:right w:val="single" w:sz="4" w:space="0" w:color="auto"/>
            </w:tcBorders>
            <w:shd w:val="clear" w:color="auto" w:fill="auto"/>
            <w:vAlign w:val="bottom"/>
            <w:hideMark/>
          </w:tcPr>
          <w:p w14:paraId="4900A0BA" w14:textId="77777777" w:rsidR="00392601" w:rsidRPr="00C32002" w:rsidRDefault="00392601" w:rsidP="00D232AE">
            <w:pPr>
              <w:spacing w:after="0" w:line="240" w:lineRule="auto"/>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C22 liver</w:t>
            </w:r>
            <w:r w:rsidRPr="00C32002">
              <w:rPr>
                <w:rFonts w:eastAsia="Times New Roman" w:cs="Calibri"/>
                <w:color w:val="000000"/>
                <w:kern w:val="0"/>
                <w:lang w:eastAsia="en-GB"/>
                <w14:ligatures w14:val="none"/>
              </w:rPr>
              <w:t> </w:t>
            </w:r>
          </w:p>
        </w:tc>
        <w:tc>
          <w:tcPr>
            <w:tcW w:w="1042" w:type="pct"/>
            <w:tcBorders>
              <w:top w:val="single" w:sz="4" w:space="0" w:color="auto"/>
              <w:left w:val="single" w:sz="4" w:space="0" w:color="auto"/>
              <w:bottom w:val="single" w:sz="4" w:space="0" w:color="auto"/>
              <w:right w:val="single" w:sz="4" w:space="0" w:color="auto"/>
            </w:tcBorders>
            <w:vAlign w:val="center"/>
          </w:tcPr>
          <w:p w14:paraId="3822EE9D" w14:textId="77777777" w:rsidR="00392601" w:rsidRPr="00C32002" w:rsidRDefault="00392601" w:rsidP="00D232AE">
            <w:pPr>
              <w:spacing w:after="0" w:line="240" w:lineRule="auto"/>
              <w:jc w:val="center"/>
              <w:textAlignment w:val="baseline"/>
              <w:rPr>
                <w:rFonts w:eastAsia="Times New Roman" w:cs="Calibri"/>
                <w:color w:val="000000"/>
                <w:kern w:val="0"/>
                <w:lang w:val="en-IE" w:eastAsia="en-GB"/>
                <w14:ligatures w14:val="none"/>
              </w:rPr>
            </w:pPr>
            <w:r w:rsidRPr="00C32002">
              <w:t>18</w:t>
            </w:r>
          </w:p>
        </w:tc>
        <w:tc>
          <w:tcPr>
            <w:tcW w:w="1210" w:type="pct"/>
            <w:tcBorders>
              <w:top w:val="nil"/>
              <w:left w:val="single" w:sz="4" w:space="0" w:color="auto"/>
              <w:bottom w:val="single" w:sz="6" w:space="0" w:color="auto"/>
              <w:right w:val="single" w:sz="6" w:space="0" w:color="auto"/>
            </w:tcBorders>
            <w:shd w:val="clear" w:color="auto" w:fill="auto"/>
            <w:vAlign w:val="center"/>
            <w:hideMark/>
          </w:tcPr>
          <w:p w14:paraId="2F28DE38" w14:textId="77777777" w:rsidR="00392601" w:rsidRPr="00C32002" w:rsidRDefault="00392601" w:rsidP="00D232AE">
            <w:pPr>
              <w:spacing w:after="0" w:line="240" w:lineRule="auto"/>
              <w:jc w:val="center"/>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61</w:t>
            </w:r>
          </w:p>
        </w:tc>
      </w:tr>
      <w:tr w:rsidR="00392601" w:rsidRPr="00C32002" w14:paraId="2762BEF4" w14:textId="77777777" w:rsidTr="0041177B">
        <w:trPr>
          <w:trHeight w:val="57"/>
        </w:trPr>
        <w:tc>
          <w:tcPr>
            <w:tcW w:w="2748" w:type="pct"/>
            <w:tcBorders>
              <w:top w:val="nil"/>
              <w:left w:val="single" w:sz="6" w:space="0" w:color="auto"/>
              <w:bottom w:val="single" w:sz="6" w:space="0" w:color="auto"/>
              <w:right w:val="single" w:sz="4" w:space="0" w:color="auto"/>
            </w:tcBorders>
            <w:shd w:val="clear" w:color="auto" w:fill="auto"/>
            <w:vAlign w:val="bottom"/>
            <w:hideMark/>
          </w:tcPr>
          <w:p w14:paraId="6B9D2C08" w14:textId="77777777" w:rsidR="00392601" w:rsidRPr="00C32002" w:rsidRDefault="00392601" w:rsidP="00D232AE">
            <w:pPr>
              <w:spacing w:after="0" w:line="240" w:lineRule="auto"/>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C25 pancreas</w:t>
            </w:r>
            <w:r w:rsidRPr="00C32002">
              <w:rPr>
                <w:rFonts w:eastAsia="Times New Roman" w:cs="Calibri"/>
                <w:color w:val="000000"/>
                <w:kern w:val="0"/>
                <w:lang w:eastAsia="en-GB"/>
                <w14:ligatures w14:val="none"/>
              </w:rPr>
              <w:t> </w:t>
            </w:r>
          </w:p>
        </w:tc>
        <w:tc>
          <w:tcPr>
            <w:tcW w:w="1042" w:type="pct"/>
            <w:tcBorders>
              <w:top w:val="single" w:sz="4" w:space="0" w:color="auto"/>
              <w:left w:val="single" w:sz="4" w:space="0" w:color="auto"/>
              <w:bottom w:val="single" w:sz="4" w:space="0" w:color="auto"/>
              <w:right w:val="single" w:sz="4" w:space="0" w:color="auto"/>
            </w:tcBorders>
            <w:vAlign w:val="center"/>
          </w:tcPr>
          <w:p w14:paraId="07AF21DA" w14:textId="77777777" w:rsidR="00392601" w:rsidRPr="00C32002" w:rsidRDefault="00392601" w:rsidP="00D232AE">
            <w:pPr>
              <w:spacing w:after="0" w:line="240" w:lineRule="auto"/>
              <w:jc w:val="center"/>
              <w:textAlignment w:val="baseline"/>
              <w:rPr>
                <w:rFonts w:eastAsia="Times New Roman" w:cs="Calibri"/>
                <w:color w:val="000000"/>
                <w:kern w:val="0"/>
                <w:lang w:val="en-IE" w:eastAsia="en-GB"/>
                <w14:ligatures w14:val="none"/>
              </w:rPr>
            </w:pPr>
            <w:r w:rsidRPr="00C32002">
              <w:t>24.9</w:t>
            </w:r>
          </w:p>
        </w:tc>
        <w:tc>
          <w:tcPr>
            <w:tcW w:w="1210" w:type="pct"/>
            <w:tcBorders>
              <w:top w:val="nil"/>
              <w:left w:val="single" w:sz="4" w:space="0" w:color="auto"/>
              <w:bottom w:val="single" w:sz="6" w:space="0" w:color="auto"/>
              <w:right w:val="single" w:sz="6" w:space="0" w:color="auto"/>
            </w:tcBorders>
            <w:shd w:val="clear" w:color="auto" w:fill="auto"/>
            <w:vAlign w:val="center"/>
            <w:hideMark/>
          </w:tcPr>
          <w:p w14:paraId="64B24DE2" w14:textId="77777777" w:rsidR="00392601" w:rsidRPr="00C32002" w:rsidRDefault="00392601" w:rsidP="00D232AE">
            <w:pPr>
              <w:spacing w:after="0" w:line="240" w:lineRule="auto"/>
              <w:jc w:val="center"/>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156</w:t>
            </w:r>
          </w:p>
        </w:tc>
      </w:tr>
      <w:tr w:rsidR="00392601" w:rsidRPr="00C32002" w14:paraId="03350C75" w14:textId="77777777" w:rsidTr="0041177B">
        <w:trPr>
          <w:trHeight w:val="57"/>
        </w:trPr>
        <w:tc>
          <w:tcPr>
            <w:tcW w:w="2748" w:type="pct"/>
            <w:tcBorders>
              <w:top w:val="nil"/>
              <w:left w:val="single" w:sz="6" w:space="0" w:color="auto"/>
              <w:bottom w:val="single" w:sz="6" w:space="0" w:color="auto"/>
              <w:right w:val="single" w:sz="4" w:space="0" w:color="auto"/>
            </w:tcBorders>
            <w:shd w:val="clear" w:color="auto" w:fill="auto"/>
            <w:vAlign w:val="bottom"/>
            <w:hideMark/>
          </w:tcPr>
          <w:p w14:paraId="1244670B" w14:textId="77777777" w:rsidR="00392601" w:rsidRPr="00C32002" w:rsidRDefault="00392601" w:rsidP="00D232AE">
            <w:pPr>
              <w:spacing w:after="0" w:line="240" w:lineRule="auto"/>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C30-31 sino-nasal</w:t>
            </w:r>
            <w:r w:rsidRPr="00C32002">
              <w:rPr>
                <w:rFonts w:eastAsia="Times New Roman" w:cs="Calibri"/>
                <w:color w:val="000000"/>
                <w:kern w:val="0"/>
                <w:lang w:eastAsia="en-GB"/>
                <w14:ligatures w14:val="none"/>
              </w:rPr>
              <w:t> </w:t>
            </w:r>
          </w:p>
        </w:tc>
        <w:tc>
          <w:tcPr>
            <w:tcW w:w="1042" w:type="pct"/>
            <w:tcBorders>
              <w:top w:val="single" w:sz="4" w:space="0" w:color="auto"/>
              <w:left w:val="single" w:sz="4" w:space="0" w:color="auto"/>
              <w:bottom w:val="single" w:sz="4" w:space="0" w:color="auto"/>
              <w:right w:val="single" w:sz="4" w:space="0" w:color="auto"/>
            </w:tcBorders>
            <w:vAlign w:val="center"/>
          </w:tcPr>
          <w:p w14:paraId="6531C0A6" w14:textId="77777777" w:rsidR="00392601" w:rsidRPr="00C32002" w:rsidRDefault="00392601" w:rsidP="00D232AE">
            <w:pPr>
              <w:spacing w:after="0" w:line="240" w:lineRule="auto"/>
              <w:jc w:val="center"/>
              <w:textAlignment w:val="baseline"/>
              <w:rPr>
                <w:rFonts w:eastAsia="Times New Roman" w:cs="Calibri"/>
                <w:color w:val="000000"/>
                <w:kern w:val="0"/>
                <w:lang w:val="en-IE" w:eastAsia="en-GB"/>
                <w14:ligatures w14:val="none"/>
              </w:rPr>
            </w:pPr>
            <w:r w:rsidRPr="00C32002">
              <w:t>26</w:t>
            </w:r>
          </w:p>
        </w:tc>
        <w:tc>
          <w:tcPr>
            <w:tcW w:w="1210" w:type="pct"/>
            <w:tcBorders>
              <w:top w:val="nil"/>
              <w:left w:val="single" w:sz="4" w:space="0" w:color="auto"/>
              <w:bottom w:val="single" w:sz="6" w:space="0" w:color="auto"/>
              <w:right w:val="single" w:sz="6" w:space="0" w:color="auto"/>
            </w:tcBorders>
            <w:shd w:val="clear" w:color="auto" w:fill="auto"/>
            <w:vAlign w:val="center"/>
            <w:hideMark/>
          </w:tcPr>
          <w:p w14:paraId="40B88E3A" w14:textId="77777777" w:rsidR="00392601" w:rsidRPr="00C32002" w:rsidRDefault="00392601" w:rsidP="00D232AE">
            <w:pPr>
              <w:spacing w:after="0" w:line="240" w:lineRule="auto"/>
              <w:jc w:val="center"/>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6</w:t>
            </w:r>
          </w:p>
        </w:tc>
      </w:tr>
      <w:tr w:rsidR="00392601" w:rsidRPr="00C32002" w14:paraId="7A7EB87A" w14:textId="77777777" w:rsidTr="0041177B">
        <w:trPr>
          <w:trHeight w:val="57"/>
        </w:trPr>
        <w:tc>
          <w:tcPr>
            <w:tcW w:w="2748" w:type="pct"/>
            <w:tcBorders>
              <w:top w:val="nil"/>
              <w:left w:val="single" w:sz="6" w:space="0" w:color="auto"/>
              <w:bottom w:val="single" w:sz="6" w:space="0" w:color="auto"/>
              <w:right w:val="single" w:sz="4" w:space="0" w:color="auto"/>
            </w:tcBorders>
            <w:shd w:val="clear" w:color="auto" w:fill="auto"/>
            <w:vAlign w:val="bottom"/>
            <w:hideMark/>
          </w:tcPr>
          <w:p w14:paraId="252B9FA0" w14:textId="77777777" w:rsidR="00392601" w:rsidRPr="00C32002" w:rsidRDefault="00392601" w:rsidP="00D232AE">
            <w:pPr>
              <w:spacing w:after="0" w:line="240" w:lineRule="auto"/>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C32 larynx</w:t>
            </w:r>
            <w:r w:rsidRPr="00C32002">
              <w:rPr>
                <w:rFonts w:eastAsia="Times New Roman" w:cs="Calibri"/>
                <w:color w:val="000000"/>
                <w:kern w:val="0"/>
                <w:lang w:eastAsia="en-GB"/>
                <w14:ligatures w14:val="none"/>
              </w:rPr>
              <w:t> </w:t>
            </w:r>
          </w:p>
        </w:tc>
        <w:tc>
          <w:tcPr>
            <w:tcW w:w="1042" w:type="pct"/>
            <w:tcBorders>
              <w:top w:val="single" w:sz="4" w:space="0" w:color="auto"/>
              <w:left w:val="single" w:sz="4" w:space="0" w:color="auto"/>
              <w:bottom w:val="single" w:sz="4" w:space="0" w:color="auto"/>
              <w:right w:val="single" w:sz="4" w:space="0" w:color="auto"/>
            </w:tcBorders>
            <w:vAlign w:val="center"/>
          </w:tcPr>
          <w:p w14:paraId="15977CAB" w14:textId="77777777" w:rsidR="00392601" w:rsidRPr="00C32002" w:rsidRDefault="00392601" w:rsidP="00D232AE">
            <w:pPr>
              <w:spacing w:after="0" w:line="240" w:lineRule="auto"/>
              <w:jc w:val="center"/>
              <w:textAlignment w:val="baseline"/>
              <w:rPr>
                <w:rFonts w:eastAsia="Times New Roman" w:cs="Calibri"/>
                <w:color w:val="000000"/>
                <w:kern w:val="0"/>
                <w:lang w:val="en-IE" w:eastAsia="en-GB"/>
                <w14:ligatures w14:val="none"/>
              </w:rPr>
            </w:pPr>
            <w:r w:rsidRPr="00C32002">
              <w:t>65.9</w:t>
            </w:r>
          </w:p>
        </w:tc>
        <w:tc>
          <w:tcPr>
            <w:tcW w:w="1210" w:type="pct"/>
            <w:tcBorders>
              <w:top w:val="nil"/>
              <w:left w:val="single" w:sz="4" w:space="0" w:color="auto"/>
              <w:bottom w:val="single" w:sz="6" w:space="0" w:color="auto"/>
              <w:right w:val="single" w:sz="6" w:space="0" w:color="auto"/>
            </w:tcBorders>
            <w:shd w:val="clear" w:color="auto" w:fill="auto"/>
            <w:vAlign w:val="center"/>
            <w:hideMark/>
          </w:tcPr>
          <w:p w14:paraId="6F9677CC" w14:textId="77777777" w:rsidR="00392601" w:rsidRPr="00C32002" w:rsidRDefault="00392601" w:rsidP="00D232AE">
            <w:pPr>
              <w:spacing w:after="0" w:line="240" w:lineRule="auto"/>
              <w:jc w:val="center"/>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121</w:t>
            </w:r>
          </w:p>
        </w:tc>
      </w:tr>
      <w:tr w:rsidR="00392601" w:rsidRPr="00C32002" w14:paraId="375DF686" w14:textId="77777777" w:rsidTr="0041177B">
        <w:trPr>
          <w:trHeight w:val="57"/>
        </w:trPr>
        <w:tc>
          <w:tcPr>
            <w:tcW w:w="2748" w:type="pct"/>
            <w:tcBorders>
              <w:top w:val="nil"/>
              <w:left w:val="single" w:sz="6" w:space="0" w:color="auto"/>
              <w:bottom w:val="single" w:sz="6" w:space="0" w:color="auto"/>
              <w:right w:val="single" w:sz="4" w:space="0" w:color="auto"/>
            </w:tcBorders>
            <w:shd w:val="clear" w:color="auto" w:fill="auto"/>
            <w:vAlign w:val="bottom"/>
            <w:hideMark/>
          </w:tcPr>
          <w:p w14:paraId="6A782BC2" w14:textId="77777777" w:rsidR="00392601" w:rsidRPr="00C32002" w:rsidRDefault="00392601" w:rsidP="00D232AE">
            <w:pPr>
              <w:spacing w:after="0" w:line="240" w:lineRule="auto"/>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C33-34 lung</w:t>
            </w:r>
            <w:r w:rsidRPr="00C32002">
              <w:rPr>
                <w:rFonts w:eastAsia="Times New Roman" w:cs="Calibri"/>
                <w:color w:val="000000"/>
                <w:kern w:val="0"/>
                <w:lang w:eastAsia="en-GB"/>
                <w14:ligatures w14:val="none"/>
              </w:rPr>
              <w:t> </w:t>
            </w:r>
          </w:p>
        </w:tc>
        <w:tc>
          <w:tcPr>
            <w:tcW w:w="1042" w:type="pct"/>
            <w:tcBorders>
              <w:top w:val="single" w:sz="4" w:space="0" w:color="auto"/>
              <w:left w:val="single" w:sz="4" w:space="0" w:color="auto"/>
              <w:bottom w:val="single" w:sz="4" w:space="0" w:color="auto"/>
              <w:right w:val="single" w:sz="4" w:space="0" w:color="auto"/>
            </w:tcBorders>
            <w:vAlign w:val="center"/>
          </w:tcPr>
          <w:p w14:paraId="1F33B308" w14:textId="77777777" w:rsidR="00392601" w:rsidRPr="00C32002" w:rsidRDefault="00392601" w:rsidP="00D232AE">
            <w:pPr>
              <w:spacing w:after="0" w:line="240" w:lineRule="auto"/>
              <w:jc w:val="center"/>
              <w:textAlignment w:val="baseline"/>
              <w:rPr>
                <w:rFonts w:eastAsia="Times New Roman" w:cs="Calibri"/>
                <w:color w:val="000000"/>
                <w:kern w:val="0"/>
                <w:lang w:val="en-IE" w:eastAsia="en-GB"/>
                <w14:ligatures w14:val="none"/>
              </w:rPr>
            </w:pPr>
            <w:r w:rsidRPr="00C32002">
              <w:t>73.3</w:t>
            </w:r>
          </w:p>
        </w:tc>
        <w:tc>
          <w:tcPr>
            <w:tcW w:w="1210" w:type="pct"/>
            <w:tcBorders>
              <w:top w:val="nil"/>
              <w:left w:val="single" w:sz="4" w:space="0" w:color="auto"/>
              <w:bottom w:val="single" w:sz="6" w:space="0" w:color="auto"/>
              <w:right w:val="single" w:sz="6" w:space="0" w:color="auto"/>
            </w:tcBorders>
            <w:shd w:val="clear" w:color="auto" w:fill="auto"/>
            <w:vAlign w:val="center"/>
            <w:hideMark/>
          </w:tcPr>
          <w:p w14:paraId="1D67EF8F" w14:textId="55DB2C05" w:rsidR="00392601" w:rsidRPr="00C32002" w:rsidRDefault="00392601" w:rsidP="00D232AE">
            <w:pPr>
              <w:spacing w:after="0" w:line="240" w:lineRule="auto"/>
              <w:jc w:val="center"/>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2</w:t>
            </w:r>
            <w:r w:rsidR="006F198F">
              <w:rPr>
                <w:rFonts w:eastAsia="Times New Roman" w:cs="Calibri"/>
                <w:color w:val="000000"/>
                <w:kern w:val="0"/>
                <w:lang w:val="en-IE" w:eastAsia="en-GB"/>
                <w14:ligatures w14:val="none"/>
              </w:rPr>
              <w:t>,</w:t>
            </w:r>
            <w:r w:rsidRPr="00C32002">
              <w:rPr>
                <w:rFonts w:eastAsia="Times New Roman" w:cs="Calibri"/>
                <w:color w:val="000000"/>
                <w:kern w:val="0"/>
                <w:lang w:val="en-IE" w:eastAsia="en-GB"/>
                <w14:ligatures w14:val="none"/>
              </w:rPr>
              <w:t>010</w:t>
            </w:r>
          </w:p>
        </w:tc>
      </w:tr>
      <w:tr w:rsidR="00392601" w:rsidRPr="00C32002" w14:paraId="57184504" w14:textId="77777777" w:rsidTr="0041177B">
        <w:trPr>
          <w:trHeight w:val="57"/>
        </w:trPr>
        <w:tc>
          <w:tcPr>
            <w:tcW w:w="2748" w:type="pct"/>
            <w:tcBorders>
              <w:top w:val="nil"/>
              <w:left w:val="single" w:sz="6" w:space="0" w:color="auto"/>
              <w:bottom w:val="single" w:sz="6" w:space="0" w:color="auto"/>
              <w:right w:val="single" w:sz="4" w:space="0" w:color="auto"/>
            </w:tcBorders>
            <w:shd w:val="clear" w:color="auto" w:fill="auto"/>
            <w:vAlign w:val="bottom"/>
            <w:hideMark/>
          </w:tcPr>
          <w:p w14:paraId="2AC747A6" w14:textId="77777777" w:rsidR="00392601" w:rsidRPr="00C32002" w:rsidRDefault="00392601" w:rsidP="00D232AE">
            <w:pPr>
              <w:spacing w:after="0" w:line="240" w:lineRule="auto"/>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C50 breast</w:t>
            </w:r>
            <w:r w:rsidRPr="00C32002">
              <w:rPr>
                <w:rFonts w:eastAsia="Times New Roman" w:cs="Calibri"/>
                <w:color w:val="000000"/>
                <w:kern w:val="0"/>
                <w:lang w:eastAsia="en-GB"/>
                <w14:ligatures w14:val="none"/>
              </w:rPr>
              <w:t> </w:t>
            </w:r>
          </w:p>
        </w:tc>
        <w:tc>
          <w:tcPr>
            <w:tcW w:w="1042" w:type="pct"/>
            <w:tcBorders>
              <w:top w:val="single" w:sz="4" w:space="0" w:color="auto"/>
              <w:left w:val="single" w:sz="4" w:space="0" w:color="auto"/>
              <w:bottom w:val="single" w:sz="4" w:space="0" w:color="auto"/>
              <w:right w:val="single" w:sz="4" w:space="0" w:color="auto"/>
            </w:tcBorders>
            <w:vAlign w:val="center"/>
          </w:tcPr>
          <w:p w14:paraId="3A148465" w14:textId="77777777" w:rsidR="00392601" w:rsidRPr="00C32002" w:rsidRDefault="00392601" w:rsidP="00D232AE">
            <w:pPr>
              <w:spacing w:after="0" w:line="240" w:lineRule="auto"/>
              <w:jc w:val="center"/>
              <w:textAlignment w:val="baseline"/>
              <w:rPr>
                <w:rFonts w:eastAsia="Times New Roman" w:cs="Calibri"/>
                <w:color w:val="000000"/>
                <w:kern w:val="0"/>
                <w:lang w:val="en-IE" w:eastAsia="en-GB"/>
                <w14:ligatures w14:val="none"/>
              </w:rPr>
            </w:pPr>
            <w:r w:rsidRPr="00C32002">
              <w:t>3.6</w:t>
            </w:r>
          </w:p>
        </w:tc>
        <w:tc>
          <w:tcPr>
            <w:tcW w:w="1210" w:type="pct"/>
            <w:tcBorders>
              <w:top w:val="nil"/>
              <w:left w:val="single" w:sz="4" w:space="0" w:color="auto"/>
              <w:bottom w:val="single" w:sz="6" w:space="0" w:color="auto"/>
              <w:right w:val="single" w:sz="6" w:space="0" w:color="auto"/>
            </w:tcBorders>
            <w:shd w:val="clear" w:color="auto" w:fill="auto"/>
            <w:vAlign w:val="center"/>
            <w:hideMark/>
          </w:tcPr>
          <w:p w14:paraId="4027EF68" w14:textId="77777777" w:rsidR="00392601" w:rsidRPr="00C32002" w:rsidRDefault="00392601" w:rsidP="00D232AE">
            <w:pPr>
              <w:spacing w:after="0" w:line="240" w:lineRule="auto"/>
              <w:jc w:val="center"/>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147</w:t>
            </w:r>
          </w:p>
        </w:tc>
      </w:tr>
      <w:tr w:rsidR="00392601" w:rsidRPr="00C32002" w14:paraId="5D6B9750" w14:textId="77777777" w:rsidTr="0041177B">
        <w:trPr>
          <w:trHeight w:val="57"/>
        </w:trPr>
        <w:tc>
          <w:tcPr>
            <w:tcW w:w="2748" w:type="pct"/>
            <w:tcBorders>
              <w:top w:val="nil"/>
              <w:left w:val="single" w:sz="6" w:space="0" w:color="auto"/>
              <w:bottom w:val="single" w:sz="6" w:space="0" w:color="auto"/>
              <w:right w:val="single" w:sz="4" w:space="0" w:color="auto"/>
            </w:tcBorders>
            <w:shd w:val="clear" w:color="auto" w:fill="auto"/>
            <w:vAlign w:val="bottom"/>
            <w:hideMark/>
          </w:tcPr>
          <w:p w14:paraId="591C9B4B" w14:textId="77777777" w:rsidR="00392601" w:rsidRPr="00C32002" w:rsidRDefault="00392601" w:rsidP="00D232AE">
            <w:pPr>
              <w:spacing w:after="0" w:line="240" w:lineRule="auto"/>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C53 cervix</w:t>
            </w:r>
            <w:r w:rsidRPr="00C32002">
              <w:rPr>
                <w:rFonts w:eastAsia="Times New Roman" w:cs="Calibri"/>
                <w:color w:val="000000"/>
                <w:kern w:val="0"/>
                <w:lang w:eastAsia="en-GB"/>
                <w14:ligatures w14:val="none"/>
              </w:rPr>
              <w:t> </w:t>
            </w:r>
          </w:p>
        </w:tc>
        <w:tc>
          <w:tcPr>
            <w:tcW w:w="1042" w:type="pct"/>
            <w:tcBorders>
              <w:top w:val="single" w:sz="4" w:space="0" w:color="auto"/>
              <w:left w:val="single" w:sz="4" w:space="0" w:color="auto"/>
              <w:bottom w:val="single" w:sz="4" w:space="0" w:color="auto"/>
              <w:right w:val="single" w:sz="4" w:space="0" w:color="auto"/>
            </w:tcBorders>
            <w:vAlign w:val="center"/>
          </w:tcPr>
          <w:p w14:paraId="397E7B37" w14:textId="77777777" w:rsidR="00392601" w:rsidRPr="00C32002" w:rsidRDefault="00392601" w:rsidP="00D232AE">
            <w:pPr>
              <w:spacing w:after="0" w:line="240" w:lineRule="auto"/>
              <w:jc w:val="center"/>
              <w:textAlignment w:val="baseline"/>
              <w:rPr>
                <w:rFonts w:eastAsia="Times New Roman" w:cs="Calibri"/>
                <w:color w:val="000000"/>
                <w:kern w:val="0"/>
                <w:lang w:val="en-IE" w:eastAsia="en-GB"/>
                <w14:ligatures w14:val="none"/>
              </w:rPr>
            </w:pPr>
            <w:r w:rsidRPr="00C32002">
              <w:t>20.3</w:t>
            </w:r>
          </w:p>
        </w:tc>
        <w:tc>
          <w:tcPr>
            <w:tcW w:w="1210" w:type="pct"/>
            <w:tcBorders>
              <w:top w:val="nil"/>
              <w:left w:val="single" w:sz="4" w:space="0" w:color="auto"/>
              <w:bottom w:val="single" w:sz="6" w:space="0" w:color="auto"/>
              <w:right w:val="single" w:sz="6" w:space="0" w:color="auto"/>
            </w:tcBorders>
            <w:shd w:val="clear" w:color="auto" w:fill="auto"/>
            <w:vAlign w:val="center"/>
            <w:hideMark/>
          </w:tcPr>
          <w:p w14:paraId="4449C732" w14:textId="77777777" w:rsidR="00392601" w:rsidRPr="00C32002" w:rsidRDefault="00392601" w:rsidP="00D232AE">
            <w:pPr>
              <w:spacing w:after="0" w:line="240" w:lineRule="auto"/>
              <w:jc w:val="center"/>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52</w:t>
            </w:r>
          </w:p>
        </w:tc>
      </w:tr>
      <w:tr w:rsidR="00392601" w:rsidRPr="00C32002" w14:paraId="22668BF4" w14:textId="77777777" w:rsidTr="0041177B">
        <w:trPr>
          <w:trHeight w:val="57"/>
        </w:trPr>
        <w:tc>
          <w:tcPr>
            <w:tcW w:w="2748" w:type="pct"/>
            <w:tcBorders>
              <w:top w:val="nil"/>
              <w:left w:val="single" w:sz="6" w:space="0" w:color="auto"/>
              <w:bottom w:val="single" w:sz="6" w:space="0" w:color="auto"/>
              <w:right w:val="single" w:sz="4" w:space="0" w:color="auto"/>
            </w:tcBorders>
            <w:shd w:val="clear" w:color="auto" w:fill="auto"/>
            <w:vAlign w:val="bottom"/>
            <w:hideMark/>
          </w:tcPr>
          <w:p w14:paraId="0398C337" w14:textId="77777777" w:rsidR="00392601" w:rsidRPr="00C32002" w:rsidRDefault="00392601" w:rsidP="00D232AE">
            <w:pPr>
              <w:spacing w:after="0" w:line="240" w:lineRule="auto"/>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C56-57, C48 ovary-mucinous</w:t>
            </w:r>
            <w:r w:rsidRPr="00C32002">
              <w:rPr>
                <w:rFonts w:eastAsia="Times New Roman" w:cs="Calibri"/>
                <w:color w:val="000000"/>
                <w:kern w:val="0"/>
                <w:lang w:eastAsia="en-GB"/>
                <w14:ligatures w14:val="none"/>
              </w:rPr>
              <w:t> </w:t>
            </w:r>
          </w:p>
        </w:tc>
        <w:tc>
          <w:tcPr>
            <w:tcW w:w="1042" w:type="pct"/>
            <w:tcBorders>
              <w:top w:val="single" w:sz="4" w:space="0" w:color="auto"/>
              <w:left w:val="single" w:sz="4" w:space="0" w:color="auto"/>
              <w:bottom w:val="single" w:sz="4" w:space="0" w:color="auto"/>
              <w:right w:val="single" w:sz="4" w:space="0" w:color="auto"/>
            </w:tcBorders>
            <w:vAlign w:val="center"/>
          </w:tcPr>
          <w:p w14:paraId="1685BEB8" w14:textId="77777777" w:rsidR="00392601" w:rsidRPr="00C32002" w:rsidRDefault="00392601" w:rsidP="00D232AE">
            <w:pPr>
              <w:spacing w:after="0" w:line="240" w:lineRule="auto"/>
              <w:jc w:val="center"/>
              <w:textAlignment w:val="baseline"/>
              <w:rPr>
                <w:rFonts w:eastAsia="Times New Roman" w:cs="Calibri"/>
                <w:color w:val="000000"/>
                <w:kern w:val="0"/>
                <w:lang w:val="en-IE" w:eastAsia="en-GB"/>
                <w14:ligatures w14:val="none"/>
              </w:rPr>
            </w:pPr>
            <w:r w:rsidRPr="00C32002">
              <w:t>20.3</w:t>
            </w:r>
          </w:p>
        </w:tc>
        <w:tc>
          <w:tcPr>
            <w:tcW w:w="1210" w:type="pct"/>
            <w:tcBorders>
              <w:top w:val="nil"/>
              <w:left w:val="single" w:sz="4" w:space="0" w:color="auto"/>
              <w:bottom w:val="single" w:sz="6" w:space="0" w:color="auto"/>
              <w:right w:val="single" w:sz="6" w:space="0" w:color="auto"/>
            </w:tcBorders>
            <w:shd w:val="clear" w:color="auto" w:fill="auto"/>
            <w:vAlign w:val="center"/>
            <w:hideMark/>
          </w:tcPr>
          <w:p w14:paraId="23F252FD" w14:textId="77777777" w:rsidR="00392601" w:rsidRPr="00C32002" w:rsidRDefault="00392601" w:rsidP="00D232AE">
            <w:pPr>
              <w:spacing w:after="0" w:line="240" w:lineRule="auto"/>
              <w:jc w:val="center"/>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5</w:t>
            </w:r>
          </w:p>
        </w:tc>
      </w:tr>
      <w:tr w:rsidR="00392601" w:rsidRPr="00C32002" w14:paraId="72021797" w14:textId="77777777" w:rsidTr="0041177B">
        <w:trPr>
          <w:trHeight w:val="57"/>
        </w:trPr>
        <w:tc>
          <w:tcPr>
            <w:tcW w:w="2748" w:type="pct"/>
            <w:tcBorders>
              <w:top w:val="nil"/>
              <w:left w:val="single" w:sz="6" w:space="0" w:color="auto"/>
              <w:bottom w:val="single" w:sz="6" w:space="0" w:color="auto"/>
              <w:right w:val="single" w:sz="4" w:space="0" w:color="auto"/>
            </w:tcBorders>
            <w:shd w:val="clear" w:color="auto" w:fill="auto"/>
            <w:vAlign w:val="bottom"/>
            <w:hideMark/>
          </w:tcPr>
          <w:p w14:paraId="5313D386" w14:textId="77777777" w:rsidR="00392601" w:rsidRPr="00C32002" w:rsidRDefault="00392601" w:rsidP="00D232AE">
            <w:pPr>
              <w:spacing w:after="0" w:line="240" w:lineRule="auto"/>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C64-66, C68 kidney</w:t>
            </w:r>
            <w:r w:rsidRPr="00C32002">
              <w:rPr>
                <w:rFonts w:eastAsia="Times New Roman" w:cs="Calibri"/>
                <w:color w:val="000000"/>
                <w:kern w:val="0"/>
                <w:lang w:eastAsia="en-GB"/>
                <w14:ligatures w14:val="none"/>
              </w:rPr>
              <w:t> </w:t>
            </w:r>
          </w:p>
        </w:tc>
        <w:tc>
          <w:tcPr>
            <w:tcW w:w="1042" w:type="pct"/>
            <w:tcBorders>
              <w:top w:val="single" w:sz="4" w:space="0" w:color="auto"/>
              <w:left w:val="single" w:sz="4" w:space="0" w:color="auto"/>
              <w:bottom w:val="single" w:sz="4" w:space="0" w:color="auto"/>
              <w:right w:val="single" w:sz="4" w:space="0" w:color="auto"/>
            </w:tcBorders>
            <w:vAlign w:val="center"/>
          </w:tcPr>
          <w:p w14:paraId="3AA6AB40" w14:textId="77777777" w:rsidR="00392601" w:rsidRPr="00C32002" w:rsidRDefault="00392601" w:rsidP="00D232AE">
            <w:pPr>
              <w:spacing w:after="0" w:line="240" w:lineRule="auto"/>
              <w:jc w:val="center"/>
              <w:textAlignment w:val="baseline"/>
              <w:rPr>
                <w:rFonts w:eastAsia="Times New Roman" w:cs="Calibri"/>
                <w:color w:val="000000"/>
                <w:kern w:val="0"/>
                <w:lang w:val="en-IE" w:eastAsia="en-GB"/>
                <w14:ligatures w14:val="none"/>
              </w:rPr>
            </w:pPr>
            <w:r w:rsidRPr="00C32002">
              <w:t>13.2</w:t>
            </w:r>
          </w:p>
        </w:tc>
        <w:tc>
          <w:tcPr>
            <w:tcW w:w="1210" w:type="pct"/>
            <w:tcBorders>
              <w:top w:val="nil"/>
              <w:left w:val="single" w:sz="4" w:space="0" w:color="auto"/>
              <w:bottom w:val="single" w:sz="6" w:space="0" w:color="auto"/>
              <w:right w:val="single" w:sz="6" w:space="0" w:color="auto"/>
            </w:tcBorders>
            <w:shd w:val="clear" w:color="auto" w:fill="auto"/>
            <w:vAlign w:val="center"/>
            <w:hideMark/>
          </w:tcPr>
          <w:p w14:paraId="27047B7C" w14:textId="77777777" w:rsidR="00392601" w:rsidRPr="00C32002" w:rsidRDefault="00392601" w:rsidP="00D232AE">
            <w:pPr>
              <w:spacing w:after="0" w:line="240" w:lineRule="auto"/>
              <w:jc w:val="center"/>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105</w:t>
            </w:r>
          </w:p>
        </w:tc>
      </w:tr>
      <w:tr w:rsidR="00392601" w:rsidRPr="00C32002" w14:paraId="33BB32F5" w14:textId="77777777" w:rsidTr="0041177B">
        <w:trPr>
          <w:trHeight w:val="57"/>
        </w:trPr>
        <w:tc>
          <w:tcPr>
            <w:tcW w:w="2748" w:type="pct"/>
            <w:tcBorders>
              <w:top w:val="nil"/>
              <w:left w:val="single" w:sz="6" w:space="0" w:color="auto"/>
              <w:bottom w:val="single" w:sz="6" w:space="0" w:color="auto"/>
              <w:right w:val="single" w:sz="4" w:space="0" w:color="auto"/>
            </w:tcBorders>
            <w:shd w:val="clear" w:color="auto" w:fill="auto"/>
            <w:vAlign w:val="bottom"/>
            <w:hideMark/>
          </w:tcPr>
          <w:p w14:paraId="554FEA00" w14:textId="77777777" w:rsidR="00392601" w:rsidRPr="00C32002" w:rsidRDefault="00392601" w:rsidP="00D232AE">
            <w:pPr>
              <w:spacing w:after="0" w:line="240" w:lineRule="auto"/>
              <w:textAlignment w:val="baseline"/>
              <w:rPr>
                <w:rFonts w:eastAsia="Times New Roman" w:cs="Segoe UI"/>
                <w:kern w:val="0"/>
                <w:lang w:eastAsia="en-GB"/>
                <w14:ligatures w14:val="none"/>
              </w:rPr>
            </w:pPr>
            <w:r w:rsidRPr="00C32002">
              <w:rPr>
                <w:rFonts w:eastAsia="Times New Roman" w:cs="Calibri"/>
                <w:color w:val="000000"/>
                <w:kern w:val="0"/>
                <w:lang w:val="nl-NL" w:eastAsia="en-GB"/>
                <w14:ligatures w14:val="none"/>
              </w:rPr>
              <w:t>C67,D090,D414 bladder &amp; NMIBC</w:t>
            </w:r>
            <w:r w:rsidRPr="00C32002">
              <w:rPr>
                <w:rFonts w:eastAsia="Times New Roman" w:cs="Calibri"/>
                <w:color w:val="000000"/>
                <w:kern w:val="0"/>
                <w:lang w:eastAsia="en-GB"/>
                <w14:ligatures w14:val="none"/>
              </w:rPr>
              <w:t> </w:t>
            </w:r>
          </w:p>
        </w:tc>
        <w:tc>
          <w:tcPr>
            <w:tcW w:w="1042" w:type="pct"/>
            <w:tcBorders>
              <w:top w:val="single" w:sz="4" w:space="0" w:color="auto"/>
              <w:left w:val="single" w:sz="4" w:space="0" w:color="auto"/>
              <w:bottom w:val="single" w:sz="4" w:space="0" w:color="auto"/>
              <w:right w:val="single" w:sz="4" w:space="0" w:color="auto"/>
            </w:tcBorders>
            <w:vAlign w:val="center"/>
          </w:tcPr>
          <w:p w14:paraId="75D0DC6F" w14:textId="77777777" w:rsidR="00392601" w:rsidRPr="00C32002" w:rsidRDefault="00392601" w:rsidP="00D232AE">
            <w:pPr>
              <w:spacing w:after="0" w:line="240" w:lineRule="auto"/>
              <w:jc w:val="center"/>
              <w:textAlignment w:val="baseline"/>
              <w:rPr>
                <w:rFonts w:eastAsia="Times New Roman" w:cs="Calibri"/>
                <w:color w:val="000000"/>
                <w:kern w:val="0"/>
                <w:lang w:val="en-IE" w:eastAsia="en-GB"/>
                <w14:ligatures w14:val="none"/>
              </w:rPr>
            </w:pPr>
            <w:r w:rsidRPr="00C32002">
              <w:t>47.5</w:t>
            </w:r>
          </w:p>
        </w:tc>
        <w:tc>
          <w:tcPr>
            <w:tcW w:w="1210" w:type="pct"/>
            <w:tcBorders>
              <w:top w:val="nil"/>
              <w:left w:val="single" w:sz="4" w:space="0" w:color="auto"/>
              <w:bottom w:val="single" w:sz="6" w:space="0" w:color="auto"/>
              <w:right w:val="single" w:sz="6" w:space="0" w:color="auto"/>
            </w:tcBorders>
            <w:shd w:val="clear" w:color="auto" w:fill="auto"/>
            <w:vAlign w:val="center"/>
            <w:hideMark/>
          </w:tcPr>
          <w:p w14:paraId="68A597BE" w14:textId="77777777" w:rsidR="00392601" w:rsidRPr="00C32002" w:rsidRDefault="00392601" w:rsidP="00D232AE">
            <w:pPr>
              <w:spacing w:after="0" w:line="240" w:lineRule="auto"/>
              <w:jc w:val="center"/>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456</w:t>
            </w:r>
          </w:p>
        </w:tc>
      </w:tr>
      <w:tr w:rsidR="00392601" w:rsidRPr="00C32002" w14:paraId="5071E037" w14:textId="77777777" w:rsidTr="0041177B">
        <w:trPr>
          <w:trHeight w:val="57"/>
        </w:trPr>
        <w:tc>
          <w:tcPr>
            <w:tcW w:w="2748" w:type="pct"/>
            <w:tcBorders>
              <w:top w:val="nil"/>
              <w:left w:val="single" w:sz="6" w:space="0" w:color="auto"/>
              <w:bottom w:val="single" w:sz="6" w:space="0" w:color="auto"/>
              <w:right w:val="single" w:sz="4" w:space="0" w:color="auto"/>
            </w:tcBorders>
            <w:shd w:val="clear" w:color="auto" w:fill="auto"/>
            <w:vAlign w:val="bottom"/>
            <w:hideMark/>
          </w:tcPr>
          <w:p w14:paraId="2F9EC02A" w14:textId="25625B27" w:rsidR="00392601" w:rsidRPr="00C32002" w:rsidRDefault="00392601" w:rsidP="00D232AE">
            <w:pPr>
              <w:spacing w:after="0" w:line="240" w:lineRule="auto"/>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C920,</w:t>
            </w:r>
            <w:r w:rsidR="001753A3">
              <w:rPr>
                <w:rFonts w:eastAsia="Times New Roman" w:cs="Calibri"/>
                <w:color w:val="000000"/>
                <w:kern w:val="0"/>
                <w:lang w:val="en-IE" w:eastAsia="en-GB"/>
                <w14:ligatures w14:val="none"/>
              </w:rPr>
              <w:t xml:space="preserve"> </w:t>
            </w:r>
            <w:r w:rsidRPr="00C32002">
              <w:rPr>
                <w:rFonts w:eastAsia="Times New Roman" w:cs="Calibri"/>
                <w:color w:val="000000"/>
                <w:kern w:val="0"/>
                <w:lang w:val="en-IE" w:eastAsia="en-GB"/>
                <w14:ligatures w14:val="none"/>
              </w:rPr>
              <w:t>C924-C926,</w:t>
            </w:r>
            <w:r w:rsidR="001753A3">
              <w:rPr>
                <w:rFonts w:eastAsia="Times New Roman" w:cs="Calibri"/>
                <w:color w:val="000000"/>
                <w:kern w:val="0"/>
                <w:lang w:val="en-IE" w:eastAsia="en-GB"/>
                <w14:ligatures w14:val="none"/>
              </w:rPr>
              <w:t xml:space="preserve"> </w:t>
            </w:r>
            <w:r w:rsidRPr="00C32002">
              <w:rPr>
                <w:rFonts w:eastAsia="Times New Roman" w:cs="Calibri"/>
                <w:color w:val="000000"/>
                <w:kern w:val="0"/>
                <w:lang w:val="en-IE" w:eastAsia="en-GB"/>
                <w14:ligatures w14:val="none"/>
              </w:rPr>
              <w:t>C928,</w:t>
            </w:r>
            <w:r w:rsidR="001753A3">
              <w:rPr>
                <w:rFonts w:eastAsia="Times New Roman" w:cs="Calibri"/>
                <w:color w:val="000000"/>
                <w:kern w:val="0"/>
                <w:lang w:val="en-IE" w:eastAsia="en-GB"/>
                <w14:ligatures w14:val="none"/>
              </w:rPr>
              <w:t xml:space="preserve"> </w:t>
            </w:r>
            <w:r w:rsidRPr="00C32002">
              <w:rPr>
                <w:rFonts w:eastAsia="Times New Roman" w:cs="Calibri"/>
                <w:color w:val="000000"/>
                <w:kern w:val="0"/>
                <w:lang w:val="en-IE" w:eastAsia="en-GB"/>
                <w14:ligatures w14:val="none"/>
              </w:rPr>
              <w:t>C930,</w:t>
            </w:r>
            <w:r w:rsidR="001753A3">
              <w:rPr>
                <w:rFonts w:eastAsia="Times New Roman" w:cs="Calibri"/>
                <w:color w:val="000000"/>
                <w:kern w:val="0"/>
                <w:lang w:val="en-IE" w:eastAsia="en-GB"/>
                <w14:ligatures w14:val="none"/>
              </w:rPr>
              <w:t xml:space="preserve"> </w:t>
            </w:r>
            <w:r w:rsidRPr="00C32002">
              <w:rPr>
                <w:rFonts w:eastAsia="Times New Roman" w:cs="Calibri"/>
                <w:color w:val="000000"/>
                <w:kern w:val="0"/>
                <w:lang w:val="en-IE" w:eastAsia="en-GB"/>
                <w14:ligatures w14:val="none"/>
              </w:rPr>
              <w:t>C940,</w:t>
            </w:r>
            <w:r w:rsidR="001753A3">
              <w:rPr>
                <w:rFonts w:eastAsia="Times New Roman" w:cs="Calibri"/>
                <w:color w:val="000000"/>
                <w:kern w:val="0"/>
                <w:lang w:val="en-IE" w:eastAsia="en-GB"/>
                <w14:ligatures w14:val="none"/>
              </w:rPr>
              <w:t xml:space="preserve"> </w:t>
            </w:r>
            <w:r w:rsidRPr="00C32002">
              <w:rPr>
                <w:rFonts w:eastAsia="Times New Roman" w:cs="Calibri"/>
                <w:color w:val="000000"/>
                <w:kern w:val="0"/>
                <w:lang w:val="en-IE" w:eastAsia="en-GB"/>
                <w14:ligatures w14:val="none"/>
              </w:rPr>
              <w:t>C942 AML</w:t>
            </w:r>
            <w:r w:rsidRPr="00C32002">
              <w:rPr>
                <w:rFonts w:eastAsia="Times New Roman" w:cs="Calibri"/>
                <w:color w:val="000000"/>
                <w:kern w:val="0"/>
                <w:lang w:eastAsia="en-GB"/>
                <w14:ligatures w14:val="none"/>
              </w:rPr>
              <w:t> </w:t>
            </w:r>
          </w:p>
        </w:tc>
        <w:tc>
          <w:tcPr>
            <w:tcW w:w="1042" w:type="pct"/>
            <w:tcBorders>
              <w:top w:val="single" w:sz="4" w:space="0" w:color="auto"/>
              <w:left w:val="single" w:sz="4" w:space="0" w:color="auto"/>
              <w:bottom w:val="single" w:sz="4" w:space="0" w:color="auto"/>
              <w:right w:val="single" w:sz="4" w:space="0" w:color="auto"/>
            </w:tcBorders>
            <w:vAlign w:val="center"/>
          </w:tcPr>
          <w:p w14:paraId="783ED8F5" w14:textId="77777777" w:rsidR="00392601" w:rsidRPr="00C32002" w:rsidRDefault="00392601" w:rsidP="00D232AE">
            <w:pPr>
              <w:spacing w:after="0" w:line="240" w:lineRule="auto"/>
              <w:jc w:val="center"/>
              <w:textAlignment w:val="baseline"/>
              <w:rPr>
                <w:rFonts w:eastAsia="Times New Roman" w:cs="Calibri"/>
                <w:color w:val="000000"/>
                <w:kern w:val="0"/>
                <w:lang w:val="en-IE" w:eastAsia="en-GB"/>
                <w14:ligatures w14:val="none"/>
              </w:rPr>
            </w:pPr>
            <w:r w:rsidRPr="00C32002">
              <w:t>20.7</w:t>
            </w:r>
          </w:p>
        </w:tc>
        <w:tc>
          <w:tcPr>
            <w:tcW w:w="1210" w:type="pct"/>
            <w:tcBorders>
              <w:top w:val="nil"/>
              <w:left w:val="single" w:sz="4" w:space="0" w:color="auto"/>
              <w:bottom w:val="single" w:sz="6" w:space="0" w:color="auto"/>
              <w:right w:val="single" w:sz="6" w:space="0" w:color="auto"/>
            </w:tcBorders>
            <w:shd w:val="clear" w:color="auto" w:fill="auto"/>
            <w:vAlign w:val="center"/>
            <w:hideMark/>
          </w:tcPr>
          <w:p w14:paraId="1E1616B5" w14:textId="77777777" w:rsidR="00392601" w:rsidRPr="00C32002" w:rsidRDefault="00392601" w:rsidP="00D232AE">
            <w:pPr>
              <w:spacing w:after="0" w:line="240" w:lineRule="auto"/>
              <w:jc w:val="center"/>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29</w:t>
            </w:r>
          </w:p>
        </w:tc>
      </w:tr>
    </w:tbl>
    <w:p w14:paraId="3BB37C3E" w14:textId="77777777" w:rsidR="00392601" w:rsidRPr="00C32002" w:rsidRDefault="00392601" w:rsidP="00D232AE">
      <w:pPr>
        <w:spacing w:after="0"/>
      </w:pPr>
    </w:p>
    <w:p w14:paraId="6FB21D54" w14:textId="77777777" w:rsidR="00392601" w:rsidRDefault="00392601" w:rsidP="00D232AE">
      <w:pPr>
        <w:spacing w:after="0"/>
        <w:sectPr w:rsidR="00392601" w:rsidSect="002746C0">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9016"/>
      </w:tblGrid>
      <w:tr w:rsidR="00392601" w:rsidRPr="00C32002" w14:paraId="2D6041EA" w14:textId="77777777" w:rsidTr="0041177B">
        <w:tc>
          <w:tcPr>
            <w:tcW w:w="9016" w:type="dxa"/>
            <w:shd w:val="clear" w:color="auto" w:fill="002060"/>
          </w:tcPr>
          <w:p w14:paraId="12F71EAB" w14:textId="6858FF59" w:rsidR="00392601" w:rsidRPr="006553B7" w:rsidRDefault="00392601" w:rsidP="00D232AE">
            <w:pPr>
              <w:rPr>
                <w:rFonts w:asciiTheme="minorHAnsi" w:hAnsiTheme="minorHAnsi"/>
                <w:b/>
                <w:bCs/>
                <w:color w:val="FFFFFF" w:themeColor="background1"/>
                <w:sz w:val="24"/>
                <w:szCs w:val="24"/>
              </w:rPr>
            </w:pPr>
            <w:r w:rsidRPr="006553B7">
              <w:rPr>
                <w:rFonts w:asciiTheme="minorHAnsi" w:hAnsiTheme="minorHAnsi"/>
                <w:b/>
                <w:bCs/>
                <w:color w:val="FFFFFF" w:themeColor="background1"/>
                <w:sz w:val="24"/>
                <w:szCs w:val="24"/>
              </w:rPr>
              <w:t xml:space="preserve">Figure </w:t>
            </w:r>
            <w:r w:rsidR="006553B7" w:rsidRPr="006553B7">
              <w:rPr>
                <w:rFonts w:asciiTheme="minorHAnsi" w:hAnsiTheme="minorHAnsi"/>
                <w:b/>
                <w:bCs/>
                <w:color w:val="FFFFFF" w:themeColor="background1"/>
                <w:sz w:val="24"/>
                <w:szCs w:val="24"/>
              </w:rPr>
              <w:t>4.</w:t>
            </w:r>
            <w:r w:rsidR="002F5530">
              <w:rPr>
                <w:rFonts w:asciiTheme="minorHAnsi" w:hAnsiTheme="minorHAnsi"/>
                <w:b/>
                <w:bCs/>
                <w:color w:val="FFFFFF" w:themeColor="background1"/>
                <w:sz w:val="24"/>
                <w:szCs w:val="24"/>
              </w:rPr>
              <w:t>7</w:t>
            </w:r>
            <w:r w:rsidRPr="006553B7">
              <w:rPr>
                <w:rFonts w:asciiTheme="minorHAnsi" w:hAnsiTheme="minorHAnsi"/>
                <w:b/>
                <w:bCs/>
                <w:color w:val="FFFFFF" w:themeColor="background1"/>
                <w:sz w:val="24"/>
                <w:szCs w:val="24"/>
              </w:rPr>
              <w:t>: Heat map of population attributable fractions by cancer type and sex</w:t>
            </w:r>
          </w:p>
        </w:tc>
      </w:tr>
      <w:tr w:rsidR="00392601" w:rsidRPr="00C32002" w14:paraId="4796A4DE" w14:textId="77777777" w:rsidTr="0041177B">
        <w:trPr>
          <w:trHeight w:val="8074"/>
        </w:trPr>
        <w:tc>
          <w:tcPr>
            <w:tcW w:w="9016" w:type="dxa"/>
          </w:tcPr>
          <w:p w14:paraId="60CD85E6" w14:textId="758ACB5D" w:rsidR="00392601" w:rsidRPr="00C32002" w:rsidRDefault="00BB7C3F" w:rsidP="00D232AE">
            <w:pPr>
              <w:rPr>
                <w:rFonts w:asciiTheme="minorHAnsi" w:hAnsiTheme="minorHAnsi"/>
              </w:rPr>
            </w:pPr>
            <w:r w:rsidRPr="00BB7C3F">
              <w:rPr>
                <w:noProof/>
              </w:rPr>
              <w:drawing>
                <wp:inline distT="0" distB="0" distL="0" distR="0" wp14:anchorId="68A89FA0" wp14:editId="2800AC3F">
                  <wp:extent cx="5468113" cy="5534797"/>
                  <wp:effectExtent l="0" t="0" r="0" b="8890"/>
                  <wp:docPr id="1390849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49960" name=""/>
                          <pic:cNvPicPr/>
                        </pic:nvPicPr>
                        <pic:blipFill>
                          <a:blip r:embed="rId33"/>
                          <a:stretch>
                            <a:fillRect/>
                          </a:stretch>
                        </pic:blipFill>
                        <pic:spPr>
                          <a:xfrm>
                            <a:off x="0" y="0"/>
                            <a:ext cx="5468113" cy="5534797"/>
                          </a:xfrm>
                          <a:prstGeom prst="rect">
                            <a:avLst/>
                          </a:prstGeom>
                        </pic:spPr>
                      </pic:pic>
                    </a:graphicData>
                  </a:graphic>
                </wp:inline>
              </w:drawing>
            </w:r>
            <w:r w:rsidR="00392601">
              <w:br/>
            </w:r>
          </w:p>
        </w:tc>
      </w:tr>
    </w:tbl>
    <w:p w14:paraId="793FAA18" w14:textId="77777777" w:rsidR="00392601" w:rsidRPr="00C32002" w:rsidRDefault="00392601" w:rsidP="00D232AE">
      <w:pPr>
        <w:spacing w:after="0"/>
      </w:pPr>
    </w:p>
    <w:p w14:paraId="1A6D4592" w14:textId="77777777" w:rsidR="00392601" w:rsidRDefault="00392601" w:rsidP="00392601">
      <w:pPr>
        <w:sectPr w:rsidR="00392601" w:rsidSect="002746C0">
          <w:pgSz w:w="11906" w:h="16838"/>
          <w:pgMar w:top="1440" w:right="1440" w:bottom="1440" w:left="1440" w:header="708" w:footer="708" w:gutter="0"/>
          <w:cols w:space="708"/>
          <w:docGrid w:linePitch="360"/>
        </w:sectPr>
      </w:pPr>
    </w:p>
    <w:p w14:paraId="6D12A669" w14:textId="77777777" w:rsidR="00392601" w:rsidRPr="00C32002" w:rsidRDefault="00392601" w:rsidP="00C04A44">
      <w:pPr>
        <w:pStyle w:val="Heading1"/>
      </w:pPr>
      <w:bookmarkStart w:id="73" w:name="_Toc196914554"/>
      <w:bookmarkStart w:id="74" w:name="_Toc197557045"/>
      <w:bookmarkStart w:id="75" w:name="_Toc201512439"/>
      <w:r w:rsidRPr="00C32002">
        <w:t>Oral cavity</w:t>
      </w:r>
      <w:r w:rsidRPr="00C32002">
        <w:tab/>
        <w:t xml:space="preserve"> C00-06</w:t>
      </w:r>
      <w:bookmarkEnd w:id="73"/>
      <w:bookmarkEnd w:id="74"/>
      <w:bookmarkEnd w:id="75"/>
    </w:p>
    <w:p w14:paraId="7F870912" w14:textId="77777777" w:rsidR="00392601" w:rsidRPr="00C32002" w:rsidRDefault="00392601" w:rsidP="00C65D1E">
      <w:pPr>
        <w:numPr>
          <w:ilvl w:val="1"/>
          <w:numId w:val="0"/>
        </w:numPr>
        <w:spacing w:after="0" w:line="240" w:lineRule="auto"/>
        <w:rPr>
          <w:rFonts w:eastAsiaTheme="majorEastAsia" w:cstheme="minorHAnsi"/>
          <w:i/>
          <w:iCs/>
          <w:color w:val="0F4761" w:themeColor="accent1" w:themeShade="BF"/>
          <w:spacing w:val="15"/>
          <w:sz w:val="28"/>
          <w:szCs w:val="28"/>
        </w:rPr>
      </w:pPr>
      <w:r w:rsidRPr="00C32002">
        <w:rPr>
          <w:rFonts w:eastAsiaTheme="majorEastAsia" w:cstheme="minorHAnsi"/>
          <w:i/>
          <w:iCs/>
          <w:color w:val="0F4761" w:themeColor="accent1" w:themeShade="BF"/>
          <w:spacing w:val="15"/>
          <w:sz w:val="28"/>
          <w:szCs w:val="28"/>
        </w:rPr>
        <w:t>Key points</w:t>
      </w:r>
    </w:p>
    <w:p w14:paraId="7A73EC59" w14:textId="77777777" w:rsidR="00392601" w:rsidRPr="00AA5756" w:rsidRDefault="00392601" w:rsidP="00C65D1E">
      <w:pPr>
        <w:numPr>
          <w:ilvl w:val="1"/>
          <w:numId w:val="0"/>
        </w:numPr>
        <w:spacing w:after="0" w:line="240" w:lineRule="auto"/>
        <w:rPr>
          <w:rFonts w:eastAsiaTheme="majorEastAsia" w:cstheme="minorHAnsi"/>
          <w:i/>
          <w:iCs/>
          <w:color w:val="595959" w:themeColor="text1" w:themeTint="A6"/>
          <w:spacing w:val="15"/>
        </w:rPr>
      </w:pPr>
      <w:r w:rsidRPr="00AA5756">
        <w:rPr>
          <w:rFonts w:eastAsiaTheme="majorEastAsia" w:cstheme="minorHAnsi"/>
          <w:i/>
          <w:iCs/>
          <w:color w:val="595959" w:themeColor="text1" w:themeTint="A6"/>
          <w:spacing w:val="15"/>
        </w:rPr>
        <w:t>Incidence</w:t>
      </w:r>
    </w:p>
    <w:p w14:paraId="4C3F196D" w14:textId="2ADB8EB5" w:rsidR="00392601" w:rsidRPr="00C32002" w:rsidRDefault="00392601" w:rsidP="00C65D1E">
      <w:pPr>
        <w:numPr>
          <w:ilvl w:val="0"/>
          <w:numId w:val="3"/>
        </w:numPr>
        <w:spacing w:after="0" w:line="240" w:lineRule="auto"/>
        <w:contextualSpacing/>
        <w:jc w:val="both"/>
        <w:rPr>
          <w:rFonts w:cstheme="minorHAnsi"/>
        </w:rPr>
      </w:pPr>
      <w:r w:rsidRPr="00C32002">
        <w:rPr>
          <w:rFonts w:cstheme="minorHAnsi"/>
        </w:rPr>
        <w:t>Incidence decreased sharply for males from 1994 to 2001, before a period of steady increase again from 2001 to 2022</w:t>
      </w:r>
      <w:r w:rsidR="00C9194E">
        <w:rPr>
          <w:rFonts w:cstheme="minorHAnsi"/>
        </w:rPr>
        <w:t>.</w:t>
      </w:r>
    </w:p>
    <w:p w14:paraId="2BBF579F" w14:textId="5A782B3C" w:rsidR="00392601" w:rsidRPr="00C32002" w:rsidRDefault="00E3558B" w:rsidP="00C65D1E">
      <w:pPr>
        <w:numPr>
          <w:ilvl w:val="0"/>
          <w:numId w:val="3"/>
        </w:numPr>
        <w:spacing w:after="0" w:line="240" w:lineRule="auto"/>
        <w:contextualSpacing/>
        <w:jc w:val="both"/>
        <w:rPr>
          <w:rFonts w:cstheme="minorHAnsi"/>
        </w:rPr>
      </w:pPr>
      <w:r>
        <w:rPr>
          <w:rFonts w:cstheme="minorHAnsi"/>
        </w:rPr>
        <w:t>Incidence r</w:t>
      </w:r>
      <w:r w:rsidR="00392601" w:rsidRPr="00C32002">
        <w:rPr>
          <w:rFonts w:cstheme="minorHAnsi"/>
        </w:rPr>
        <w:t xml:space="preserve">ates increased steadily among </w:t>
      </w:r>
      <w:r w:rsidR="00BC7D1F">
        <w:rPr>
          <w:rFonts w:cstheme="minorHAnsi"/>
        </w:rPr>
        <w:t>females</w:t>
      </w:r>
      <w:r w:rsidR="00392601" w:rsidRPr="00C32002">
        <w:rPr>
          <w:rFonts w:cstheme="minorHAnsi"/>
        </w:rPr>
        <w:t xml:space="preserve"> </w:t>
      </w:r>
      <w:r w:rsidR="00C9194E">
        <w:rPr>
          <w:rFonts w:cstheme="minorHAnsi"/>
        </w:rPr>
        <w:t>from 1994-2022.</w:t>
      </w:r>
    </w:p>
    <w:p w14:paraId="0DBC65F4" w14:textId="77777777" w:rsidR="00E3558B" w:rsidRPr="00C32002" w:rsidRDefault="00E3558B" w:rsidP="00C65D1E">
      <w:pPr>
        <w:numPr>
          <w:ilvl w:val="0"/>
          <w:numId w:val="3"/>
        </w:numPr>
        <w:spacing w:after="0" w:line="240" w:lineRule="auto"/>
        <w:contextualSpacing/>
        <w:jc w:val="both"/>
        <w:rPr>
          <w:rFonts w:cstheme="minorHAnsi"/>
          <w:i/>
          <w:iCs/>
        </w:rPr>
      </w:pPr>
      <w:r w:rsidRPr="00C32002">
        <w:rPr>
          <w:rFonts w:cstheme="minorHAnsi"/>
          <w:color w:val="000000" w:themeColor="text1"/>
        </w:rPr>
        <w:t xml:space="preserve">Age-standardised incidence rates of </w:t>
      </w:r>
      <w:r w:rsidRPr="00C32002">
        <w:rPr>
          <w:rFonts w:cstheme="minorHAnsi"/>
        </w:rPr>
        <w:t xml:space="preserve">oral cavity cancer </w:t>
      </w:r>
      <w:r w:rsidRPr="00C32002">
        <w:rPr>
          <w:rFonts w:cstheme="minorHAnsi"/>
          <w:color w:val="000000" w:themeColor="text1"/>
        </w:rPr>
        <w:t>in 2014-2018 ranged 5.7-10.3 cases per 100,000 from the least to the most deprived quintiles.</w:t>
      </w:r>
    </w:p>
    <w:p w14:paraId="6A81DCD2" w14:textId="77777777" w:rsidR="00392601" w:rsidRPr="00C32002" w:rsidRDefault="00392601" w:rsidP="00C65D1E">
      <w:pPr>
        <w:spacing w:after="0" w:line="240" w:lineRule="auto"/>
        <w:jc w:val="both"/>
        <w:rPr>
          <w:rFonts w:eastAsia="Times New Roman" w:cstheme="minorHAnsi"/>
          <w:i/>
          <w:iCs/>
          <w:color w:val="808080" w:themeColor="background1" w:themeShade="80"/>
        </w:rPr>
      </w:pPr>
      <w:r w:rsidRPr="00C32002">
        <w:rPr>
          <w:rFonts w:cstheme="minorHAnsi"/>
          <w:i/>
          <w:iCs/>
          <w:color w:val="808080" w:themeColor="background1" w:themeShade="80"/>
        </w:rPr>
        <w:t>Mortality</w:t>
      </w:r>
    </w:p>
    <w:p w14:paraId="612C49AB" w14:textId="0A677223" w:rsidR="009D6BC7" w:rsidRDefault="009D6BC7" w:rsidP="00C65D1E">
      <w:pPr>
        <w:pStyle w:val="ListParagraph"/>
        <w:numPr>
          <w:ilvl w:val="0"/>
          <w:numId w:val="13"/>
        </w:numPr>
        <w:spacing w:line="240" w:lineRule="auto"/>
        <w:rPr>
          <w:rFonts w:eastAsia="Calibri"/>
          <w:color w:val="000000" w:themeColor="text1"/>
        </w:rPr>
      </w:pPr>
      <w:r w:rsidRPr="009D6BC7">
        <w:rPr>
          <w:rFonts w:eastAsia="Calibri"/>
          <w:color w:val="000000" w:themeColor="text1"/>
        </w:rPr>
        <w:t>Age</w:t>
      </w:r>
      <w:r w:rsidR="00366242">
        <w:rPr>
          <w:rFonts w:eastAsia="Calibri"/>
          <w:color w:val="000000" w:themeColor="text1"/>
        </w:rPr>
        <w:t>-</w:t>
      </w:r>
      <w:r w:rsidRPr="009D6BC7">
        <w:rPr>
          <w:rFonts w:eastAsia="Calibri"/>
          <w:color w:val="000000" w:themeColor="text1"/>
        </w:rPr>
        <w:t xml:space="preserve">standardised mortality rates for males decreased from 1994 to 2022 </w:t>
      </w:r>
    </w:p>
    <w:p w14:paraId="1D53EADB" w14:textId="1611E9E2" w:rsidR="00763912" w:rsidRPr="00763912" w:rsidRDefault="00763912" w:rsidP="00C65D1E">
      <w:pPr>
        <w:pStyle w:val="ListParagraph"/>
        <w:numPr>
          <w:ilvl w:val="0"/>
          <w:numId w:val="13"/>
        </w:numPr>
        <w:spacing w:after="0" w:line="240" w:lineRule="auto"/>
        <w:rPr>
          <w:rFonts w:eastAsia="Calibri"/>
          <w:color w:val="000000" w:themeColor="text1"/>
        </w:rPr>
      </w:pPr>
      <w:r w:rsidRPr="00763912">
        <w:rPr>
          <w:rFonts w:eastAsia="Calibri"/>
          <w:color w:val="000000" w:themeColor="text1"/>
        </w:rPr>
        <w:t xml:space="preserve">There were no significant trends observed in </w:t>
      </w:r>
      <w:r>
        <w:rPr>
          <w:rFonts w:eastAsia="Calibri"/>
          <w:color w:val="000000" w:themeColor="text1"/>
        </w:rPr>
        <w:t>mortality</w:t>
      </w:r>
      <w:r w:rsidRPr="00763912">
        <w:rPr>
          <w:rFonts w:eastAsia="Calibri"/>
          <w:color w:val="000000" w:themeColor="text1"/>
        </w:rPr>
        <w:t xml:space="preserve"> rates from 1994-2022 among females. </w:t>
      </w:r>
    </w:p>
    <w:p w14:paraId="2E1378BE" w14:textId="77777777" w:rsidR="00392601" w:rsidRPr="00C32002" w:rsidRDefault="00392601" w:rsidP="00C65D1E">
      <w:pPr>
        <w:numPr>
          <w:ilvl w:val="1"/>
          <w:numId w:val="0"/>
        </w:numPr>
        <w:spacing w:after="0" w:line="240" w:lineRule="auto"/>
        <w:rPr>
          <w:rFonts w:eastAsiaTheme="majorEastAsia" w:cstheme="minorHAnsi"/>
          <w:i/>
          <w:iCs/>
          <w:color w:val="595959" w:themeColor="text1" w:themeTint="A6"/>
          <w:spacing w:val="15"/>
        </w:rPr>
      </w:pPr>
      <w:r w:rsidRPr="00C32002">
        <w:rPr>
          <w:rFonts w:eastAsiaTheme="majorEastAsia" w:cstheme="minorHAnsi"/>
          <w:i/>
          <w:iCs/>
          <w:color w:val="595959" w:themeColor="text1" w:themeTint="A6"/>
          <w:spacing w:val="15"/>
        </w:rPr>
        <w:t>Survival</w:t>
      </w:r>
    </w:p>
    <w:p w14:paraId="7929E230" w14:textId="43F83BE6" w:rsidR="00576C87" w:rsidRPr="00576C87" w:rsidRDefault="00576C87" w:rsidP="00C65D1E">
      <w:pPr>
        <w:pStyle w:val="ListParagraph"/>
        <w:numPr>
          <w:ilvl w:val="0"/>
          <w:numId w:val="2"/>
        </w:numPr>
        <w:spacing w:after="0" w:line="240" w:lineRule="auto"/>
        <w:rPr>
          <w:rFonts w:cstheme="minorHAnsi"/>
        </w:rPr>
      </w:pPr>
      <w:r w:rsidRPr="00576C87">
        <w:rPr>
          <w:rFonts w:cstheme="minorHAnsi"/>
        </w:rPr>
        <w:t xml:space="preserve">5-year net survival was </w:t>
      </w:r>
      <w:r>
        <w:rPr>
          <w:rFonts w:cstheme="minorHAnsi"/>
        </w:rPr>
        <w:t>58</w:t>
      </w:r>
      <w:r w:rsidRPr="00576C87">
        <w:rPr>
          <w:rFonts w:cstheme="minorHAnsi"/>
        </w:rPr>
        <w:t>% for cases diagnosed during 2019-2022.</w:t>
      </w:r>
    </w:p>
    <w:p w14:paraId="2E6C46E9" w14:textId="77777777" w:rsidR="00392601" w:rsidRPr="00C32002" w:rsidRDefault="00392601" w:rsidP="00C65D1E">
      <w:pPr>
        <w:numPr>
          <w:ilvl w:val="1"/>
          <w:numId w:val="0"/>
        </w:numPr>
        <w:spacing w:before="160" w:after="0" w:line="240" w:lineRule="auto"/>
        <w:rPr>
          <w:rFonts w:cstheme="minorHAnsi"/>
          <w:i/>
          <w:iCs/>
        </w:rPr>
      </w:pPr>
      <w:r w:rsidRPr="00C32002">
        <w:rPr>
          <w:rFonts w:eastAsiaTheme="majorEastAsia" w:cstheme="minorHAnsi"/>
          <w:i/>
          <w:iCs/>
          <w:color w:val="595959" w:themeColor="text1" w:themeTint="A6"/>
          <w:spacing w:val="15"/>
        </w:rPr>
        <w:t>Population attributable fraction</w:t>
      </w:r>
    </w:p>
    <w:p w14:paraId="1390789B" w14:textId="77777777" w:rsidR="003668DC" w:rsidRDefault="00392601" w:rsidP="00C65D1E">
      <w:pPr>
        <w:numPr>
          <w:ilvl w:val="0"/>
          <w:numId w:val="2"/>
        </w:numPr>
        <w:spacing w:after="0" w:line="240" w:lineRule="auto"/>
        <w:contextualSpacing/>
        <w:rPr>
          <w:rFonts w:eastAsia="Calibri" w:cstheme="minorHAnsi"/>
          <w:color w:val="000000" w:themeColor="text1"/>
        </w:rPr>
        <w:sectPr w:rsidR="003668DC" w:rsidSect="002746C0">
          <w:pgSz w:w="11906" w:h="16838"/>
          <w:pgMar w:top="1440" w:right="1440" w:bottom="1440" w:left="1440" w:header="708" w:footer="708" w:gutter="0"/>
          <w:cols w:space="708"/>
          <w:docGrid w:linePitch="360"/>
        </w:sectPr>
      </w:pPr>
      <w:r w:rsidRPr="00C32002">
        <w:rPr>
          <w:rFonts w:eastAsia="Calibri" w:cstheme="minorHAnsi"/>
          <w:color w:val="000000" w:themeColor="text1"/>
        </w:rPr>
        <w:t xml:space="preserve">The estimated total number of oral cavity cancer cases attributable to smoking in Ireland in 2022 was 60 (PAF 18%). </w:t>
      </w:r>
    </w:p>
    <w:p w14:paraId="41E5AE59" w14:textId="77777777" w:rsidR="00392601" w:rsidRPr="00C32002" w:rsidRDefault="00392601" w:rsidP="002F5530">
      <w:pPr>
        <w:pStyle w:val="Heading2"/>
        <w:spacing w:before="0" w:after="0"/>
      </w:pPr>
      <w:bookmarkStart w:id="76" w:name="_Toc197557046"/>
      <w:bookmarkStart w:id="77" w:name="_Toc201512440"/>
      <w:bookmarkStart w:id="78" w:name="_Toc196914557"/>
      <w:r w:rsidRPr="00C32002">
        <w:t>Incidence</w:t>
      </w:r>
      <w:bookmarkEnd w:id="76"/>
      <w:bookmarkEnd w:id="77"/>
    </w:p>
    <w:p w14:paraId="235E58C3" w14:textId="1DA1CFC8" w:rsidR="00392601" w:rsidRDefault="00392601" w:rsidP="002F5530">
      <w:pPr>
        <w:spacing w:after="0" w:line="240" w:lineRule="auto"/>
      </w:pPr>
      <w:r>
        <w:t xml:space="preserve">Between 1994-2022, a total of 6,078 cases of oral cavity cancer were reported (1,915 Males, 4,163 Females). The median age at diagnosis was 64 years (IQR: 55-72) for males and 66 years (IQR: 56-76) for females. </w:t>
      </w:r>
      <w:r w:rsidRPr="08B87C2E">
        <w:t xml:space="preserve">The age-standardised incidence rate of oral cavity cancer </w:t>
      </w:r>
      <w:r w:rsidR="00E3558B">
        <w:t>during the period</w:t>
      </w:r>
      <w:r w:rsidRPr="08B87C2E">
        <w:t xml:space="preserve"> 1994-2022 was 9.8 cases per 100,000 males and 3.9 cases per 100,000 females per year. Figure </w:t>
      </w:r>
      <w:r w:rsidR="002F5530">
        <w:t>5.1</w:t>
      </w:r>
      <w:r w:rsidRPr="08B87C2E">
        <w:t xml:space="preserve"> breaks this down further by sex and age group.</w:t>
      </w:r>
    </w:p>
    <w:p w14:paraId="757FEECD" w14:textId="77777777" w:rsidR="00392601" w:rsidRPr="00C32002" w:rsidRDefault="00392601" w:rsidP="002F5530">
      <w:pPr>
        <w:spacing w:after="0" w:line="240" w:lineRule="auto"/>
        <w:rPr>
          <w:rFonts w:cstheme="minorHAnsi"/>
        </w:rPr>
      </w:pPr>
    </w:p>
    <w:tbl>
      <w:tblPr>
        <w:tblStyle w:val="TableGrid"/>
        <w:tblW w:w="0" w:type="auto"/>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5"/>
        <w:gridCol w:w="3553"/>
        <w:gridCol w:w="3094"/>
      </w:tblGrid>
      <w:tr w:rsidR="00C04A44" w:rsidRPr="0004280C" w14:paraId="5490954F" w14:textId="77777777" w:rsidTr="00111C9A">
        <w:trPr>
          <w:trHeight w:val="113"/>
        </w:trPr>
        <w:tc>
          <w:tcPr>
            <w:tcW w:w="9215" w:type="dxa"/>
            <w:gridSpan w:val="3"/>
            <w:shd w:val="clear" w:color="auto" w:fill="002060"/>
            <w:hideMark/>
          </w:tcPr>
          <w:p w14:paraId="3EBF8651" w14:textId="0C71C7B3" w:rsidR="00C04A44" w:rsidRPr="002F5530" w:rsidRDefault="00C04A44" w:rsidP="002F5530">
            <w:pPr>
              <w:rPr>
                <w:rFonts w:cstheme="minorHAnsi"/>
                <w:b/>
                <w:bCs/>
                <w:color w:val="FFFFFF" w:themeColor="background1"/>
              </w:rPr>
            </w:pPr>
            <w:r w:rsidRPr="002F5530">
              <w:rPr>
                <w:rFonts w:asciiTheme="minorHAnsi" w:hAnsiTheme="minorHAnsi" w:cstheme="minorHAnsi"/>
                <w:b/>
                <w:bCs/>
                <w:color w:val="FFFFFF" w:themeColor="background1"/>
              </w:rPr>
              <w:t xml:space="preserve">Figure </w:t>
            </w:r>
            <w:r w:rsidR="002F5530">
              <w:rPr>
                <w:rFonts w:asciiTheme="minorHAnsi" w:hAnsiTheme="minorHAnsi" w:cstheme="minorHAnsi"/>
                <w:b/>
                <w:bCs/>
                <w:color w:val="FFFFFF" w:themeColor="background1"/>
              </w:rPr>
              <w:t>5.1:</w:t>
            </w:r>
            <w:r w:rsidRPr="002F5530">
              <w:rPr>
                <w:rFonts w:asciiTheme="minorHAnsi" w:hAnsiTheme="minorHAnsi" w:cstheme="minorHAnsi"/>
                <w:b/>
                <w:bCs/>
                <w:color w:val="FFFFFF" w:themeColor="background1"/>
              </w:rPr>
              <w:t xml:space="preserve"> Incidence rate (per 100,000) for oral cavity cancer by </w:t>
            </w:r>
            <w:r w:rsidR="00366242">
              <w:rPr>
                <w:rFonts w:asciiTheme="minorHAnsi" w:hAnsiTheme="minorHAnsi" w:cstheme="minorHAnsi"/>
                <w:b/>
                <w:bCs/>
                <w:color w:val="FFFFFF" w:themeColor="background1"/>
              </w:rPr>
              <w:t>age group</w:t>
            </w:r>
            <w:r w:rsidRPr="002F5530">
              <w:rPr>
                <w:rFonts w:asciiTheme="minorHAnsi" w:hAnsiTheme="minorHAnsi" w:cstheme="minorHAnsi"/>
                <w:b/>
                <w:bCs/>
                <w:color w:val="FFFFFF" w:themeColor="background1"/>
              </w:rPr>
              <w:t>,1994-2022</w:t>
            </w:r>
          </w:p>
        </w:tc>
      </w:tr>
      <w:tr w:rsidR="00392601" w:rsidRPr="0004280C" w14:paraId="33C1FE2C" w14:textId="77777777" w:rsidTr="00111C9A">
        <w:trPr>
          <w:trHeight w:val="113"/>
        </w:trPr>
        <w:tc>
          <w:tcPr>
            <w:tcW w:w="2479" w:type="dxa"/>
            <w:hideMark/>
          </w:tcPr>
          <w:p w14:paraId="49BCE744" w14:textId="77777777" w:rsidR="00392601" w:rsidRPr="0004280C" w:rsidRDefault="00392601" w:rsidP="0041177B">
            <w:pPr>
              <w:jc w:val="center"/>
              <w:rPr>
                <w:rFonts w:asciiTheme="minorHAnsi" w:hAnsiTheme="minorHAnsi" w:cstheme="minorHAnsi"/>
                <w:color w:val="000000" w:themeColor="text1"/>
              </w:rPr>
            </w:pPr>
            <w:r w:rsidRPr="0004280C">
              <w:rPr>
                <w:rFonts w:asciiTheme="minorHAnsi" w:hAnsiTheme="minorHAnsi" w:cstheme="minorHAnsi"/>
                <w:color w:val="000000" w:themeColor="text1"/>
              </w:rPr>
              <w:t>Total</w:t>
            </w:r>
          </w:p>
        </w:tc>
        <w:tc>
          <w:tcPr>
            <w:tcW w:w="3617" w:type="dxa"/>
          </w:tcPr>
          <w:p w14:paraId="6F01074C" w14:textId="77777777" w:rsidR="00392601" w:rsidRPr="0004280C" w:rsidRDefault="00392601" w:rsidP="0041177B">
            <w:pPr>
              <w:jc w:val="center"/>
              <w:rPr>
                <w:rFonts w:asciiTheme="minorHAnsi" w:hAnsiTheme="minorHAnsi" w:cstheme="minorHAnsi"/>
                <w:color w:val="000000" w:themeColor="text1"/>
              </w:rPr>
            </w:pPr>
            <w:r w:rsidRPr="0004280C">
              <w:rPr>
                <w:rFonts w:asciiTheme="minorHAnsi" w:hAnsiTheme="minorHAnsi" w:cstheme="minorHAnsi"/>
                <w:color w:val="000000" w:themeColor="text1"/>
              </w:rPr>
              <w:t>Males</w:t>
            </w:r>
          </w:p>
        </w:tc>
        <w:tc>
          <w:tcPr>
            <w:tcW w:w="3119" w:type="dxa"/>
          </w:tcPr>
          <w:p w14:paraId="1581E885" w14:textId="77777777" w:rsidR="00392601" w:rsidRPr="0004280C" w:rsidRDefault="00392601" w:rsidP="0041177B">
            <w:pPr>
              <w:jc w:val="center"/>
              <w:rPr>
                <w:rFonts w:asciiTheme="minorHAnsi" w:hAnsiTheme="minorHAnsi" w:cstheme="minorHAnsi"/>
                <w:color w:val="000000" w:themeColor="text1"/>
              </w:rPr>
            </w:pPr>
            <w:r w:rsidRPr="0004280C">
              <w:rPr>
                <w:rFonts w:asciiTheme="minorHAnsi" w:hAnsiTheme="minorHAnsi" w:cstheme="minorHAnsi"/>
                <w:color w:val="000000" w:themeColor="text1"/>
              </w:rPr>
              <w:t>Females</w:t>
            </w:r>
          </w:p>
        </w:tc>
      </w:tr>
      <w:tr w:rsidR="00392601" w:rsidRPr="0004280C" w14:paraId="1879AECC" w14:textId="77777777" w:rsidTr="00111C9A">
        <w:trPr>
          <w:trHeight w:val="113"/>
        </w:trPr>
        <w:tc>
          <w:tcPr>
            <w:tcW w:w="2479" w:type="dxa"/>
          </w:tcPr>
          <w:p w14:paraId="3440BF3E" w14:textId="77777777" w:rsidR="00392601" w:rsidRPr="0004280C" w:rsidRDefault="00392601" w:rsidP="0041177B">
            <w:pPr>
              <w:jc w:val="center"/>
              <w:rPr>
                <w:rFonts w:asciiTheme="minorHAnsi" w:hAnsiTheme="minorHAnsi" w:cstheme="minorHAnsi"/>
                <w:color w:val="000000" w:themeColor="text1"/>
              </w:rPr>
            </w:pPr>
            <w:r w:rsidRPr="0004280C">
              <w:rPr>
                <w:rFonts w:cstheme="minorHAnsi"/>
                <w:noProof/>
                <w:color w:val="000000" w:themeColor="text1"/>
              </w:rPr>
              <w:drawing>
                <wp:inline distT="0" distB="0" distL="0" distR="0" wp14:anchorId="7A4F7BA2" wp14:editId="69893A9C">
                  <wp:extent cx="1644073" cy="1436400"/>
                  <wp:effectExtent l="0" t="0" r="0" b="0"/>
                  <wp:docPr id="1297782293" name="Picture 4"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782293" name="Picture 4" descr="A graph with numbers and a bar chart&#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44073" cy="1436400"/>
                          </a:xfrm>
                          <a:prstGeom prst="rect">
                            <a:avLst/>
                          </a:prstGeom>
                          <a:noFill/>
                        </pic:spPr>
                      </pic:pic>
                    </a:graphicData>
                  </a:graphic>
                </wp:inline>
              </w:drawing>
            </w:r>
          </w:p>
        </w:tc>
        <w:tc>
          <w:tcPr>
            <w:tcW w:w="3617" w:type="dxa"/>
          </w:tcPr>
          <w:p w14:paraId="32F57E86" w14:textId="77777777" w:rsidR="00392601" w:rsidRPr="0004280C" w:rsidRDefault="00392601" w:rsidP="0041177B">
            <w:pPr>
              <w:jc w:val="center"/>
              <w:rPr>
                <w:rFonts w:asciiTheme="minorHAnsi" w:hAnsiTheme="minorHAnsi" w:cstheme="minorHAnsi"/>
                <w:color w:val="000000" w:themeColor="text1"/>
              </w:rPr>
            </w:pPr>
            <w:r w:rsidRPr="0004280C">
              <w:rPr>
                <w:rFonts w:eastAsia="Times New Roman" w:cs="Times New Roman"/>
                <w:noProof/>
                <w:lang w:eastAsia="en-GB"/>
              </w:rPr>
              <w:drawing>
                <wp:inline distT="0" distB="0" distL="0" distR="0" wp14:anchorId="7C8AFB1F" wp14:editId="509A6B15">
                  <wp:extent cx="1644073" cy="1436400"/>
                  <wp:effectExtent l="0" t="0" r="0" b="0"/>
                  <wp:docPr id="284400210" name="Picture 5"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00210" name="Picture 5" descr="A graph with numbers and a bar chart&#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44073" cy="1436400"/>
                          </a:xfrm>
                          <a:prstGeom prst="rect">
                            <a:avLst/>
                          </a:prstGeom>
                          <a:noFill/>
                        </pic:spPr>
                      </pic:pic>
                    </a:graphicData>
                  </a:graphic>
                </wp:inline>
              </w:drawing>
            </w:r>
          </w:p>
        </w:tc>
        <w:tc>
          <w:tcPr>
            <w:tcW w:w="3119" w:type="dxa"/>
          </w:tcPr>
          <w:p w14:paraId="0F039BB9" w14:textId="77777777" w:rsidR="00392601" w:rsidRPr="0004280C" w:rsidRDefault="00392601" w:rsidP="0041177B">
            <w:pPr>
              <w:jc w:val="center"/>
              <w:rPr>
                <w:rFonts w:cstheme="minorHAnsi"/>
                <w:color w:val="000000" w:themeColor="text1"/>
              </w:rPr>
            </w:pPr>
            <w:r>
              <w:rPr>
                <w:rFonts w:eastAsia="Times New Roman" w:cs="Times New Roman"/>
                <w:noProof/>
                <w:lang w:eastAsia="en-GB"/>
              </w:rPr>
              <w:drawing>
                <wp:inline distT="0" distB="0" distL="0" distR="0" wp14:anchorId="37349942" wp14:editId="4F0ADA7F">
                  <wp:extent cx="1640827" cy="1436400"/>
                  <wp:effectExtent l="0" t="0" r="0" b="0"/>
                  <wp:docPr id="685594101" name="Picture 3"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594101" name="Picture 3" descr="A graph with numbers and a bar chart&#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40827" cy="1436400"/>
                          </a:xfrm>
                          <a:prstGeom prst="rect">
                            <a:avLst/>
                          </a:prstGeom>
                          <a:noFill/>
                        </pic:spPr>
                      </pic:pic>
                    </a:graphicData>
                  </a:graphic>
                </wp:inline>
              </w:drawing>
            </w:r>
          </w:p>
        </w:tc>
      </w:tr>
    </w:tbl>
    <w:p w14:paraId="0F33907E" w14:textId="77777777" w:rsidR="00392601" w:rsidRDefault="00392601" w:rsidP="00392601">
      <w:pPr>
        <w:spacing w:after="0"/>
        <w:sectPr w:rsidR="00392601" w:rsidSect="002746C0">
          <w:pgSz w:w="11906" w:h="16838"/>
          <w:pgMar w:top="1440" w:right="1440" w:bottom="1440" w:left="1440" w:header="708" w:footer="708" w:gutter="0"/>
          <w:cols w:space="708"/>
          <w:docGrid w:linePitch="360"/>
        </w:sectPr>
      </w:pPr>
    </w:p>
    <w:p w14:paraId="483AF715" w14:textId="1F4C9550" w:rsidR="00392601" w:rsidRPr="00C32002" w:rsidRDefault="00392601" w:rsidP="002F5530">
      <w:pPr>
        <w:pStyle w:val="Heading3"/>
        <w:spacing w:before="0" w:after="0"/>
      </w:pPr>
      <w:bookmarkStart w:id="79" w:name="_Toc197557047"/>
      <w:bookmarkStart w:id="80" w:name="_Toc201512441"/>
      <w:r w:rsidRPr="00C32002">
        <w:t>Trends over time</w:t>
      </w:r>
      <w:bookmarkEnd w:id="79"/>
      <w:bookmarkEnd w:id="80"/>
    </w:p>
    <w:p w14:paraId="1925BB25" w14:textId="37585CF9" w:rsidR="00392601" w:rsidRPr="00C32002" w:rsidRDefault="00392601" w:rsidP="002F5530">
      <w:pPr>
        <w:spacing w:after="0" w:line="240" w:lineRule="auto"/>
        <w:rPr>
          <w:rFonts w:cstheme="minorHAnsi"/>
        </w:rPr>
      </w:pPr>
      <w:r w:rsidRPr="00C32002">
        <w:rPr>
          <w:rFonts w:cstheme="minorHAnsi"/>
        </w:rPr>
        <w:t xml:space="preserve">Figure </w:t>
      </w:r>
      <w:r w:rsidR="002F5530">
        <w:rPr>
          <w:rFonts w:cstheme="minorHAnsi"/>
        </w:rPr>
        <w:t>5.2</w:t>
      </w:r>
      <w:r w:rsidRPr="00C32002">
        <w:rPr>
          <w:rFonts w:cstheme="minorHAnsi"/>
        </w:rPr>
        <w:t xml:space="preserve"> shows the incidence of oral cavity cancer from 1994 to 2022. Incidence decreased sharply </w:t>
      </w:r>
      <w:r>
        <w:rPr>
          <w:rFonts w:cstheme="minorHAnsi"/>
        </w:rPr>
        <w:t xml:space="preserve">by </w:t>
      </w:r>
      <w:r w:rsidR="00B7650D">
        <w:rPr>
          <w:rFonts w:cstheme="minorHAnsi"/>
        </w:rPr>
        <w:t>-</w:t>
      </w:r>
      <w:r>
        <w:rPr>
          <w:rFonts w:cstheme="minorHAnsi"/>
        </w:rPr>
        <w:t xml:space="preserve">7.7% per year </w:t>
      </w:r>
      <w:r w:rsidRPr="00C32002">
        <w:rPr>
          <w:rFonts w:cstheme="minorHAnsi"/>
        </w:rPr>
        <w:t>(95%CI -10.7; -4.6)</w:t>
      </w:r>
      <w:r>
        <w:rPr>
          <w:rFonts w:cstheme="minorHAnsi"/>
        </w:rPr>
        <w:t xml:space="preserve"> </w:t>
      </w:r>
      <w:r w:rsidRPr="00C32002">
        <w:rPr>
          <w:rFonts w:cstheme="minorHAnsi"/>
        </w:rPr>
        <w:t xml:space="preserve">for males from 1994 to 2001), before a period of steady increase from 2001 to 2022 (1.3 % increase per year (95%CI 0.7; 1.8)). Across the period rates increased steadily among </w:t>
      </w:r>
      <w:r w:rsidR="00BC7D1F">
        <w:rPr>
          <w:rFonts w:cstheme="minorHAnsi"/>
        </w:rPr>
        <w:t>females</w:t>
      </w:r>
      <w:r w:rsidRPr="00C32002">
        <w:rPr>
          <w:rFonts w:cstheme="minorHAnsi"/>
        </w:rPr>
        <w:t xml:space="preserve"> by 1.6% per year (95%CI 1.0; 2.3).</w:t>
      </w:r>
    </w:p>
    <w:p w14:paraId="57893E1A" w14:textId="77777777" w:rsidR="00392601" w:rsidRPr="00C32002" w:rsidRDefault="00392601" w:rsidP="002F5530">
      <w:pPr>
        <w:spacing w:after="0" w:line="240" w:lineRule="auto"/>
        <w:rPr>
          <w:rFonts w:cstheme="minorHAnsi"/>
        </w:rPr>
      </w:pPr>
      <w:r w:rsidRPr="00C32002">
        <w:rPr>
          <w:rFonts w:cstheme="minorHAnsi"/>
        </w:rPr>
        <w:t xml:space="preserve"> </w:t>
      </w:r>
    </w:p>
    <w:tbl>
      <w:tblPr>
        <w:tblStyle w:val="TableGrid"/>
        <w:tblW w:w="9644"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4"/>
      </w:tblGrid>
      <w:tr w:rsidR="00392601" w:rsidRPr="001F296E" w14:paraId="3C2E71C5" w14:textId="77777777" w:rsidTr="0041177B">
        <w:trPr>
          <w:trHeight w:val="399"/>
        </w:trPr>
        <w:tc>
          <w:tcPr>
            <w:tcW w:w="9644" w:type="dxa"/>
            <w:shd w:val="clear" w:color="auto" w:fill="002060"/>
            <w:vAlign w:val="center"/>
            <w:hideMark/>
          </w:tcPr>
          <w:p w14:paraId="4720461C" w14:textId="6B4079EB" w:rsidR="00392601" w:rsidRPr="001F296E" w:rsidRDefault="00392601" w:rsidP="002F5530">
            <w:pPr>
              <w:rPr>
                <w:rFonts w:asciiTheme="minorHAnsi" w:hAnsiTheme="minorHAnsi"/>
                <w:b/>
                <w:bCs/>
              </w:rPr>
            </w:pPr>
            <w:r w:rsidRPr="001F296E">
              <w:rPr>
                <w:rFonts w:asciiTheme="minorHAnsi" w:hAnsiTheme="minorHAnsi"/>
                <w:b/>
                <w:bCs/>
              </w:rPr>
              <w:t xml:space="preserve">Figure </w:t>
            </w:r>
            <w:r w:rsidR="002F5530">
              <w:rPr>
                <w:rFonts w:asciiTheme="minorHAnsi" w:hAnsiTheme="minorHAnsi"/>
                <w:b/>
                <w:bCs/>
              </w:rPr>
              <w:t>5.2:</w:t>
            </w:r>
            <w:r w:rsidRPr="001F296E">
              <w:rPr>
                <w:rFonts w:asciiTheme="minorHAnsi" w:hAnsiTheme="minorHAnsi"/>
                <w:b/>
                <w:bCs/>
              </w:rPr>
              <w:t xml:space="preserve"> Age-</w:t>
            </w:r>
            <w:r w:rsidRPr="001F296E">
              <w:rPr>
                <w:rFonts w:asciiTheme="minorHAnsi" w:hAnsiTheme="minorHAnsi"/>
                <w:b/>
                <w:bCs/>
                <w:bdr w:val="single" w:sz="4" w:space="0" w:color="auto" w:frame="1"/>
              </w:rPr>
              <w:t>standardised incidence rate 1994-2022, oral cavity</w:t>
            </w:r>
          </w:p>
        </w:tc>
      </w:tr>
      <w:tr w:rsidR="00392601" w:rsidRPr="001F296E" w14:paraId="1B621042" w14:textId="77777777" w:rsidTr="0041177B">
        <w:trPr>
          <w:trHeight w:val="2128"/>
        </w:trPr>
        <w:tc>
          <w:tcPr>
            <w:tcW w:w="9644" w:type="dxa"/>
            <w:vAlign w:val="center"/>
          </w:tcPr>
          <w:p w14:paraId="5CCF64FC" w14:textId="77777777" w:rsidR="00392601" w:rsidRPr="001F296E" w:rsidRDefault="00392601" w:rsidP="002F5530">
            <w:pPr>
              <w:jc w:val="center"/>
              <w:rPr>
                <w:rFonts w:asciiTheme="minorHAnsi" w:hAnsiTheme="minorHAnsi"/>
              </w:rPr>
            </w:pPr>
            <w:r>
              <w:rPr>
                <w:noProof/>
              </w:rPr>
              <w:drawing>
                <wp:inline distT="0" distB="0" distL="0" distR="0" wp14:anchorId="263F734A" wp14:editId="6E6D1A1E">
                  <wp:extent cx="5883275" cy="3084830"/>
                  <wp:effectExtent l="0" t="0" r="3175" b="1270"/>
                  <wp:docPr id="568160139" name="Picture 3" descr="A graph with blue and orang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160139" name="Picture 3" descr="A graph with blue and orange dots&#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83275" cy="3084830"/>
                          </a:xfrm>
                          <a:prstGeom prst="rect">
                            <a:avLst/>
                          </a:prstGeom>
                          <a:noFill/>
                        </pic:spPr>
                      </pic:pic>
                    </a:graphicData>
                  </a:graphic>
                </wp:inline>
              </w:drawing>
            </w:r>
          </w:p>
        </w:tc>
      </w:tr>
      <w:tr w:rsidR="00392601" w:rsidRPr="001F296E" w14:paraId="28186FF5" w14:textId="77777777" w:rsidTr="0041177B">
        <w:trPr>
          <w:trHeight w:val="806"/>
        </w:trPr>
        <w:tc>
          <w:tcPr>
            <w:tcW w:w="9644" w:type="dxa"/>
            <w:vAlign w:val="center"/>
          </w:tcPr>
          <w:tbl>
            <w:tblPr>
              <w:tblpPr w:leftFromText="180" w:rightFromText="180" w:bottomFromText="160" w:vertAnchor="page" w:horzAnchor="margin" w:tblpXSpec="center" w:tblpY="1"/>
              <w:tblOverlap w:val="never"/>
              <w:tblW w:w="0" w:type="auto"/>
              <w:tblLook w:val="04A0" w:firstRow="1" w:lastRow="0" w:firstColumn="1" w:lastColumn="0" w:noHBand="0" w:noVBand="1"/>
            </w:tblPr>
            <w:tblGrid>
              <w:gridCol w:w="530"/>
              <w:gridCol w:w="1180"/>
              <w:gridCol w:w="771"/>
              <w:gridCol w:w="1124"/>
              <w:gridCol w:w="732"/>
              <w:gridCol w:w="530"/>
              <w:gridCol w:w="1180"/>
              <w:gridCol w:w="771"/>
              <w:gridCol w:w="896"/>
              <w:gridCol w:w="706"/>
            </w:tblGrid>
            <w:tr w:rsidR="00392601" w:rsidRPr="00574207" w14:paraId="57E2BE5F" w14:textId="77777777" w:rsidTr="0041177B">
              <w:trPr>
                <w:trHeight w:val="153"/>
              </w:trPr>
              <w:tc>
                <w:tcPr>
                  <w:tcW w:w="0" w:type="auto"/>
                  <w:noWrap/>
                  <w:tcMar>
                    <w:top w:w="15" w:type="dxa"/>
                    <w:left w:w="108" w:type="dxa"/>
                    <w:bottom w:w="15" w:type="dxa"/>
                    <w:right w:w="108" w:type="dxa"/>
                  </w:tcMar>
                  <w:vAlign w:val="center"/>
                  <w:hideMark/>
                </w:tcPr>
                <w:p w14:paraId="1C167F5B" w14:textId="77777777" w:rsidR="00392601" w:rsidRPr="00574207" w:rsidRDefault="00392601" w:rsidP="002F5530">
                  <w:pPr>
                    <w:spacing w:after="0" w:line="240" w:lineRule="auto"/>
                    <w:jc w:val="center"/>
                    <w:rPr>
                      <w:rFonts w:ascii="Aptos" w:eastAsia="Times New Roman" w:hAnsi="Aptos" w:cs="Calibri"/>
                      <w:b/>
                      <w:bCs/>
                      <w:color w:val="000000"/>
                      <w:kern w:val="0"/>
                      <w:sz w:val="20"/>
                      <w:szCs w:val="20"/>
                      <w:u w:val="single"/>
                      <w:lang w:eastAsia="en-GB"/>
                      <w14:ligatures w14:val="none"/>
                    </w:rPr>
                  </w:pPr>
                  <w:r w:rsidRPr="00574207">
                    <w:rPr>
                      <w:rFonts w:ascii="Aptos" w:eastAsia="Times New Roman" w:hAnsi="Aptos" w:cs="Calibri"/>
                      <w:b/>
                      <w:bCs/>
                      <w:color w:val="000000"/>
                      <w:kern w:val="0"/>
                      <w:sz w:val="20"/>
                      <w:szCs w:val="20"/>
                      <w:u w:val="single"/>
                      <w:lang w:eastAsia="en-GB"/>
                      <w14:ligatures w14:val="none"/>
                    </w:rPr>
                    <w:t>sex</w:t>
                  </w:r>
                </w:p>
              </w:tc>
              <w:tc>
                <w:tcPr>
                  <w:tcW w:w="0" w:type="auto"/>
                  <w:noWrap/>
                  <w:tcMar>
                    <w:top w:w="15" w:type="dxa"/>
                    <w:left w:w="108" w:type="dxa"/>
                    <w:bottom w:w="15" w:type="dxa"/>
                    <w:right w:w="108" w:type="dxa"/>
                  </w:tcMar>
                  <w:vAlign w:val="center"/>
                  <w:hideMark/>
                </w:tcPr>
                <w:p w14:paraId="2620958F" w14:textId="77777777" w:rsidR="00392601" w:rsidRPr="00574207" w:rsidRDefault="00392601" w:rsidP="002F5530">
                  <w:pPr>
                    <w:spacing w:after="0" w:line="240" w:lineRule="auto"/>
                    <w:jc w:val="center"/>
                    <w:rPr>
                      <w:rFonts w:ascii="Aptos" w:eastAsia="Times New Roman" w:hAnsi="Aptos" w:cs="Calibri"/>
                      <w:b/>
                      <w:bCs/>
                      <w:color w:val="000000"/>
                      <w:kern w:val="0"/>
                      <w:sz w:val="20"/>
                      <w:szCs w:val="20"/>
                      <w:u w:val="single"/>
                      <w:lang w:eastAsia="en-GB"/>
                      <w14:ligatures w14:val="none"/>
                    </w:rPr>
                  </w:pPr>
                  <w:r w:rsidRPr="00574207">
                    <w:rPr>
                      <w:rFonts w:ascii="Aptos" w:eastAsia="Times New Roman" w:hAnsi="Aptos" w:cs="Calibri"/>
                      <w:b/>
                      <w:bCs/>
                      <w:color w:val="000000"/>
                      <w:kern w:val="0"/>
                      <w:sz w:val="20"/>
                      <w:szCs w:val="20"/>
                      <w:u w:val="single"/>
                      <w:lang w:eastAsia="en-GB"/>
                      <w14:ligatures w14:val="none"/>
                    </w:rPr>
                    <w:t>period</w:t>
                  </w:r>
                </w:p>
              </w:tc>
              <w:tc>
                <w:tcPr>
                  <w:tcW w:w="0" w:type="auto"/>
                  <w:noWrap/>
                  <w:tcMar>
                    <w:top w:w="15" w:type="dxa"/>
                    <w:left w:w="108" w:type="dxa"/>
                    <w:bottom w:w="15" w:type="dxa"/>
                    <w:right w:w="108" w:type="dxa"/>
                  </w:tcMar>
                  <w:vAlign w:val="center"/>
                  <w:hideMark/>
                </w:tcPr>
                <w:p w14:paraId="4B165E13" w14:textId="77777777" w:rsidR="00392601" w:rsidRPr="00574207" w:rsidRDefault="00392601" w:rsidP="002F5530">
                  <w:pPr>
                    <w:spacing w:after="0" w:line="240" w:lineRule="auto"/>
                    <w:jc w:val="center"/>
                    <w:rPr>
                      <w:rFonts w:ascii="Aptos" w:eastAsia="Times New Roman" w:hAnsi="Aptos" w:cs="Calibri"/>
                      <w:b/>
                      <w:bCs/>
                      <w:color w:val="000000"/>
                      <w:kern w:val="0"/>
                      <w:sz w:val="20"/>
                      <w:szCs w:val="20"/>
                      <w:u w:val="single"/>
                      <w:lang w:eastAsia="en-GB"/>
                      <w14:ligatures w14:val="none"/>
                    </w:rPr>
                  </w:pPr>
                  <w:r w:rsidRPr="00574207">
                    <w:rPr>
                      <w:rFonts w:ascii="Aptos" w:eastAsia="Times New Roman" w:hAnsi="Aptos" w:cs="Calibri"/>
                      <w:b/>
                      <w:bCs/>
                      <w:color w:val="000000"/>
                      <w:kern w:val="0"/>
                      <w:sz w:val="20"/>
                      <w:szCs w:val="20"/>
                      <w:u w:val="single"/>
                      <w:lang w:eastAsia="en-GB"/>
                      <w14:ligatures w14:val="none"/>
                    </w:rPr>
                    <w:t>APC%</w:t>
                  </w:r>
                </w:p>
              </w:tc>
              <w:tc>
                <w:tcPr>
                  <w:tcW w:w="0" w:type="auto"/>
                  <w:noWrap/>
                  <w:tcMar>
                    <w:top w:w="15" w:type="dxa"/>
                    <w:left w:w="108" w:type="dxa"/>
                    <w:bottom w:w="15" w:type="dxa"/>
                    <w:right w:w="108" w:type="dxa"/>
                  </w:tcMar>
                  <w:vAlign w:val="center"/>
                  <w:hideMark/>
                </w:tcPr>
                <w:p w14:paraId="3423D18D" w14:textId="77777777" w:rsidR="00392601" w:rsidRPr="00574207" w:rsidRDefault="00392601" w:rsidP="002F5530">
                  <w:pPr>
                    <w:spacing w:after="0" w:line="240" w:lineRule="auto"/>
                    <w:jc w:val="center"/>
                    <w:rPr>
                      <w:rFonts w:ascii="Aptos" w:eastAsia="Times New Roman" w:hAnsi="Aptos" w:cs="Calibri"/>
                      <w:b/>
                      <w:bCs/>
                      <w:color w:val="000000"/>
                      <w:kern w:val="0"/>
                      <w:sz w:val="20"/>
                      <w:szCs w:val="20"/>
                      <w:u w:val="single"/>
                      <w:lang w:eastAsia="en-GB"/>
                      <w14:ligatures w14:val="none"/>
                    </w:rPr>
                  </w:pPr>
                  <w:r w:rsidRPr="00574207">
                    <w:rPr>
                      <w:rFonts w:ascii="Aptos" w:eastAsia="Times New Roman" w:hAnsi="Aptos" w:cs="Calibri"/>
                      <w:b/>
                      <w:bCs/>
                      <w:color w:val="000000"/>
                      <w:kern w:val="0"/>
                      <w:sz w:val="20"/>
                      <w:szCs w:val="20"/>
                      <w:u w:val="single"/>
                      <w:lang w:eastAsia="en-GB"/>
                      <w14:ligatures w14:val="none"/>
                    </w:rPr>
                    <w:t>95%CI</w:t>
                  </w:r>
                </w:p>
              </w:tc>
              <w:tc>
                <w:tcPr>
                  <w:tcW w:w="0" w:type="auto"/>
                  <w:tcBorders>
                    <w:right w:val="single" w:sz="4" w:space="0" w:color="auto"/>
                  </w:tcBorders>
                  <w:noWrap/>
                  <w:tcMar>
                    <w:top w:w="15" w:type="dxa"/>
                    <w:left w:w="108" w:type="dxa"/>
                    <w:bottom w:w="15" w:type="dxa"/>
                    <w:right w:w="108" w:type="dxa"/>
                  </w:tcMar>
                  <w:vAlign w:val="center"/>
                  <w:hideMark/>
                </w:tcPr>
                <w:p w14:paraId="5D2ACF1C" w14:textId="77777777" w:rsidR="00392601" w:rsidRPr="00574207" w:rsidRDefault="00392601" w:rsidP="002F5530">
                  <w:pPr>
                    <w:spacing w:after="0" w:line="240" w:lineRule="auto"/>
                    <w:jc w:val="center"/>
                    <w:rPr>
                      <w:rFonts w:ascii="Aptos" w:eastAsia="Times New Roman" w:hAnsi="Aptos" w:cs="Calibri"/>
                      <w:b/>
                      <w:bCs/>
                      <w:color w:val="000000"/>
                      <w:kern w:val="0"/>
                      <w:sz w:val="20"/>
                      <w:szCs w:val="20"/>
                      <w:u w:val="single"/>
                      <w:lang w:eastAsia="en-GB"/>
                      <w14:ligatures w14:val="none"/>
                    </w:rPr>
                  </w:pPr>
                  <w:r w:rsidRPr="00574207">
                    <w:rPr>
                      <w:rFonts w:ascii="Aptos" w:eastAsia="Times New Roman" w:hAnsi="Aptos" w:cs="Calibri"/>
                      <w:b/>
                      <w:bCs/>
                      <w:color w:val="000000"/>
                      <w:kern w:val="0"/>
                      <w:sz w:val="20"/>
                      <w:szCs w:val="20"/>
                      <w:u w:val="single"/>
                      <w:lang w:eastAsia="en-GB"/>
                      <w14:ligatures w14:val="none"/>
                    </w:rPr>
                    <w:t>trend</w:t>
                  </w:r>
                </w:p>
              </w:tc>
              <w:tc>
                <w:tcPr>
                  <w:tcW w:w="0" w:type="auto"/>
                  <w:vAlign w:val="center"/>
                </w:tcPr>
                <w:p w14:paraId="4E584A8D" w14:textId="77777777" w:rsidR="00392601" w:rsidRPr="00574207" w:rsidRDefault="00392601" w:rsidP="002F5530">
                  <w:pPr>
                    <w:spacing w:after="0" w:line="240" w:lineRule="auto"/>
                    <w:jc w:val="center"/>
                    <w:rPr>
                      <w:rFonts w:ascii="Aptos" w:eastAsia="Times New Roman" w:hAnsi="Aptos" w:cs="Calibri"/>
                      <w:b/>
                      <w:bCs/>
                      <w:color w:val="000000"/>
                      <w:kern w:val="0"/>
                      <w:sz w:val="20"/>
                      <w:szCs w:val="20"/>
                      <w:u w:val="single"/>
                      <w:lang w:eastAsia="en-GB"/>
                      <w14:ligatures w14:val="none"/>
                    </w:rPr>
                  </w:pPr>
                  <w:r w:rsidRPr="00574207">
                    <w:rPr>
                      <w:rFonts w:ascii="Aptos" w:eastAsia="Times New Roman" w:hAnsi="Aptos" w:cs="Calibri"/>
                      <w:b/>
                      <w:bCs/>
                      <w:color w:val="000000"/>
                      <w:kern w:val="0"/>
                      <w:sz w:val="20"/>
                      <w:szCs w:val="20"/>
                      <w:u w:val="single"/>
                      <w:lang w:eastAsia="en-GB"/>
                      <w14:ligatures w14:val="none"/>
                    </w:rPr>
                    <w:t>sex</w:t>
                  </w:r>
                </w:p>
              </w:tc>
              <w:tc>
                <w:tcPr>
                  <w:tcW w:w="0" w:type="auto"/>
                  <w:vAlign w:val="center"/>
                </w:tcPr>
                <w:p w14:paraId="2C30D3D9" w14:textId="77777777" w:rsidR="00392601" w:rsidRPr="00574207" w:rsidRDefault="00392601" w:rsidP="002F5530">
                  <w:pPr>
                    <w:spacing w:after="0" w:line="240" w:lineRule="auto"/>
                    <w:jc w:val="center"/>
                    <w:rPr>
                      <w:rFonts w:ascii="Aptos" w:eastAsia="Times New Roman" w:hAnsi="Aptos" w:cs="Calibri"/>
                      <w:b/>
                      <w:bCs/>
                      <w:color w:val="000000"/>
                      <w:kern w:val="0"/>
                      <w:sz w:val="20"/>
                      <w:szCs w:val="20"/>
                      <w:u w:val="single"/>
                      <w:lang w:eastAsia="en-GB"/>
                      <w14:ligatures w14:val="none"/>
                    </w:rPr>
                  </w:pPr>
                  <w:r w:rsidRPr="00574207">
                    <w:rPr>
                      <w:rFonts w:ascii="Aptos" w:eastAsia="Times New Roman" w:hAnsi="Aptos" w:cs="Calibri"/>
                      <w:b/>
                      <w:bCs/>
                      <w:color w:val="000000"/>
                      <w:kern w:val="0"/>
                      <w:sz w:val="20"/>
                      <w:szCs w:val="20"/>
                      <w:u w:val="single"/>
                      <w:lang w:eastAsia="en-GB"/>
                      <w14:ligatures w14:val="none"/>
                    </w:rPr>
                    <w:t>period</w:t>
                  </w:r>
                </w:p>
              </w:tc>
              <w:tc>
                <w:tcPr>
                  <w:tcW w:w="0" w:type="auto"/>
                  <w:vAlign w:val="center"/>
                </w:tcPr>
                <w:p w14:paraId="683BF064" w14:textId="77777777" w:rsidR="00392601" w:rsidRPr="00574207" w:rsidRDefault="00392601" w:rsidP="002F5530">
                  <w:pPr>
                    <w:spacing w:after="0" w:line="240" w:lineRule="auto"/>
                    <w:jc w:val="center"/>
                    <w:rPr>
                      <w:rFonts w:ascii="Aptos" w:eastAsia="Times New Roman" w:hAnsi="Aptos" w:cs="Calibri"/>
                      <w:b/>
                      <w:bCs/>
                      <w:color w:val="000000"/>
                      <w:kern w:val="0"/>
                      <w:sz w:val="20"/>
                      <w:szCs w:val="20"/>
                      <w:u w:val="single"/>
                      <w:lang w:eastAsia="en-GB"/>
                      <w14:ligatures w14:val="none"/>
                    </w:rPr>
                  </w:pPr>
                  <w:r w:rsidRPr="00574207">
                    <w:rPr>
                      <w:rFonts w:ascii="Aptos" w:eastAsia="Times New Roman" w:hAnsi="Aptos" w:cs="Calibri"/>
                      <w:b/>
                      <w:bCs/>
                      <w:color w:val="000000"/>
                      <w:kern w:val="0"/>
                      <w:sz w:val="20"/>
                      <w:szCs w:val="20"/>
                      <w:u w:val="single"/>
                      <w:lang w:eastAsia="en-GB"/>
                      <w14:ligatures w14:val="none"/>
                    </w:rPr>
                    <w:t>APC%</w:t>
                  </w:r>
                </w:p>
              </w:tc>
              <w:tc>
                <w:tcPr>
                  <w:tcW w:w="0" w:type="auto"/>
                  <w:vAlign w:val="center"/>
                </w:tcPr>
                <w:p w14:paraId="5E820DE2" w14:textId="77777777" w:rsidR="00392601" w:rsidRPr="00574207" w:rsidRDefault="00392601" w:rsidP="002F5530">
                  <w:pPr>
                    <w:spacing w:after="0" w:line="240" w:lineRule="auto"/>
                    <w:jc w:val="center"/>
                    <w:rPr>
                      <w:rFonts w:ascii="Aptos" w:eastAsia="Times New Roman" w:hAnsi="Aptos" w:cs="Calibri"/>
                      <w:b/>
                      <w:bCs/>
                      <w:color w:val="000000"/>
                      <w:kern w:val="0"/>
                      <w:sz w:val="20"/>
                      <w:szCs w:val="20"/>
                      <w:u w:val="single"/>
                      <w:lang w:eastAsia="en-GB"/>
                      <w14:ligatures w14:val="none"/>
                    </w:rPr>
                  </w:pPr>
                  <w:r w:rsidRPr="00574207">
                    <w:rPr>
                      <w:rFonts w:ascii="Aptos" w:eastAsia="Times New Roman" w:hAnsi="Aptos" w:cs="Calibri"/>
                      <w:b/>
                      <w:bCs/>
                      <w:color w:val="000000"/>
                      <w:kern w:val="0"/>
                      <w:sz w:val="20"/>
                      <w:szCs w:val="20"/>
                      <w:u w:val="single"/>
                      <w:lang w:eastAsia="en-GB"/>
                      <w14:ligatures w14:val="none"/>
                    </w:rPr>
                    <w:t>95%CI</w:t>
                  </w:r>
                </w:p>
              </w:tc>
              <w:tc>
                <w:tcPr>
                  <w:tcW w:w="0" w:type="auto"/>
                  <w:vAlign w:val="center"/>
                </w:tcPr>
                <w:p w14:paraId="3E5B83F9" w14:textId="77777777" w:rsidR="00392601" w:rsidRPr="00574207" w:rsidRDefault="00392601" w:rsidP="002F5530">
                  <w:pPr>
                    <w:spacing w:after="0" w:line="240" w:lineRule="auto"/>
                    <w:jc w:val="center"/>
                    <w:rPr>
                      <w:rFonts w:ascii="Aptos" w:eastAsia="Times New Roman" w:hAnsi="Aptos" w:cs="Calibri"/>
                      <w:b/>
                      <w:bCs/>
                      <w:color w:val="000000"/>
                      <w:kern w:val="0"/>
                      <w:sz w:val="20"/>
                      <w:szCs w:val="20"/>
                      <w:u w:val="single"/>
                      <w:lang w:eastAsia="en-GB"/>
                      <w14:ligatures w14:val="none"/>
                    </w:rPr>
                  </w:pPr>
                  <w:r w:rsidRPr="00574207">
                    <w:rPr>
                      <w:rFonts w:ascii="Aptos" w:eastAsia="Times New Roman" w:hAnsi="Aptos" w:cs="Calibri"/>
                      <w:b/>
                      <w:bCs/>
                      <w:color w:val="000000"/>
                      <w:kern w:val="0"/>
                      <w:sz w:val="20"/>
                      <w:szCs w:val="20"/>
                      <w:u w:val="single"/>
                      <w:lang w:eastAsia="en-GB"/>
                      <w14:ligatures w14:val="none"/>
                    </w:rPr>
                    <w:t>trend</w:t>
                  </w:r>
                </w:p>
              </w:tc>
            </w:tr>
            <w:tr w:rsidR="00392601" w:rsidRPr="00574207" w14:paraId="649B841C" w14:textId="77777777" w:rsidTr="0041177B">
              <w:trPr>
                <w:trHeight w:val="153"/>
              </w:trPr>
              <w:tc>
                <w:tcPr>
                  <w:tcW w:w="0" w:type="auto"/>
                  <w:tcBorders>
                    <w:top w:val="nil"/>
                    <w:left w:val="nil"/>
                    <w:bottom w:val="nil"/>
                    <w:right w:val="nil"/>
                  </w:tcBorders>
                  <w:shd w:val="clear" w:color="auto" w:fill="auto"/>
                  <w:noWrap/>
                  <w:tcMar>
                    <w:top w:w="15" w:type="dxa"/>
                    <w:left w:w="108" w:type="dxa"/>
                    <w:bottom w:w="15" w:type="dxa"/>
                    <w:right w:w="108" w:type="dxa"/>
                  </w:tcMar>
                  <w:vAlign w:val="bottom"/>
                  <w:hideMark/>
                </w:tcPr>
                <w:p w14:paraId="30AE3754" w14:textId="77777777" w:rsidR="00392601" w:rsidRPr="00574207" w:rsidRDefault="00392601" w:rsidP="002F5530">
                  <w:pPr>
                    <w:spacing w:after="0" w:line="240" w:lineRule="auto"/>
                    <w:jc w:val="center"/>
                    <w:rPr>
                      <w:rFonts w:ascii="Aptos" w:eastAsia="Times New Roman" w:hAnsi="Aptos" w:cs="Calibri"/>
                      <w:color w:val="000000"/>
                      <w:kern w:val="0"/>
                      <w:sz w:val="20"/>
                      <w:szCs w:val="20"/>
                      <w:lang w:eastAsia="en-GB"/>
                      <w14:ligatures w14:val="none"/>
                    </w:rPr>
                  </w:pPr>
                  <w:r w:rsidRPr="00574207">
                    <w:rPr>
                      <w:rFonts w:ascii="Aptos" w:hAnsi="Aptos" w:cs="Calibri"/>
                      <w:color w:val="000000"/>
                      <w:sz w:val="20"/>
                      <w:szCs w:val="20"/>
                    </w:rPr>
                    <w:t>M </w:t>
                  </w:r>
                </w:p>
              </w:tc>
              <w:tc>
                <w:tcPr>
                  <w:tcW w:w="0" w:type="auto"/>
                  <w:tcBorders>
                    <w:top w:val="nil"/>
                    <w:left w:val="nil"/>
                    <w:bottom w:val="nil"/>
                    <w:right w:val="nil"/>
                  </w:tcBorders>
                  <w:shd w:val="clear" w:color="auto" w:fill="auto"/>
                  <w:noWrap/>
                  <w:tcMar>
                    <w:top w:w="15" w:type="dxa"/>
                    <w:left w:w="108" w:type="dxa"/>
                    <w:bottom w:w="15" w:type="dxa"/>
                    <w:right w:w="108" w:type="dxa"/>
                  </w:tcMar>
                  <w:vAlign w:val="bottom"/>
                  <w:hideMark/>
                </w:tcPr>
                <w:p w14:paraId="268D4BD0" w14:textId="77777777" w:rsidR="00392601" w:rsidRPr="00574207" w:rsidRDefault="00392601" w:rsidP="002F5530">
                  <w:pPr>
                    <w:spacing w:after="0" w:line="240" w:lineRule="auto"/>
                    <w:jc w:val="center"/>
                    <w:rPr>
                      <w:rFonts w:ascii="Aptos" w:eastAsia="Times New Roman" w:hAnsi="Aptos" w:cs="Calibri"/>
                      <w:color w:val="000000"/>
                      <w:kern w:val="0"/>
                      <w:sz w:val="20"/>
                      <w:szCs w:val="20"/>
                      <w:lang w:eastAsia="en-GB"/>
                      <w14:ligatures w14:val="none"/>
                    </w:rPr>
                  </w:pPr>
                  <w:r w:rsidRPr="00574207">
                    <w:rPr>
                      <w:rFonts w:ascii="Aptos" w:hAnsi="Aptos" w:cs="Calibri"/>
                      <w:color w:val="000000"/>
                      <w:sz w:val="20"/>
                      <w:szCs w:val="20"/>
                    </w:rPr>
                    <w:t>1994-2001 </w:t>
                  </w:r>
                </w:p>
              </w:tc>
              <w:tc>
                <w:tcPr>
                  <w:tcW w:w="0" w:type="auto"/>
                  <w:tcBorders>
                    <w:top w:val="nil"/>
                    <w:left w:val="nil"/>
                    <w:bottom w:val="nil"/>
                    <w:right w:val="nil"/>
                  </w:tcBorders>
                  <w:shd w:val="clear" w:color="auto" w:fill="auto"/>
                  <w:noWrap/>
                  <w:tcMar>
                    <w:top w:w="15" w:type="dxa"/>
                    <w:left w:w="108" w:type="dxa"/>
                    <w:bottom w:w="15" w:type="dxa"/>
                    <w:right w:w="108" w:type="dxa"/>
                  </w:tcMar>
                  <w:vAlign w:val="bottom"/>
                  <w:hideMark/>
                </w:tcPr>
                <w:p w14:paraId="15A22A2E" w14:textId="77777777" w:rsidR="00392601" w:rsidRPr="00574207" w:rsidRDefault="00392601" w:rsidP="002F5530">
                  <w:pPr>
                    <w:spacing w:after="0" w:line="240" w:lineRule="auto"/>
                    <w:jc w:val="center"/>
                    <w:rPr>
                      <w:rFonts w:ascii="Aptos" w:eastAsia="Times New Roman" w:hAnsi="Aptos" w:cs="Calibri"/>
                      <w:color w:val="000000"/>
                      <w:kern w:val="0"/>
                      <w:sz w:val="20"/>
                      <w:szCs w:val="20"/>
                      <w:lang w:eastAsia="en-GB"/>
                      <w14:ligatures w14:val="none"/>
                    </w:rPr>
                  </w:pPr>
                  <w:r w:rsidRPr="00574207">
                    <w:rPr>
                      <w:rFonts w:ascii="Aptos" w:hAnsi="Aptos" w:cs="Calibri"/>
                      <w:color w:val="000000"/>
                      <w:sz w:val="20"/>
                      <w:szCs w:val="20"/>
                    </w:rPr>
                    <w:t>-7.7 </w:t>
                  </w:r>
                </w:p>
              </w:tc>
              <w:tc>
                <w:tcPr>
                  <w:tcW w:w="0" w:type="auto"/>
                  <w:tcBorders>
                    <w:top w:val="nil"/>
                    <w:left w:val="nil"/>
                    <w:bottom w:val="nil"/>
                    <w:right w:val="nil"/>
                  </w:tcBorders>
                  <w:shd w:val="clear" w:color="auto" w:fill="auto"/>
                  <w:noWrap/>
                  <w:tcMar>
                    <w:top w:w="15" w:type="dxa"/>
                    <w:left w:w="108" w:type="dxa"/>
                    <w:bottom w:w="15" w:type="dxa"/>
                    <w:right w:w="108" w:type="dxa"/>
                  </w:tcMar>
                  <w:vAlign w:val="bottom"/>
                  <w:hideMark/>
                </w:tcPr>
                <w:p w14:paraId="0938E25C" w14:textId="77777777" w:rsidR="00392601" w:rsidRPr="00574207" w:rsidRDefault="00392601" w:rsidP="002F5530">
                  <w:pPr>
                    <w:spacing w:after="0" w:line="240" w:lineRule="auto"/>
                    <w:jc w:val="center"/>
                    <w:rPr>
                      <w:rFonts w:ascii="Aptos" w:eastAsia="Times New Roman" w:hAnsi="Aptos" w:cs="Calibri"/>
                      <w:color w:val="000000"/>
                      <w:kern w:val="0"/>
                      <w:sz w:val="20"/>
                      <w:szCs w:val="20"/>
                      <w:lang w:eastAsia="en-GB"/>
                      <w14:ligatures w14:val="none"/>
                    </w:rPr>
                  </w:pPr>
                  <w:r w:rsidRPr="00574207">
                    <w:rPr>
                      <w:rFonts w:ascii="Aptos" w:hAnsi="Aptos" w:cs="Calibri"/>
                      <w:color w:val="000000"/>
                      <w:sz w:val="20"/>
                      <w:szCs w:val="20"/>
                    </w:rPr>
                    <w:t>-10.7, -4.6 </w:t>
                  </w:r>
                </w:p>
              </w:tc>
              <w:tc>
                <w:tcPr>
                  <w:tcW w:w="0" w:type="auto"/>
                  <w:tcBorders>
                    <w:top w:val="nil"/>
                    <w:left w:val="nil"/>
                    <w:bottom w:val="nil"/>
                    <w:right w:val="single" w:sz="4" w:space="0" w:color="auto"/>
                  </w:tcBorders>
                  <w:shd w:val="clear" w:color="auto" w:fill="auto"/>
                  <w:noWrap/>
                  <w:tcMar>
                    <w:top w:w="15" w:type="dxa"/>
                    <w:left w:w="108" w:type="dxa"/>
                    <w:bottom w:w="15" w:type="dxa"/>
                    <w:right w:w="108" w:type="dxa"/>
                  </w:tcMar>
                  <w:vAlign w:val="bottom"/>
                  <w:hideMark/>
                </w:tcPr>
                <w:p w14:paraId="66508703" w14:textId="77777777" w:rsidR="00392601" w:rsidRPr="00574207" w:rsidRDefault="00392601" w:rsidP="002F5530">
                  <w:pPr>
                    <w:spacing w:after="0" w:line="240" w:lineRule="auto"/>
                    <w:jc w:val="center"/>
                    <w:rPr>
                      <w:rFonts w:ascii="Aptos" w:eastAsia="Times New Roman" w:hAnsi="Aptos" w:cs="Calibri"/>
                      <w:color w:val="000000"/>
                      <w:kern w:val="0"/>
                      <w:sz w:val="20"/>
                      <w:szCs w:val="20"/>
                      <w:lang w:eastAsia="en-GB"/>
                      <w14:ligatures w14:val="none"/>
                    </w:rPr>
                  </w:pPr>
                  <w:r w:rsidRPr="00574207">
                    <w:rPr>
                      <w:rFonts w:ascii="Aptos" w:hAnsi="Aptos" w:cs="Calibri"/>
                      <w:color w:val="000000"/>
                      <w:sz w:val="20"/>
                      <w:szCs w:val="20"/>
                    </w:rPr>
                    <w:t>down </w:t>
                  </w:r>
                </w:p>
              </w:tc>
              <w:tc>
                <w:tcPr>
                  <w:tcW w:w="0" w:type="auto"/>
                  <w:tcBorders>
                    <w:top w:val="nil"/>
                    <w:left w:val="single" w:sz="4" w:space="0" w:color="auto"/>
                    <w:bottom w:val="nil"/>
                    <w:right w:val="nil"/>
                  </w:tcBorders>
                  <w:vAlign w:val="bottom"/>
                </w:tcPr>
                <w:p w14:paraId="3A5862A5" w14:textId="77777777" w:rsidR="00392601" w:rsidRPr="00574207" w:rsidRDefault="00392601" w:rsidP="002F5530">
                  <w:pPr>
                    <w:spacing w:after="0" w:line="240" w:lineRule="auto"/>
                    <w:jc w:val="center"/>
                    <w:rPr>
                      <w:rFonts w:ascii="Aptos" w:hAnsi="Aptos" w:cs="Calibri"/>
                      <w:color w:val="000000"/>
                      <w:sz w:val="20"/>
                      <w:szCs w:val="20"/>
                    </w:rPr>
                  </w:pPr>
                  <w:r w:rsidRPr="00574207">
                    <w:rPr>
                      <w:rFonts w:ascii="Aptos" w:hAnsi="Aptos" w:cs="Calibri"/>
                      <w:color w:val="000000"/>
                      <w:sz w:val="20"/>
                      <w:szCs w:val="20"/>
                    </w:rPr>
                    <w:t>F </w:t>
                  </w:r>
                </w:p>
              </w:tc>
              <w:tc>
                <w:tcPr>
                  <w:tcW w:w="0" w:type="auto"/>
                  <w:tcBorders>
                    <w:top w:val="nil"/>
                    <w:left w:val="nil"/>
                    <w:bottom w:val="nil"/>
                    <w:right w:val="nil"/>
                  </w:tcBorders>
                  <w:vAlign w:val="bottom"/>
                </w:tcPr>
                <w:p w14:paraId="6BCD24A3" w14:textId="77777777" w:rsidR="00392601" w:rsidRPr="00574207" w:rsidRDefault="00392601" w:rsidP="002F5530">
                  <w:pPr>
                    <w:spacing w:after="0" w:line="240" w:lineRule="auto"/>
                    <w:jc w:val="center"/>
                    <w:rPr>
                      <w:rFonts w:ascii="Aptos" w:hAnsi="Aptos" w:cs="Calibri"/>
                      <w:color w:val="000000"/>
                      <w:sz w:val="20"/>
                      <w:szCs w:val="20"/>
                    </w:rPr>
                  </w:pPr>
                  <w:r w:rsidRPr="00574207">
                    <w:rPr>
                      <w:rFonts w:ascii="Aptos" w:hAnsi="Aptos" w:cs="Calibri"/>
                      <w:color w:val="000000"/>
                      <w:sz w:val="20"/>
                      <w:szCs w:val="20"/>
                    </w:rPr>
                    <w:t>1994-2022 </w:t>
                  </w:r>
                </w:p>
              </w:tc>
              <w:tc>
                <w:tcPr>
                  <w:tcW w:w="0" w:type="auto"/>
                  <w:tcBorders>
                    <w:top w:val="nil"/>
                    <w:left w:val="nil"/>
                    <w:bottom w:val="nil"/>
                    <w:right w:val="nil"/>
                  </w:tcBorders>
                  <w:vAlign w:val="bottom"/>
                </w:tcPr>
                <w:p w14:paraId="3803731B" w14:textId="77777777" w:rsidR="00392601" w:rsidRPr="00574207" w:rsidRDefault="00392601" w:rsidP="002F5530">
                  <w:pPr>
                    <w:spacing w:after="0" w:line="240" w:lineRule="auto"/>
                    <w:jc w:val="center"/>
                    <w:rPr>
                      <w:rFonts w:ascii="Aptos" w:hAnsi="Aptos" w:cs="Calibri"/>
                      <w:color w:val="000000"/>
                      <w:sz w:val="20"/>
                      <w:szCs w:val="20"/>
                    </w:rPr>
                  </w:pPr>
                  <w:r w:rsidRPr="00574207">
                    <w:rPr>
                      <w:rFonts w:ascii="Aptos" w:hAnsi="Aptos" w:cs="Calibri"/>
                      <w:color w:val="000000"/>
                      <w:sz w:val="20"/>
                      <w:szCs w:val="20"/>
                    </w:rPr>
                    <w:t>1.6 </w:t>
                  </w:r>
                </w:p>
              </w:tc>
              <w:tc>
                <w:tcPr>
                  <w:tcW w:w="0" w:type="auto"/>
                  <w:tcBorders>
                    <w:top w:val="nil"/>
                    <w:left w:val="nil"/>
                    <w:bottom w:val="nil"/>
                    <w:right w:val="nil"/>
                  </w:tcBorders>
                  <w:vAlign w:val="bottom"/>
                </w:tcPr>
                <w:p w14:paraId="7763B03E" w14:textId="77777777" w:rsidR="00392601" w:rsidRPr="00574207" w:rsidRDefault="00392601" w:rsidP="002F5530">
                  <w:pPr>
                    <w:spacing w:after="0" w:line="240" w:lineRule="auto"/>
                    <w:jc w:val="center"/>
                    <w:rPr>
                      <w:rFonts w:ascii="Aptos" w:hAnsi="Aptos" w:cs="Calibri"/>
                      <w:color w:val="000000"/>
                      <w:sz w:val="20"/>
                      <w:szCs w:val="20"/>
                    </w:rPr>
                  </w:pPr>
                  <w:r w:rsidRPr="00574207">
                    <w:rPr>
                      <w:rFonts w:ascii="Aptos" w:hAnsi="Aptos" w:cs="Calibri"/>
                      <w:color w:val="000000"/>
                      <w:sz w:val="20"/>
                      <w:szCs w:val="20"/>
                    </w:rPr>
                    <w:t>1.0, 2.3 </w:t>
                  </w:r>
                </w:p>
              </w:tc>
              <w:tc>
                <w:tcPr>
                  <w:tcW w:w="0" w:type="auto"/>
                  <w:tcBorders>
                    <w:top w:val="nil"/>
                    <w:left w:val="nil"/>
                    <w:bottom w:val="nil"/>
                  </w:tcBorders>
                  <w:vAlign w:val="bottom"/>
                </w:tcPr>
                <w:p w14:paraId="466D27C5" w14:textId="77777777" w:rsidR="00392601" w:rsidRPr="00574207" w:rsidRDefault="00392601" w:rsidP="002F5530">
                  <w:pPr>
                    <w:spacing w:after="0" w:line="240" w:lineRule="auto"/>
                    <w:jc w:val="center"/>
                    <w:rPr>
                      <w:rFonts w:ascii="Aptos" w:hAnsi="Aptos" w:cs="Calibri"/>
                      <w:color w:val="000000"/>
                      <w:sz w:val="20"/>
                      <w:szCs w:val="20"/>
                    </w:rPr>
                  </w:pPr>
                  <w:r w:rsidRPr="00574207">
                    <w:rPr>
                      <w:rFonts w:ascii="Aptos" w:hAnsi="Aptos" w:cs="Calibri"/>
                      <w:color w:val="000000"/>
                      <w:sz w:val="20"/>
                      <w:szCs w:val="20"/>
                    </w:rPr>
                    <w:t>up </w:t>
                  </w:r>
                </w:p>
              </w:tc>
            </w:tr>
            <w:tr w:rsidR="00392601" w:rsidRPr="00574207" w14:paraId="279EBAEA" w14:textId="77777777" w:rsidTr="0041177B">
              <w:trPr>
                <w:trHeight w:val="153"/>
              </w:trPr>
              <w:tc>
                <w:tcPr>
                  <w:tcW w:w="0" w:type="auto"/>
                  <w:tcBorders>
                    <w:top w:val="nil"/>
                    <w:left w:val="nil"/>
                    <w:bottom w:val="nil"/>
                    <w:right w:val="nil"/>
                  </w:tcBorders>
                  <w:shd w:val="clear" w:color="auto" w:fill="auto"/>
                  <w:noWrap/>
                  <w:tcMar>
                    <w:top w:w="15" w:type="dxa"/>
                    <w:left w:w="108" w:type="dxa"/>
                    <w:bottom w:w="15" w:type="dxa"/>
                    <w:right w:w="108" w:type="dxa"/>
                  </w:tcMar>
                  <w:vAlign w:val="bottom"/>
                </w:tcPr>
                <w:p w14:paraId="3D281451" w14:textId="77777777" w:rsidR="00392601" w:rsidRPr="00574207" w:rsidRDefault="00392601" w:rsidP="002F5530">
                  <w:pPr>
                    <w:spacing w:after="0" w:line="240" w:lineRule="auto"/>
                    <w:jc w:val="center"/>
                    <w:rPr>
                      <w:rFonts w:ascii="Aptos" w:eastAsia="Times New Roman" w:hAnsi="Aptos" w:cs="Calibri"/>
                      <w:color w:val="000000"/>
                      <w:kern w:val="0"/>
                      <w:sz w:val="20"/>
                      <w:szCs w:val="20"/>
                      <w:lang w:eastAsia="en-GB"/>
                      <w14:ligatures w14:val="none"/>
                    </w:rPr>
                  </w:pPr>
                </w:p>
              </w:tc>
              <w:tc>
                <w:tcPr>
                  <w:tcW w:w="0" w:type="auto"/>
                  <w:tcBorders>
                    <w:top w:val="nil"/>
                    <w:left w:val="nil"/>
                    <w:bottom w:val="nil"/>
                    <w:right w:val="nil"/>
                  </w:tcBorders>
                  <w:shd w:val="clear" w:color="auto" w:fill="auto"/>
                  <w:noWrap/>
                  <w:tcMar>
                    <w:top w:w="15" w:type="dxa"/>
                    <w:left w:w="108" w:type="dxa"/>
                    <w:bottom w:w="15" w:type="dxa"/>
                    <w:right w:w="108" w:type="dxa"/>
                  </w:tcMar>
                  <w:vAlign w:val="bottom"/>
                </w:tcPr>
                <w:p w14:paraId="45A041B7" w14:textId="77777777" w:rsidR="00392601" w:rsidRPr="00574207" w:rsidRDefault="00392601" w:rsidP="002F5530">
                  <w:pPr>
                    <w:spacing w:after="0" w:line="240" w:lineRule="auto"/>
                    <w:jc w:val="center"/>
                    <w:rPr>
                      <w:rFonts w:ascii="Aptos" w:eastAsia="Times New Roman" w:hAnsi="Aptos" w:cs="Calibri"/>
                      <w:color w:val="000000"/>
                      <w:kern w:val="0"/>
                      <w:sz w:val="20"/>
                      <w:szCs w:val="20"/>
                      <w:lang w:eastAsia="en-GB"/>
                      <w14:ligatures w14:val="none"/>
                    </w:rPr>
                  </w:pPr>
                  <w:r w:rsidRPr="00574207">
                    <w:rPr>
                      <w:rFonts w:ascii="Aptos" w:hAnsi="Aptos" w:cs="Calibri"/>
                      <w:color w:val="000000"/>
                      <w:sz w:val="20"/>
                      <w:szCs w:val="20"/>
                    </w:rPr>
                    <w:t>2001-2022 </w:t>
                  </w:r>
                </w:p>
              </w:tc>
              <w:tc>
                <w:tcPr>
                  <w:tcW w:w="0" w:type="auto"/>
                  <w:tcBorders>
                    <w:top w:val="nil"/>
                    <w:left w:val="nil"/>
                    <w:bottom w:val="nil"/>
                    <w:right w:val="nil"/>
                  </w:tcBorders>
                  <w:shd w:val="clear" w:color="auto" w:fill="auto"/>
                  <w:noWrap/>
                  <w:tcMar>
                    <w:top w:w="15" w:type="dxa"/>
                    <w:left w:w="108" w:type="dxa"/>
                    <w:bottom w:w="15" w:type="dxa"/>
                    <w:right w:w="108" w:type="dxa"/>
                  </w:tcMar>
                  <w:vAlign w:val="bottom"/>
                </w:tcPr>
                <w:p w14:paraId="3005DE9A" w14:textId="77777777" w:rsidR="00392601" w:rsidRPr="00574207" w:rsidRDefault="00392601" w:rsidP="002F5530">
                  <w:pPr>
                    <w:spacing w:after="0" w:line="240" w:lineRule="auto"/>
                    <w:jc w:val="center"/>
                    <w:rPr>
                      <w:rFonts w:ascii="Aptos" w:eastAsia="Times New Roman" w:hAnsi="Aptos" w:cs="Calibri"/>
                      <w:color w:val="000000"/>
                      <w:kern w:val="0"/>
                      <w:sz w:val="20"/>
                      <w:szCs w:val="20"/>
                      <w:lang w:eastAsia="en-GB"/>
                      <w14:ligatures w14:val="none"/>
                    </w:rPr>
                  </w:pPr>
                  <w:r w:rsidRPr="00574207">
                    <w:rPr>
                      <w:rFonts w:ascii="Aptos" w:hAnsi="Aptos" w:cs="Calibri"/>
                      <w:color w:val="000000"/>
                      <w:sz w:val="20"/>
                      <w:szCs w:val="20"/>
                    </w:rPr>
                    <w:t>1.3 </w:t>
                  </w:r>
                </w:p>
              </w:tc>
              <w:tc>
                <w:tcPr>
                  <w:tcW w:w="0" w:type="auto"/>
                  <w:tcBorders>
                    <w:top w:val="nil"/>
                    <w:left w:val="nil"/>
                    <w:bottom w:val="nil"/>
                    <w:right w:val="nil"/>
                  </w:tcBorders>
                  <w:shd w:val="clear" w:color="auto" w:fill="auto"/>
                  <w:noWrap/>
                  <w:tcMar>
                    <w:top w:w="15" w:type="dxa"/>
                    <w:left w:w="108" w:type="dxa"/>
                    <w:bottom w:w="15" w:type="dxa"/>
                    <w:right w:w="108" w:type="dxa"/>
                  </w:tcMar>
                  <w:vAlign w:val="bottom"/>
                </w:tcPr>
                <w:p w14:paraId="6C397A9B" w14:textId="77777777" w:rsidR="00392601" w:rsidRPr="00574207" w:rsidRDefault="00392601" w:rsidP="002F5530">
                  <w:pPr>
                    <w:spacing w:after="0" w:line="240" w:lineRule="auto"/>
                    <w:jc w:val="center"/>
                    <w:rPr>
                      <w:rFonts w:ascii="Aptos" w:eastAsia="Times New Roman" w:hAnsi="Aptos" w:cs="Calibri"/>
                      <w:color w:val="000000"/>
                      <w:kern w:val="0"/>
                      <w:sz w:val="20"/>
                      <w:szCs w:val="20"/>
                      <w:lang w:eastAsia="en-GB"/>
                      <w14:ligatures w14:val="none"/>
                    </w:rPr>
                  </w:pPr>
                  <w:r w:rsidRPr="00574207">
                    <w:rPr>
                      <w:rFonts w:ascii="Aptos" w:hAnsi="Aptos" w:cs="Calibri"/>
                      <w:color w:val="000000"/>
                      <w:sz w:val="20"/>
                      <w:szCs w:val="20"/>
                    </w:rPr>
                    <w:t>0.7, 1.8 </w:t>
                  </w:r>
                </w:p>
              </w:tc>
              <w:tc>
                <w:tcPr>
                  <w:tcW w:w="0" w:type="auto"/>
                  <w:tcBorders>
                    <w:top w:val="nil"/>
                    <w:left w:val="nil"/>
                    <w:bottom w:val="nil"/>
                    <w:right w:val="single" w:sz="4" w:space="0" w:color="auto"/>
                  </w:tcBorders>
                  <w:shd w:val="clear" w:color="auto" w:fill="auto"/>
                  <w:noWrap/>
                  <w:tcMar>
                    <w:top w:w="15" w:type="dxa"/>
                    <w:left w:w="108" w:type="dxa"/>
                    <w:bottom w:w="15" w:type="dxa"/>
                    <w:right w:w="108" w:type="dxa"/>
                  </w:tcMar>
                  <w:vAlign w:val="bottom"/>
                </w:tcPr>
                <w:p w14:paraId="74218324" w14:textId="77777777" w:rsidR="00392601" w:rsidRPr="00574207" w:rsidRDefault="00392601" w:rsidP="002F5530">
                  <w:pPr>
                    <w:spacing w:after="0" w:line="240" w:lineRule="auto"/>
                    <w:jc w:val="center"/>
                    <w:rPr>
                      <w:rFonts w:ascii="Aptos" w:eastAsia="Times New Roman" w:hAnsi="Aptos" w:cs="Calibri"/>
                      <w:color w:val="000000"/>
                      <w:kern w:val="0"/>
                      <w:sz w:val="20"/>
                      <w:szCs w:val="20"/>
                      <w:lang w:eastAsia="en-GB"/>
                      <w14:ligatures w14:val="none"/>
                    </w:rPr>
                  </w:pPr>
                  <w:r w:rsidRPr="00574207">
                    <w:rPr>
                      <w:rFonts w:ascii="Aptos" w:hAnsi="Aptos" w:cs="Calibri"/>
                      <w:color w:val="000000"/>
                      <w:sz w:val="20"/>
                      <w:szCs w:val="20"/>
                    </w:rPr>
                    <w:t>up </w:t>
                  </w:r>
                </w:p>
              </w:tc>
              <w:tc>
                <w:tcPr>
                  <w:tcW w:w="0" w:type="auto"/>
                  <w:tcBorders>
                    <w:top w:val="nil"/>
                    <w:left w:val="single" w:sz="4" w:space="0" w:color="auto"/>
                    <w:bottom w:val="nil"/>
                    <w:right w:val="nil"/>
                  </w:tcBorders>
                </w:tcPr>
                <w:p w14:paraId="44B0FF94" w14:textId="77777777" w:rsidR="00392601" w:rsidRPr="00574207" w:rsidRDefault="00392601" w:rsidP="002F5530">
                  <w:pPr>
                    <w:spacing w:after="0" w:line="240" w:lineRule="auto"/>
                    <w:jc w:val="center"/>
                    <w:rPr>
                      <w:rFonts w:ascii="Aptos" w:hAnsi="Aptos" w:cs="Calibri"/>
                      <w:color w:val="000000"/>
                      <w:sz w:val="20"/>
                      <w:szCs w:val="20"/>
                    </w:rPr>
                  </w:pPr>
                </w:p>
              </w:tc>
              <w:tc>
                <w:tcPr>
                  <w:tcW w:w="0" w:type="auto"/>
                  <w:tcBorders>
                    <w:top w:val="nil"/>
                    <w:left w:val="nil"/>
                    <w:bottom w:val="nil"/>
                    <w:right w:val="nil"/>
                  </w:tcBorders>
                </w:tcPr>
                <w:p w14:paraId="5549A236" w14:textId="77777777" w:rsidR="00392601" w:rsidRPr="00574207" w:rsidRDefault="00392601" w:rsidP="002F5530">
                  <w:pPr>
                    <w:spacing w:after="0" w:line="240" w:lineRule="auto"/>
                    <w:jc w:val="center"/>
                    <w:rPr>
                      <w:rFonts w:ascii="Aptos" w:hAnsi="Aptos" w:cs="Calibri"/>
                      <w:color w:val="000000"/>
                      <w:sz w:val="20"/>
                      <w:szCs w:val="20"/>
                    </w:rPr>
                  </w:pPr>
                </w:p>
              </w:tc>
              <w:tc>
                <w:tcPr>
                  <w:tcW w:w="0" w:type="auto"/>
                  <w:tcBorders>
                    <w:top w:val="nil"/>
                    <w:left w:val="nil"/>
                    <w:bottom w:val="nil"/>
                    <w:right w:val="nil"/>
                  </w:tcBorders>
                </w:tcPr>
                <w:p w14:paraId="04E0DC78" w14:textId="77777777" w:rsidR="00392601" w:rsidRPr="00574207" w:rsidRDefault="00392601" w:rsidP="002F5530">
                  <w:pPr>
                    <w:spacing w:after="0" w:line="240" w:lineRule="auto"/>
                    <w:jc w:val="center"/>
                    <w:rPr>
                      <w:rFonts w:ascii="Aptos" w:hAnsi="Aptos" w:cs="Calibri"/>
                      <w:color w:val="000000"/>
                      <w:sz w:val="20"/>
                      <w:szCs w:val="20"/>
                    </w:rPr>
                  </w:pPr>
                </w:p>
              </w:tc>
              <w:tc>
                <w:tcPr>
                  <w:tcW w:w="0" w:type="auto"/>
                  <w:tcBorders>
                    <w:top w:val="nil"/>
                    <w:left w:val="nil"/>
                    <w:bottom w:val="nil"/>
                    <w:right w:val="nil"/>
                  </w:tcBorders>
                </w:tcPr>
                <w:p w14:paraId="41769BD2" w14:textId="77777777" w:rsidR="00392601" w:rsidRPr="00574207" w:rsidRDefault="00392601" w:rsidP="002F5530">
                  <w:pPr>
                    <w:spacing w:after="0" w:line="240" w:lineRule="auto"/>
                    <w:jc w:val="center"/>
                    <w:rPr>
                      <w:rFonts w:ascii="Aptos" w:hAnsi="Aptos" w:cs="Calibri"/>
                      <w:color w:val="000000"/>
                      <w:sz w:val="20"/>
                      <w:szCs w:val="20"/>
                    </w:rPr>
                  </w:pPr>
                </w:p>
              </w:tc>
              <w:tc>
                <w:tcPr>
                  <w:tcW w:w="0" w:type="auto"/>
                  <w:tcBorders>
                    <w:top w:val="nil"/>
                    <w:left w:val="nil"/>
                    <w:bottom w:val="nil"/>
                    <w:right w:val="nil"/>
                  </w:tcBorders>
                </w:tcPr>
                <w:p w14:paraId="7E4491EA" w14:textId="77777777" w:rsidR="00392601" w:rsidRPr="00574207" w:rsidRDefault="00392601" w:rsidP="002F5530">
                  <w:pPr>
                    <w:spacing w:after="0" w:line="240" w:lineRule="auto"/>
                    <w:jc w:val="center"/>
                    <w:rPr>
                      <w:rFonts w:ascii="Aptos" w:hAnsi="Aptos" w:cs="Calibri"/>
                      <w:color w:val="000000"/>
                      <w:sz w:val="20"/>
                      <w:szCs w:val="20"/>
                    </w:rPr>
                  </w:pPr>
                </w:p>
              </w:tc>
            </w:tr>
          </w:tbl>
          <w:p w14:paraId="0F75750F" w14:textId="77777777" w:rsidR="00392601" w:rsidRPr="001F296E" w:rsidDel="008A25B6" w:rsidRDefault="00392601" w:rsidP="002F5530">
            <w:pPr>
              <w:jc w:val="center"/>
              <w:rPr>
                <w:rFonts w:ascii="Calibri" w:eastAsia="Times New Roman" w:hAnsi="Calibri" w:cs="Calibri"/>
                <w:b/>
                <w:bCs/>
                <w:color w:val="000000"/>
                <w:sz w:val="14"/>
                <w:szCs w:val="14"/>
                <w:u w:val="single"/>
                <w:lang w:eastAsia="en-GB"/>
              </w:rPr>
            </w:pPr>
          </w:p>
        </w:tc>
      </w:tr>
      <w:tr w:rsidR="00392601" w:rsidRPr="001F296E" w14:paraId="32C30C7C" w14:textId="77777777" w:rsidTr="0041177B">
        <w:trPr>
          <w:trHeight w:val="1183"/>
        </w:trPr>
        <w:tc>
          <w:tcPr>
            <w:tcW w:w="9644" w:type="dxa"/>
            <w:vAlign w:val="center"/>
          </w:tcPr>
          <w:p w14:paraId="4C8BC3A0" w14:textId="77777777" w:rsidR="00392601" w:rsidRPr="001F296E" w:rsidRDefault="00392601" w:rsidP="002F5530">
            <w:pPr>
              <w:pBdr>
                <w:bottom w:val="single" w:sz="4" w:space="1" w:color="auto"/>
              </w:pBdr>
              <w:rPr>
                <w:rFonts w:asciiTheme="minorHAnsi" w:hAnsiTheme="minorHAnsi"/>
                <w:bCs/>
                <w:sz w:val="18"/>
                <w:szCs w:val="16"/>
              </w:rPr>
            </w:pPr>
            <w:r w:rsidRPr="001F296E">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28DC9EC1" w14:textId="77777777" w:rsidR="00392601" w:rsidRPr="001F296E" w:rsidRDefault="00392601" w:rsidP="002F5530">
            <w:pPr>
              <w:rPr>
                <w:rFonts w:asciiTheme="minorHAnsi" w:hAnsiTheme="minorHAnsi"/>
                <w:b/>
                <w:bCs/>
                <w:noProof/>
                <w:sz w:val="14"/>
                <w:szCs w:val="14"/>
                <w:u w:val="single"/>
              </w:rPr>
            </w:pPr>
          </w:p>
        </w:tc>
      </w:tr>
    </w:tbl>
    <w:p w14:paraId="7FC2B7A0" w14:textId="77777777" w:rsidR="00392601" w:rsidRPr="00C32002" w:rsidRDefault="00392601" w:rsidP="00392601">
      <w:pPr>
        <w:spacing w:after="0"/>
      </w:pPr>
    </w:p>
    <w:p w14:paraId="6C0B795F" w14:textId="77777777" w:rsidR="00392601" w:rsidRPr="00C32002" w:rsidRDefault="00392601" w:rsidP="00392601">
      <w:pPr>
        <w:spacing w:after="0"/>
        <w:sectPr w:rsidR="00392601" w:rsidRPr="00C32002" w:rsidSect="002746C0">
          <w:pgSz w:w="11906" w:h="16838"/>
          <w:pgMar w:top="1440" w:right="1440" w:bottom="1440" w:left="1440" w:header="708" w:footer="708" w:gutter="0"/>
          <w:cols w:space="708"/>
          <w:docGrid w:linePitch="360"/>
        </w:sectPr>
      </w:pPr>
    </w:p>
    <w:p w14:paraId="0F3C2248" w14:textId="77777777" w:rsidR="00392601" w:rsidRPr="00C32002" w:rsidRDefault="00392601" w:rsidP="002F5530">
      <w:pPr>
        <w:pStyle w:val="Heading3"/>
        <w:spacing w:before="0" w:after="0"/>
      </w:pPr>
      <w:bookmarkStart w:id="81" w:name="_Toc197557048"/>
      <w:bookmarkStart w:id="82" w:name="_Toc201512442"/>
      <w:r w:rsidRPr="00C32002">
        <w:t>Variation by deprivation quintile</w:t>
      </w:r>
      <w:bookmarkEnd w:id="81"/>
      <w:bookmarkEnd w:id="82"/>
    </w:p>
    <w:p w14:paraId="10FBE5DF" w14:textId="08E2306C" w:rsidR="00392601" w:rsidRDefault="00392601" w:rsidP="002F5530">
      <w:pPr>
        <w:spacing w:after="0" w:line="240" w:lineRule="auto"/>
        <w:rPr>
          <w:rFonts w:cstheme="minorHAnsi"/>
          <w:color w:val="000000" w:themeColor="text1"/>
        </w:rPr>
      </w:pPr>
      <w:r w:rsidRPr="00C32002">
        <w:rPr>
          <w:rFonts w:cstheme="minorHAnsi"/>
          <w:color w:val="000000" w:themeColor="text1"/>
        </w:rPr>
        <w:t xml:space="preserve">Age-standardised incidence rates of </w:t>
      </w:r>
      <w:r w:rsidRPr="00C32002">
        <w:rPr>
          <w:rFonts w:cstheme="minorHAnsi"/>
        </w:rPr>
        <w:t xml:space="preserve">oral cavity cancer </w:t>
      </w:r>
      <w:r w:rsidRPr="00C32002">
        <w:rPr>
          <w:rFonts w:cstheme="minorHAnsi"/>
          <w:color w:val="000000" w:themeColor="text1"/>
        </w:rPr>
        <w:t xml:space="preserve">in 2014-2018 ranged </w:t>
      </w:r>
      <w:r>
        <w:rPr>
          <w:rFonts w:cstheme="minorHAnsi"/>
          <w:color w:val="000000" w:themeColor="text1"/>
        </w:rPr>
        <w:t xml:space="preserve">between </w:t>
      </w:r>
      <w:r w:rsidRPr="00C32002">
        <w:rPr>
          <w:rFonts w:cstheme="minorHAnsi"/>
          <w:color w:val="000000" w:themeColor="text1"/>
        </w:rPr>
        <w:t>5.7</w:t>
      </w:r>
      <w:r w:rsidR="006B201E">
        <w:rPr>
          <w:rFonts w:cstheme="minorHAnsi"/>
          <w:color w:val="000000" w:themeColor="text1"/>
        </w:rPr>
        <w:t xml:space="preserve"> to </w:t>
      </w:r>
      <w:r w:rsidRPr="00C32002">
        <w:rPr>
          <w:rFonts w:cstheme="minorHAnsi"/>
          <w:color w:val="000000" w:themeColor="text1"/>
        </w:rPr>
        <w:t>10.</w:t>
      </w:r>
      <w:r>
        <w:rPr>
          <w:rFonts w:cstheme="minorHAnsi"/>
          <w:color w:val="000000" w:themeColor="text1"/>
        </w:rPr>
        <w:t>2</w:t>
      </w:r>
      <w:r w:rsidRPr="00C32002">
        <w:rPr>
          <w:rFonts w:cstheme="minorHAnsi"/>
          <w:color w:val="000000" w:themeColor="text1"/>
        </w:rPr>
        <w:t xml:space="preserve"> cases per 100,000 from the least to the most deprived quintiles (Figure </w:t>
      </w:r>
      <w:r w:rsidR="002F5530">
        <w:rPr>
          <w:rFonts w:cstheme="minorHAnsi"/>
          <w:color w:val="000000" w:themeColor="text1"/>
        </w:rPr>
        <w:t>5.3</w:t>
      </w:r>
      <w:r w:rsidRPr="00C32002">
        <w:rPr>
          <w:rFonts w:cstheme="minorHAnsi"/>
          <w:color w:val="000000" w:themeColor="text1"/>
        </w:rPr>
        <w:t>).</w:t>
      </w:r>
      <w:r>
        <w:rPr>
          <w:rFonts w:cstheme="minorHAnsi"/>
          <w:color w:val="000000" w:themeColor="text1"/>
        </w:rPr>
        <w:t xml:space="preserve"> </w:t>
      </w:r>
      <w:r w:rsidRPr="00C32002">
        <w:rPr>
          <w:rFonts w:cstheme="minorHAnsi"/>
          <w:color w:val="000000" w:themeColor="text1"/>
        </w:rPr>
        <w:t>There was a difference in rates of oral cavity cancer between the most and least deprived quintiles for males (8.4 for least deprived and 14.</w:t>
      </w:r>
      <w:r>
        <w:rPr>
          <w:rFonts w:cstheme="minorHAnsi"/>
          <w:color w:val="000000" w:themeColor="text1"/>
        </w:rPr>
        <w:t>7</w:t>
      </w:r>
      <w:r w:rsidRPr="00C32002">
        <w:rPr>
          <w:rFonts w:cstheme="minorHAnsi"/>
          <w:color w:val="000000" w:themeColor="text1"/>
        </w:rPr>
        <w:t xml:space="preserve"> for most deprived). Although smaller, a difference in rates between the most and least deprived quintiles was also seen in females (3.4 for least deprived and 6.2 for most deprived).</w:t>
      </w:r>
    </w:p>
    <w:p w14:paraId="2AAE5AF4" w14:textId="77777777" w:rsidR="00392601" w:rsidRPr="00C32002" w:rsidRDefault="00392601" w:rsidP="00392601">
      <w:pPr>
        <w:spacing w:after="0"/>
        <w:rPr>
          <w:rFonts w:cstheme="minorHAnsi"/>
          <w:color w:val="000000" w:themeColor="text1"/>
        </w:rPr>
      </w:pPr>
    </w:p>
    <w:tbl>
      <w:tblPr>
        <w:tblStyle w:val="TableGrid"/>
        <w:tblW w:w="976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3259"/>
        <w:gridCol w:w="3259"/>
      </w:tblGrid>
      <w:tr w:rsidR="00392601" w:rsidRPr="00E5438A" w14:paraId="30B8884B" w14:textId="77777777" w:rsidTr="0041177B">
        <w:trPr>
          <w:trHeight w:val="113"/>
        </w:trPr>
        <w:tc>
          <w:tcPr>
            <w:tcW w:w="9768" w:type="dxa"/>
            <w:gridSpan w:val="3"/>
            <w:shd w:val="clear" w:color="auto" w:fill="002060"/>
            <w:hideMark/>
          </w:tcPr>
          <w:p w14:paraId="7DE40C4B" w14:textId="05ED84E5" w:rsidR="00392601" w:rsidRPr="003B6628" w:rsidRDefault="00392601" w:rsidP="0041177B">
            <w:pPr>
              <w:rPr>
                <w:rFonts w:asciiTheme="minorHAnsi" w:hAnsiTheme="minorHAnsi" w:cstheme="minorHAnsi"/>
                <w:b/>
                <w:bCs/>
                <w:color w:val="FFFFFF" w:themeColor="background1"/>
              </w:rPr>
            </w:pPr>
            <w:r w:rsidRPr="003B6628">
              <w:rPr>
                <w:rFonts w:asciiTheme="minorHAnsi" w:hAnsiTheme="minorHAnsi" w:cstheme="minorHAnsi"/>
                <w:b/>
                <w:bCs/>
                <w:color w:val="FFFFFF" w:themeColor="background1"/>
              </w:rPr>
              <w:t xml:space="preserve">Figure </w:t>
            </w:r>
            <w:r w:rsidR="002F5530" w:rsidRPr="003B6628">
              <w:rPr>
                <w:rFonts w:asciiTheme="minorHAnsi" w:hAnsiTheme="minorHAnsi" w:cstheme="minorHAnsi"/>
                <w:b/>
                <w:bCs/>
                <w:color w:val="FFFFFF" w:themeColor="background1"/>
              </w:rPr>
              <w:t>5.3:</w:t>
            </w:r>
            <w:r w:rsidRPr="003B6628">
              <w:rPr>
                <w:rFonts w:asciiTheme="minorHAnsi" w:hAnsiTheme="minorHAnsi" w:cstheme="minorHAnsi"/>
                <w:b/>
                <w:bCs/>
                <w:color w:val="FFFFFF" w:themeColor="background1"/>
              </w:rPr>
              <w:t xml:space="preserve"> Incidence rate (per 100,000) for oral cavity cancer by deprivation quintile, 2014-2018</w:t>
            </w:r>
          </w:p>
        </w:tc>
      </w:tr>
      <w:tr w:rsidR="00392601" w:rsidRPr="00E5438A" w14:paraId="755ED390" w14:textId="77777777" w:rsidTr="0041177B">
        <w:trPr>
          <w:trHeight w:val="113"/>
        </w:trPr>
        <w:tc>
          <w:tcPr>
            <w:tcW w:w="3256" w:type="dxa"/>
            <w:hideMark/>
          </w:tcPr>
          <w:p w14:paraId="32516037" w14:textId="77777777" w:rsidR="00392601" w:rsidRPr="00E5438A" w:rsidRDefault="00392601" w:rsidP="0041177B">
            <w:pPr>
              <w:jc w:val="center"/>
              <w:rPr>
                <w:rFonts w:asciiTheme="minorHAnsi" w:hAnsiTheme="minorHAnsi" w:cstheme="minorHAnsi"/>
                <w:color w:val="000000" w:themeColor="text1"/>
              </w:rPr>
            </w:pPr>
            <w:r w:rsidRPr="00E5438A">
              <w:rPr>
                <w:rFonts w:asciiTheme="minorHAnsi" w:hAnsiTheme="minorHAnsi" w:cstheme="minorHAnsi"/>
                <w:color w:val="000000" w:themeColor="text1"/>
              </w:rPr>
              <w:t>Total</w:t>
            </w:r>
          </w:p>
        </w:tc>
        <w:tc>
          <w:tcPr>
            <w:tcW w:w="3256" w:type="dxa"/>
          </w:tcPr>
          <w:p w14:paraId="76E4F5F1" w14:textId="77777777" w:rsidR="00392601" w:rsidRPr="00E5438A" w:rsidRDefault="00392601" w:rsidP="0041177B">
            <w:pPr>
              <w:jc w:val="center"/>
              <w:rPr>
                <w:rFonts w:asciiTheme="minorHAnsi" w:hAnsiTheme="minorHAnsi" w:cstheme="minorHAnsi"/>
                <w:color w:val="000000" w:themeColor="text1"/>
              </w:rPr>
            </w:pPr>
            <w:r w:rsidRPr="00E5438A">
              <w:rPr>
                <w:rFonts w:asciiTheme="minorHAnsi" w:hAnsiTheme="minorHAnsi" w:cstheme="minorHAnsi"/>
                <w:color w:val="000000" w:themeColor="text1"/>
              </w:rPr>
              <w:t>Males</w:t>
            </w:r>
          </w:p>
        </w:tc>
        <w:tc>
          <w:tcPr>
            <w:tcW w:w="3256" w:type="dxa"/>
          </w:tcPr>
          <w:p w14:paraId="48BC2832" w14:textId="77777777" w:rsidR="00392601" w:rsidRPr="00E5438A" w:rsidRDefault="00392601" w:rsidP="0041177B">
            <w:pPr>
              <w:jc w:val="center"/>
              <w:rPr>
                <w:rFonts w:asciiTheme="minorHAnsi" w:hAnsiTheme="minorHAnsi" w:cstheme="minorHAnsi"/>
                <w:color w:val="000000" w:themeColor="text1"/>
              </w:rPr>
            </w:pPr>
            <w:r w:rsidRPr="00E5438A">
              <w:rPr>
                <w:rFonts w:asciiTheme="minorHAnsi" w:hAnsiTheme="minorHAnsi" w:cstheme="minorHAnsi"/>
                <w:color w:val="000000" w:themeColor="text1"/>
              </w:rPr>
              <w:t>Females</w:t>
            </w:r>
          </w:p>
        </w:tc>
      </w:tr>
      <w:tr w:rsidR="00392601" w:rsidRPr="00E5438A" w14:paraId="6B3DEF42" w14:textId="77777777" w:rsidTr="0041177B">
        <w:trPr>
          <w:trHeight w:val="113"/>
        </w:trPr>
        <w:tc>
          <w:tcPr>
            <w:tcW w:w="3256" w:type="dxa"/>
            <w:vAlign w:val="center"/>
          </w:tcPr>
          <w:p w14:paraId="51E72D81" w14:textId="77777777" w:rsidR="00392601" w:rsidRPr="00E5438A" w:rsidRDefault="00392601" w:rsidP="0041177B">
            <w:pPr>
              <w:jc w:val="center"/>
              <w:rPr>
                <w:rFonts w:asciiTheme="minorHAnsi" w:hAnsiTheme="minorHAnsi" w:cstheme="minorHAnsi"/>
                <w:color w:val="000000" w:themeColor="text1"/>
              </w:rPr>
            </w:pPr>
            <w:r>
              <w:rPr>
                <w:rFonts w:cstheme="minorHAnsi"/>
                <w:noProof/>
                <w:color w:val="000000" w:themeColor="text1"/>
              </w:rPr>
              <w:drawing>
                <wp:inline distT="0" distB="0" distL="0" distR="0" wp14:anchorId="2B951881" wp14:editId="6A8FE4E3">
                  <wp:extent cx="1975485" cy="1542415"/>
                  <wp:effectExtent l="0" t="0" r="5715" b="635"/>
                  <wp:docPr id="1274950958" name="Picture 4" descr="A graph with numbers and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950958" name="Picture 4" descr="A graph with numbers and a number&#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75485" cy="1542415"/>
                          </a:xfrm>
                          <a:prstGeom prst="rect">
                            <a:avLst/>
                          </a:prstGeom>
                          <a:noFill/>
                        </pic:spPr>
                      </pic:pic>
                    </a:graphicData>
                  </a:graphic>
                </wp:inline>
              </w:drawing>
            </w:r>
          </w:p>
        </w:tc>
        <w:tc>
          <w:tcPr>
            <w:tcW w:w="3256" w:type="dxa"/>
            <w:vAlign w:val="center"/>
          </w:tcPr>
          <w:p w14:paraId="2CC980CF" w14:textId="77777777" w:rsidR="00392601" w:rsidRPr="00E5438A" w:rsidRDefault="00392601" w:rsidP="0041177B">
            <w:pPr>
              <w:jc w:val="center"/>
              <w:rPr>
                <w:rFonts w:asciiTheme="minorHAnsi" w:hAnsiTheme="minorHAnsi" w:cstheme="minorHAnsi"/>
                <w:color w:val="000000" w:themeColor="text1"/>
              </w:rPr>
            </w:pPr>
            <w:r>
              <w:rPr>
                <w:rFonts w:cstheme="minorHAnsi"/>
                <w:noProof/>
                <w:color w:val="000000" w:themeColor="text1"/>
              </w:rPr>
              <w:drawing>
                <wp:inline distT="0" distB="0" distL="0" distR="0" wp14:anchorId="6C5AFCC1" wp14:editId="1A9F8FDD">
                  <wp:extent cx="1975485" cy="1542415"/>
                  <wp:effectExtent l="0" t="0" r="5715" b="635"/>
                  <wp:docPr id="488299956" name="Picture 5" descr="A graph with blue rectangular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99956" name="Picture 5" descr="A graph with blue rectangular bars&#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75485" cy="1542415"/>
                          </a:xfrm>
                          <a:prstGeom prst="rect">
                            <a:avLst/>
                          </a:prstGeom>
                          <a:noFill/>
                        </pic:spPr>
                      </pic:pic>
                    </a:graphicData>
                  </a:graphic>
                </wp:inline>
              </w:drawing>
            </w:r>
          </w:p>
        </w:tc>
        <w:tc>
          <w:tcPr>
            <w:tcW w:w="3256" w:type="dxa"/>
          </w:tcPr>
          <w:p w14:paraId="495F61F6" w14:textId="77777777" w:rsidR="00392601" w:rsidRPr="00E5438A" w:rsidRDefault="00392601" w:rsidP="0041177B">
            <w:pPr>
              <w:jc w:val="center"/>
              <w:rPr>
                <w:rFonts w:asciiTheme="minorHAnsi" w:hAnsiTheme="minorHAnsi" w:cstheme="minorHAnsi"/>
                <w:color w:val="000000" w:themeColor="text1"/>
              </w:rPr>
            </w:pPr>
            <w:r>
              <w:rPr>
                <w:rFonts w:cstheme="minorHAnsi"/>
                <w:noProof/>
                <w:color w:val="000000" w:themeColor="text1"/>
              </w:rPr>
              <w:drawing>
                <wp:inline distT="0" distB="0" distL="0" distR="0" wp14:anchorId="73C0E539" wp14:editId="2E728A35">
                  <wp:extent cx="1975485" cy="1542415"/>
                  <wp:effectExtent l="0" t="0" r="5715" b="635"/>
                  <wp:docPr id="831387566" name="Picture 6"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387566" name="Picture 6" descr="A graph with numbers and a bar&#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75485" cy="1542415"/>
                          </a:xfrm>
                          <a:prstGeom prst="rect">
                            <a:avLst/>
                          </a:prstGeom>
                          <a:noFill/>
                        </pic:spPr>
                      </pic:pic>
                    </a:graphicData>
                  </a:graphic>
                </wp:inline>
              </w:drawing>
            </w:r>
          </w:p>
        </w:tc>
      </w:tr>
    </w:tbl>
    <w:p w14:paraId="4210AF76" w14:textId="77777777" w:rsidR="00392601" w:rsidRPr="00C32002" w:rsidRDefault="00392601" w:rsidP="00392601">
      <w:pPr>
        <w:spacing w:after="0"/>
        <w:rPr>
          <w:rFonts w:cstheme="minorHAnsi"/>
          <w:color w:val="000000" w:themeColor="text1"/>
          <w:highlight w:val="yellow"/>
        </w:rPr>
      </w:pPr>
    </w:p>
    <w:p w14:paraId="15281EB5" w14:textId="77777777" w:rsidR="00392601" w:rsidRPr="00C32002" w:rsidRDefault="00392601" w:rsidP="003B6628">
      <w:pPr>
        <w:pStyle w:val="Heading2"/>
        <w:spacing w:before="0" w:after="0"/>
      </w:pPr>
      <w:bookmarkStart w:id="83" w:name="_Toc197557049"/>
      <w:bookmarkStart w:id="84" w:name="_Toc201512443"/>
      <w:r w:rsidRPr="00C32002">
        <w:t>Mortality</w:t>
      </w:r>
      <w:bookmarkEnd w:id="83"/>
      <w:bookmarkEnd w:id="84"/>
    </w:p>
    <w:p w14:paraId="3F2EBB41" w14:textId="01505013" w:rsidR="00392601" w:rsidRPr="00C32002" w:rsidRDefault="00392601" w:rsidP="003B6628">
      <w:pPr>
        <w:spacing w:after="0" w:line="240" w:lineRule="auto"/>
      </w:pPr>
      <w:r>
        <w:t>The a</w:t>
      </w:r>
      <w:r w:rsidRPr="00C32002">
        <w:t xml:space="preserve">ge-standardised mortality rate of oral cavity cancer </w:t>
      </w:r>
      <w:r w:rsidR="00E3558B">
        <w:t xml:space="preserve">during the period </w:t>
      </w:r>
      <w:r w:rsidRPr="00C32002">
        <w:t>1994-2022 w</w:t>
      </w:r>
      <w:r>
        <w:t>as</w:t>
      </w:r>
      <w:r w:rsidRPr="00C32002">
        <w:t xml:space="preserve"> 3.6 deaths per 100,000 males and 1.4 deaths per 100,000 females per year. Figure </w:t>
      </w:r>
      <w:r w:rsidR="003B6628">
        <w:t>5.4</w:t>
      </w:r>
      <w:r w:rsidRPr="00C32002">
        <w:t xml:space="preserve"> breaks this down further by sex and age group. </w:t>
      </w:r>
      <w:r>
        <w:t>Mortality was higher among o</w:t>
      </w:r>
      <w:r w:rsidRPr="00C32002">
        <w:t>lder</w:t>
      </w:r>
      <w:r>
        <w:t xml:space="preserve"> age groups</w:t>
      </w:r>
      <w:r w:rsidRPr="00C32002">
        <w:t xml:space="preserve"> regardless of sex.</w:t>
      </w:r>
    </w:p>
    <w:p w14:paraId="7ED27A9C" w14:textId="77777777" w:rsidR="00392601" w:rsidRPr="00C32002" w:rsidRDefault="00392601" w:rsidP="003B6628">
      <w:pPr>
        <w:spacing w:after="0"/>
        <w:rPr>
          <w:highlight w:val="yellow"/>
        </w:rPr>
      </w:pPr>
    </w:p>
    <w:tbl>
      <w:tblPr>
        <w:tblStyle w:val="TableGrid"/>
        <w:tblW w:w="976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0"/>
        <w:gridCol w:w="3249"/>
        <w:gridCol w:w="3249"/>
      </w:tblGrid>
      <w:tr w:rsidR="00392601" w:rsidRPr="002A7678" w14:paraId="5B7A673A" w14:textId="77777777" w:rsidTr="0041177B">
        <w:trPr>
          <w:trHeight w:val="113"/>
        </w:trPr>
        <w:tc>
          <w:tcPr>
            <w:tcW w:w="9768" w:type="dxa"/>
            <w:gridSpan w:val="3"/>
            <w:shd w:val="clear" w:color="auto" w:fill="002060"/>
            <w:hideMark/>
          </w:tcPr>
          <w:p w14:paraId="6BB6B63E" w14:textId="3D4115ED" w:rsidR="00392601" w:rsidRPr="003B6628" w:rsidRDefault="00392601" w:rsidP="003B6628">
            <w:pPr>
              <w:rPr>
                <w:rFonts w:asciiTheme="minorHAnsi" w:hAnsiTheme="minorHAnsi" w:cstheme="minorHAnsi"/>
                <w:b/>
                <w:bCs/>
                <w:color w:val="FFFFFF" w:themeColor="background1"/>
              </w:rPr>
            </w:pPr>
            <w:r w:rsidRPr="003B6628">
              <w:rPr>
                <w:rFonts w:asciiTheme="minorHAnsi" w:hAnsiTheme="minorHAnsi" w:cstheme="minorHAnsi"/>
                <w:b/>
                <w:bCs/>
                <w:color w:val="FFFFFF" w:themeColor="background1"/>
              </w:rPr>
              <w:t xml:space="preserve">Figure </w:t>
            </w:r>
            <w:r w:rsidR="002F5530" w:rsidRPr="003B6628">
              <w:rPr>
                <w:rFonts w:asciiTheme="minorHAnsi" w:hAnsiTheme="minorHAnsi" w:cstheme="minorHAnsi"/>
                <w:b/>
                <w:bCs/>
                <w:color w:val="FFFFFF" w:themeColor="background1"/>
              </w:rPr>
              <w:t xml:space="preserve">5.4: </w:t>
            </w:r>
            <w:r w:rsidRPr="003B6628">
              <w:rPr>
                <w:rFonts w:asciiTheme="minorHAnsi" w:hAnsiTheme="minorHAnsi" w:cstheme="minorHAnsi"/>
                <w:b/>
                <w:bCs/>
                <w:color w:val="FFFFFF" w:themeColor="background1"/>
              </w:rPr>
              <w:t xml:space="preserve">Mortality rate (per 100,000) for </w:t>
            </w:r>
            <w:r w:rsidR="00E716DB" w:rsidRPr="003B6628">
              <w:rPr>
                <w:rFonts w:asciiTheme="minorHAnsi" w:hAnsiTheme="minorHAnsi" w:cstheme="minorHAnsi"/>
                <w:b/>
                <w:bCs/>
                <w:color w:val="FFFFFF" w:themeColor="background1"/>
              </w:rPr>
              <w:t>oral cavity</w:t>
            </w:r>
            <w:r w:rsidRPr="003B6628">
              <w:rPr>
                <w:rFonts w:asciiTheme="minorHAnsi" w:hAnsiTheme="minorHAnsi" w:cstheme="minorHAnsi"/>
                <w:b/>
                <w:bCs/>
                <w:color w:val="FFFFFF" w:themeColor="background1"/>
              </w:rPr>
              <w:t xml:space="preserve"> cancer by </w:t>
            </w:r>
            <w:r w:rsidR="00366242">
              <w:rPr>
                <w:rFonts w:asciiTheme="minorHAnsi" w:hAnsiTheme="minorHAnsi" w:cstheme="minorHAnsi"/>
                <w:b/>
                <w:bCs/>
                <w:color w:val="FFFFFF" w:themeColor="background1"/>
              </w:rPr>
              <w:t>age group</w:t>
            </w:r>
            <w:r w:rsidRPr="003B6628">
              <w:rPr>
                <w:rFonts w:asciiTheme="minorHAnsi" w:hAnsiTheme="minorHAnsi" w:cstheme="minorHAnsi"/>
                <w:b/>
                <w:bCs/>
                <w:color w:val="FFFFFF" w:themeColor="background1"/>
              </w:rPr>
              <w:t>, 1994-2022</w:t>
            </w:r>
          </w:p>
        </w:tc>
      </w:tr>
      <w:tr w:rsidR="00392601" w:rsidRPr="002A7678" w14:paraId="7262385F" w14:textId="77777777" w:rsidTr="0041177B">
        <w:trPr>
          <w:trHeight w:val="113"/>
        </w:trPr>
        <w:tc>
          <w:tcPr>
            <w:tcW w:w="3276" w:type="dxa"/>
            <w:hideMark/>
          </w:tcPr>
          <w:p w14:paraId="01D6FBE8" w14:textId="77777777" w:rsidR="00392601" w:rsidRPr="002A7678" w:rsidRDefault="00392601" w:rsidP="0041177B">
            <w:pPr>
              <w:jc w:val="center"/>
              <w:rPr>
                <w:rFonts w:asciiTheme="minorHAnsi" w:hAnsiTheme="minorHAnsi" w:cstheme="minorHAnsi"/>
                <w:color w:val="000000" w:themeColor="text1"/>
              </w:rPr>
            </w:pPr>
            <w:r w:rsidRPr="002A7678">
              <w:rPr>
                <w:rFonts w:asciiTheme="minorHAnsi" w:hAnsiTheme="minorHAnsi" w:cstheme="minorHAnsi"/>
                <w:color w:val="000000" w:themeColor="text1"/>
              </w:rPr>
              <w:t>Total</w:t>
            </w:r>
          </w:p>
        </w:tc>
        <w:tc>
          <w:tcPr>
            <w:tcW w:w="3246" w:type="dxa"/>
          </w:tcPr>
          <w:p w14:paraId="2F8AB2F9" w14:textId="77777777" w:rsidR="00392601" w:rsidRPr="002A7678" w:rsidRDefault="00392601" w:rsidP="0041177B">
            <w:pPr>
              <w:jc w:val="center"/>
              <w:rPr>
                <w:rFonts w:asciiTheme="minorHAnsi" w:hAnsiTheme="minorHAnsi" w:cstheme="minorHAnsi"/>
                <w:color w:val="000000" w:themeColor="text1"/>
              </w:rPr>
            </w:pPr>
            <w:r w:rsidRPr="002A7678">
              <w:rPr>
                <w:rFonts w:asciiTheme="minorHAnsi" w:hAnsiTheme="minorHAnsi" w:cstheme="minorHAnsi"/>
                <w:color w:val="000000" w:themeColor="text1"/>
              </w:rPr>
              <w:t>Males</w:t>
            </w:r>
          </w:p>
        </w:tc>
        <w:tc>
          <w:tcPr>
            <w:tcW w:w="3246" w:type="dxa"/>
          </w:tcPr>
          <w:p w14:paraId="7700BD11" w14:textId="77777777" w:rsidR="00392601" w:rsidRPr="002A7678" w:rsidRDefault="00392601" w:rsidP="0041177B">
            <w:pPr>
              <w:jc w:val="center"/>
              <w:rPr>
                <w:rFonts w:asciiTheme="minorHAnsi" w:hAnsiTheme="minorHAnsi" w:cstheme="minorHAnsi"/>
                <w:color w:val="000000" w:themeColor="text1"/>
              </w:rPr>
            </w:pPr>
            <w:r w:rsidRPr="002A7678">
              <w:rPr>
                <w:rFonts w:asciiTheme="minorHAnsi" w:hAnsiTheme="minorHAnsi" w:cstheme="minorHAnsi"/>
                <w:color w:val="000000" w:themeColor="text1"/>
              </w:rPr>
              <w:t>Females</w:t>
            </w:r>
          </w:p>
        </w:tc>
      </w:tr>
      <w:tr w:rsidR="00392601" w:rsidRPr="002A7678" w14:paraId="75504ABD" w14:textId="77777777" w:rsidTr="0041177B">
        <w:trPr>
          <w:trHeight w:val="113"/>
        </w:trPr>
        <w:tc>
          <w:tcPr>
            <w:tcW w:w="3276" w:type="dxa"/>
            <w:vAlign w:val="center"/>
          </w:tcPr>
          <w:p w14:paraId="3D1996D0" w14:textId="77777777" w:rsidR="00392601" w:rsidRPr="002A7678" w:rsidRDefault="00392601" w:rsidP="0041177B">
            <w:pPr>
              <w:jc w:val="center"/>
              <w:rPr>
                <w:rFonts w:asciiTheme="minorHAnsi" w:hAnsiTheme="minorHAnsi" w:cstheme="minorHAnsi"/>
                <w:color w:val="000000" w:themeColor="text1"/>
              </w:rPr>
            </w:pPr>
            <w:r w:rsidRPr="002A7678">
              <w:rPr>
                <w:rFonts w:eastAsia="Times New Roman" w:cs="Times New Roman"/>
                <w:noProof/>
                <w:lang w:eastAsia="en-GB"/>
              </w:rPr>
              <w:drawing>
                <wp:inline distT="0" distB="0" distL="0" distR="0" wp14:anchorId="4BE3E14E" wp14:editId="06487B1E">
                  <wp:extent cx="1953190" cy="1692000"/>
                  <wp:effectExtent l="0" t="0" r="9525" b="3810"/>
                  <wp:docPr id="1188401314" name="Picture 10"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401314" name="Picture 10" descr="A graph with numbers and a bar chart&#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53190" cy="1692000"/>
                          </a:xfrm>
                          <a:prstGeom prst="rect">
                            <a:avLst/>
                          </a:prstGeom>
                          <a:noFill/>
                        </pic:spPr>
                      </pic:pic>
                    </a:graphicData>
                  </a:graphic>
                </wp:inline>
              </w:drawing>
            </w:r>
          </w:p>
        </w:tc>
        <w:tc>
          <w:tcPr>
            <w:tcW w:w="3246" w:type="dxa"/>
            <w:vAlign w:val="center"/>
          </w:tcPr>
          <w:p w14:paraId="19BB7E9C" w14:textId="77777777" w:rsidR="00392601" w:rsidRPr="002A7678" w:rsidRDefault="00392601" w:rsidP="0041177B">
            <w:pPr>
              <w:jc w:val="center"/>
              <w:rPr>
                <w:rFonts w:asciiTheme="minorHAnsi" w:hAnsiTheme="minorHAnsi" w:cstheme="minorHAnsi"/>
                <w:color w:val="000000" w:themeColor="text1"/>
              </w:rPr>
            </w:pPr>
            <w:r w:rsidRPr="002A7678">
              <w:rPr>
                <w:rFonts w:eastAsia="Times New Roman" w:cs="Times New Roman"/>
                <w:noProof/>
                <w:lang w:eastAsia="en-GB"/>
              </w:rPr>
              <w:drawing>
                <wp:inline distT="0" distB="0" distL="0" distR="0" wp14:anchorId="484EC8DB" wp14:editId="352A69CA">
                  <wp:extent cx="1936627" cy="1692000"/>
                  <wp:effectExtent l="0" t="0" r="6985" b="3810"/>
                  <wp:docPr id="2058659048" name="Picture 11"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659048" name="Picture 11" descr="A graph with numbers and a bar chart&#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36627" cy="1692000"/>
                          </a:xfrm>
                          <a:prstGeom prst="rect">
                            <a:avLst/>
                          </a:prstGeom>
                          <a:noFill/>
                        </pic:spPr>
                      </pic:pic>
                    </a:graphicData>
                  </a:graphic>
                </wp:inline>
              </w:drawing>
            </w:r>
          </w:p>
        </w:tc>
        <w:tc>
          <w:tcPr>
            <w:tcW w:w="3246" w:type="dxa"/>
          </w:tcPr>
          <w:p w14:paraId="48F4E05E" w14:textId="77777777" w:rsidR="00392601" w:rsidRPr="002A7678" w:rsidRDefault="00392601" w:rsidP="0041177B">
            <w:pPr>
              <w:jc w:val="center"/>
              <w:rPr>
                <w:rFonts w:asciiTheme="minorHAnsi" w:hAnsiTheme="minorHAnsi" w:cstheme="minorHAnsi"/>
                <w:color w:val="000000" w:themeColor="text1"/>
              </w:rPr>
            </w:pPr>
            <w:r w:rsidRPr="002A7678">
              <w:rPr>
                <w:rFonts w:cstheme="minorHAnsi"/>
                <w:noProof/>
                <w:color w:val="000000" w:themeColor="text1"/>
              </w:rPr>
              <w:drawing>
                <wp:inline distT="0" distB="0" distL="0" distR="0" wp14:anchorId="6C5E502B" wp14:editId="428A6EA4">
                  <wp:extent cx="1936627" cy="1692000"/>
                  <wp:effectExtent l="0" t="0" r="6985" b="3810"/>
                  <wp:docPr id="1209956749" name="Picture 12"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956749" name="Picture 12" descr="A graph with numbers and a bar chart&#10;&#10;AI-generated content may b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36627" cy="1692000"/>
                          </a:xfrm>
                          <a:prstGeom prst="rect">
                            <a:avLst/>
                          </a:prstGeom>
                          <a:noFill/>
                        </pic:spPr>
                      </pic:pic>
                    </a:graphicData>
                  </a:graphic>
                </wp:inline>
              </w:drawing>
            </w:r>
          </w:p>
        </w:tc>
      </w:tr>
    </w:tbl>
    <w:p w14:paraId="245037A3" w14:textId="77777777" w:rsidR="00392601" w:rsidRPr="00C32002" w:rsidRDefault="00392601" w:rsidP="00392601">
      <w:pPr>
        <w:spacing w:after="0"/>
      </w:pPr>
    </w:p>
    <w:p w14:paraId="34732F2C" w14:textId="77777777" w:rsidR="00392601" w:rsidRDefault="00392601" w:rsidP="00392601">
      <w:pPr>
        <w:spacing w:after="0"/>
        <w:sectPr w:rsidR="00392601" w:rsidSect="002746C0">
          <w:pgSz w:w="11906" w:h="16838"/>
          <w:pgMar w:top="1440" w:right="1440" w:bottom="1440" w:left="1440" w:header="708" w:footer="708" w:gutter="0"/>
          <w:cols w:space="708"/>
          <w:docGrid w:linePitch="360"/>
        </w:sectPr>
      </w:pPr>
    </w:p>
    <w:p w14:paraId="41E58559" w14:textId="77777777" w:rsidR="00392601" w:rsidRPr="00C32002" w:rsidRDefault="00392601" w:rsidP="003B6628">
      <w:pPr>
        <w:pStyle w:val="Heading3"/>
        <w:spacing w:before="0" w:after="0"/>
      </w:pPr>
      <w:bookmarkStart w:id="85" w:name="_Toc197557050"/>
      <w:bookmarkStart w:id="86" w:name="_Toc201512444"/>
      <w:r w:rsidRPr="00C32002">
        <w:t>Trends over time</w:t>
      </w:r>
      <w:bookmarkEnd w:id="85"/>
      <w:bookmarkEnd w:id="86"/>
    </w:p>
    <w:p w14:paraId="1D39836C" w14:textId="51FE9D28" w:rsidR="00392601" w:rsidRPr="00C32002" w:rsidRDefault="00392601" w:rsidP="003B6628">
      <w:pPr>
        <w:spacing w:after="0" w:line="240" w:lineRule="auto"/>
      </w:pPr>
      <w:r w:rsidRPr="00C32002">
        <w:t xml:space="preserve">Figure </w:t>
      </w:r>
      <w:r w:rsidR="003B6628">
        <w:t>5.5</w:t>
      </w:r>
      <w:r w:rsidRPr="00C32002">
        <w:t xml:space="preserve"> shows the </w:t>
      </w:r>
      <w:r>
        <w:t>age</w:t>
      </w:r>
      <w:r w:rsidR="00366242">
        <w:t>-</w:t>
      </w:r>
      <w:r>
        <w:t>standardised mortality rates for</w:t>
      </w:r>
      <w:r w:rsidRPr="00C32002">
        <w:t xml:space="preserve"> cancer of the oral cavity from 1994 to 2022</w:t>
      </w:r>
      <w:r>
        <w:t xml:space="preserve"> in males and females</w:t>
      </w:r>
      <w:r w:rsidRPr="00C32002">
        <w:t xml:space="preserve">. In males there was a decline </w:t>
      </w:r>
      <w:r>
        <w:t xml:space="preserve">of </w:t>
      </w:r>
      <w:r w:rsidR="0016672A">
        <w:t>-</w:t>
      </w:r>
      <w:r>
        <w:t xml:space="preserve">2.2% per year </w:t>
      </w:r>
      <w:r w:rsidRPr="00C32002">
        <w:t>(95%CI -3.0;</w:t>
      </w:r>
      <w:r>
        <w:t xml:space="preserve"> </w:t>
      </w:r>
      <w:r w:rsidRPr="00C32002">
        <w:t>-1.3)</w:t>
      </w:r>
      <w:r>
        <w:t xml:space="preserve"> </w:t>
      </w:r>
      <w:r w:rsidRPr="00C32002">
        <w:t xml:space="preserve">in </w:t>
      </w:r>
      <w:r>
        <w:t xml:space="preserve">the </w:t>
      </w:r>
      <w:r w:rsidRPr="00C32002">
        <w:t>mortality rate</w:t>
      </w:r>
      <w:r>
        <w:t xml:space="preserve"> </w:t>
      </w:r>
      <w:r w:rsidRPr="00C32002">
        <w:t>from 1994 to 2022</w:t>
      </w:r>
      <w:r>
        <w:t>.</w:t>
      </w:r>
      <w:r w:rsidRPr="00C32002">
        <w:t xml:space="preserve"> Among females</w:t>
      </w:r>
      <w:r>
        <w:t>,</w:t>
      </w:r>
      <w:r w:rsidRPr="00C32002">
        <w:t xml:space="preserve"> </w:t>
      </w:r>
      <w:r>
        <w:t xml:space="preserve">the </w:t>
      </w:r>
      <w:r w:rsidRPr="00C32002">
        <w:t>mortality rate remained stable over time</w:t>
      </w:r>
      <w:r>
        <w:t xml:space="preserve"> </w:t>
      </w:r>
      <w:r w:rsidRPr="00C32002">
        <w:t>(-0.1% per year (95%CI -1.1;0.9)</w:t>
      </w:r>
      <w:r w:rsidR="00644FF8">
        <w:t>)</w:t>
      </w:r>
      <w:r>
        <w:t>.</w:t>
      </w:r>
    </w:p>
    <w:p w14:paraId="427382C7" w14:textId="77777777" w:rsidR="00392601" w:rsidRPr="00C32002" w:rsidRDefault="00392601" w:rsidP="003B6628">
      <w:pPr>
        <w:spacing w:after="0"/>
      </w:pPr>
      <w:r w:rsidRPr="00C32002">
        <w:t xml:space="preserve">  </w:t>
      </w:r>
    </w:p>
    <w:tbl>
      <w:tblPr>
        <w:tblStyle w:val="TableGrid"/>
        <w:tblW w:w="9634"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tblGrid>
      <w:tr w:rsidR="00392601" w:rsidRPr="002A7678" w14:paraId="3F6C878B" w14:textId="77777777" w:rsidTr="0041177B">
        <w:trPr>
          <w:trHeight w:val="399"/>
        </w:trPr>
        <w:tc>
          <w:tcPr>
            <w:tcW w:w="9634" w:type="dxa"/>
            <w:shd w:val="clear" w:color="auto" w:fill="002060"/>
            <w:vAlign w:val="center"/>
            <w:hideMark/>
          </w:tcPr>
          <w:p w14:paraId="646CDD24" w14:textId="22F0550C" w:rsidR="00392601" w:rsidRPr="002A7678" w:rsidRDefault="00392601" w:rsidP="003B6628">
            <w:pPr>
              <w:rPr>
                <w:rFonts w:asciiTheme="minorHAnsi" w:hAnsiTheme="minorHAnsi"/>
                <w:b/>
                <w:bCs/>
              </w:rPr>
            </w:pPr>
            <w:r w:rsidRPr="002A7678">
              <w:rPr>
                <w:rFonts w:asciiTheme="minorHAnsi" w:hAnsiTheme="minorHAnsi"/>
                <w:b/>
                <w:bCs/>
              </w:rPr>
              <w:t xml:space="preserve">Figure </w:t>
            </w:r>
            <w:r w:rsidR="002F5530">
              <w:rPr>
                <w:rFonts w:asciiTheme="minorHAnsi" w:hAnsiTheme="minorHAnsi"/>
                <w:b/>
                <w:bCs/>
              </w:rPr>
              <w:t xml:space="preserve">5.5: </w:t>
            </w:r>
            <w:r w:rsidRPr="002A7678">
              <w:rPr>
                <w:rFonts w:asciiTheme="minorHAnsi" w:hAnsiTheme="minorHAnsi"/>
                <w:b/>
                <w:bCs/>
              </w:rPr>
              <w:t>Age-</w:t>
            </w:r>
            <w:r w:rsidRPr="002A7678">
              <w:rPr>
                <w:rFonts w:asciiTheme="minorHAnsi" w:hAnsiTheme="minorHAnsi"/>
                <w:b/>
                <w:bCs/>
                <w:bdr w:val="single" w:sz="4" w:space="0" w:color="auto" w:frame="1"/>
              </w:rPr>
              <w:t>standardised mortality rate 1994-</w:t>
            </w:r>
            <w:r w:rsidR="00E716DB" w:rsidRPr="002A7678">
              <w:rPr>
                <w:rFonts w:asciiTheme="minorHAnsi" w:hAnsiTheme="minorHAnsi"/>
                <w:b/>
                <w:bCs/>
                <w:bdr w:val="single" w:sz="4" w:space="0" w:color="auto" w:frame="1"/>
              </w:rPr>
              <w:t>2022, oral</w:t>
            </w:r>
            <w:r w:rsidRPr="002A7678">
              <w:rPr>
                <w:rFonts w:asciiTheme="minorHAnsi" w:hAnsiTheme="minorHAnsi"/>
                <w:b/>
                <w:bCs/>
                <w:bdr w:val="single" w:sz="4" w:space="0" w:color="auto" w:frame="1"/>
              </w:rPr>
              <w:t xml:space="preserve"> cavity</w:t>
            </w:r>
          </w:p>
        </w:tc>
      </w:tr>
      <w:tr w:rsidR="00392601" w:rsidRPr="002A7678" w14:paraId="57AEEA2D" w14:textId="77777777" w:rsidTr="0041177B">
        <w:trPr>
          <w:trHeight w:val="3271"/>
        </w:trPr>
        <w:tc>
          <w:tcPr>
            <w:tcW w:w="9634" w:type="dxa"/>
            <w:vAlign w:val="center"/>
          </w:tcPr>
          <w:p w14:paraId="1A58B1EF" w14:textId="167A99AA" w:rsidR="00392601" w:rsidRPr="002A7678" w:rsidRDefault="00392601" w:rsidP="003B6628">
            <w:pPr>
              <w:jc w:val="center"/>
              <w:rPr>
                <w:rFonts w:asciiTheme="minorHAnsi" w:hAnsiTheme="minorHAnsi"/>
              </w:rPr>
            </w:pPr>
            <w:r>
              <w:rPr>
                <w:noProof/>
              </w:rPr>
              <w:drawing>
                <wp:inline distT="0" distB="0" distL="0" distR="0" wp14:anchorId="374559AF" wp14:editId="0A81C945">
                  <wp:extent cx="5523230" cy="3017520"/>
                  <wp:effectExtent l="0" t="0" r="1270" b="0"/>
                  <wp:docPr id="1203730024" name="Picture 7" descr="A graph of a number of men and wom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730024" name="Picture 7" descr="A graph of a number of men and women&#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23230" cy="3017520"/>
                          </a:xfrm>
                          <a:prstGeom prst="rect">
                            <a:avLst/>
                          </a:prstGeom>
                          <a:noFill/>
                        </pic:spPr>
                      </pic:pic>
                    </a:graphicData>
                  </a:graphic>
                </wp:inline>
              </w:drawing>
            </w:r>
          </w:p>
        </w:tc>
      </w:tr>
      <w:tr w:rsidR="00392601" w:rsidRPr="002A7678" w14:paraId="7FB6E1BF" w14:textId="77777777" w:rsidTr="0041177B">
        <w:trPr>
          <w:trHeight w:val="495"/>
        </w:trPr>
        <w:tc>
          <w:tcPr>
            <w:tcW w:w="9634" w:type="dxa"/>
            <w:vAlign w:val="center"/>
          </w:tcPr>
          <w:tbl>
            <w:tblPr>
              <w:tblpPr w:leftFromText="180" w:rightFromText="180" w:horzAnchor="margin" w:tblpXSpec="center" w:tblpY="-1014"/>
              <w:tblOverlap w:val="never"/>
              <w:tblW w:w="0" w:type="auto"/>
              <w:tblLook w:val="04A0" w:firstRow="1" w:lastRow="0" w:firstColumn="1" w:lastColumn="0" w:noHBand="0" w:noVBand="1"/>
            </w:tblPr>
            <w:tblGrid>
              <w:gridCol w:w="530"/>
              <w:gridCol w:w="1139"/>
              <w:gridCol w:w="771"/>
              <w:gridCol w:w="992"/>
              <w:gridCol w:w="706"/>
              <w:gridCol w:w="530"/>
              <w:gridCol w:w="1139"/>
              <w:gridCol w:w="771"/>
              <w:gridCol w:w="909"/>
              <w:gridCol w:w="706"/>
            </w:tblGrid>
            <w:tr w:rsidR="00392601" w:rsidRPr="002A7678" w14:paraId="471AA2F0" w14:textId="77777777" w:rsidTr="0041177B">
              <w:trPr>
                <w:trHeight w:val="113"/>
              </w:trPr>
              <w:tc>
                <w:tcPr>
                  <w:tcW w:w="0" w:type="auto"/>
                  <w:noWrap/>
                  <w:tcMar>
                    <w:top w:w="15" w:type="dxa"/>
                    <w:left w:w="108" w:type="dxa"/>
                    <w:bottom w:w="15" w:type="dxa"/>
                    <w:right w:w="108" w:type="dxa"/>
                  </w:tcMar>
                  <w:hideMark/>
                </w:tcPr>
                <w:p w14:paraId="6C5A9DB5" w14:textId="77777777" w:rsidR="00392601" w:rsidRPr="00AA0B0A"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AA0B0A">
                    <w:rPr>
                      <w:rFonts w:eastAsia="Times New Roman" w:cs="Calibri"/>
                      <w:b/>
                      <w:bCs/>
                      <w:color w:val="000000"/>
                      <w:kern w:val="0"/>
                      <w:sz w:val="20"/>
                      <w:szCs w:val="20"/>
                      <w:u w:val="single"/>
                      <w:lang w:eastAsia="en-GB"/>
                      <w14:ligatures w14:val="none"/>
                    </w:rPr>
                    <w:t>sex</w:t>
                  </w:r>
                </w:p>
              </w:tc>
              <w:tc>
                <w:tcPr>
                  <w:tcW w:w="0" w:type="auto"/>
                  <w:noWrap/>
                  <w:tcMar>
                    <w:top w:w="15" w:type="dxa"/>
                    <w:left w:w="108" w:type="dxa"/>
                    <w:bottom w:w="15" w:type="dxa"/>
                    <w:right w:w="108" w:type="dxa"/>
                  </w:tcMar>
                  <w:hideMark/>
                </w:tcPr>
                <w:p w14:paraId="6B610F07" w14:textId="77777777" w:rsidR="00392601" w:rsidRPr="00AA0B0A"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AA0B0A">
                    <w:rPr>
                      <w:rFonts w:eastAsia="Times New Roman" w:cs="Calibri"/>
                      <w:b/>
                      <w:bCs/>
                      <w:color w:val="000000"/>
                      <w:kern w:val="0"/>
                      <w:sz w:val="20"/>
                      <w:szCs w:val="20"/>
                      <w:u w:val="single"/>
                      <w:lang w:eastAsia="en-GB"/>
                      <w14:ligatures w14:val="none"/>
                    </w:rPr>
                    <w:t>period</w:t>
                  </w:r>
                </w:p>
              </w:tc>
              <w:tc>
                <w:tcPr>
                  <w:tcW w:w="0" w:type="auto"/>
                  <w:noWrap/>
                  <w:tcMar>
                    <w:top w:w="15" w:type="dxa"/>
                    <w:left w:w="108" w:type="dxa"/>
                    <w:bottom w:w="15" w:type="dxa"/>
                    <w:right w:w="108" w:type="dxa"/>
                  </w:tcMar>
                  <w:hideMark/>
                </w:tcPr>
                <w:p w14:paraId="058A7D80" w14:textId="77777777" w:rsidR="00392601" w:rsidRPr="00AA0B0A"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AA0B0A">
                    <w:rPr>
                      <w:rFonts w:eastAsia="Times New Roman" w:cs="Calibri"/>
                      <w:b/>
                      <w:bCs/>
                      <w:color w:val="000000"/>
                      <w:kern w:val="0"/>
                      <w:sz w:val="20"/>
                      <w:szCs w:val="20"/>
                      <w:u w:val="single"/>
                      <w:lang w:eastAsia="en-GB"/>
                      <w14:ligatures w14:val="none"/>
                    </w:rPr>
                    <w:t>APC%</w:t>
                  </w:r>
                </w:p>
              </w:tc>
              <w:tc>
                <w:tcPr>
                  <w:tcW w:w="0" w:type="auto"/>
                  <w:noWrap/>
                  <w:tcMar>
                    <w:top w:w="15" w:type="dxa"/>
                    <w:left w:w="108" w:type="dxa"/>
                    <w:bottom w:w="15" w:type="dxa"/>
                    <w:right w:w="108" w:type="dxa"/>
                  </w:tcMar>
                  <w:hideMark/>
                </w:tcPr>
                <w:p w14:paraId="2CFD5804" w14:textId="77777777" w:rsidR="00392601" w:rsidRPr="00AA0B0A"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AA0B0A">
                    <w:rPr>
                      <w:rFonts w:eastAsia="Times New Roman" w:cs="Calibri"/>
                      <w:b/>
                      <w:bCs/>
                      <w:color w:val="000000"/>
                      <w:kern w:val="0"/>
                      <w:sz w:val="20"/>
                      <w:szCs w:val="20"/>
                      <w:u w:val="single"/>
                      <w:lang w:eastAsia="en-GB"/>
                      <w14:ligatures w14:val="none"/>
                    </w:rPr>
                    <w:t>95%CI</w:t>
                  </w:r>
                </w:p>
              </w:tc>
              <w:tc>
                <w:tcPr>
                  <w:tcW w:w="0" w:type="auto"/>
                  <w:tcBorders>
                    <w:right w:val="single" w:sz="4" w:space="0" w:color="auto"/>
                  </w:tcBorders>
                  <w:noWrap/>
                  <w:tcMar>
                    <w:top w:w="15" w:type="dxa"/>
                    <w:left w:w="108" w:type="dxa"/>
                    <w:bottom w:w="15" w:type="dxa"/>
                    <w:right w:w="108" w:type="dxa"/>
                  </w:tcMar>
                  <w:hideMark/>
                </w:tcPr>
                <w:p w14:paraId="0E2653FE" w14:textId="77777777" w:rsidR="00392601" w:rsidRPr="00AA0B0A"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AA0B0A">
                    <w:rPr>
                      <w:rFonts w:eastAsia="Times New Roman" w:cs="Calibri"/>
                      <w:b/>
                      <w:bCs/>
                      <w:color w:val="000000"/>
                      <w:kern w:val="0"/>
                      <w:sz w:val="20"/>
                      <w:szCs w:val="20"/>
                      <w:u w:val="single"/>
                      <w:lang w:eastAsia="en-GB"/>
                      <w14:ligatures w14:val="none"/>
                    </w:rPr>
                    <w:t>trend</w:t>
                  </w:r>
                </w:p>
              </w:tc>
              <w:tc>
                <w:tcPr>
                  <w:tcW w:w="0" w:type="auto"/>
                  <w:tcBorders>
                    <w:left w:val="single" w:sz="4" w:space="0" w:color="auto"/>
                  </w:tcBorders>
                </w:tcPr>
                <w:p w14:paraId="6F70F623" w14:textId="77777777" w:rsidR="00392601" w:rsidRPr="00AA0B0A"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AA0B0A">
                    <w:rPr>
                      <w:rFonts w:eastAsia="Times New Roman" w:cs="Calibri"/>
                      <w:b/>
                      <w:bCs/>
                      <w:color w:val="000000"/>
                      <w:kern w:val="0"/>
                      <w:sz w:val="20"/>
                      <w:szCs w:val="20"/>
                      <w:u w:val="single"/>
                      <w:lang w:eastAsia="en-GB"/>
                      <w14:ligatures w14:val="none"/>
                    </w:rPr>
                    <w:t>sex</w:t>
                  </w:r>
                </w:p>
              </w:tc>
              <w:tc>
                <w:tcPr>
                  <w:tcW w:w="0" w:type="auto"/>
                </w:tcPr>
                <w:p w14:paraId="5B9F85C3" w14:textId="77777777" w:rsidR="00392601" w:rsidRPr="00AA0B0A"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AA0B0A">
                    <w:rPr>
                      <w:rFonts w:eastAsia="Times New Roman" w:cs="Calibri"/>
                      <w:b/>
                      <w:bCs/>
                      <w:color w:val="000000"/>
                      <w:kern w:val="0"/>
                      <w:sz w:val="20"/>
                      <w:szCs w:val="20"/>
                      <w:u w:val="single"/>
                      <w:lang w:eastAsia="en-GB"/>
                      <w14:ligatures w14:val="none"/>
                    </w:rPr>
                    <w:t>period</w:t>
                  </w:r>
                </w:p>
              </w:tc>
              <w:tc>
                <w:tcPr>
                  <w:tcW w:w="0" w:type="auto"/>
                </w:tcPr>
                <w:p w14:paraId="11DB7D28" w14:textId="77777777" w:rsidR="00392601" w:rsidRPr="00AA0B0A"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AA0B0A">
                    <w:rPr>
                      <w:rFonts w:eastAsia="Times New Roman" w:cs="Calibri"/>
                      <w:b/>
                      <w:bCs/>
                      <w:color w:val="000000"/>
                      <w:kern w:val="0"/>
                      <w:sz w:val="20"/>
                      <w:szCs w:val="20"/>
                      <w:u w:val="single"/>
                      <w:lang w:eastAsia="en-GB"/>
                      <w14:ligatures w14:val="none"/>
                    </w:rPr>
                    <w:t>APC%</w:t>
                  </w:r>
                </w:p>
              </w:tc>
              <w:tc>
                <w:tcPr>
                  <w:tcW w:w="0" w:type="auto"/>
                </w:tcPr>
                <w:p w14:paraId="2C5D2FEA" w14:textId="77777777" w:rsidR="00392601" w:rsidRPr="00AA0B0A"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AA0B0A">
                    <w:rPr>
                      <w:rFonts w:eastAsia="Times New Roman" w:cs="Calibri"/>
                      <w:b/>
                      <w:bCs/>
                      <w:color w:val="000000"/>
                      <w:kern w:val="0"/>
                      <w:sz w:val="20"/>
                      <w:szCs w:val="20"/>
                      <w:u w:val="single"/>
                      <w:lang w:eastAsia="en-GB"/>
                      <w14:ligatures w14:val="none"/>
                    </w:rPr>
                    <w:t>95%CI</w:t>
                  </w:r>
                </w:p>
              </w:tc>
              <w:tc>
                <w:tcPr>
                  <w:tcW w:w="0" w:type="auto"/>
                </w:tcPr>
                <w:p w14:paraId="0E03E952" w14:textId="77777777" w:rsidR="00392601" w:rsidRPr="00AA0B0A"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AA0B0A">
                    <w:rPr>
                      <w:rFonts w:eastAsia="Times New Roman" w:cs="Calibri"/>
                      <w:b/>
                      <w:bCs/>
                      <w:color w:val="000000"/>
                      <w:kern w:val="0"/>
                      <w:sz w:val="20"/>
                      <w:szCs w:val="20"/>
                      <w:u w:val="single"/>
                      <w:lang w:eastAsia="en-GB"/>
                      <w14:ligatures w14:val="none"/>
                    </w:rPr>
                    <w:t>trend</w:t>
                  </w:r>
                </w:p>
              </w:tc>
            </w:tr>
            <w:tr w:rsidR="00392601" w:rsidRPr="002A7678" w14:paraId="454D2F09" w14:textId="77777777" w:rsidTr="0041177B">
              <w:trPr>
                <w:trHeight w:val="113"/>
              </w:trPr>
              <w:tc>
                <w:tcPr>
                  <w:tcW w:w="0" w:type="auto"/>
                  <w:noWrap/>
                  <w:tcMar>
                    <w:top w:w="15" w:type="dxa"/>
                    <w:left w:w="108" w:type="dxa"/>
                    <w:bottom w:w="15" w:type="dxa"/>
                    <w:right w:w="108" w:type="dxa"/>
                  </w:tcMar>
                  <w:hideMark/>
                </w:tcPr>
                <w:p w14:paraId="63E9BB36" w14:textId="77777777" w:rsidR="00392601" w:rsidRPr="00AA0B0A" w:rsidRDefault="00392601" w:rsidP="0041177B">
                  <w:pPr>
                    <w:spacing w:after="0" w:line="240" w:lineRule="auto"/>
                    <w:jc w:val="center"/>
                    <w:rPr>
                      <w:rFonts w:eastAsia="Times New Roman" w:cs="Calibri"/>
                      <w:color w:val="000000"/>
                      <w:kern w:val="0"/>
                      <w:sz w:val="20"/>
                      <w:szCs w:val="20"/>
                      <w:lang w:eastAsia="en-GB"/>
                      <w14:ligatures w14:val="none"/>
                    </w:rPr>
                  </w:pPr>
                  <w:r w:rsidRPr="00AA0B0A">
                    <w:rPr>
                      <w:rFonts w:eastAsia="Times New Roman" w:cs="Calibri"/>
                      <w:color w:val="000000"/>
                      <w:kern w:val="0"/>
                      <w:sz w:val="20"/>
                      <w:szCs w:val="20"/>
                      <w:lang w:eastAsia="en-GB"/>
                      <w14:ligatures w14:val="none"/>
                    </w:rPr>
                    <w:t>M</w:t>
                  </w:r>
                </w:p>
              </w:tc>
              <w:tc>
                <w:tcPr>
                  <w:tcW w:w="0" w:type="auto"/>
                  <w:noWrap/>
                  <w:tcMar>
                    <w:top w:w="15" w:type="dxa"/>
                    <w:left w:w="108" w:type="dxa"/>
                    <w:bottom w:w="15" w:type="dxa"/>
                    <w:right w:w="108" w:type="dxa"/>
                  </w:tcMar>
                  <w:hideMark/>
                </w:tcPr>
                <w:p w14:paraId="18BFE148" w14:textId="77777777" w:rsidR="00392601" w:rsidRPr="00AA0B0A" w:rsidRDefault="00392601" w:rsidP="0041177B">
                  <w:pPr>
                    <w:spacing w:after="0" w:line="240" w:lineRule="auto"/>
                    <w:jc w:val="center"/>
                    <w:rPr>
                      <w:rFonts w:eastAsia="Times New Roman" w:cs="Calibri"/>
                      <w:color w:val="000000"/>
                      <w:kern w:val="0"/>
                      <w:sz w:val="20"/>
                      <w:szCs w:val="20"/>
                      <w:lang w:eastAsia="en-GB"/>
                      <w14:ligatures w14:val="none"/>
                    </w:rPr>
                  </w:pPr>
                  <w:r w:rsidRPr="00AA0B0A">
                    <w:rPr>
                      <w:rFonts w:eastAsia="Times New Roman" w:cs="Calibri"/>
                      <w:color w:val="000000"/>
                      <w:kern w:val="0"/>
                      <w:sz w:val="20"/>
                      <w:szCs w:val="20"/>
                      <w:lang w:eastAsia="en-GB"/>
                      <w14:ligatures w14:val="none"/>
                    </w:rPr>
                    <w:t>1994-2022</w:t>
                  </w:r>
                </w:p>
              </w:tc>
              <w:tc>
                <w:tcPr>
                  <w:tcW w:w="0" w:type="auto"/>
                  <w:noWrap/>
                  <w:tcMar>
                    <w:top w:w="15" w:type="dxa"/>
                    <w:left w:w="108" w:type="dxa"/>
                    <w:bottom w:w="15" w:type="dxa"/>
                    <w:right w:w="108" w:type="dxa"/>
                  </w:tcMar>
                  <w:hideMark/>
                </w:tcPr>
                <w:p w14:paraId="143258C2" w14:textId="77777777" w:rsidR="00392601" w:rsidRPr="00AA0B0A" w:rsidRDefault="00392601" w:rsidP="0041177B">
                  <w:pPr>
                    <w:spacing w:after="0" w:line="240" w:lineRule="auto"/>
                    <w:jc w:val="center"/>
                    <w:rPr>
                      <w:rFonts w:eastAsia="Times New Roman" w:cs="Calibri"/>
                      <w:color w:val="000000"/>
                      <w:kern w:val="0"/>
                      <w:sz w:val="20"/>
                      <w:szCs w:val="20"/>
                      <w:lang w:eastAsia="en-GB"/>
                      <w14:ligatures w14:val="none"/>
                    </w:rPr>
                  </w:pPr>
                  <w:r w:rsidRPr="00AA0B0A">
                    <w:rPr>
                      <w:rFonts w:eastAsia="Times New Roman" w:cs="Calibri"/>
                      <w:color w:val="000000"/>
                      <w:kern w:val="0"/>
                      <w:sz w:val="20"/>
                      <w:szCs w:val="20"/>
                      <w:lang w:eastAsia="en-GB"/>
                      <w14:ligatures w14:val="none"/>
                    </w:rPr>
                    <w:t>-2.2</w:t>
                  </w:r>
                </w:p>
              </w:tc>
              <w:tc>
                <w:tcPr>
                  <w:tcW w:w="0" w:type="auto"/>
                  <w:noWrap/>
                  <w:tcMar>
                    <w:top w:w="15" w:type="dxa"/>
                    <w:left w:w="108" w:type="dxa"/>
                    <w:bottom w:w="15" w:type="dxa"/>
                    <w:right w:w="108" w:type="dxa"/>
                  </w:tcMar>
                  <w:hideMark/>
                </w:tcPr>
                <w:p w14:paraId="6A83B688" w14:textId="77777777" w:rsidR="00392601" w:rsidRPr="00AA0B0A" w:rsidRDefault="00392601" w:rsidP="0041177B">
                  <w:pPr>
                    <w:spacing w:after="0" w:line="240" w:lineRule="auto"/>
                    <w:jc w:val="center"/>
                    <w:rPr>
                      <w:rFonts w:eastAsia="Times New Roman" w:cs="Calibri"/>
                      <w:color w:val="000000"/>
                      <w:kern w:val="0"/>
                      <w:sz w:val="20"/>
                      <w:szCs w:val="20"/>
                      <w:lang w:eastAsia="en-GB"/>
                      <w14:ligatures w14:val="none"/>
                    </w:rPr>
                  </w:pPr>
                  <w:r w:rsidRPr="00AA0B0A">
                    <w:rPr>
                      <w:rFonts w:eastAsia="Times New Roman" w:cs="Calibri"/>
                      <w:color w:val="000000"/>
                      <w:kern w:val="0"/>
                      <w:sz w:val="20"/>
                      <w:szCs w:val="20"/>
                      <w:lang w:eastAsia="en-GB"/>
                      <w14:ligatures w14:val="none"/>
                    </w:rPr>
                    <w:t>-3.0, -1.3</w:t>
                  </w:r>
                </w:p>
              </w:tc>
              <w:tc>
                <w:tcPr>
                  <w:tcW w:w="0" w:type="auto"/>
                  <w:tcBorders>
                    <w:right w:val="single" w:sz="4" w:space="0" w:color="auto"/>
                  </w:tcBorders>
                  <w:noWrap/>
                  <w:tcMar>
                    <w:top w:w="15" w:type="dxa"/>
                    <w:left w:w="108" w:type="dxa"/>
                    <w:bottom w:w="15" w:type="dxa"/>
                    <w:right w:w="108" w:type="dxa"/>
                  </w:tcMar>
                  <w:hideMark/>
                </w:tcPr>
                <w:p w14:paraId="59FE781D" w14:textId="77777777" w:rsidR="00392601" w:rsidRPr="00AA0B0A" w:rsidRDefault="00392601" w:rsidP="0041177B">
                  <w:pPr>
                    <w:spacing w:after="0" w:line="240" w:lineRule="auto"/>
                    <w:jc w:val="center"/>
                    <w:rPr>
                      <w:rFonts w:eastAsia="Times New Roman" w:cs="Calibri"/>
                      <w:color w:val="000000"/>
                      <w:kern w:val="0"/>
                      <w:sz w:val="20"/>
                      <w:szCs w:val="20"/>
                      <w:lang w:eastAsia="en-GB"/>
                      <w14:ligatures w14:val="none"/>
                    </w:rPr>
                  </w:pPr>
                  <w:r w:rsidRPr="00AA0B0A">
                    <w:rPr>
                      <w:rFonts w:eastAsia="Times New Roman" w:cs="Calibri"/>
                      <w:color w:val="000000"/>
                      <w:kern w:val="0"/>
                      <w:sz w:val="20"/>
                      <w:szCs w:val="20"/>
                      <w:lang w:eastAsia="en-GB"/>
                      <w14:ligatures w14:val="none"/>
                    </w:rPr>
                    <w:t>down</w:t>
                  </w:r>
                </w:p>
              </w:tc>
              <w:tc>
                <w:tcPr>
                  <w:tcW w:w="0" w:type="auto"/>
                  <w:tcBorders>
                    <w:left w:val="single" w:sz="4" w:space="0" w:color="auto"/>
                  </w:tcBorders>
                </w:tcPr>
                <w:p w14:paraId="1252E248" w14:textId="77777777" w:rsidR="00392601" w:rsidRPr="00AA0B0A" w:rsidRDefault="00392601" w:rsidP="0041177B">
                  <w:pPr>
                    <w:spacing w:after="0" w:line="240" w:lineRule="auto"/>
                    <w:jc w:val="center"/>
                    <w:rPr>
                      <w:rFonts w:eastAsia="Times New Roman" w:cs="Calibri"/>
                      <w:color w:val="000000"/>
                      <w:kern w:val="0"/>
                      <w:sz w:val="20"/>
                      <w:szCs w:val="20"/>
                      <w:lang w:eastAsia="en-GB"/>
                      <w14:ligatures w14:val="none"/>
                    </w:rPr>
                  </w:pPr>
                  <w:r w:rsidRPr="00AA0B0A">
                    <w:rPr>
                      <w:rFonts w:eastAsia="Times New Roman" w:cs="Calibri"/>
                      <w:color w:val="000000"/>
                      <w:kern w:val="0"/>
                      <w:sz w:val="20"/>
                      <w:szCs w:val="20"/>
                      <w:lang w:eastAsia="en-GB"/>
                      <w14:ligatures w14:val="none"/>
                    </w:rPr>
                    <w:t>F</w:t>
                  </w:r>
                </w:p>
              </w:tc>
              <w:tc>
                <w:tcPr>
                  <w:tcW w:w="0" w:type="auto"/>
                </w:tcPr>
                <w:p w14:paraId="10BF8D4C" w14:textId="77777777" w:rsidR="00392601" w:rsidRPr="00AA0B0A" w:rsidRDefault="00392601" w:rsidP="0041177B">
                  <w:pPr>
                    <w:spacing w:after="0" w:line="240" w:lineRule="auto"/>
                    <w:jc w:val="center"/>
                    <w:rPr>
                      <w:rFonts w:eastAsia="Times New Roman" w:cs="Calibri"/>
                      <w:color w:val="000000"/>
                      <w:kern w:val="0"/>
                      <w:sz w:val="20"/>
                      <w:szCs w:val="20"/>
                      <w:lang w:eastAsia="en-GB"/>
                      <w14:ligatures w14:val="none"/>
                    </w:rPr>
                  </w:pPr>
                  <w:r w:rsidRPr="00AA0B0A">
                    <w:rPr>
                      <w:rFonts w:eastAsia="Times New Roman" w:cs="Calibri"/>
                      <w:color w:val="000000"/>
                      <w:kern w:val="0"/>
                      <w:sz w:val="20"/>
                      <w:szCs w:val="20"/>
                      <w:lang w:eastAsia="en-GB"/>
                      <w14:ligatures w14:val="none"/>
                    </w:rPr>
                    <w:t>1994-2022</w:t>
                  </w:r>
                </w:p>
              </w:tc>
              <w:tc>
                <w:tcPr>
                  <w:tcW w:w="0" w:type="auto"/>
                </w:tcPr>
                <w:p w14:paraId="1F9C455F" w14:textId="77777777" w:rsidR="00392601" w:rsidRPr="00AA0B0A" w:rsidRDefault="00392601" w:rsidP="0041177B">
                  <w:pPr>
                    <w:spacing w:after="0" w:line="240" w:lineRule="auto"/>
                    <w:jc w:val="center"/>
                    <w:rPr>
                      <w:rFonts w:eastAsia="Times New Roman" w:cs="Calibri"/>
                      <w:color w:val="000000"/>
                      <w:kern w:val="0"/>
                      <w:sz w:val="20"/>
                      <w:szCs w:val="20"/>
                      <w:lang w:eastAsia="en-GB"/>
                      <w14:ligatures w14:val="none"/>
                    </w:rPr>
                  </w:pPr>
                  <w:r w:rsidRPr="00AA0B0A">
                    <w:rPr>
                      <w:rFonts w:cs="Calibri"/>
                      <w:sz w:val="20"/>
                      <w:szCs w:val="20"/>
                    </w:rPr>
                    <w:t>-0.1</w:t>
                  </w:r>
                </w:p>
              </w:tc>
              <w:tc>
                <w:tcPr>
                  <w:tcW w:w="0" w:type="auto"/>
                </w:tcPr>
                <w:p w14:paraId="491E2028" w14:textId="77777777" w:rsidR="00392601" w:rsidRPr="00AA0B0A" w:rsidRDefault="00392601" w:rsidP="0041177B">
                  <w:pPr>
                    <w:spacing w:after="0" w:line="240" w:lineRule="auto"/>
                    <w:jc w:val="center"/>
                    <w:rPr>
                      <w:rFonts w:eastAsia="Times New Roman" w:cs="Calibri"/>
                      <w:color w:val="000000"/>
                      <w:kern w:val="0"/>
                      <w:sz w:val="20"/>
                      <w:szCs w:val="20"/>
                      <w:lang w:eastAsia="en-GB"/>
                      <w14:ligatures w14:val="none"/>
                    </w:rPr>
                  </w:pPr>
                  <w:r w:rsidRPr="00AA0B0A">
                    <w:rPr>
                      <w:rFonts w:cs="Calibri"/>
                      <w:sz w:val="20"/>
                      <w:szCs w:val="20"/>
                    </w:rPr>
                    <w:t>-1.1, 0.9</w:t>
                  </w:r>
                </w:p>
              </w:tc>
              <w:tc>
                <w:tcPr>
                  <w:tcW w:w="0" w:type="auto"/>
                </w:tcPr>
                <w:p w14:paraId="23C485C9" w14:textId="77777777" w:rsidR="00392601" w:rsidRPr="00AA0B0A" w:rsidRDefault="00392601" w:rsidP="0041177B">
                  <w:pPr>
                    <w:spacing w:after="0" w:line="240" w:lineRule="auto"/>
                    <w:jc w:val="center"/>
                    <w:rPr>
                      <w:rFonts w:eastAsia="Times New Roman" w:cs="Calibri"/>
                      <w:color w:val="000000"/>
                      <w:kern w:val="0"/>
                      <w:sz w:val="20"/>
                      <w:szCs w:val="20"/>
                      <w:lang w:eastAsia="en-GB"/>
                      <w14:ligatures w14:val="none"/>
                    </w:rPr>
                  </w:pPr>
                  <w:r w:rsidRPr="00AA0B0A">
                    <w:rPr>
                      <w:rFonts w:cs="Calibri"/>
                      <w:sz w:val="20"/>
                      <w:szCs w:val="20"/>
                    </w:rPr>
                    <w:t>flat</w:t>
                  </w:r>
                </w:p>
              </w:tc>
            </w:tr>
          </w:tbl>
          <w:p w14:paraId="3D123CE5" w14:textId="77777777" w:rsidR="00392601" w:rsidRPr="002A7678" w:rsidRDefault="00392601" w:rsidP="0041177B">
            <w:pPr>
              <w:jc w:val="center"/>
              <w:rPr>
                <w:rFonts w:eastAsia="Times New Roman" w:cs="Calibri"/>
                <w:b/>
                <w:bCs/>
                <w:color w:val="000000"/>
                <w:sz w:val="16"/>
                <w:szCs w:val="16"/>
                <w:u w:val="single"/>
                <w:lang w:eastAsia="en-GB"/>
              </w:rPr>
            </w:pPr>
          </w:p>
        </w:tc>
      </w:tr>
      <w:tr w:rsidR="00392601" w:rsidRPr="002A7678" w14:paraId="18B314EA" w14:textId="77777777" w:rsidTr="0041177B">
        <w:trPr>
          <w:trHeight w:val="1108"/>
        </w:trPr>
        <w:tc>
          <w:tcPr>
            <w:tcW w:w="9634" w:type="dxa"/>
            <w:vAlign w:val="center"/>
          </w:tcPr>
          <w:p w14:paraId="25FF644F" w14:textId="77777777" w:rsidR="00392601" w:rsidRPr="002A7678" w:rsidRDefault="00392601" w:rsidP="0041177B">
            <w:pPr>
              <w:pBdr>
                <w:bottom w:val="single" w:sz="4" w:space="1" w:color="auto"/>
              </w:pBdr>
              <w:rPr>
                <w:rFonts w:asciiTheme="minorHAnsi" w:hAnsiTheme="minorHAnsi"/>
                <w:bCs/>
                <w:sz w:val="18"/>
                <w:szCs w:val="16"/>
              </w:rPr>
            </w:pPr>
            <w:r w:rsidRPr="002A7678">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51B7F15B" w14:textId="77777777" w:rsidR="00392601" w:rsidRPr="002A7678" w:rsidRDefault="00392601" w:rsidP="0041177B">
            <w:pPr>
              <w:rPr>
                <w:rFonts w:asciiTheme="minorHAnsi" w:hAnsiTheme="minorHAnsi"/>
                <w:b/>
                <w:bCs/>
                <w:noProof/>
                <w:sz w:val="14"/>
                <w:szCs w:val="14"/>
                <w:u w:val="single"/>
              </w:rPr>
            </w:pPr>
          </w:p>
        </w:tc>
      </w:tr>
    </w:tbl>
    <w:p w14:paraId="29361B38" w14:textId="77777777" w:rsidR="00392601" w:rsidRPr="00C32002" w:rsidRDefault="00392601" w:rsidP="00392601">
      <w:pPr>
        <w:spacing w:after="0"/>
      </w:pPr>
    </w:p>
    <w:p w14:paraId="1BBEEE64" w14:textId="77777777" w:rsidR="00392601" w:rsidRPr="00C32002" w:rsidRDefault="00392601" w:rsidP="00392601">
      <w:pPr>
        <w:spacing w:after="0"/>
      </w:pPr>
    </w:p>
    <w:p w14:paraId="06CC2AE7" w14:textId="77777777" w:rsidR="00392601" w:rsidRPr="00C32002" w:rsidRDefault="00392601" w:rsidP="00392601">
      <w:pPr>
        <w:spacing w:after="0"/>
      </w:pPr>
    </w:p>
    <w:p w14:paraId="619698B6" w14:textId="77777777" w:rsidR="00392601" w:rsidRPr="00C32002" w:rsidRDefault="00392601" w:rsidP="00392601">
      <w:pPr>
        <w:spacing w:after="0"/>
        <w:sectPr w:rsidR="00392601" w:rsidRPr="00C32002" w:rsidSect="002746C0">
          <w:pgSz w:w="11906" w:h="16838"/>
          <w:pgMar w:top="1440" w:right="1440" w:bottom="1440" w:left="1440" w:header="708" w:footer="708" w:gutter="0"/>
          <w:cols w:space="708"/>
          <w:docGrid w:linePitch="360"/>
        </w:sectPr>
      </w:pPr>
    </w:p>
    <w:p w14:paraId="696D722E" w14:textId="77777777" w:rsidR="00392601" w:rsidRPr="00C32002" w:rsidRDefault="00392601" w:rsidP="003B6628">
      <w:pPr>
        <w:pStyle w:val="Heading2"/>
        <w:spacing w:before="0" w:after="0"/>
      </w:pPr>
      <w:bookmarkStart w:id="87" w:name="_Toc197557051"/>
      <w:bookmarkStart w:id="88" w:name="_Toc201512445"/>
      <w:r w:rsidRPr="00C32002">
        <w:t>Survival</w:t>
      </w:r>
      <w:bookmarkEnd w:id="78"/>
      <w:bookmarkEnd w:id="87"/>
      <w:bookmarkEnd w:id="88"/>
      <w:r w:rsidRPr="00C32002">
        <w:t xml:space="preserve"> </w:t>
      </w:r>
    </w:p>
    <w:p w14:paraId="26C2366A" w14:textId="4770A069" w:rsidR="00392601" w:rsidRDefault="00392601" w:rsidP="003B6628">
      <w:pPr>
        <w:spacing w:after="0" w:line="240" w:lineRule="auto"/>
        <w:rPr>
          <w:rFonts w:cstheme="minorHAnsi"/>
        </w:rPr>
      </w:pPr>
      <w:r w:rsidRPr="00C32002">
        <w:rPr>
          <w:rFonts w:cstheme="minorHAnsi"/>
        </w:rPr>
        <w:t>Overall</w:t>
      </w:r>
      <w:r>
        <w:rPr>
          <w:rFonts w:cstheme="minorHAnsi"/>
        </w:rPr>
        <w:t>,</w:t>
      </w:r>
      <w:r w:rsidRPr="00C32002">
        <w:rPr>
          <w:rFonts w:cstheme="minorHAnsi"/>
        </w:rPr>
        <w:t xml:space="preserve"> 5-year net survival was 58% for cases diagnosed during 2019-2022 (Figure </w:t>
      </w:r>
      <w:r w:rsidR="003B6628">
        <w:rPr>
          <w:rFonts w:cstheme="minorHAnsi"/>
        </w:rPr>
        <w:t>5.6</w:t>
      </w:r>
      <w:r w:rsidRPr="00C32002">
        <w:rPr>
          <w:rFonts w:cstheme="minorHAnsi"/>
        </w:rPr>
        <w:t xml:space="preserve">). </w:t>
      </w:r>
      <w:r>
        <w:rPr>
          <w:rFonts w:cstheme="minorHAnsi"/>
        </w:rPr>
        <w:t>Five</w:t>
      </w:r>
      <w:r w:rsidRPr="00C32002">
        <w:rPr>
          <w:rFonts w:cstheme="minorHAnsi"/>
        </w:rPr>
        <w:t xml:space="preserve">-year net survival for 2019-2022 was higher for females (64%) than for males (57%). This was in line with the survival </w:t>
      </w:r>
      <w:r>
        <w:rPr>
          <w:rFonts w:cstheme="minorHAnsi"/>
        </w:rPr>
        <w:t xml:space="preserve">estimates for </w:t>
      </w:r>
      <w:r w:rsidRPr="00C32002">
        <w:rPr>
          <w:rFonts w:cstheme="minorHAnsi"/>
        </w:rPr>
        <w:t>the 2014-2018 and 2009-2013 periods.</w:t>
      </w:r>
    </w:p>
    <w:p w14:paraId="03AE42F9" w14:textId="77777777" w:rsidR="00392601" w:rsidRPr="00C32002" w:rsidRDefault="00392601" w:rsidP="003B6628">
      <w:pPr>
        <w:spacing w:after="0"/>
        <w:rPr>
          <w:rFonts w:cstheme="minorHAnsi"/>
        </w:rPr>
      </w:pPr>
    </w:p>
    <w:tbl>
      <w:tblPr>
        <w:tblStyle w:val="TableGrid"/>
        <w:tblW w:w="958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1"/>
        <w:gridCol w:w="3256"/>
        <w:gridCol w:w="3256"/>
      </w:tblGrid>
      <w:tr w:rsidR="00392601" w:rsidRPr="002A7678" w14:paraId="320323DE" w14:textId="77777777" w:rsidTr="00392601">
        <w:trPr>
          <w:trHeight w:val="113"/>
        </w:trPr>
        <w:tc>
          <w:tcPr>
            <w:tcW w:w="9583" w:type="dxa"/>
            <w:gridSpan w:val="3"/>
            <w:shd w:val="clear" w:color="auto" w:fill="002060"/>
            <w:hideMark/>
          </w:tcPr>
          <w:p w14:paraId="4F4C025A" w14:textId="02A1514F" w:rsidR="00392601" w:rsidRPr="003B6628" w:rsidRDefault="00392601" w:rsidP="003B6628">
            <w:pPr>
              <w:rPr>
                <w:rFonts w:asciiTheme="minorHAnsi" w:hAnsiTheme="minorHAnsi" w:cstheme="minorHAnsi"/>
                <w:b/>
                <w:bCs/>
              </w:rPr>
            </w:pPr>
            <w:r w:rsidRPr="003B6628">
              <w:rPr>
                <w:rFonts w:asciiTheme="minorHAnsi" w:hAnsiTheme="minorHAnsi" w:cstheme="minorHAnsi"/>
                <w:b/>
                <w:bCs/>
              </w:rPr>
              <w:t xml:space="preserve">Figure </w:t>
            </w:r>
            <w:r w:rsidR="003B6628" w:rsidRPr="003B6628">
              <w:rPr>
                <w:rFonts w:asciiTheme="minorHAnsi" w:hAnsiTheme="minorHAnsi" w:cstheme="minorHAnsi"/>
                <w:b/>
                <w:bCs/>
              </w:rPr>
              <w:t>5.6:</w:t>
            </w:r>
            <w:r w:rsidRPr="003B6628">
              <w:rPr>
                <w:rFonts w:asciiTheme="minorHAnsi" w:hAnsiTheme="minorHAnsi" w:cstheme="minorHAnsi"/>
                <w:b/>
                <w:bCs/>
              </w:rPr>
              <w:t xml:space="preserve"> Age-standardised 5-year net survival (%) for oral cavity cancer over six consecutive diagnosis periods</w:t>
            </w:r>
          </w:p>
        </w:tc>
      </w:tr>
      <w:tr w:rsidR="00392601" w:rsidRPr="002A7678" w14:paraId="0C34FAC0" w14:textId="77777777" w:rsidTr="00392601">
        <w:trPr>
          <w:trHeight w:val="113"/>
        </w:trPr>
        <w:tc>
          <w:tcPr>
            <w:tcW w:w="3071" w:type="dxa"/>
            <w:hideMark/>
          </w:tcPr>
          <w:p w14:paraId="3D83C813" w14:textId="77777777" w:rsidR="00392601" w:rsidRPr="002A7678" w:rsidRDefault="00392601" w:rsidP="003B6628">
            <w:pPr>
              <w:jc w:val="center"/>
              <w:rPr>
                <w:rFonts w:asciiTheme="minorHAnsi" w:hAnsiTheme="minorHAnsi" w:cstheme="minorHAnsi"/>
                <w:color w:val="000000" w:themeColor="text1"/>
              </w:rPr>
            </w:pPr>
            <w:r w:rsidRPr="002A7678">
              <w:rPr>
                <w:rFonts w:asciiTheme="minorHAnsi" w:hAnsiTheme="minorHAnsi" w:cstheme="minorHAnsi"/>
                <w:color w:val="000000" w:themeColor="text1"/>
              </w:rPr>
              <w:t>Total</w:t>
            </w:r>
          </w:p>
        </w:tc>
        <w:tc>
          <w:tcPr>
            <w:tcW w:w="3256" w:type="dxa"/>
          </w:tcPr>
          <w:p w14:paraId="039F653C" w14:textId="77777777" w:rsidR="00392601" w:rsidRPr="002A7678" w:rsidRDefault="00392601" w:rsidP="003B6628">
            <w:pPr>
              <w:jc w:val="center"/>
              <w:rPr>
                <w:rFonts w:asciiTheme="minorHAnsi" w:hAnsiTheme="minorHAnsi" w:cstheme="minorHAnsi"/>
                <w:color w:val="000000" w:themeColor="text1"/>
              </w:rPr>
            </w:pPr>
            <w:r w:rsidRPr="002A7678">
              <w:rPr>
                <w:rFonts w:asciiTheme="minorHAnsi" w:hAnsiTheme="minorHAnsi" w:cstheme="minorHAnsi"/>
                <w:color w:val="000000" w:themeColor="text1"/>
              </w:rPr>
              <w:t>Males</w:t>
            </w:r>
          </w:p>
        </w:tc>
        <w:tc>
          <w:tcPr>
            <w:tcW w:w="3256" w:type="dxa"/>
          </w:tcPr>
          <w:p w14:paraId="14FB6A98" w14:textId="77777777" w:rsidR="00392601" w:rsidRPr="002A7678" w:rsidRDefault="00392601" w:rsidP="003B6628">
            <w:pPr>
              <w:jc w:val="center"/>
              <w:rPr>
                <w:rFonts w:asciiTheme="minorHAnsi" w:hAnsiTheme="minorHAnsi" w:cstheme="minorHAnsi"/>
                <w:color w:val="000000" w:themeColor="text1"/>
              </w:rPr>
            </w:pPr>
            <w:r w:rsidRPr="002A7678">
              <w:rPr>
                <w:rFonts w:asciiTheme="minorHAnsi" w:hAnsiTheme="minorHAnsi" w:cstheme="minorHAnsi"/>
                <w:color w:val="000000" w:themeColor="text1"/>
              </w:rPr>
              <w:t>Females</w:t>
            </w:r>
          </w:p>
        </w:tc>
      </w:tr>
      <w:tr w:rsidR="00392601" w:rsidRPr="002A7678" w14:paraId="5C2C5A6C" w14:textId="77777777" w:rsidTr="00392601">
        <w:trPr>
          <w:trHeight w:val="113"/>
        </w:trPr>
        <w:tc>
          <w:tcPr>
            <w:tcW w:w="3071" w:type="dxa"/>
            <w:tcBorders>
              <w:bottom w:val="single" w:sz="4" w:space="0" w:color="auto"/>
            </w:tcBorders>
          </w:tcPr>
          <w:p w14:paraId="67844DB2" w14:textId="77777777" w:rsidR="00392601" w:rsidRPr="002A7678" w:rsidRDefault="00392601" w:rsidP="003B6628">
            <w:pPr>
              <w:rPr>
                <w:rFonts w:asciiTheme="minorHAnsi" w:hAnsiTheme="minorHAnsi" w:cstheme="minorHAnsi"/>
                <w:color w:val="000000" w:themeColor="text1"/>
              </w:rPr>
            </w:pPr>
            <w:r w:rsidRPr="002A7678">
              <w:rPr>
                <w:rFonts w:eastAsia="Times New Roman" w:cs="Times New Roman"/>
                <w:noProof/>
                <w:lang w:eastAsia="en-GB"/>
              </w:rPr>
              <w:drawing>
                <wp:inline distT="0" distB="0" distL="0" distR="0" wp14:anchorId="4357070B" wp14:editId="301313E4">
                  <wp:extent cx="1636822" cy="1429200"/>
                  <wp:effectExtent l="0" t="0" r="1905" b="0"/>
                  <wp:docPr id="1371024322" name="Picture 16" descr="A graph of numbers and percent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024322" name="Picture 16" descr="A graph of numbers and percentages&#10;&#10;AI-generated content may be incorrec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36822" cy="1429200"/>
                          </a:xfrm>
                          <a:prstGeom prst="rect">
                            <a:avLst/>
                          </a:prstGeom>
                          <a:noFill/>
                        </pic:spPr>
                      </pic:pic>
                    </a:graphicData>
                  </a:graphic>
                </wp:inline>
              </w:drawing>
            </w:r>
          </w:p>
        </w:tc>
        <w:tc>
          <w:tcPr>
            <w:tcW w:w="3256" w:type="dxa"/>
            <w:tcBorders>
              <w:bottom w:val="single" w:sz="4" w:space="0" w:color="auto"/>
            </w:tcBorders>
          </w:tcPr>
          <w:p w14:paraId="59A59D79" w14:textId="77777777" w:rsidR="00392601" w:rsidRPr="002A7678" w:rsidRDefault="00392601" w:rsidP="003B6628">
            <w:pPr>
              <w:jc w:val="center"/>
              <w:rPr>
                <w:rFonts w:asciiTheme="minorHAnsi" w:hAnsiTheme="minorHAnsi" w:cstheme="minorHAnsi"/>
                <w:color w:val="000000" w:themeColor="text1"/>
              </w:rPr>
            </w:pPr>
            <w:r w:rsidRPr="002A7678">
              <w:rPr>
                <w:rFonts w:eastAsia="Times New Roman" w:cs="Times New Roman"/>
                <w:noProof/>
                <w:lang w:eastAsia="en-GB"/>
              </w:rPr>
              <w:drawing>
                <wp:inline distT="0" distB="0" distL="0" distR="0" wp14:anchorId="6EE18460" wp14:editId="72EE5DAB">
                  <wp:extent cx="1632699" cy="1425600"/>
                  <wp:effectExtent l="0" t="0" r="5715" b="3175"/>
                  <wp:docPr id="606627358" name="Picture 17" descr="A graph with numbers and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627358" name="Picture 17" descr="A graph with numbers and a number of numbers&#10;&#10;AI-generated content may be incorre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32699" cy="1425600"/>
                          </a:xfrm>
                          <a:prstGeom prst="rect">
                            <a:avLst/>
                          </a:prstGeom>
                          <a:noFill/>
                        </pic:spPr>
                      </pic:pic>
                    </a:graphicData>
                  </a:graphic>
                </wp:inline>
              </w:drawing>
            </w:r>
          </w:p>
        </w:tc>
        <w:tc>
          <w:tcPr>
            <w:tcW w:w="3256" w:type="dxa"/>
            <w:tcBorders>
              <w:bottom w:val="single" w:sz="4" w:space="0" w:color="auto"/>
            </w:tcBorders>
          </w:tcPr>
          <w:p w14:paraId="419715CE" w14:textId="77777777" w:rsidR="00392601" w:rsidRPr="002A7678" w:rsidRDefault="00392601" w:rsidP="003B6628">
            <w:pPr>
              <w:jc w:val="center"/>
              <w:rPr>
                <w:rFonts w:asciiTheme="minorHAnsi" w:hAnsiTheme="minorHAnsi" w:cstheme="minorHAnsi"/>
                <w:color w:val="000000" w:themeColor="text1"/>
              </w:rPr>
            </w:pPr>
            <w:r w:rsidRPr="002A7678">
              <w:rPr>
                <w:rFonts w:cstheme="minorHAnsi"/>
                <w:noProof/>
                <w:color w:val="000000" w:themeColor="text1"/>
              </w:rPr>
              <w:drawing>
                <wp:inline distT="0" distB="0" distL="0" distR="0" wp14:anchorId="0EFCE339" wp14:editId="4A75B7BB">
                  <wp:extent cx="1636822" cy="1429200"/>
                  <wp:effectExtent l="0" t="0" r="1905" b="0"/>
                  <wp:docPr id="1157776265" name="Picture 18" descr="A graph of numbers and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76265" name="Picture 18" descr="A graph of numbers and a number of objects&#10;&#10;AI-generated content may be incorrec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36822" cy="1429200"/>
                          </a:xfrm>
                          <a:prstGeom prst="rect">
                            <a:avLst/>
                          </a:prstGeom>
                          <a:noFill/>
                        </pic:spPr>
                      </pic:pic>
                    </a:graphicData>
                  </a:graphic>
                </wp:inline>
              </w:drawing>
            </w:r>
          </w:p>
        </w:tc>
      </w:tr>
    </w:tbl>
    <w:p w14:paraId="3C3351FA" w14:textId="77777777" w:rsidR="0080459B" w:rsidRPr="0080459B" w:rsidRDefault="0080459B" w:rsidP="0080459B">
      <w:bookmarkStart w:id="89" w:name="_Toc196914558"/>
      <w:bookmarkStart w:id="90" w:name="_Toc197557052"/>
    </w:p>
    <w:p w14:paraId="0AAED19E" w14:textId="77777777" w:rsidR="00392601" w:rsidRPr="00C32002" w:rsidRDefault="00392601" w:rsidP="003B6628">
      <w:pPr>
        <w:pStyle w:val="Heading2"/>
        <w:spacing w:before="0" w:after="0"/>
      </w:pPr>
      <w:bookmarkStart w:id="91" w:name="_Toc201512446"/>
      <w:r w:rsidRPr="00C32002">
        <w:t>Population Attributable Fraction</w:t>
      </w:r>
      <w:bookmarkEnd w:id="89"/>
      <w:bookmarkEnd w:id="90"/>
      <w:bookmarkEnd w:id="91"/>
    </w:p>
    <w:p w14:paraId="6FAC4601" w14:textId="5767E136" w:rsidR="00392601" w:rsidRDefault="00392601" w:rsidP="003B6628">
      <w:pPr>
        <w:spacing w:after="0" w:line="240" w:lineRule="auto"/>
        <w:rPr>
          <w:rFonts w:ascii="Aptos" w:hAnsi="Aptos"/>
          <w:color w:val="000000"/>
          <w:shd w:val="clear" w:color="auto" w:fill="FFFFFF"/>
        </w:rPr>
      </w:pPr>
      <w:r w:rsidRPr="00C32002">
        <w:rPr>
          <w:rFonts w:cstheme="minorHAnsi"/>
        </w:rPr>
        <w:t xml:space="preserve">In 2022, 328 cases of oral cavity cancer were recorded (218 males, 110 females). </w:t>
      </w:r>
      <w:r w:rsidRPr="00C32002">
        <w:rPr>
          <w:rFonts w:ascii="Aptos" w:hAnsi="Aptos"/>
          <w:color w:val="000000"/>
          <w:shd w:val="clear" w:color="auto" w:fill="FFFFFF"/>
        </w:rPr>
        <w:t xml:space="preserve">The estimated total number of cases attributable to smoking in Ireland in 2022 was 60 (PAF 18.2%). Table </w:t>
      </w:r>
      <w:r w:rsidR="003B6628">
        <w:rPr>
          <w:rFonts w:ascii="Aptos" w:hAnsi="Aptos"/>
          <w:color w:val="000000"/>
          <w:shd w:val="clear" w:color="auto" w:fill="FFFFFF"/>
        </w:rPr>
        <w:t>5.1</w:t>
      </w:r>
      <w:r w:rsidRPr="00C32002">
        <w:rPr>
          <w:rFonts w:ascii="Aptos" w:hAnsi="Aptos"/>
          <w:color w:val="000000"/>
          <w:shd w:val="clear" w:color="auto" w:fill="FFFFFF"/>
        </w:rPr>
        <w:t xml:space="preserve"> presents the difference between male and female oral cavity cancer incidence related to smoking. Males had a higher PAF than females, 19.0% vs 16.7%. </w:t>
      </w:r>
    </w:p>
    <w:p w14:paraId="3F0689A0" w14:textId="77777777" w:rsidR="00392601" w:rsidRPr="00C32002" w:rsidRDefault="00392601" w:rsidP="00392601">
      <w:pPr>
        <w:spacing w:after="0"/>
        <w:rPr>
          <w:rFonts w:cstheme="minorHAnsi"/>
        </w:rPr>
      </w:pPr>
    </w:p>
    <w:tbl>
      <w:tblPr>
        <w:tblW w:w="9585" w:type="dxa"/>
        <w:tblInd w:w="-5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00"/>
        <w:gridCol w:w="2293"/>
        <w:gridCol w:w="2428"/>
        <w:gridCol w:w="2264"/>
      </w:tblGrid>
      <w:tr w:rsidR="00392601" w:rsidRPr="00C32002" w14:paraId="76B7BB8D" w14:textId="77777777" w:rsidTr="00392601">
        <w:trPr>
          <w:trHeight w:val="300"/>
        </w:trPr>
        <w:tc>
          <w:tcPr>
            <w:tcW w:w="9585" w:type="dxa"/>
            <w:gridSpan w:val="4"/>
            <w:tcBorders>
              <w:top w:val="single" w:sz="6" w:space="0" w:color="auto"/>
              <w:left w:val="single" w:sz="6" w:space="0" w:color="auto"/>
              <w:bottom w:val="single" w:sz="6" w:space="0" w:color="auto"/>
              <w:right w:val="single" w:sz="6" w:space="0" w:color="auto"/>
            </w:tcBorders>
            <w:shd w:val="clear" w:color="auto" w:fill="002060"/>
            <w:hideMark/>
          </w:tcPr>
          <w:p w14:paraId="78DAA34D" w14:textId="09654281" w:rsidR="00392601" w:rsidRPr="003B6628" w:rsidRDefault="003B6628" w:rsidP="0041177B">
            <w:pPr>
              <w:spacing w:after="0" w:line="240" w:lineRule="auto"/>
              <w:textAlignment w:val="baseline"/>
              <w:rPr>
                <w:rFonts w:ascii="Segoe UI" w:eastAsia="Times New Roman" w:hAnsi="Segoe UI" w:cs="Segoe UI"/>
                <w:b/>
                <w:bCs/>
                <w:kern w:val="0"/>
                <w:sz w:val="18"/>
                <w:szCs w:val="18"/>
                <w:lang w:eastAsia="en-GB"/>
                <w14:ligatures w14:val="none"/>
              </w:rPr>
            </w:pPr>
            <w:r>
              <w:rPr>
                <w:rFonts w:ascii="Aptos" w:eastAsia="Times New Roman" w:hAnsi="Aptos" w:cs="Segoe UI"/>
                <w:b/>
                <w:bCs/>
                <w:color w:val="FFFFFF"/>
                <w:kern w:val="0"/>
                <w:lang w:eastAsia="en-GB"/>
                <w14:ligatures w14:val="none"/>
              </w:rPr>
              <w:t>Table 5.1</w:t>
            </w:r>
            <w:r w:rsidR="00392601" w:rsidRPr="003B6628">
              <w:rPr>
                <w:rFonts w:ascii="Aptos" w:eastAsia="Times New Roman" w:hAnsi="Aptos" w:cs="Segoe UI"/>
                <w:b/>
                <w:bCs/>
                <w:color w:val="FFFFFF"/>
                <w:kern w:val="0"/>
                <w:lang w:eastAsia="en-GB"/>
                <w14:ligatures w14:val="none"/>
              </w:rPr>
              <w:t>: Population attributable fraction and attributable cases for oral cavity cancer in 2022 </w:t>
            </w:r>
          </w:p>
        </w:tc>
      </w:tr>
      <w:tr w:rsidR="00392601" w:rsidRPr="00C32002" w14:paraId="3FFB5A19" w14:textId="77777777" w:rsidTr="00392601">
        <w:trPr>
          <w:trHeight w:val="300"/>
        </w:trPr>
        <w:tc>
          <w:tcPr>
            <w:tcW w:w="2600" w:type="dxa"/>
            <w:tcBorders>
              <w:top w:val="single" w:sz="6" w:space="0" w:color="auto"/>
              <w:left w:val="single" w:sz="6" w:space="0" w:color="auto"/>
              <w:bottom w:val="single" w:sz="6" w:space="0" w:color="auto"/>
              <w:right w:val="single" w:sz="6" w:space="0" w:color="auto"/>
            </w:tcBorders>
            <w:shd w:val="clear" w:color="auto" w:fill="auto"/>
            <w:hideMark/>
          </w:tcPr>
          <w:p w14:paraId="01A316B9" w14:textId="77777777" w:rsidR="00392601" w:rsidRPr="00C32002" w:rsidRDefault="00392601" w:rsidP="0041177B">
            <w:pPr>
              <w:spacing w:after="0" w:line="240" w:lineRule="auto"/>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68AB6C7B" w14:textId="77777777" w:rsidR="00392601" w:rsidRPr="00C32002"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Total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136D8A25" w14:textId="77777777" w:rsidR="00392601" w:rsidRPr="00C32002"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Males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6C597C1D" w14:textId="77777777" w:rsidR="00392601" w:rsidRPr="00C32002"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Females </w:t>
            </w:r>
          </w:p>
        </w:tc>
      </w:tr>
      <w:tr w:rsidR="00392601" w:rsidRPr="00C32002" w14:paraId="0A70BEC9" w14:textId="77777777" w:rsidTr="00392601">
        <w:trPr>
          <w:trHeight w:val="300"/>
        </w:trPr>
        <w:tc>
          <w:tcPr>
            <w:tcW w:w="2600" w:type="dxa"/>
            <w:tcBorders>
              <w:top w:val="single" w:sz="6" w:space="0" w:color="auto"/>
              <w:left w:val="single" w:sz="6" w:space="0" w:color="auto"/>
              <w:bottom w:val="single" w:sz="6" w:space="0" w:color="auto"/>
              <w:right w:val="single" w:sz="6" w:space="0" w:color="auto"/>
            </w:tcBorders>
            <w:shd w:val="clear" w:color="auto" w:fill="auto"/>
            <w:hideMark/>
          </w:tcPr>
          <w:p w14:paraId="28BC4AC6" w14:textId="77777777" w:rsidR="00392601" w:rsidRPr="00C32002" w:rsidRDefault="00392601" w:rsidP="0041177B">
            <w:pPr>
              <w:spacing w:after="0" w:line="240" w:lineRule="auto"/>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PAF (%)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5A8D51AA" w14:textId="77777777" w:rsidR="00392601" w:rsidRPr="00C32002"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18.2 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7A82C863" w14:textId="77777777" w:rsidR="00392601" w:rsidRPr="00C32002"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19.0 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064E71CF" w14:textId="4B0DCE60" w:rsidR="00392601" w:rsidRPr="00C32002"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16.7 </w:t>
            </w:r>
          </w:p>
        </w:tc>
      </w:tr>
      <w:tr w:rsidR="00AB4DF7" w:rsidRPr="00C32002" w14:paraId="07F67729" w14:textId="77777777" w:rsidTr="00392601">
        <w:trPr>
          <w:trHeight w:val="300"/>
        </w:trPr>
        <w:tc>
          <w:tcPr>
            <w:tcW w:w="2600" w:type="dxa"/>
            <w:tcBorders>
              <w:top w:val="single" w:sz="6" w:space="0" w:color="auto"/>
              <w:left w:val="single" w:sz="6" w:space="0" w:color="auto"/>
              <w:bottom w:val="single" w:sz="6" w:space="0" w:color="auto"/>
              <w:right w:val="single" w:sz="6" w:space="0" w:color="auto"/>
            </w:tcBorders>
            <w:shd w:val="clear" w:color="auto" w:fill="auto"/>
          </w:tcPr>
          <w:p w14:paraId="6558342D" w14:textId="3A6AC337" w:rsidR="00AB4DF7" w:rsidRPr="00C32002" w:rsidRDefault="00AB4DF7" w:rsidP="0041177B">
            <w:pPr>
              <w:spacing w:after="0" w:line="240" w:lineRule="auto"/>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Total cases</w:t>
            </w:r>
          </w:p>
        </w:tc>
        <w:tc>
          <w:tcPr>
            <w:tcW w:w="2293" w:type="dxa"/>
            <w:tcBorders>
              <w:top w:val="single" w:sz="6" w:space="0" w:color="auto"/>
              <w:left w:val="single" w:sz="6" w:space="0" w:color="auto"/>
              <w:bottom w:val="single" w:sz="6" w:space="0" w:color="auto"/>
              <w:right w:val="single" w:sz="6" w:space="0" w:color="auto"/>
            </w:tcBorders>
            <w:shd w:val="clear" w:color="auto" w:fill="auto"/>
          </w:tcPr>
          <w:p w14:paraId="03D68781" w14:textId="25233DB2" w:rsidR="00AB4DF7" w:rsidRPr="00C32002" w:rsidRDefault="003A3C3E"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328</w:t>
            </w:r>
          </w:p>
        </w:tc>
        <w:tc>
          <w:tcPr>
            <w:tcW w:w="2428" w:type="dxa"/>
            <w:tcBorders>
              <w:top w:val="single" w:sz="6" w:space="0" w:color="auto"/>
              <w:left w:val="single" w:sz="6" w:space="0" w:color="auto"/>
              <w:bottom w:val="single" w:sz="6" w:space="0" w:color="auto"/>
              <w:right w:val="single" w:sz="6" w:space="0" w:color="auto"/>
            </w:tcBorders>
            <w:shd w:val="clear" w:color="auto" w:fill="auto"/>
          </w:tcPr>
          <w:p w14:paraId="58191B94" w14:textId="37A873E7" w:rsidR="00AB4DF7" w:rsidRPr="00C32002" w:rsidRDefault="003A3C3E"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218</w:t>
            </w:r>
          </w:p>
        </w:tc>
        <w:tc>
          <w:tcPr>
            <w:tcW w:w="2264" w:type="dxa"/>
            <w:tcBorders>
              <w:top w:val="single" w:sz="6" w:space="0" w:color="auto"/>
              <w:left w:val="single" w:sz="6" w:space="0" w:color="auto"/>
              <w:bottom w:val="single" w:sz="6" w:space="0" w:color="auto"/>
              <w:right w:val="single" w:sz="6" w:space="0" w:color="auto"/>
            </w:tcBorders>
            <w:shd w:val="clear" w:color="auto" w:fill="auto"/>
          </w:tcPr>
          <w:p w14:paraId="5643F40D" w14:textId="664ED82C" w:rsidR="00AB4DF7" w:rsidRPr="00C32002" w:rsidRDefault="003A3C3E"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110</w:t>
            </w:r>
          </w:p>
        </w:tc>
      </w:tr>
      <w:tr w:rsidR="00392601" w:rsidRPr="00C32002" w14:paraId="1CC3F6DA" w14:textId="77777777" w:rsidTr="00392601">
        <w:trPr>
          <w:trHeight w:val="300"/>
        </w:trPr>
        <w:tc>
          <w:tcPr>
            <w:tcW w:w="2600" w:type="dxa"/>
            <w:tcBorders>
              <w:top w:val="single" w:sz="6" w:space="0" w:color="auto"/>
              <w:left w:val="single" w:sz="6" w:space="0" w:color="auto"/>
              <w:bottom w:val="single" w:sz="6" w:space="0" w:color="auto"/>
              <w:right w:val="single" w:sz="6" w:space="0" w:color="auto"/>
            </w:tcBorders>
            <w:shd w:val="clear" w:color="auto" w:fill="auto"/>
            <w:hideMark/>
          </w:tcPr>
          <w:p w14:paraId="2253DB6B" w14:textId="77777777" w:rsidR="00392601" w:rsidRPr="00C32002" w:rsidRDefault="00392601" w:rsidP="0041177B">
            <w:pPr>
              <w:spacing w:after="0" w:line="240" w:lineRule="auto"/>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Attributable cases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06156CC5" w14:textId="77777777" w:rsidR="00392601" w:rsidRPr="00C32002"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60 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7EFA6D52" w14:textId="77777777" w:rsidR="00392601" w:rsidRPr="00C32002"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41 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6840E5FD" w14:textId="77777777" w:rsidR="00392601" w:rsidRPr="00C32002"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18 </w:t>
            </w:r>
          </w:p>
        </w:tc>
      </w:tr>
    </w:tbl>
    <w:p w14:paraId="24E1B7CD" w14:textId="77777777" w:rsidR="00392601" w:rsidRPr="005648D7" w:rsidRDefault="00392601" w:rsidP="00392601">
      <w:pPr>
        <w:spacing w:after="0" w:line="240" w:lineRule="auto"/>
        <w:rPr>
          <w:rFonts w:cstheme="minorHAnsi"/>
          <w:highlight w:val="yellow"/>
        </w:rPr>
      </w:pPr>
    </w:p>
    <w:p w14:paraId="3FE45381" w14:textId="77777777" w:rsidR="00392601" w:rsidRDefault="00392601" w:rsidP="003E2932">
      <w:pPr>
        <w:sectPr w:rsidR="00392601" w:rsidSect="002746C0">
          <w:pgSz w:w="11906" w:h="16838"/>
          <w:pgMar w:top="1440" w:right="1440" w:bottom="1440" w:left="1440" w:header="708" w:footer="708" w:gutter="0"/>
          <w:cols w:space="708"/>
          <w:docGrid w:linePitch="360"/>
        </w:sectPr>
      </w:pPr>
    </w:p>
    <w:p w14:paraId="6D885D0E" w14:textId="77777777" w:rsidR="00392601" w:rsidRPr="00C32002" w:rsidRDefault="00392601" w:rsidP="00C13E0E">
      <w:pPr>
        <w:pStyle w:val="Heading1"/>
        <w:spacing w:before="0"/>
      </w:pPr>
      <w:bookmarkStart w:id="92" w:name="_Toc196914559"/>
      <w:bookmarkStart w:id="93" w:name="_Toc197557053"/>
      <w:bookmarkStart w:id="94" w:name="_Toc201512447"/>
      <w:r w:rsidRPr="00C32002">
        <w:t>Pharynx</w:t>
      </w:r>
      <w:r w:rsidRPr="00C32002">
        <w:tab/>
        <w:t>C09-10, C12-14</w:t>
      </w:r>
      <w:bookmarkEnd w:id="92"/>
      <w:bookmarkEnd w:id="93"/>
      <w:bookmarkEnd w:id="94"/>
    </w:p>
    <w:p w14:paraId="2366C166" w14:textId="77777777" w:rsidR="00392601" w:rsidRPr="00C32002" w:rsidRDefault="00392601" w:rsidP="00C65D1E">
      <w:pPr>
        <w:numPr>
          <w:ilvl w:val="1"/>
          <w:numId w:val="0"/>
        </w:numPr>
        <w:spacing w:after="0" w:line="240" w:lineRule="auto"/>
        <w:rPr>
          <w:rFonts w:eastAsiaTheme="majorEastAsia" w:cstheme="minorHAnsi"/>
          <w:i/>
          <w:iCs/>
          <w:color w:val="0F4761" w:themeColor="accent1" w:themeShade="BF"/>
          <w:spacing w:val="15"/>
          <w:sz w:val="28"/>
          <w:szCs w:val="28"/>
        </w:rPr>
      </w:pPr>
      <w:r w:rsidRPr="00C32002">
        <w:rPr>
          <w:rFonts w:eastAsiaTheme="majorEastAsia" w:cstheme="minorHAnsi"/>
          <w:i/>
          <w:iCs/>
          <w:color w:val="0F4761" w:themeColor="accent1" w:themeShade="BF"/>
          <w:spacing w:val="15"/>
          <w:sz w:val="28"/>
          <w:szCs w:val="28"/>
        </w:rPr>
        <w:t>Key points</w:t>
      </w:r>
    </w:p>
    <w:p w14:paraId="38161B54" w14:textId="77777777" w:rsidR="00392601" w:rsidRPr="00C32002" w:rsidRDefault="00392601" w:rsidP="00C65D1E">
      <w:pPr>
        <w:numPr>
          <w:ilvl w:val="1"/>
          <w:numId w:val="0"/>
        </w:numPr>
        <w:spacing w:after="0" w:line="240" w:lineRule="auto"/>
        <w:rPr>
          <w:rFonts w:eastAsiaTheme="majorEastAsia" w:cstheme="minorHAnsi"/>
          <w:i/>
          <w:iCs/>
          <w:color w:val="595959" w:themeColor="text1" w:themeTint="A6"/>
          <w:spacing w:val="15"/>
          <w:sz w:val="28"/>
          <w:szCs w:val="28"/>
        </w:rPr>
      </w:pPr>
      <w:r w:rsidRPr="00C32002">
        <w:rPr>
          <w:rFonts w:eastAsiaTheme="majorEastAsia" w:cstheme="minorHAnsi"/>
          <w:i/>
          <w:iCs/>
          <w:color w:val="595959" w:themeColor="text1" w:themeTint="A6"/>
          <w:spacing w:val="15"/>
          <w:sz w:val="28"/>
          <w:szCs w:val="28"/>
        </w:rPr>
        <w:t>Incidence</w:t>
      </w:r>
    </w:p>
    <w:p w14:paraId="3B19EE08" w14:textId="67471BBE" w:rsidR="00392601" w:rsidRPr="00F8491D" w:rsidRDefault="00392601" w:rsidP="00C65D1E">
      <w:pPr>
        <w:numPr>
          <w:ilvl w:val="0"/>
          <w:numId w:val="10"/>
        </w:numPr>
        <w:spacing w:after="0" w:line="240" w:lineRule="auto"/>
        <w:contextualSpacing/>
        <w:jc w:val="both"/>
        <w:rPr>
          <w:rFonts w:cstheme="minorHAnsi"/>
        </w:rPr>
      </w:pPr>
      <w:r w:rsidRPr="00245999">
        <w:rPr>
          <w:rFonts w:cstheme="minorHAnsi"/>
        </w:rPr>
        <w:t xml:space="preserve">Incidence </w:t>
      </w:r>
      <w:r w:rsidR="00E3558B">
        <w:rPr>
          <w:rFonts w:cstheme="minorHAnsi"/>
        </w:rPr>
        <w:t xml:space="preserve">rates </w:t>
      </w:r>
      <w:r w:rsidRPr="00245999">
        <w:rPr>
          <w:rFonts w:cstheme="minorHAnsi"/>
        </w:rPr>
        <w:t>remained stable for males from 1994 to 2001, before a period of steady increase from 2001 to 2022.</w:t>
      </w:r>
    </w:p>
    <w:p w14:paraId="6CCD801F" w14:textId="69EC7BB7" w:rsidR="00392601" w:rsidRPr="00F8491D" w:rsidRDefault="00392601" w:rsidP="00C65D1E">
      <w:pPr>
        <w:numPr>
          <w:ilvl w:val="0"/>
          <w:numId w:val="10"/>
        </w:numPr>
        <w:spacing w:after="0" w:line="240" w:lineRule="auto"/>
        <w:contextualSpacing/>
        <w:jc w:val="both"/>
        <w:rPr>
          <w:rFonts w:cstheme="minorHAnsi"/>
        </w:rPr>
      </w:pPr>
      <w:r>
        <w:rPr>
          <w:rFonts w:cstheme="minorHAnsi"/>
        </w:rPr>
        <w:t xml:space="preserve">Between 1994 and </w:t>
      </w:r>
      <w:r w:rsidR="0059670F">
        <w:rPr>
          <w:rFonts w:cstheme="minorHAnsi"/>
        </w:rPr>
        <w:t>2022</w:t>
      </w:r>
      <w:r>
        <w:rPr>
          <w:rFonts w:cstheme="minorHAnsi"/>
        </w:rPr>
        <w:t>,</w:t>
      </w:r>
      <w:r w:rsidRPr="00245999">
        <w:rPr>
          <w:rFonts w:cstheme="minorHAnsi"/>
        </w:rPr>
        <w:t xml:space="preserve"> </w:t>
      </w:r>
      <w:r>
        <w:rPr>
          <w:rFonts w:cstheme="minorHAnsi"/>
        </w:rPr>
        <w:t>the incidence rate</w:t>
      </w:r>
      <w:r w:rsidRPr="00F8491D">
        <w:rPr>
          <w:rFonts w:cstheme="minorHAnsi"/>
        </w:rPr>
        <w:t xml:space="preserve"> increased steadily among </w:t>
      </w:r>
      <w:r w:rsidR="00BC7D1F">
        <w:rPr>
          <w:rFonts w:cstheme="minorHAnsi"/>
        </w:rPr>
        <w:t>females</w:t>
      </w:r>
      <w:r w:rsidR="0059670F">
        <w:rPr>
          <w:rFonts w:cstheme="minorHAnsi"/>
        </w:rPr>
        <w:t>.</w:t>
      </w:r>
    </w:p>
    <w:p w14:paraId="22B90F96" w14:textId="77777777" w:rsidR="00392601" w:rsidRPr="00C32002" w:rsidRDefault="00392601" w:rsidP="00C65D1E">
      <w:pPr>
        <w:spacing w:after="0" w:line="240" w:lineRule="auto"/>
        <w:jc w:val="both"/>
        <w:rPr>
          <w:rFonts w:eastAsia="Times New Roman" w:cstheme="minorHAnsi"/>
          <w:i/>
          <w:iCs/>
          <w:color w:val="808080" w:themeColor="background1" w:themeShade="80"/>
        </w:rPr>
      </w:pPr>
      <w:r w:rsidRPr="00C32002">
        <w:rPr>
          <w:rFonts w:cstheme="minorHAnsi"/>
          <w:i/>
          <w:iCs/>
          <w:color w:val="808080" w:themeColor="background1" w:themeShade="80"/>
        </w:rPr>
        <w:t>Mortality</w:t>
      </w:r>
    </w:p>
    <w:p w14:paraId="4856EA1B" w14:textId="6BDECA9D" w:rsidR="00392601" w:rsidRPr="00C32002" w:rsidRDefault="00A86B3D" w:rsidP="00C65D1E">
      <w:pPr>
        <w:numPr>
          <w:ilvl w:val="0"/>
          <w:numId w:val="11"/>
        </w:numPr>
        <w:spacing w:after="0" w:line="240" w:lineRule="auto"/>
        <w:contextualSpacing/>
        <w:jc w:val="both"/>
        <w:rPr>
          <w:rFonts w:eastAsia="Calibri" w:cstheme="minorHAnsi"/>
          <w:color w:val="000000" w:themeColor="text1"/>
        </w:rPr>
      </w:pPr>
      <w:r>
        <w:rPr>
          <w:rFonts w:eastAsia="Calibri" w:cstheme="minorHAnsi"/>
          <w:color w:val="000000" w:themeColor="text1"/>
        </w:rPr>
        <w:t>M</w:t>
      </w:r>
      <w:r w:rsidR="00392601" w:rsidRPr="00C32002">
        <w:rPr>
          <w:rFonts w:eastAsia="Calibri" w:cstheme="minorHAnsi"/>
          <w:color w:val="000000" w:themeColor="text1"/>
        </w:rPr>
        <w:t xml:space="preserve">ortality </w:t>
      </w:r>
      <w:r w:rsidR="00392601">
        <w:rPr>
          <w:rFonts w:eastAsia="Calibri" w:cstheme="minorHAnsi"/>
          <w:color w:val="000000" w:themeColor="text1"/>
        </w:rPr>
        <w:t>rates</w:t>
      </w:r>
      <w:r w:rsidR="00392601" w:rsidRPr="00C32002">
        <w:rPr>
          <w:rFonts w:eastAsia="Calibri" w:cstheme="minorHAnsi"/>
          <w:color w:val="000000" w:themeColor="text1"/>
        </w:rPr>
        <w:t xml:space="preserve"> remained stable </w:t>
      </w:r>
      <w:r>
        <w:rPr>
          <w:rFonts w:eastAsia="Calibri" w:cstheme="minorHAnsi"/>
          <w:color w:val="000000" w:themeColor="text1"/>
        </w:rPr>
        <w:t xml:space="preserve">for both males and females </w:t>
      </w:r>
      <w:r w:rsidR="00392601" w:rsidRPr="00C32002">
        <w:rPr>
          <w:rFonts w:eastAsia="Calibri" w:cstheme="minorHAnsi"/>
          <w:color w:val="000000" w:themeColor="text1"/>
        </w:rPr>
        <w:t xml:space="preserve">from 1994 to 2022. </w:t>
      </w:r>
    </w:p>
    <w:p w14:paraId="495FDD9B" w14:textId="77777777" w:rsidR="00392601" w:rsidRPr="00C32002" w:rsidRDefault="00392601" w:rsidP="00C65D1E">
      <w:pPr>
        <w:numPr>
          <w:ilvl w:val="1"/>
          <w:numId w:val="0"/>
        </w:numPr>
        <w:spacing w:after="0" w:line="240" w:lineRule="auto"/>
        <w:rPr>
          <w:rFonts w:eastAsiaTheme="majorEastAsia" w:cstheme="minorHAnsi"/>
          <w:i/>
          <w:iCs/>
          <w:color w:val="595959" w:themeColor="text1" w:themeTint="A6"/>
          <w:spacing w:val="15"/>
        </w:rPr>
      </w:pPr>
      <w:r w:rsidRPr="00C32002">
        <w:rPr>
          <w:rFonts w:eastAsiaTheme="majorEastAsia" w:cstheme="minorHAnsi"/>
          <w:i/>
          <w:iCs/>
          <w:color w:val="595959" w:themeColor="text1" w:themeTint="A6"/>
          <w:spacing w:val="15"/>
        </w:rPr>
        <w:t>Survival</w:t>
      </w:r>
    </w:p>
    <w:p w14:paraId="7DC56E4E" w14:textId="4B5A94C8" w:rsidR="00392601" w:rsidRPr="00C32002" w:rsidRDefault="00392601" w:rsidP="00C65D1E">
      <w:pPr>
        <w:numPr>
          <w:ilvl w:val="0"/>
          <w:numId w:val="12"/>
        </w:numPr>
        <w:spacing w:after="0" w:line="240" w:lineRule="auto"/>
        <w:rPr>
          <w:rFonts w:cstheme="minorHAnsi"/>
          <w:i/>
          <w:iCs/>
        </w:rPr>
      </w:pPr>
      <w:r w:rsidRPr="00C32002">
        <w:rPr>
          <w:rFonts w:cstheme="minorHAnsi"/>
        </w:rPr>
        <w:t>5-year net survival was 47% for cases diagnosed during 2019-2022</w:t>
      </w:r>
      <w:r>
        <w:rPr>
          <w:rFonts w:cstheme="minorHAnsi"/>
        </w:rPr>
        <w:t xml:space="preserve">. </w:t>
      </w:r>
    </w:p>
    <w:p w14:paraId="1A258EDD" w14:textId="77777777" w:rsidR="00392601" w:rsidRPr="00C32002" w:rsidRDefault="00392601" w:rsidP="00C65D1E">
      <w:pPr>
        <w:spacing w:after="0" w:line="240" w:lineRule="auto"/>
        <w:rPr>
          <w:rFonts w:cstheme="minorHAnsi"/>
          <w:i/>
          <w:iCs/>
        </w:rPr>
      </w:pPr>
      <w:r w:rsidRPr="00C32002">
        <w:rPr>
          <w:rFonts w:eastAsiaTheme="majorEastAsia" w:cstheme="minorHAnsi"/>
          <w:i/>
          <w:iCs/>
          <w:color w:val="595959" w:themeColor="text1" w:themeTint="A6"/>
          <w:spacing w:val="15"/>
        </w:rPr>
        <w:t>Population attributable fraction</w:t>
      </w:r>
    </w:p>
    <w:p w14:paraId="7D665BA5" w14:textId="77777777" w:rsidR="00392601" w:rsidRPr="00C32002" w:rsidRDefault="00392601" w:rsidP="00C65D1E">
      <w:pPr>
        <w:numPr>
          <w:ilvl w:val="0"/>
          <w:numId w:val="12"/>
        </w:numPr>
        <w:spacing w:after="0" w:line="240" w:lineRule="auto"/>
        <w:contextualSpacing/>
      </w:pPr>
      <w:r w:rsidRPr="00C32002">
        <w:rPr>
          <w:rFonts w:eastAsia="Calibri" w:cstheme="minorHAnsi"/>
          <w:color w:val="000000" w:themeColor="text1"/>
        </w:rPr>
        <w:t>The estimated total number of pharyn</w:t>
      </w:r>
      <w:r>
        <w:rPr>
          <w:rFonts w:eastAsia="Calibri" w:cstheme="minorHAnsi"/>
          <w:color w:val="000000" w:themeColor="text1"/>
        </w:rPr>
        <w:t xml:space="preserve">geal </w:t>
      </w:r>
      <w:r w:rsidRPr="00C32002">
        <w:rPr>
          <w:rFonts w:eastAsia="Calibri" w:cstheme="minorHAnsi"/>
          <w:color w:val="000000" w:themeColor="text1"/>
        </w:rPr>
        <w:t>cancer cases attributable to smoking in Ireland in 2022 was 80 (PAF 37.6%).</w:t>
      </w:r>
    </w:p>
    <w:p w14:paraId="5AD6B61C" w14:textId="77777777" w:rsidR="00392601" w:rsidRDefault="00392601" w:rsidP="00392601">
      <w:pPr>
        <w:spacing w:after="0" w:line="240" w:lineRule="auto"/>
        <w:sectPr w:rsidR="00392601" w:rsidSect="002746C0">
          <w:footerReference w:type="default" r:id="rId48"/>
          <w:pgSz w:w="11906" w:h="16838"/>
          <w:pgMar w:top="1440" w:right="1440" w:bottom="1440" w:left="1440" w:header="708" w:footer="708" w:gutter="0"/>
          <w:cols w:space="708"/>
          <w:docGrid w:linePitch="360"/>
        </w:sectPr>
      </w:pPr>
    </w:p>
    <w:p w14:paraId="7A154309" w14:textId="77777777" w:rsidR="00392601" w:rsidRPr="00C32002" w:rsidRDefault="00392601" w:rsidP="006E1E97">
      <w:pPr>
        <w:pStyle w:val="Heading2"/>
        <w:spacing w:before="0" w:after="0" w:line="240" w:lineRule="auto"/>
      </w:pPr>
      <w:bookmarkStart w:id="95" w:name="_Toc197557054"/>
      <w:bookmarkStart w:id="96" w:name="_Toc201512448"/>
      <w:bookmarkStart w:id="97" w:name="_Toc196914562"/>
      <w:r w:rsidRPr="00C32002">
        <w:t>Incidence</w:t>
      </w:r>
      <w:bookmarkEnd w:id="95"/>
      <w:bookmarkEnd w:id="96"/>
    </w:p>
    <w:p w14:paraId="1CB99B92" w14:textId="12C3D59F" w:rsidR="00392601" w:rsidRDefault="00392601" w:rsidP="006E1E97">
      <w:pPr>
        <w:spacing w:after="0" w:line="240" w:lineRule="auto"/>
        <w:rPr>
          <w:rFonts w:cstheme="minorHAnsi"/>
        </w:rPr>
      </w:pPr>
      <w:r>
        <w:t>Between</w:t>
      </w:r>
      <w:r w:rsidRPr="00C32002">
        <w:t xml:space="preserve"> 1994</w:t>
      </w:r>
      <w:r>
        <w:t xml:space="preserve"> and </w:t>
      </w:r>
      <w:r w:rsidRPr="00C32002">
        <w:t>2022, 3,512 cases of pharyn</w:t>
      </w:r>
      <w:r>
        <w:t>geal</w:t>
      </w:r>
      <w:r w:rsidRPr="00C32002">
        <w:t xml:space="preserve"> cancer </w:t>
      </w:r>
      <w:r>
        <w:t>were</w:t>
      </w:r>
      <w:r w:rsidRPr="00C32002">
        <w:t xml:space="preserve"> reported (2,691 </w:t>
      </w:r>
      <w:r w:rsidR="001C767A">
        <w:t>m</w:t>
      </w:r>
      <w:r w:rsidRPr="00C32002">
        <w:t xml:space="preserve">ales, 821 </w:t>
      </w:r>
      <w:r w:rsidR="001C767A">
        <w:t>f</w:t>
      </w:r>
      <w:r w:rsidRPr="00C32002">
        <w:t>emales). The median age at diagnosis was 62 years (</w:t>
      </w:r>
      <w:r>
        <w:t xml:space="preserve">IQR: </w:t>
      </w:r>
      <w:r w:rsidRPr="00C32002">
        <w:t xml:space="preserve">55-70) for males and 63 </w:t>
      </w:r>
      <w:r>
        <w:t xml:space="preserve">years </w:t>
      </w:r>
      <w:r w:rsidRPr="00C32002">
        <w:t>(</w:t>
      </w:r>
      <w:r>
        <w:t xml:space="preserve">IQR: </w:t>
      </w:r>
      <w:r w:rsidRPr="00C32002">
        <w:t>54-72) for females.</w:t>
      </w:r>
      <w:r>
        <w:t xml:space="preserve"> </w:t>
      </w:r>
      <w:r w:rsidRPr="00C32002">
        <w:rPr>
          <w:rFonts w:cstheme="minorHAnsi"/>
        </w:rPr>
        <w:t xml:space="preserve">Age-standardised incidence rates of </w:t>
      </w:r>
      <w:r>
        <w:rPr>
          <w:rFonts w:cstheme="minorHAnsi"/>
        </w:rPr>
        <w:t>pharyngeal</w:t>
      </w:r>
      <w:r w:rsidRPr="00C32002">
        <w:rPr>
          <w:rFonts w:cstheme="minorHAnsi"/>
        </w:rPr>
        <w:t xml:space="preserve"> cancer </w:t>
      </w:r>
      <w:r w:rsidR="00E3558B">
        <w:rPr>
          <w:rFonts w:cstheme="minorHAnsi"/>
        </w:rPr>
        <w:t>during the period</w:t>
      </w:r>
      <w:r w:rsidRPr="00C32002">
        <w:rPr>
          <w:rFonts w:cstheme="minorHAnsi"/>
        </w:rPr>
        <w:t xml:space="preserve"> 1994-2022 were 5.9 cases per 100,000 males and 1.7 cases per 100,000 females</w:t>
      </w:r>
      <w:r w:rsidR="00E3558B">
        <w:rPr>
          <w:rFonts w:cstheme="minorHAnsi"/>
        </w:rPr>
        <w:t xml:space="preserve"> per year</w:t>
      </w:r>
      <w:r w:rsidRPr="00C32002">
        <w:rPr>
          <w:rFonts w:cstheme="minorHAnsi"/>
        </w:rPr>
        <w:t xml:space="preserve">. Figure </w:t>
      </w:r>
      <w:r w:rsidR="001C767A">
        <w:rPr>
          <w:rFonts w:cstheme="minorHAnsi"/>
        </w:rPr>
        <w:t>6.1</w:t>
      </w:r>
      <w:r w:rsidRPr="00C32002">
        <w:rPr>
          <w:rFonts w:cstheme="minorHAnsi"/>
        </w:rPr>
        <w:t xml:space="preserve"> breaks this down further by sex and age group.</w:t>
      </w:r>
    </w:p>
    <w:p w14:paraId="1791E7B7" w14:textId="77777777" w:rsidR="00392601" w:rsidRPr="00C32002" w:rsidRDefault="00392601" w:rsidP="006E1E97">
      <w:pPr>
        <w:spacing w:after="0" w:line="240" w:lineRule="auto"/>
        <w:rPr>
          <w:rFonts w:cstheme="minorHAnsi"/>
        </w:rPr>
      </w:pPr>
    </w:p>
    <w:tbl>
      <w:tblPr>
        <w:tblStyle w:val="TableGrid"/>
        <w:tblW w:w="9583" w:type="dxa"/>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3250"/>
        <w:gridCol w:w="3250"/>
      </w:tblGrid>
      <w:tr w:rsidR="00392601" w:rsidRPr="00563005" w14:paraId="7F3BCD63" w14:textId="77777777" w:rsidTr="001C767A">
        <w:trPr>
          <w:trHeight w:val="113"/>
        </w:trPr>
        <w:tc>
          <w:tcPr>
            <w:tcW w:w="9583" w:type="dxa"/>
            <w:gridSpan w:val="3"/>
            <w:shd w:val="clear" w:color="auto" w:fill="002060"/>
            <w:hideMark/>
          </w:tcPr>
          <w:p w14:paraId="53730962" w14:textId="23A13B29" w:rsidR="00392601" w:rsidRPr="001C767A" w:rsidRDefault="00392601" w:rsidP="006E1E97">
            <w:pPr>
              <w:rPr>
                <w:rFonts w:asciiTheme="minorHAnsi" w:hAnsiTheme="minorHAnsi" w:cstheme="minorHAnsi"/>
                <w:b/>
                <w:bCs/>
                <w:color w:val="FFFFFF" w:themeColor="background1"/>
              </w:rPr>
            </w:pPr>
            <w:r w:rsidRPr="001C767A">
              <w:rPr>
                <w:rFonts w:asciiTheme="minorHAnsi" w:hAnsiTheme="minorHAnsi" w:cstheme="minorHAnsi"/>
                <w:b/>
                <w:bCs/>
                <w:color w:val="FFFFFF" w:themeColor="background1"/>
              </w:rPr>
              <w:t xml:space="preserve">Figure </w:t>
            </w:r>
            <w:r w:rsidR="001C767A">
              <w:rPr>
                <w:rFonts w:asciiTheme="minorHAnsi" w:hAnsiTheme="minorHAnsi" w:cstheme="minorHAnsi"/>
                <w:b/>
                <w:bCs/>
                <w:color w:val="FFFFFF" w:themeColor="background1"/>
              </w:rPr>
              <w:t>6.1:</w:t>
            </w:r>
            <w:r w:rsidRPr="001C767A">
              <w:rPr>
                <w:rFonts w:asciiTheme="minorHAnsi" w:hAnsiTheme="minorHAnsi" w:cstheme="minorHAnsi"/>
                <w:b/>
                <w:bCs/>
                <w:color w:val="FFFFFF" w:themeColor="background1"/>
              </w:rPr>
              <w:t xml:space="preserve"> Incidence rate (per 100,000) for pharyngeal cancer by </w:t>
            </w:r>
            <w:r w:rsidR="00366242">
              <w:rPr>
                <w:rFonts w:asciiTheme="minorHAnsi" w:hAnsiTheme="minorHAnsi" w:cstheme="minorHAnsi"/>
                <w:b/>
                <w:bCs/>
                <w:color w:val="FFFFFF" w:themeColor="background1"/>
              </w:rPr>
              <w:t>age group</w:t>
            </w:r>
            <w:r w:rsidRPr="001C767A">
              <w:rPr>
                <w:rFonts w:asciiTheme="minorHAnsi" w:hAnsiTheme="minorHAnsi" w:cstheme="minorHAnsi"/>
                <w:b/>
                <w:bCs/>
                <w:color w:val="FFFFFF" w:themeColor="background1"/>
              </w:rPr>
              <w:t>,1994-2022</w:t>
            </w:r>
          </w:p>
        </w:tc>
      </w:tr>
      <w:tr w:rsidR="00392601" w:rsidRPr="00563005" w14:paraId="520B88C9" w14:textId="77777777" w:rsidTr="001C767A">
        <w:trPr>
          <w:trHeight w:val="113"/>
        </w:trPr>
        <w:tc>
          <w:tcPr>
            <w:tcW w:w="3083" w:type="dxa"/>
            <w:hideMark/>
          </w:tcPr>
          <w:p w14:paraId="34435889" w14:textId="77777777" w:rsidR="00392601" w:rsidRPr="00563005" w:rsidRDefault="00392601" w:rsidP="0041177B">
            <w:pPr>
              <w:jc w:val="center"/>
              <w:rPr>
                <w:rFonts w:asciiTheme="minorHAnsi" w:hAnsiTheme="minorHAnsi" w:cstheme="minorHAnsi"/>
                <w:color w:val="000000" w:themeColor="text1"/>
              </w:rPr>
            </w:pPr>
            <w:r w:rsidRPr="00563005">
              <w:rPr>
                <w:rFonts w:asciiTheme="minorHAnsi" w:hAnsiTheme="minorHAnsi" w:cstheme="minorHAnsi"/>
                <w:color w:val="000000" w:themeColor="text1"/>
              </w:rPr>
              <w:t>Total</w:t>
            </w:r>
          </w:p>
        </w:tc>
        <w:tc>
          <w:tcPr>
            <w:tcW w:w="3250" w:type="dxa"/>
          </w:tcPr>
          <w:p w14:paraId="16A84621" w14:textId="77777777" w:rsidR="00392601" w:rsidRPr="00563005" w:rsidRDefault="00392601" w:rsidP="0041177B">
            <w:pPr>
              <w:jc w:val="center"/>
              <w:rPr>
                <w:rFonts w:asciiTheme="minorHAnsi" w:hAnsiTheme="minorHAnsi" w:cstheme="minorHAnsi"/>
                <w:color w:val="000000" w:themeColor="text1"/>
              </w:rPr>
            </w:pPr>
            <w:r w:rsidRPr="00563005">
              <w:rPr>
                <w:rFonts w:asciiTheme="minorHAnsi" w:hAnsiTheme="minorHAnsi" w:cstheme="minorHAnsi"/>
                <w:color w:val="000000" w:themeColor="text1"/>
              </w:rPr>
              <w:t>Males</w:t>
            </w:r>
          </w:p>
        </w:tc>
        <w:tc>
          <w:tcPr>
            <w:tcW w:w="3250" w:type="dxa"/>
          </w:tcPr>
          <w:p w14:paraId="509728F8" w14:textId="77777777" w:rsidR="00392601" w:rsidRPr="00F42967" w:rsidRDefault="00392601" w:rsidP="0041177B">
            <w:pPr>
              <w:jc w:val="center"/>
              <w:rPr>
                <w:rFonts w:asciiTheme="minorHAnsi" w:hAnsiTheme="minorHAnsi" w:cstheme="minorHAnsi"/>
                <w:color w:val="000000" w:themeColor="text1"/>
              </w:rPr>
            </w:pPr>
            <w:r w:rsidRPr="00563005">
              <w:rPr>
                <w:rFonts w:asciiTheme="minorHAnsi" w:hAnsiTheme="minorHAnsi" w:cstheme="minorHAnsi"/>
                <w:color w:val="000000" w:themeColor="text1"/>
              </w:rPr>
              <w:t>Females</w:t>
            </w:r>
          </w:p>
        </w:tc>
      </w:tr>
      <w:tr w:rsidR="00392601" w:rsidRPr="00563005" w14:paraId="080B6053" w14:textId="77777777" w:rsidTr="001C767A">
        <w:trPr>
          <w:trHeight w:val="113"/>
        </w:trPr>
        <w:tc>
          <w:tcPr>
            <w:tcW w:w="3083" w:type="dxa"/>
            <w:vAlign w:val="center"/>
          </w:tcPr>
          <w:p w14:paraId="1F8B66EE" w14:textId="77777777" w:rsidR="00392601" w:rsidRPr="00563005" w:rsidRDefault="00392601" w:rsidP="0041177B">
            <w:pPr>
              <w:jc w:val="center"/>
              <w:rPr>
                <w:rFonts w:asciiTheme="minorHAnsi" w:hAnsiTheme="minorHAnsi" w:cstheme="minorHAnsi"/>
                <w:color w:val="000000" w:themeColor="text1"/>
              </w:rPr>
            </w:pPr>
            <w:r w:rsidRPr="00563005">
              <w:rPr>
                <w:rFonts w:eastAsia="Times New Roman" w:cs="Times New Roman"/>
                <w:noProof/>
                <w:lang w:eastAsia="en-GB"/>
              </w:rPr>
              <w:drawing>
                <wp:inline distT="0" distB="0" distL="0" distR="0" wp14:anchorId="1B9BA739" wp14:editId="2308270C">
                  <wp:extent cx="1644073" cy="1436400"/>
                  <wp:effectExtent l="0" t="0" r="0" b="0"/>
                  <wp:docPr id="1982810274" name="Picture 1" descr="A graph of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810274" name="Picture 1" descr="A graph of numbers and a bar chart&#10;&#10;AI-generated content may be incorrec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4073" cy="1436400"/>
                          </a:xfrm>
                          <a:prstGeom prst="rect">
                            <a:avLst/>
                          </a:prstGeom>
                          <a:noFill/>
                        </pic:spPr>
                      </pic:pic>
                    </a:graphicData>
                  </a:graphic>
                </wp:inline>
              </w:drawing>
            </w:r>
          </w:p>
        </w:tc>
        <w:tc>
          <w:tcPr>
            <w:tcW w:w="3250" w:type="dxa"/>
            <w:vAlign w:val="center"/>
          </w:tcPr>
          <w:p w14:paraId="41F87F1E" w14:textId="77777777" w:rsidR="00392601" w:rsidRPr="00563005" w:rsidRDefault="00392601" w:rsidP="0041177B">
            <w:pPr>
              <w:jc w:val="center"/>
              <w:rPr>
                <w:rFonts w:asciiTheme="minorHAnsi" w:hAnsiTheme="minorHAnsi" w:cstheme="minorHAnsi"/>
                <w:color w:val="000000" w:themeColor="text1"/>
              </w:rPr>
            </w:pPr>
            <w:r w:rsidRPr="00563005">
              <w:rPr>
                <w:rFonts w:eastAsia="Times New Roman" w:cs="Times New Roman"/>
                <w:noProof/>
                <w:lang w:eastAsia="en-GB"/>
              </w:rPr>
              <w:drawing>
                <wp:inline distT="0" distB="0" distL="0" distR="0" wp14:anchorId="48D9C93F" wp14:editId="0ACEAD50">
                  <wp:extent cx="1640827" cy="1436400"/>
                  <wp:effectExtent l="0" t="0" r="0" b="0"/>
                  <wp:docPr id="126280400" name="Picture 2"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80400" name="Picture 2" descr="A graph with numbers and a bar&#10;&#10;AI-generated content may be incorrec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40827" cy="1436400"/>
                          </a:xfrm>
                          <a:prstGeom prst="rect">
                            <a:avLst/>
                          </a:prstGeom>
                          <a:noFill/>
                        </pic:spPr>
                      </pic:pic>
                    </a:graphicData>
                  </a:graphic>
                </wp:inline>
              </w:drawing>
            </w:r>
          </w:p>
        </w:tc>
        <w:tc>
          <w:tcPr>
            <w:tcW w:w="3250" w:type="dxa"/>
          </w:tcPr>
          <w:p w14:paraId="753186C0" w14:textId="77777777" w:rsidR="00392601" w:rsidRPr="00F42967" w:rsidRDefault="00392601" w:rsidP="0041177B">
            <w:pPr>
              <w:jc w:val="center"/>
              <w:rPr>
                <w:rFonts w:asciiTheme="minorHAnsi" w:hAnsiTheme="minorHAnsi" w:cstheme="minorHAnsi"/>
                <w:color w:val="000000" w:themeColor="text1"/>
              </w:rPr>
            </w:pPr>
            <w:r w:rsidRPr="00563005">
              <w:rPr>
                <w:rFonts w:cstheme="minorHAnsi"/>
                <w:noProof/>
                <w:color w:val="000000" w:themeColor="text1"/>
              </w:rPr>
              <w:drawing>
                <wp:inline distT="0" distB="0" distL="0" distR="0" wp14:anchorId="35E355C2" wp14:editId="35DB8126">
                  <wp:extent cx="1640827" cy="1436400"/>
                  <wp:effectExtent l="0" t="0" r="0" b="0"/>
                  <wp:docPr id="362957255" name="Picture 3" descr="A graph with numbers an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57255" name="Picture 3" descr="A graph with numbers and squares&#10;&#10;AI-generated content may be incorrec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40827" cy="1436400"/>
                          </a:xfrm>
                          <a:prstGeom prst="rect">
                            <a:avLst/>
                          </a:prstGeom>
                          <a:noFill/>
                        </pic:spPr>
                      </pic:pic>
                    </a:graphicData>
                  </a:graphic>
                </wp:inline>
              </w:drawing>
            </w:r>
          </w:p>
        </w:tc>
      </w:tr>
    </w:tbl>
    <w:p w14:paraId="75468215" w14:textId="77777777" w:rsidR="00B13149" w:rsidRPr="00B13149" w:rsidRDefault="00B13149" w:rsidP="00B13149">
      <w:bookmarkStart w:id="98" w:name="_Toc197557055"/>
    </w:p>
    <w:p w14:paraId="066C3BF9" w14:textId="53D6DF6F" w:rsidR="00392601" w:rsidRPr="00C32002" w:rsidRDefault="00392601" w:rsidP="006E1E97">
      <w:pPr>
        <w:pStyle w:val="Heading3"/>
        <w:spacing w:before="0" w:after="0"/>
      </w:pPr>
      <w:bookmarkStart w:id="99" w:name="_Toc201512449"/>
      <w:r w:rsidRPr="00C32002">
        <w:t>Trends over time</w:t>
      </w:r>
      <w:bookmarkEnd w:id="98"/>
      <w:bookmarkEnd w:id="99"/>
    </w:p>
    <w:p w14:paraId="01457423" w14:textId="00ECE15C" w:rsidR="00392601" w:rsidRPr="00C32002" w:rsidRDefault="00392601" w:rsidP="006E1E97">
      <w:pPr>
        <w:spacing w:after="0" w:line="240" w:lineRule="auto"/>
        <w:rPr>
          <w:rFonts w:cstheme="minorHAnsi"/>
        </w:rPr>
      </w:pPr>
      <w:r w:rsidRPr="00C32002">
        <w:rPr>
          <w:rFonts w:cstheme="minorHAnsi"/>
        </w:rPr>
        <w:t xml:space="preserve">Figure </w:t>
      </w:r>
      <w:r w:rsidR="001C767A">
        <w:rPr>
          <w:rFonts w:cstheme="minorHAnsi"/>
        </w:rPr>
        <w:t>6.2</w:t>
      </w:r>
      <w:r w:rsidRPr="00C32002">
        <w:rPr>
          <w:rFonts w:cstheme="minorHAnsi"/>
        </w:rPr>
        <w:t xml:space="preserve"> shows the incidence of pharyn</w:t>
      </w:r>
      <w:r>
        <w:rPr>
          <w:rFonts w:cstheme="minorHAnsi"/>
        </w:rPr>
        <w:t>geal</w:t>
      </w:r>
      <w:r w:rsidRPr="00C32002">
        <w:rPr>
          <w:rFonts w:cstheme="minorHAnsi"/>
        </w:rPr>
        <w:t xml:space="preserve"> cancer from 1994 to 2022. Incidence remained stable for males from 1994 to 2001 before a period of steady increase from 2001 to 2022 (2.7 % increase per year (95%CI 2.0; 3.4)). </w:t>
      </w:r>
      <w:r>
        <w:rPr>
          <w:rFonts w:cstheme="minorHAnsi"/>
        </w:rPr>
        <w:t>Between 1994 and 2001,</w:t>
      </w:r>
      <w:r w:rsidRPr="00C32002">
        <w:rPr>
          <w:rFonts w:cstheme="minorHAnsi"/>
        </w:rPr>
        <w:t xml:space="preserve"> </w:t>
      </w:r>
      <w:r>
        <w:rPr>
          <w:rFonts w:cstheme="minorHAnsi"/>
        </w:rPr>
        <w:t>incidence</w:t>
      </w:r>
      <w:r w:rsidRPr="00C32002">
        <w:rPr>
          <w:rFonts w:cstheme="minorHAnsi"/>
        </w:rPr>
        <w:t xml:space="preserve"> increased steadily among </w:t>
      </w:r>
      <w:r w:rsidR="00BC7D1F">
        <w:rPr>
          <w:rFonts w:cstheme="minorHAnsi"/>
        </w:rPr>
        <w:t>females</w:t>
      </w:r>
      <w:r w:rsidRPr="00C32002">
        <w:rPr>
          <w:rFonts w:cstheme="minorHAnsi"/>
        </w:rPr>
        <w:t xml:space="preserve"> by 1.4% per year (95%CI 0.5; 2.3).</w:t>
      </w:r>
    </w:p>
    <w:p w14:paraId="60850A6D" w14:textId="77777777" w:rsidR="00392601" w:rsidRPr="00C32002" w:rsidRDefault="00392601" w:rsidP="006E1E97">
      <w:pPr>
        <w:spacing w:after="0" w:line="240" w:lineRule="auto"/>
        <w:rPr>
          <w:rFonts w:cstheme="minorHAnsi"/>
        </w:rPr>
      </w:pPr>
      <w:r w:rsidRPr="00C32002">
        <w:rPr>
          <w:rFonts w:cstheme="minorHAnsi"/>
        </w:rPr>
        <w:t xml:space="preserve"> </w:t>
      </w:r>
    </w:p>
    <w:tbl>
      <w:tblPr>
        <w:tblStyle w:val="TableGrid"/>
        <w:tblW w:w="9678"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8"/>
      </w:tblGrid>
      <w:tr w:rsidR="00392601" w:rsidRPr="00563005" w14:paraId="421540FA" w14:textId="77777777" w:rsidTr="0041177B">
        <w:trPr>
          <w:trHeight w:val="113"/>
        </w:trPr>
        <w:tc>
          <w:tcPr>
            <w:tcW w:w="9678" w:type="dxa"/>
            <w:shd w:val="clear" w:color="auto" w:fill="002060"/>
            <w:vAlign w:val="center"/>
            <w:hideMark/>
          </w:tcPr>
          <w:p w14:paraId="6AEDDBC7" w14:textId="1CFE2D00" w:rsidR="00392601" w:rsidRPr="00F42967" w:rsidRDefault="00392601" w:rsidP="0041177B">
            <w:pPr>
              <w:rPr>
                <w:rFonts w:asciiTheme="minorHAnsi" w:hAnsiTheme="minorHAnsi"/>
                <w:b/>
                <w:bCs/>
              </w:rPr>
            </w:pPr>
            <w:r w:rsidRPr="00563005">
              <w:rPr>
                <w:rFonts w:asciiTheme="minorHAnsi" w:hAnsiTheme="minorHAnsi"/>
                <w:b/>
                <w:bCs/>
              </w:rPr>
              <w:t xml:space="preserve">Figure </w:t>
            </w:r>
            <w:r w:rsidR="001C767A">
              <w:rPr>
                <w:rFonts w:asciiTheme="minorHAnsi" w:hAnsiTheme="minorHAnsi"/>
                <w:b/>
                <w:bCs/>
              </w:rPr>
              <w:t>6.2:</w:t>
            </w:r>
            <w:r w:rsidRPr="00563005">
              <w:rPr>
                <w:rFonts w:asciiTheme="minorHAnsi" w:hAnsiTheme="minorHAnsi"/>
                <w:b/>
                <w:bCs/>
              </w:rPr>
              <w:t xml:space="preserve">  Age-</w:t>
            </w:r>
            <w:r w:rsidRPr="00563005">
              <w:rPr>
                <w:rFonts w:asciiTheme="minorHAnsi" w:hAnsiTheme="minorHAnsi"/>
                <w:b/>
                <w:bCs/>
                <w:bdr w:val="single" w:sz="4" w:space="0" w:color="auto" w:frame="1"/>
              </w:rPr>
              <w:t>standardised incidence rate 1994-</w:t>
            </w:r>
            <w:r w:rsidR="001C767A" w:rsidRPr="00563005">
              <w:rPr>
                <w:rFonts w:asciiTheme="minorHAnsi" w:hAnsiTheme="minorHAnsi"/>
                <w:b/>
                <w:bCs/>
                <w:bdr w:val="single" w:sz="4" w:space="0" w:color="auto" w:frame="1"/>
              </w:rPr>
              <w:t>2022, pharynx</w:t>
            </w:r>
          </w:p>
        </w:tc>
      </w:tr>
      <w:tr w:rsidR="00392601" w:rsidRPr="00563005" w14:paraId="46FD37E9" w14:textId="77777777" w:rsidTr="0041177B">
        <w:trPr>
          <w:trHeight w:val="113"/>
        </w:trPr>
        <w:tc>
          <w:tcPr>
            <w:tcW w:w="9678" w:type="dxa"/>
            <w:vAlign w:val="center"/>
          </w:tcPr>
          <w:p w14:paraId="446A8F03" w14:textId="39FEA1BB" w:rsidR="00392601" w:rsidRPr="00F42967" w:rsidRDefault="006E1E97" w:rsidP="0041177B">
            <w:pPr>
              <w:jc w:val="center"/>
              <w:rPr>
                <w:rFonts w:asciiTheme="minorHAnsi" w:hAnsiTheme="minorHAnsi"/>
              </w:rPr>
            </w:pPr>
            <w:r>
              <w:rPr>
                <w:noProof/>
              </w:rPr>
              <w:drawing>
                <wp:inline distT="0" distB="0" distL="0" distR="0" wp14:anchorId="384A1149" wp14:editId="50F8289E">
                  <wp:extent cx="5138618" cy="2700000"/>
                  <wp:effectExtent l="0" t="0" r="5080" b="5715"/>
                  <wp:docPr id="1239873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38618" cy="2700000"/>
                          </a:xfrm>
                          <a:prstGeom prst="rect">
                            <a:avLst/>
                          </a:prstGeom>
                          <a:noFill/>
                        </pic:spPr>
                      </pic:pic>
                    </a:graphicData>
                  </a:graphic>
                </wp:inline>
              </w:drawing>
            </w:r>
          </w:p>
        </w:tc>
      </w:tr>
      <w:tr w:rsidR="00392601" w:rsidRPr="00563005" w14:paraId="4F563E24" w14:textId="77777777" w:rsidTr="0041177B">
        <w:trPr>
          <w:trHeight w:val="840"/>
        </w:trPr>
        <w:tc>
          <w:tcPr>
            <w:tcW w:w="9678" w:type="dxa"/>
            <w:vAlign w:val="center"/>
          </w:tcPr>
          <w:tbl>
            <w:tblPr>
              <w:tblpPr w:leftFromText="180" w:rightFromText="180" w:bottomFromText="160" w:vertAnchor="page" w:horzAnchor="margin" w:tblpXSpec="center" w:tblpY="1"/>
              <w:tblOverlap w:val="never"/>
              <w:tblW w:w="0" w:type="auto"/>
              <w:tblLook w:val="04A0" w:firstRow="1" w:lastRow="0" w:firstColumn="1" w:lastColumn="0" w:noHBand="0" w:noVBand="1"/>
            </w:tblPr>
            <w:tblGrid>
              <w:gridCol w:w="530"/>
              <w:gridCol w:w="1180"/>
              <w:gridCol w:w="771"/>
              <w:gridCol w:w="916"/>
              <w:gridCol w:w="706"/>
              <w:gridCol w:w="530"/>
              <w:gridCol w:w="1180"/>
              <w:gridCol w:w="771"/>
              <w:gridCol w:w="856"/>
              <w:gridCol w:w="706"/>
            </w:tblGrid>
            <w:tr w:rsidR="00392601" w:rsidRPr="00F42967" w14:paraId="29D52C4E" w14:textId="77777777" w:rsidTr="0041177B">
              <w:trPr>
                <w:trHeight w:val="113"/>
              </w:trPr>
              <w:tc>
                <w:tcPr>
                  <w:tcW w:w="0" w:type="auto"/>
                  <w:noWrap/>
                  <w:tcMar>
                    <w:top w:w="15" w:type="dxa"/>
                    <w:left w:w="108" w:type="dxa"/>
                    <w:bottom w:w="15" w:type="dxa"/>
                    <w:right w:w="108" w:type="dxa"/>
                  </w:tcMar>
                  <w:vAlign w:val="center"/>
                  <w:hideMark/>
                </w:tcPr>
                <w:p w14:paraId="7B56CCF8" w14:textId="77777777" w:rsidR="00392601" w:rsidRPr="00F42967"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F42967">
                    <w:rPr>
                      <w:rFonts w:eastAsia="Times New Roman" w:cs="Calibri"/>
                      <w:b/>
                      <w:bCs/>
                      <w:color w:val="000000"/>
                      <w:kern w:val="0"/>
                      <w:sz w:val="20"/>
                      <w:szCs w:val="20"/>
                      <w:u w:val="single"/>
                      <w:lang w:eastAsia="en-GB"/>
                      <w14:ligatures w14:val="none"/>
                    </w:rPr>
                    <w:t>sex</w:t>
                  </w:r>
                </w:p>
              </w:tc>
              <w:tc>
                <w:tcPr>
                  <w:tcW w:w="0" w:type="auto"/>
                  <w:noWrap/>
                  <w:tcMar>
                    <w:top w:w="15" w:type="dxa"/>
                    <w:left w:w="108" w:type="dxa"/>
                    <w:bottom w:w="15" w:type="dxa"/>
                    <w:right w:w="108" w:type="dxa"/>
                  </w:tcMar>
                  <w:vAlign w:val="center"/>
                  <w:hideMark/>
                </w:tcPr>
                <w:p w14:paraId="4C023271" w14:textId="77777777" w:rsidR="00392601" w:rsidRPr="00F42967"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F42967">
                    <w:rPr>
                      <w:rFonts w:eastAsia="Times New Roman" w:cs="Calibri"/>
                      <w:b/>
                      <w:bCs/>
                      <w:color w:val="000000"/>
                      <w:kern w:val="0"/>
                      <w:sz w:val="20"/>
                      <w:szCs w:val="20"/>
                      <w:u w:val="single"/>
                      <w:lang w:eastAsia="en-GB"/>
                      <w14:ligatures w14:val="none"/>
                    </w:rPr>
                    <w:t>period</w:t>
                  </w:r>
                </w:p>
              </w:tc>
              <w:tc>
                <w:tcPr>
                  <w:tcW w:w="0" w:type="auto"/>
                  <w:noWrap/>
                  <w:tcMar>
                    <w:top w:w="15" w:type="dxa"/>
                    <w:left w:w="108" w:type="dxa"/>
                    <w:bottom w:w="15" w:type="dxa"/>
                    <w:right w:w="108" w:type="dxa"/>
                  </w:tcMar>
                  <w:vAlign w:val="center"/>
                  <w:hideMark/>
                </w:tcPr>
                <w:p w14:paraId="0B55E5B5" w14:textId="77777777" w:rsidR="00392601" w:rsidRPr="00F42967"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F42967">
                    <w:rPr>
                      <w:rFonts w:eastAsia="Times New Roman" w:cs="Calibri"/>
                      <w:b/>
                      <w:bCs/>
                      <w:color w:val="000000"/>
                      <w:kern w:val="0"/>
                      <w:sz w:val="20"/>
                      <w:szCs w:val="20"/>
                      <w:u w:val="single"/>
                      <w:lang w:eastAsia="en-GB"/>
                      <w14:ligatures w14:val="none"/>
                    </w:rPr>
                    <w:t>APC%</w:t>
                  </w:r>
                </w:p>
              </w:tc>
              <w:tc>
                <w:tcPr>
                  <w:tcW w:w="0" w:type="auto"/>
                  <w:noWrap/>
                  <w:tcMar>
                    <w:top w:w="15" w:type="dxa"/>
                    <w:left w:w="108" w:type="dxa"/>
                    <w:bottom w:w="15" w:type="dxa"/>
                    <w:right w:w="108" w:type="dxa"/>
                  </w:tcMar>
                  <w:vAlign w:val="center"/>
                  <w:hideMark/>
                </w:tcPr>
                <w:p w14:paraId="7959FD42" w14:textId="77777777" w:rsidR="00392601" w:rsidRPr="00F42967"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F42967">
                    <w:rPr>
                      <w:rFonts w:eastAsia="Times New Roman" w:cs="Calibri"/>
                      <w:b/>
                      <w:bCs/>
                      <w:color w:val="000000"/>
                      <w:kern w:val="0"/>
                      <w:sz w:val="20"/>
                      <w:szCs w:val="20"/>
                      <w:u w:val="single"/>
                      <w:lang w:eastAsia="en-GB"/>
                      <w14:ligatures w14:val="none"/>
                    </w:rPr>
                    <w:t>95%CI</w:t>
                  </w:r>
                </w:p>
              </w:tc>
              <w:tc>
                <w:tcPr>
                  <w:tcW w:w="0" w:type="auto"/>
                  <w:tcBorders>
                    <w:right w:val="single" w:sz="4" w:space="0" w:color="auto"/>
                  </w:tcBorders>
                  <w:noWrap/>
                  <w:tcMar>
                    <w:top w:w="15" w:type="dxa"/>
                    <w:left w:w="108" w:type="dxa"/>
                    <w:bottom w:w="15" w:type="dxa"/>
                    <w:right w:w="108" w:type="dxa"/>
                  </w:tcMar>
                  <w:vAlign w:val="center"/>
                  <w:hideMark/>
                </w:tcPr>
                <w:p w14:paraId="0C55C923" w14:textId="77777777" w:rsidR="00392601" w:rsidRPr="00F42967"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F42967">
                    <w:rPr>
                      <w:rFonts w:eastAsia="Times New Roman" w:cs="Calibri"/>
                      <w:b/>
                      <w:bCs/>
                      <w:color w:val="000000"/>
                      <w:kern w:val="0"/>
                      <w:sz w:val="20"/>
                      <w:szCs w:val="20"/>
                      <w:u w:val="single"/>
                      <w:lang w:eastAsia="en-GB"/>
                      <w14:ligatures w14:val="none"/>
                    </w:rPr>
                    <w:t>trend</w:t>
                  </w:r>
                </w:p>
              </w:tc>
              <w:tc>
                <w:tcPr>
                  <w:tcW w:w="0" w:type="auto"/>
                  <w:vAlign w:val="center"/>
                </w:tcPr>
                <w:p w14:paraId="5211F671" w14:textId="77777777" w:rsidR="00392601" w:rsidRPr="00F42967"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F42967">
                    <w:rPr>
                      <w:rFonts w:eastAsia="Times New Roman" w:cs="Calibri"/>
                      <w:b/>
                      <w:bCs/>
                      <w:color w:val="000000"/>
                      <w:kern w:val="0"/>
                      <w:sz w:val="20"/>
                      <w:szCs w:val="20"/>
                      <w:u w:val="single"/>
                      <w:lang w:eastAsia="en-GB"/>
                      <w14:ligatures w14:val="none"/>
                    </w:rPr>
                    <w:t>sex</w:t>
                  </w:r>
                </w:p>
              </w:tc>
              <w:tc>
                <w:tcPr>
                  <w:tcW w:w="0" w:type="auto"/>
                  <w:vAlign w:val="center"/>
                </w:tcPr>
                <w:p w14:paraId="162825C5" w14:textId="77777777" w:rsidR="00392601" w:rsidRPr="00F42967"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F42967">
                    <w:rPr>
                      <w:rFonts w:eastAsia="Times New Roman" w:cs="Calibri"/>
                      <w:b/>
                      <w:bCs/>
                      <w:color w:val="000000"/>
                      <w:kern w:val="0"/>
                      <w:sz w:val="20"/>
                      <w:szCs w:val="20"/>
                      <w:u w:val="single"/>
                      <w:lang w:eastAsia="en-GB"/>
                      <w14:ligatures w14:val="none"/>
                    </w:rPr>
                    <w:t>period</w:t>
                  </w:r>
                </w:p>
              </w:tc>
              <w:tc>
                <w:tcPr>
                  <w:tcW w:w="0" w:type="auto"/>
                  <w:vAlign w:val="center"/>
                </w:tcPr>
                <w:p w14:paraId="1D3DAC71" w14:textId="77777777" w:rsidR="00392601" w:rsidRPr="00F42967"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F42967">
                    <w:rPr>
                      <w:rFonts w:eastAsia="Times New Roman" w:cs="Calibri"/>
                      <w:b/>
                      <w:bCs/>
                      <w:color w:val="000000"/>
                      <w:kern w:val="0"/>
                      <w:sz w:val="20"/>
                      <w:szCs w:val="20"/>
                      <w:u w:val="single"/>
                      <w:lang w:eastAsia="en-GB"/>
                      <w14:ligatures w14:val="none"/>
                    </w:rPr>
                    <w:t>APC%</w:t>
                  </w:r>
                </w:p>
              </w:tc>
              <w:tc>
                <w:tcPr>
                  <w:tcW w:w="0" w:type="auto"/>
                  <w:vAlign w:val="center"/>
                </w:tcPr>
                <w:p w14:paraId="620D3587" w14:textId="77777777" w:rsidR="00392601" w:rsidRPr="00F42967"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F42967">
                    <w:rPr>
                      <w:rFonts w:eastAsia="Times New Roman" w:cs="Calibri"/>
                      <w:b/>
                      <w:bCs/>
                      <w:color w:val="000000"/>
                      <w:kern w:val="0"/>
                      <w:sz w:val="20"/>
                      <w:szCs w:val="20"/>
                      <w:u w:val="single"/>
                      <w:lang w:eastAsia="en-GB"/>
                      <w14:ligatures w14:val="none"/>
                    </w:rPr>
                    <w:t>95%CI</w:t>
                  </w:r>
                </w:p>
              </w:tc>
              <w:tc>
                <w:tcPr>
                  <w:tcW w:w="0" w:type="auto"/>
                  <w:vAlign w:val="center"/>
                </w:tcPr>
                <w:p w14:paraId="2FCB6B03" w14:textId="77777777" w:rsidR="00392601" w:rsidRPr="00F42967"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F42967">
                    <w:rPr>
                      <w:rFonts w:eastAsia="Times New Roman" w:cs="Calibri"/>
                      <w:b/>
                      <w:bCs/>
                      <w:color w:val="000000"/>
                      <w:kern w:val="0"/>
                      <w:sz w:val="20"/>
                      <w:szCs w:val="20"/>
                      <w:u w:val="single"/>
                      <w:lang w:eastAsia="en-GB"/>
                      <w14:ligatures w14:val="none"/>
                    </w:rPr>
                    <w:t>trend</w:t>
                  </w:r>
                </w:p>
              </w:tc>
            </w:tr>
            <w:tr w:rsidR="00392601" w:rsidRPr="00F42967" w14:paraId="33BDDBD7" w14:textId="77777777" w:rsidTr="0041177B">
              <w:trPr>
                <w:trHeight w:val="113"/>
              </w:trPr>
              <w:tc>
                <w:tcPr>
                  <w:tcW w:w="0" w:type="auto"/>
                  <w:noWrap/>
                  <w:tcMar>
                    <w:top w:w="15" w:type="dxa"/>
                    <w:left w:w="108" w:type="dxa"/>
                    <w:bottom w:w="15" w:type="dxa"/>
                    <w:right w:w="108" w:type="dxa"/>
                  </w:tcMar>
                  <w:hideMark/>
                </w:tcPr>
                <w:p w14:paraId="72117A7C" w14:textId="77777777" w:rsidR="00392601" w:rsidRPr="00F42967" w:rsidRDefault="00392601" w:rsidP="0041177B">
                  <w:pPr>
                    <w:spacing w:after="0" w:line="240" w:lineRule="auto"/>
                    <w:jc w:val="center"/>
                    <w:rPr>
                      <w:rFonts w:eastAsia="Times New Roman" w:cs="Calibri"/>
                      <w:color w:val="000000"/>
                      <w:kern w:val="0"/>
                      <w:sz w:val="20"/>
                      <w:szCs w:val="20"/>
                      <w:lang w:eastAsia="en-GB"/>
                      <w14:ligatures w14:val="none"/>
                    </w:rPr>
                  </w:pPr>
                  <w:r w:rsidRPr="00F42967">
                    <w:rPr>
                      <w:rFonts w:cs="Calibri"/>
                      <w:sz w:val="20"/>
                      <w:szCs w:val="20"/>
                    </w:rPr>
                    <w:t>M </w:t>
                  </w:r>
                </w:p>
              </w:tc>
              <w:tc>
                <w:tcPr>
                  <w:tcW w:w="0" w:type="auto"/>
                  <w:noWrap/>
                  <w:tcMar>
                    <w:top w:w="15" w:type="dxa"/>
                    <w:left w:w="108" w:type="dxa"/>
                    <w:bottom w:w="15" w:type="dxa"/>
                    <w:right w:w="108" w:type="dxa"/>
                  </w:tcMar>
                  <w:hideMark/>
                </w:tcPr>
                <w:p w14:paraId="2394D232" w14:textId="77777777" w:rsidR="00392601" w:rsidRPr="00F42967" w:rsidRDefault="00392601" w:rsidP="0041177B">
                  <w:pPr>
                    <w:spacing w:after="0" w:line="240" w:lineRule="auto"/>
                    <w:jc w:val="center"/>
                    <w:rPr>
                      <w:rFonts w:eastAsia="Times New Roman" w:cs="Calibri"/>
                      <w:color w:val="000000"/>
                      <w:kern w:val="0"/>
                      <w:sz w:val="20"/>
                      <w:szCs w:val="20"/>
                      <w:lang w:eastAsia="en-GB"/>
                      <w14:ligatures w14:val="none"/>
                    </w:rPr>
                  </w:pPr>
                  <w:r w:rsidRPr="00F42967">
                    <w:rPr>
                      <w:rFonts w:cs="Calibri"/>
                      <w:sz w:val="20"/>
                      <w:szCs w:val="20"/>
                    </w:rPr>
                    <w:t>1994-2001 </w:t>
                  </w:r>
                </w:p>
              </w:tc>
              <w:tc>
                <w:tcPr>
                  <w:tcW w:w="0" w:type="auto"/>
                  <w:noWrap/>
                  <w:tcMar>
                    <w:top w:w="15" w:type="dxa"/>
                    <w:left w:w="108" w:type="dxa"/>
                    <w:bottom w:w="15" w:type="dxa"/>
                    <w:right w:w="108" w:type="dxa"/>
                  </w:tcMar>
                  <w:hideMark/>
                </w:tcPr>
                <w:p w14:paraId="1F50986A" w14:textId="77777777" w:rsidR="00392601" w:rsidRPr="00F42967" w:rsidRDefault="00392601" w:rsidP="0041177B">
                  <w:pPr>
                    <w:spacing w:after="0" w:line="240" w:lineRule="auto"/>
                    <w:jc w:val="center"/>
                    <w:rPr>
                      <w:rFonts w:eastAsia="Times New Roman" w:cs="Calibri"/>
                      <w:color w:val="000000"/>
                      <w:kern w:val="0"/>
                      <w:sz w:val="20"/>
                      <w:szCs w:val="20"/>
                      <w:lang w:eastAsia="en-GB"/>
                      <w14:ligatures w14:val="none"/>
                    </w:rPr>
                  </w:pPr>
                  <w:r w:rsidRPr="00F42967">
                    <w:rPr>
                      <w:rFonts w:cs="Calibri"/>
                      <w:sz w:val="20"/>
                      <w:szCs w:val="20"/>
                    </w:rPr>
                    <w:t>-3.0</w:t>
                  </w:r>
                </w:p>
              </w:tc>
              <w:tc>
                <w:tcPr>
                  <w:tcW w:w="0" w:type="auto"/>
                  <w:noWrap/>
                  <w:tcMar>
                    <w:top w:w="15" w:type="dxa"/>
                    <w:left w:w="108" w:type="dxa"/>
                    <w:bottom w:w="15" w:type="dxa"/>
                    <w:right w:w="108" w:type="dxa"/>
                  </w:tcMar>
                  <w:hideMark/>
                </w:tcPr>
                <w:p w14:paraId="71F3E296" w14:textId="77777777" w:rsidR="00392601" w:rsidRPr="00F42967" w:rsidRDefault="00392601" w:rsidP="0041177B">
                  <w:pPr>
                    <w:spacing w:after="0" w:line="240" w:lineRule="auto"/>
                    <w:jc w:val="center"/>
                    <w:rPr>
                      <w:rFonts w:eastAsia="Times New Roman" w:cs="Calibri"/>
                      <w:color w:val="000000"/>
                      <w:kern w:val="0"/>
                      <w:sz w:val="20"/>
                      <w:szCs w:val="20"/>
                      <w:lang w:eastAsia="en-GB"/>
                      <w14:ligatures w14:val="none"/>
                    </w:rPr>
                  </w:pPr>
                  <w:r w:rsidRPr="00F42967">
                    <w:rPr>
                      <w:rFonts w:cs="Calibri"/>
                      <w:sz w:val="20"/>
                      <w:szCs w:val="20"/>
                    </w:rPr>
                    <w:t>-7.5, 1.7</w:t>
                  </w:r>
                </w:p>
              </w:tc>
              <w:tc>
                <w:tcPr>
                  <w:tcW w:w="0" w:type="auto"/>
                  <w:tcBorders>
                    <w:right w:val="single" w:sz="4" w:space="0" w:color="auto"/>
                  </w:tcBorders>
                  <w:noWrap/>
                  <w:tcMar>
                    <w:top w:w="15" w:type="dxa"/>
                    <w:left w:w="108" w:type="dxa"/>
                    <w:bottom w:w="15" w:type="dxa"/>
                    <w:right w:w="108" w:type="dxa"/>
                  </w:tcMar>
                  <w:hideMark/>
                </w:tcPr>
                <w:p w14:paraId="34488AA8" w14:textId="367B0891" w:rsidR="00392601" w:rsidRPr="00F42967" w:rsidRDefault="0012335B" w:rsidP="0041177B">
                  <w:pPr>
                    <w:spacing w:after="0" w:line="240" w:lineRule="auto"/>
                    <w:jc w:val="center"/>
                    <w:rPr>
                      <w:rFonts w:eastAsia="Times New Roman" w:cs="Calibri"/>
                      <w:color w:val="000000"/>
                      <w:kern w:val="0"/>
                      <w:sz w:val="20"/>
                      <w:szCs w:val="20"/>
                      <w:lang w:eastAsia="en-GB"/>
                      <w14:ligatures w14:val="none"/>
                    </w:rPr>
                  </w:pPr>
                  <w:r w:rsidRPr="00F42967">
                    <w:rPr>
                      <w:rFonts w:cs="Calibri"/>
                      <w:sz w:val="20"/>
                      <w:szCs w:val="20"/>
                    </w:rPr>
                    <w:t>F</w:t>
                  </w:r>
                  <w:r w:rsidR="00392601" w:rsidRPr="00F42967">
                    <w:rPr>
                      <w:rFonts w:cs="Calibri"/>
                      <w:sz w:val="20"/>
                      <w:szCs w:val="20"/>
                    </w:rPr>
                    <w:t>lat</w:t>
                  </w:r>
                </w:p>
              </w:tc>
              <w:tc>
                <w:tcPr>
                  <w:tcW w:w="0" w:type="auto"/>
                </w:tcPr>
                <w:p w14:paraId="5DFC13BD" w14:textId="77777777" w:rsidR="00392601" w:rsidRPr="00F42967" w:rsidRDefault="00392601" w:rsidP="0041177B">
                  <w:pPr>
                    <w:spacing w:after="0" w:line="240" w:lineRule="auto"/>
                    <w:jc w:val="center"/>
                    <w:rPr>
                      <w:rFonts w:cs="Calibri"/>
                      <w:sz w:val="20"/>
                      <w:szCs w:val="20"/>
                    </w:rPr>
                  </w:pPr>
                  <w:r w:rsidRPr="00F42967">
                    <w:rPr>
                      <w:rFonts w:cs="Calibri"/>
                      <w:sz w:val="20"/>
                      <w:szCs w:val="20"/>
                    </w:rPr>
                    <w:t>F </w:t>
                  </w:r>
                </w:p>
              </w:tc>
              <w:tc>
                <w:tcPr>
                  <w:tcW w:w="0" w:type="auto"/>
                </w:tcPr>
                <w:p w14:paraId="2A8E2928" w14:textId="77777777" w:rsidR="00392601" w:rsidRPr="00F42967" w:rsidRDefault="00392601" w:rsidP="0041177B">
                  <w:pPr>
                    <w:spacing w:after="0" w:line="240" w:lineRule="auto"/>
                    <w:jc w:val="center"/>
                    <w:rPr>
                      <w:rFonts w:cs="Calibri"/>
                      <w:sz w:val="20"/>
                      <w:szCs w:val="20"/>
                    </w:rPr>
                  </w:pPr>
                  <w:r w:rsidRPr="00F42967">
                    <w:rPr>
                      <w:rFonts w:cs="Calibri"/>
                      <w:sz w:val="20"/>
                      <w:szCs w:val="20"/>
                    </w:rPr>
                    <w:t>1994-2022 </w:t>
                  </w:r>
                </w:p>
              </w:tc>
              <w:tc>
                <w:tcPr>
                  <w:tcW w:w="0" w:type="auto"/>
                </w:tcPr>
                <w:p w14:paraId="2ACDA1CC" w14:textId="77777777" w:rsidR="00392601" w:rsidRPr="00F42967" w:rsidRDefault="00392601" w:rsidP="0041177B">
                  <w:pPr>
                    <w:spacing w:after="0" w:line="240" w:lineRule="auto"/>
                    <w:jc w:val="center"/>
                    <w:rPr>
                      <w:rFonts w:cs="Calibri"/>
                      <w:sz w:val="20"/>
                      <w:szCs w:val="20"/>
                    </w:rPr>
                  </w:pPr>
                  <w:r w:rsidRPr="00F42967">
                    <w:rPr>
                      <w:rFonts w:cs="Calibri"/>
                      <w:sz w:val="20"/>
                      <w:szCs w:val="20"/>
                    </w:rPr>
                    <w:t>1.4</w:t>
                  </w:r>
                </w:p>
              </w:tc>
              <w:tc>
                <w:tcPr>
                  <w:tcW w:w="0" w:type="auto"/>
                </w:tcPr>
                <w:p w14:paraId="2DC4E6C7" w14:textId="77777777" w:rsidR="00392601" w:rsidRPr="00F42967" w:rsidRDefault="00392601" w:rsidP="0041177B">
                  <w:pPr>
                    <w:spacing w:after="0" w:line="240" w:lineRule="auto"/>
                    <w:jc w:val="center"/>
                    <w:rPr>
                      <w:rFonts w:cs="Calibri"/>
                      <w:sz w:val="20"/>
                      <w:szCs w:val="20"/>
                    </w:rPr>
                  </w:pPr>
                  <w:r w:rsidRPr="00F42967">
                    <w:rPr>
                      <w:rFonts w:cs="Calibri"/>
                      <w:sz w:val="20"/>
                      <w:szCs w:val="20"/>
                    </w:rPr>
                    <w:t>0.5, 2.3</w:t>
                  </w:r>
                </w:p>
              </w:tc>
              <w:tc>
                <w:tcPr>
                  <w:tcW w:w="0" w:type="auto"/>
                </w:tcPr>
                <w:p w14:paraId="75D627B2" w14:textId="77777777" w:rsidR="00392601" w:rsidRPr="00F42967" w:rsidRDefault="00392601" w:rsidP="0041177B">
                  <w:pPr>
                    <w:spacing w:after="0" w:line="240" w:lineRule="auto"/>
                    <w:jc w:val="center"/>
                    <w:rPr>
                      <w:rFonts w:cs="Calibri"/>
                      <w:sz w:val="20"/>
                      <w:szCs w:val="20"/>
                    </w:rPr>
                  </w:pPr>
                  <w:r w:rsidRPr="00F42967">
                    <w:rPr>
                      <w:rFonts w:cs="Calibri"/>
                      <w:sz w:val="20"/>
                      <w:szCs w:val="20"/>
                    </w:rPr>
                    <w:t>up </w:t>
                  </w:r>
                </w:p>
              </w:tc>
            </w:tr>
            <w:tr w:rsidR="00392601" w:rsidRPr="00F42967" w14:paraId="381EB2B0" w14:textId="77777777" w:rsidTr="0041177B">
              <w:trPr>
                <w:trHeight w:val="113"/>
              </w:trPr>
              <w:tc>
                <w:tcPr>
                  <w:tcW w:w="0" w:type="auto"/>
                  <w:noWrap/>
                  <w:tcMar>
                    <w:top w:w="15" w:type="dxa"/>
                    <w:left w:w="108" w:type="dxa"/>
                    <w:bottom w:w="15" w:type="dxa"/>
                    <w:right w:w="108" w:type="dxa"/>
                  </w:tcMar>
                </w:tcPr>
                <w:p w14:paraId="15A78A78" w14:textId="77777777" w:rsidR="00392601" w:rsidRPr="00F42967" w:rsidRDefault="00392601" w:rsidP="0041177B">
                  <w:pPr>
                    <w:spacing w:after="0" w:line="240" w:lineRule="auto"/>
                    <w:jc w:val="center"/>
                    <w:rPr>
                      <w:rFonts w:eastAsia="Times New Roman" w:cs="Calibri"/>
                      <w:color w:val="000000"/>
                      <w:kern w:val="0"/>
                      <w:sz w:val="20"/>
                      <w:szCs w:val="20"/>
                      <w:lang w:eastAsia="en-GB"/>
                      <w14:ligatures w14:val="none"/>
                    </w:rPr>
                  </w:pPr>
                </w:p>
              </w:tc>
              <w:tc>
                <w:tcPr>
                  <w:tcW w:w="0" w:type="auto"/>
                  <w:noWrap/>
                  <w:tcMar>
                    <w:top w:w="15" w:type="dxa"/>
                    <w:left w:w="108" w:type="dxa"/>
                    <w:bottom w:w="15" w:type="dxa"/>
                    <w:right w:w="108" w:type="dxa"/>
                  </w:tcMar>
                </w:tcPr>
                <w:p w14:paraId="5777DC62" w14:textId="77777777" w:rsidR="00392601" w:rsidRPr="00F42967" w:rsidRDefault="00392601" w:rsidP="0041177B">
                  <w:pPr>
                    <w:spacing w:after="0" w:line="240" w:lineRule="auto"/>
                    <w:jc w:val="center"/>
                    <w:rPr>
                      <w:rFonts w:eastAsia="Times New Roman" w:cs="Calibri"/>
                      <w:color w:val="000000"/>
                      <w:kern w:val="0"/>
                      <w:sz w:val="20"/>
                      <w:szCs w:val="20"/>
                      <w:lang w:eastAsia="en-GB"/>
                      <w14:ligatures w14:val="none"/>
                    </w:rPr>
                  </w:pPr>
                  <w:r w:rsidRPr="00F42967">
                    <w:rPr>
                      <w:rFonts w:cs="Calibri"/>
                      <w:sz w:val="20"/>
                      <w:szCs w:val="20"/>
                    </w:rPr>
                    <w:t>2001-2022 </w:t>
                  </w:r>
                </w:p>
              </w:tc>
              <w:tc>
                <w:tcPr>
                  <w:tcW w:w="0" w:type="auto"/>
                  <w:noWrap/>
                  <w:tcMar>
                    <w:top w:w="15" w:type="dxa"/>
                    <w:left w:w="108" w:type="dxa"/>
                    <w:bottom w:w="15" w:type="dxa"/>
                    <w:right w:w="108" w:type="dxa"/>
                  </w:tcMar>
                </w:tcPr>
                <w:p w14:paraId="2C4E7DAF" w14:textId="77777777" w:rsidR="00392601" w:rsidRPr="00F42967" w:rsidRDefault="00392601" w:rsidP="0041177B">
                  <w:pPr>
                    <w:spacing w:after="0" w:line="240" w:lineRule="auto"/>
                    <w:jc w:val="center"/>
                    <w:rPr>
                      <w:rFonts w:eastAsia="Times New Roman" w:cs="Calibri"/>
                      <w:color w:val="000000"/>
                      <w:kern w:val="0"/>
                      <w:sz w:val="20"/>
                      <w:szCs w:val="20"/>
                      <w:lang w:eastAsia="en-GB"/>
                      <w14:ligatures w14:val="none"/>
                    </w:rPr>
                  </w:pPr>
                  <w:r w:rsidRPr="00F42967">
                    <w:rPr>
                      <w:rFonts w:cs="Calibri"/>
                      <w:sz w:val="20"/>
                      <w:szCs w:val="20"/>
                    </w:rPr>
                    <w:t>2.7</w:t>
                  </w:r>
                </w:p>
              </w:tc>
              <w:tc>
                <w:tcPr>
                  <w:tcW w:w="0" w:type="auto"/>
                  <w:noWrap/>
                  <w:tcMar>
                    <w:top w:w="15" w:type="dxa"/>
                    <w:left w:w="108" w:type="dxa"/>
                    <w:bottom w:w="15" w:type="dxa"/>
                    <w:right w:w="108" w:type="dxa"/>
                  </w:tcMar>
                </w:tcPr>
                <w:p w14:paraId="5A38737F" w14:textId="77777777" w:rsidR="00392601" w:rsidRPr="00F42967" w:rsidRDefault="00392601" w:rsidP="0041177B">
                  <w:pPr>
                    <w:spacing w:after="0" w:line="240" w:lineRule="auto"/>
                    <w:jc w:val="center"/>
                    <w:rPr>
                      <w:rFonts w:eastAsia="Times New Roman" w:cs="Calibri"/>
                      <w:color w:val="000000"/>
                      <w:kern w:val="0"/>
                      <w:sz w:val="20"/>
                      <w:szCs w:val="20"/>
                      <w:lang w:eastAsia="en-GB"/>
                      <w14:ligatures w14:val="none"/>
                    </w:rPr>
                  </w:pPr>
                  <w:r w:rsidRPr="00F42967">
                    <w:rPr>
                      <w:rFonts w:cs="Calibri"/>
                      <w:sz w:val="20"/>
                      <w:szCs w:val="20"/>
                    </w:rPr>
                    <w:t>2.0, 3.4</w:t>
                  </w:r>
                </w:p>
              </w:tc>
              <w:tc>
                <w:tcPr>
                  <w:tcW w:w="0" w:type="auto"/>
                  <w:tcBorders>
                    <w:right w:val="single" w:sz="4" w:space="0" w:color="auto"/>
                  </w:tcBorders>
                  <w:noWrap/>
                  <w:tcMar>
                    <w:top w:w="15" w:type="dxa"/>
                    <w:left w:w="108" w:type="dxa"/>
                    <w:bottom w:w="15" w:type="dxa"/>
                    <w:right w:w="108" w:type="dxa"/>
                  </w:tcMar>
                </w:tcPr>
                <w:p w14:paraId="42B3AF92" w14:textId="77777777" w:rsidR="00392601" w:rsidRPr="00F42967" w:rsidRDefault="00392601" w:rsidP="0041177B">
                  <w:pPr>
                    <w:spacing w:after="0" w:line="240" w:lineRule="auto"/>
                    <w:jc w:val="center"/>
                    <w:rPr>
                      <w:rFonts w:eastAsia="Times New Roman" w:cs="Calibri"/>
                      <w:color w:val="000000"/>
                      <w:kern w:val="0"/>
                      <w:sz w:val="20"/>
                      <w:szCs w:val="20"/>
                      <w:lang w:eastAsia="en-GB"/>
                      <w14:ligatures w14:val="none"/>
                    </w:rPr>
                  </w:pPr>
                  <w:r w:rsidRPr="00F42967">
                    <w:rPr>
                      <w:rFonts w:cs="Calibri"/>
                      <w:sz w:val="20"/>
                      <w:szCs w:val="20"/>
                    </w:rPr>
                    <w:t>up </w:t>
                  </w:r>
                </w:p>
              </w:tc>
              <w:tc>
                <w:tcPr>
                  <w:tcW w:w="0" w:type="auto"/>
                  <w:tcBorders>
                    <w:left w:val="single" w:sz="4" w:space="0" w:color="auto"/>
                  </w:tcBorders>
                </w:tcPr>
                <w:p w14:paraId="0263451E" w14:textId="77777777" w:rsidR="00392601" w:rsidRPr="00F42967" w:rsidRDefault="00392601" w:rsidP="0041177B">
                  <w:pPr>
                    <w:spacing w:after="0" w:line="240" w:lineRule="auto"/>
                    <w:jc w:val="center"/>
                    <w:rPr>
                      <w:rFonts w:cs="Calibri"/>
                      <w:sz w:val="20"/>
                      <w:szCs w:val="20"/>
                    </w:rPr>
                  </w:pPr>
                </w:p>
              </w:tc>
              <w:tc>
                <w:tcPr>
                  <w:tcW w:w="0" w:type="auto"/>
                </w:tcPr>
                <w:p w14:paraId="355F318B" w14:textId="77777777" w:rsidR="00392601" w:rsidRPr="00F42967" w:rsidRDefault="00392601" w:rsidP="0041177B">
                  <w:pPr>
                    <w:spacing w:after="0" w:line="240" w:lineRule="auto"/>
                    <w:jc w:val="center"/>
                    <w:rPr>
                      <w:rFonts w:cs="Calibri"/>
                      <w:sz w:val="20"/>
                      <w:szCs w:val="20"/>
                    </w:rPr>
                  </w:pPr>
                </w:p>
              </w:tc>
              <w:tc>
                <w:tcPr>
                  <w:tcW w:w="0" w:type="auto"/>
                </w:tcPr>
                <w:p w14:paraId="1FFC6A55" w14:textId="77777777" w:rsidR="00392601" w:rsidRPr="00F42967" w:rsidRDefault="00392601" w:rsidP="0041177B">
                  <w:pPr>
                    <w:spacing w:after="0" w:line="240" w:lineRule="auto"/>
                    <w:jc w:val="center"/>
                    <w:rPr>
                      <w:rFonts w:cs="Calibri"/>
                      <w:sz w:val="20"/>
                      <w:szCs w:val="20"/>
                    </w:rPr>
                  </w:pPr>
                </w:p>
              </w:tc>
              <w:tc>
                <w:tcPr>
                  <w:tcW w:w="0" w:type="auto"/>
                </w:tcPr>
                <w:p w14:paraId="3187F846" w14:textId="77777777" w:rsidR="00392601" w:rsidRPr="00F42967" w:rsidRDefault="00392601" w:rsidP="0041177B">
                  <w:pPr>
                    <w:spacing w:after="0" w:line="240" w:lineRule="auto"/>
                    <w:jc w:val="center"/>
                    <w:rPr>
                      <w:rFonts w:cs="Calibri"/>
                      <w:sz w:val="20"/>
                      <w:szCs w:val="20"/>
                    </w:rPr>
                  </w:pPr>
                </w:p>
              </w:tc>
              <w:tc>
                <w:tcPr>
                  <w:tcW w:w="0" w:type="auto"/>
                </w:tcPr>
                <w:p w14:paraId="484C7483" w14:textId="77777777" w:rsidR="00392601" w:rsidRPr="00F42967" w:rsidRDefault="00392601" w:rsidP="0041177B">
                  <w:pPr>
                    <w:spacing w:after="0" w:line="240" w:lineRule="auto"/>
                    <w:jc w:val="center"/>
                    <w:rPr>
                      <w:rFonts w:cs="Calibri"/>
                      <w:sz w:val="20"/>
                      <w:szCs w:val="20"/>
                    </w:rPr>
                  </w:pPr>
                </w:p>
              </w:tc>
            </w:tr>
          </w:tbl>
          <w:p w14:paraId="0CB9CF66" w14:textId="77777777" w:rsidR="00392601" w:rsidRPr="00563005" w:rsidRDefault="00392601" w:rsidP="0041177B">
            <w:pPr>
              <w:jc w:val="center"/>
              <w:rPr>
                <w:rFonts w:eastAsia="Times New Roman" w:cs="Calibri"/>
                <w:b/>
                <w:bCs/>
                <w:color w:val="000000"/>
                <w:sz w:val="16"/>
                <w:szCs w:val="16"/>
                <w:u w:val="single"/>
                <w:lang w:eastAsia="en-GB"/>
              </w:rPr>
            </w:pPr>
          </w:p>
        </w:tc>
      </w:tr>
      <w:tr w:rsidR="00392601" w:rsidRPr="00563005" w14:paraId="483780CC" w14:textId="77777777" w:rsidTr="0041177B">
        <w:trPr>
          <w:trHeight w:val="113"/>
        </w:trPr>
        <w:tc>
          <w:tcPr>
            <w:tcW w:w="9678" w:type="dxa"/>
            <w:vAlign w:val="center"/>
          </w:tcPr>
          <w:p w14:paraId="3A9ACCDC" w14:textId="77777777" w:rsidR="00392601" w:rsidRPr="00F42967" w:rsidRDefault="00392601" w:rsidP="0041177B">
            <w:pPr>
              <w:pBdr>
                <w:bottom w:val="single" w:sz="4" w:space="1" w:color="auto"/>
              </w:pBdr>
              <w:rPr>
                <w:rFonts w:asciiTheme="minorHAnsi" w:hAnsiTheme="minorHAnsi"/>
                <w:bCs/>
                <w:sz w:val="18"/>
                <w:szCs w:val="16"/>
              </w:rPr>
            </w:pPr>
            <w:r w:rsidRPr="00563005">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5FB1EF55" w14:textId="77777777" w:rsidR="00392601" w:rsidRPr="00F42967" w:rsidRDefault="00392601" w:rsidP="0041177B">
            <w:pPr>
              <w:rPr>
                <w:rFonts w:asciiTheme="minorHAnsi" w:hAnsiTheme="minorHAnsi"/>
                <w:b/>
                <w:bCs/>
                <w:noProof/>
                <w:sz w:val="14"/>
                <w:szCs w:val="14"/>
                <w:u w:val="single"/>
              </w:rPr>
            </w:pPr>
          </w:p>
        </w:tc>
      </w:tr>
    </w:tbl>
    <w:p w14:paraId="2D9DC392" w14:textId="77777777" w:rsidR="00392601" w:rsidRPr="00C32002" w:rsidRDefault="00392601" w:rsidP="001C767A">
      <w:pPr>
        <w:pStyle w:val="Heading3"/>
        <w:spacing w:before="0" w:after="0"/>
      </w:pPr>
      <w:bookmarkStart w:id="100" w:name="_Toc197557056"/>
      <w:bookmarkStart w:id="101" w:name="_Toc201512450"/>
      <w:r w:rsidRPr="00C32002">
        <w:t>Variation by deprivation quintile</w:t>
      </w:r>
      <w:bookmarkEnd w:id="100"/>
      <w:bookmarkEnd w:id="101"/>
    </w:p>
    <w:p w14:paraId="18647389" w14:textId="3D67C9EA" w:rsidR="00392601" w:rsidRDefault="00392601" w:rsidP="001C767A">
      <w:pPr>
        <w:spacing w:after="0" w:line="240" w:lineRule="auto"/>
        <w:rPr>
          <w:rFonts w:cstheme="minorHAnsi"/>
          <w:color w:val="000000" w:themeColor="text1"/>
        </w:rPr>
      </w:pPr>
      <w:r w:rsidRPr="00C32002">
        <w:rPr>
          <w:rFonts w:cstheme="minorHAnsi"/>
          <w:color w:val="000000" w:themeColor="text1"/>
        </w:rPr>
        <w:t xml:space="preserve">Age-standardised incidence </w:t>
      </w:r>
      <w:r>
        <w:rPr>
          <w:rFonts w:cstheme="minorHAnsi"/>
          <w:color w:val="000000" w:themeColor="text1"/>
        </w:rPr>
        <w:t>of</w:t>
      </w:r>
      <w:r w:rsidRPr="00C32002">
        <w:rPr>
          <w:rFonts w:cstheme="minorHAnsi"/>
          <w:color w:val="000000" w:themeColor="text1"/>
        </w:rPr>
        <w:t xml:space="preserve"> </w:t>
      </w:r>
      <w:r w:rsidRPr="00C32002">
        <w:rPr>
          <w:rFonts w:cstheme="minorHAnsi"/>
        </w:rPr>
        <w:t>pharyn</w:t>
      </w:r>
      <w:r>
        <w:rPr>
          <w:rFonts w:cstheme="minorHAnsi"/>
        </w:rPr>
        <w:t>geal</w:t>
      </w:r>
      <w:r w:rsidRPr="00C32002">
        <w:rPr>
          <w:rFonts w:cstheme="minorHAnsi"/>
        </w:rPr>
        <w:t xml:space="preserve"> cancer </w:t>
      </w:r>
      <w:r w:rsidRPr="00C32002">
        <w:rPr>
          <w:rFonts w:cstheme="minorHAnsi"/>
          <w:color w:val="000000" w:themeColor="text1"/>
        </w:rPr>
        <w:t xml:space="preserve">in 2014-2018 ranged </w:t>
      </w:r>
      <w:r>
        <w:rPr>
          <w:rFonts w:cstheme="minorHAnsi"/>
          <w:color w:val="000000" w:themeColor="text1"/>
        </w:rPr>
        <w:t>between 4.</w:t>
      </w:r>
      <w:r w:rsidRPr="00C32002">
        <w:rPr>
          <w:rFonts w:cstheme="minorHAnsi"/>
          <w:color w:val="000000" w:themeColor="text1"/>
        </w:rPr>
        <w:t>2</w:t>
      </w:r>
      <w:r>
        <w:rPr>
          <w:rFonts w:cstheme="minorHAnsi"/>
          <w:color w:val="000000" w:themeColor="text1"/>
        </w:rPr>
        <w:t xml:space="preserve"> and </w:t>
      </w:r>
      <w:r w:rsidRPr="00C32002">
        <w:rPr>
          <w:rFonts w:cstheme="minorHAnsi"/>
          <w:color w:val="000000" w:themeColor="text1"/>
        </w:rPr>
        <w:t xml:space="preserve">5.2 cases per 100,000 from the least to the most deprived quintiles (Figure </w:t>
      </w:r>
      <w:r w:rsidR="001C767A">
        <w:rPr>
          <w:rFonts w:cstheme="minorHAnsi"/>
          <w:color w:val="000000" w:themeColor="text1"/>
        </w:rPr>
        <w:t>6.3</w:t>
      </w:r>
      <w:r w:rsidRPr="00C32002">
        <w:rPr>
          <w:rFonts w:cstheme="minorHAnsi"/>
          <w:color w:val="000000" w:themeColor="text1"/>
        </w:rPr>
        <w:t>).</w:t>
      </w:r>
      <w:r>
        <w:rPr>
          <w:rFonts w:cstheme="minorHAnsi"/>
          <w:color w:val="000000" w:themeColor="text1"/>
        </w:rPr>
        <w:t xml:space="preserve"> </w:t>
      </w:r>
      <w:r w:rsidRPr="00C32002">
        <w:rPr>
          <w:rFonts w:cstheme="minorHAnsi"/>
          <w:color w:val="000000" w:themeColor="text1"/>
        </w:rPr>
        <w:t>There was a s</w:t>
      </w:r>
      <w:r>
        <w:rPr>
          <w:rFonts w:cstheme="minorHAnsi"/>
          <w:color w:val="000000" w:themeColor="text1"/>
        </w:rPr>
        <w:t>mall</w:t>
      </w:r>
      <w:r w:rsidRPr="00C32002">
        <w:rPr>
          <w:rFonts w:cstheme="minorHAnsi"/>
          <w:color w:val="000000" w:themeColor="text1"/>
        </w:rPr>
        <w:t xml:space="preserve"> difference in </w:t>
      </w:r>
      <w:r>
        <w:rPr>
          <w:rFonts w:cstheme="minorHAnsi"/>
          <w:color w:val="000000" w:themeColor="text1"/>
        </w:rPr>
        <w:t xml:space="preserve">the </w:t>
      </w:r>
      <w:r w:rsidRPr="00C32002">
        <w:rPr>
          <w:rFonts w:cstheme="minorHAnsi"/>
          <w:color w:val="000000" w:themeColor="text1"/>
        </w:rPr>
        <w:t>rate of pharyn</w:t>
      </w:r>
      <w:r>
        <w:rPr>
          <w:rFonts w:cstheme="minorHAnsi"/>
          <w:color w:val="000000" w:themeColor="text1"/>
        </w:rPr>
        <w:t>geal</w:t>
      </w:r>
      <w:r w:rsidRPr="00C32002">
        <w:rPr>
          <w:rFonts w:cstheme="minorHAnsi"/>
          <w:color w:val="000000" w:themeColor="text1"/>
        </w:rPr>
        <w:t xml:space="preserve"> cancer between the most and least deprived quintiles for males (</w:t>
      </w:r>
      <w:r>
        <w:rPr>
          <w:rFonts w:cstheme="minorHAnsi"/>
          <w:color w:val="000000" w:themeColor="text1"/>
        </w:rPr>
        <w:t>6.8</w:t>
      </w:r>
      <w:r w:rsidRPr="00C32002">
        <w:rPr>
          <w:rFonts w:cstheme="minorHAnsi"/>
          <w:color w:val="000000" w:themeColor="text1"/>
        </w:rPr>
        <w:t xml:space="preserve"> for least deprived and 8.6 for most deprived). For females, the rate of pharyn</w:t>
      </w:r>
      <w:r>
        <w:rPr>
          <w:rFonts w:cstheme="minorHAnsi"/>
          <w:color w:val="000000" w:themeColor="text1"/>
        </w:rPr>
        <w:t>geal</w:t>
      </w:r>
      <w:r w:rsidRPr="00C32002">
        <w:rPr>
          <w:rFonts w:cstheme="minorHAnsi"/>
          <w:color w:val="000000" w:themeColor="text1"/>
        </w:rPr>
        <w:t xml:space="preserve"> cancer was similar across deprivation levels (</w:t>
      </w:r>
      <w:r>
        <w:rPr>
          <w:rFonts w:cstheme="minorHAnsi"/>
          <w:color w:val="000000" w:themeColor="text1"/>
        </w:rPr>
        <w:t>2.0</w:t>
      </w:r>
      <w:r w:rsidRPr="00C32002">
        <w:rPr>
          <w:rFonts w:cstheme="minorHAnsi"/>
          <w:color w:val="000000" w:themeColor="text1"/>
        </w:rPr>
        <w:t xml:space="preserve"> for least deprived and 2.0 for most deprived).</w:t>
      </w:r>
    </w:p>
    <w:p w14:paraId="60B10AC9" w14:textId="77777777" w:rsidR="00392601" w:rsidRPr="00C32002" w:rsidRDefault="00392601" w:rsidP="00392601">
      <w:pPr>
        <w:spacing w:after="0" w:line="240" w:lineRule="auto"/>
        <w:rPr>
          <w:rFonts w:cstheme="minorHAnsi"/>
          <w:color w:val="000000" w:themeColor="text1"/>
          <w:highlight w:val="yellow"/>
        </w:rPr>
      </w:pPr>
    </w:p>
    <w:tbl>
      <w:tblPr>
        <w:tblStyle w:val="TableGrid"/>
        <w:tblW w:w="976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256"/>
        <w:gridCol w:w="3256"/>
      </w:tblGrid>
      <w:tr w:rsidR="00392601" w:rsidRPr="0060782B" w14:paraId="72D3FADF" w14:textId="77777777" w:rsidTr="0041177B">
        <w:trPr>
          <w:trHeight w:val="113"/>
        </w:trPr>
        <w:tc>
          <w:tcPr>
            <w:tcW w:w="9768" w:type="dxa"/>
            <w:gridSpan w:val="3"/>
            <w:shd w:val="clear" w:color="auto" w:fill="002060"/>
            <w:hideMark/>
          </w:tcPr>
          <w:p w14:paraId="02F7ADD2" w14:textId="448B05CA" w:rsidR="00392601" w:rsidRPr="001C767A" w:rsidRDefault="00392601" w:rsidP="0041177B">
            <w:pPr>
              <w:rPr>
                <w:rFonts w:asciiTheme="minorHAnsi" w:hAnsiTheme="minorHAnsi" w:cstheme="minorHAnsi"/>
                <w:b/>
                <w:bCs/>
                <w:color w:val="FFFFFF" w:themeColor="background1"/>
              </w:rPr>
            </w:pPr>
            <w:r w:rsidRPr="001C767A">
              <w:rPr>
                <w:rFonts w:asciiTheme="minorHAnsi" w:hAnsiTheme="minorHAnsi" w:cstheme="minorHAnsi"/>
                <w:b/>
                <w:bCs/>
                <w:color w:val="FFFFFF" w:themeColor="background1"/>
              </w:rPr>
              <w:t xml:space="preserve">Figure </w:t>
            </w:r>
            <w:r w:rsidR="001C767A" w:rsidRPr="001C767A">
              <w:rPr>
                <w:rFonts w:asciiTheme="minorHAnsi" w:hAnsiTheme="minorHAnsi" w:cstheme="minorHAnsi"/>
                <w:b/>
                <w:bCs/>
                <w:color w:val="FFFFFF" w:themeColor="background1"/>
              </w:rPr>
              <w:t xml:space="preserve">6.3: </w:t>
            </w:r>
            <w:r w:rsidRPr="001C767A">
              <w:rPr>
                <w:rFonts w:asciiTheme="minorHAnsi" w:hAnsiTheme="minorHAnsi" w:cstheme="minorHAnsi"/>
                <w:b/>
                <w:bCs/>
                <w:color w:val="FFFFFF" w:themeColor="background1"/>
              </w:rPr>
              <w:t>Incidence rate (per 100,000) for pharyngeal cancer by deprivation quintile, 2014-2018</w:t>
            </w:r>
          </w:p>
        </w:tc>
      </w:tr>
      <w:tr w:rsidR="00392601" w:rsidRPr="00563005" w14:paraId="499F6854" w14:textId="77777777" w:rsidTr="0041177B">
        <w:trPr>
          <w:trHeight w:val="113"/>
        </w:trPr>
        <w:tc>
          <w:tcPr>
            <w:tcW w:w="3256" w:type="dxa"/>
            <w:hideMark/>
          </w:tcPr>
          <w:p w14:paraId="494C35F3" w14:textId="77777777" w:rsidR="00392601" w:rsidRPr="00563005" w:rsidRDefault="00392601" w:rsidP="0041177B">
            <w:pPr>
              <w:jc w:val="center"/>
              <w:rPr>
                <w:rFonts w:asciiTheme="minorHAnsi" w:hAnsiTheme="minorHAnsi" w:cstheme="minorHAnsi"/>
                <w:color w:val="000000" w:themeColor="text1"/>
              </w:rPr>
            </w:pPr>
            <w:r w:rsidRPr="00563005">
              <w:rPr>
                <w:rFonts w:asciiTheme="minorHAnsi" w:hAnsiTheme="minorHAnsi" w:cstheme="minorHAnsi"/>
                <w:color w:val="000000" w:themeColor="text1"/>
              </w:rPr>
              <w:t>Total</w:t>
            </w:r>
          </w:p>
        </w:tc>
        <w:tc>
          <w:tcPr>
            <w:tcW w:w="3256" w:type="dxa"/>
          </w:tcPr>
          <w:p w14:paraId="0BBE7C47" w14:textId="77777777" w:rsidR="00392601" w:rsidRPr="00563005" w:rsidRDefault="00392601" w:rsidP="0041177B">
            <w:pPr>
              <w:jc w:val="center"/>
              <w:rPr>
                <w:rFonts w:asciiTheme="minorHAnsi" w:hAnsiTheme="minorHAnsi" w:cstheme="minorHAnsi"/>
                <w:color w:val="000000" w:themeColor="text1"/>
              </w:rPr>
            </w:pPr>
            <w:r w:rsidRPr="00563005">
              <w:rPr>
                <w:rFonts w:asciiTheme="minorHAnsi" w:hAnsiTheme="minorHAnsi" w:cstheme="minorHAnsi"/>
                <w:color w:val="000000" w:themeColor="text1"/>
              </w:rPr>
              <w:t>Males</w:t>
            </w:r>
          </w:p>
        </w:tc>
        <w:tc>
          <w:tcPr>
            <w:tcW w:w="3256" w:type="dxa"/>
          </w:tcPr>
          <w:p w14:paraId="25B270D5" w14:textId="77777777" w:rsidR="00392601" w:rsidRPr="00F42967" w:rsidRDefault="00392601" w:rsidP="0041177B">
            <w:pPr>
              <w:jc w:val="center"/>
              <w:rPr>
                <w:rFonts w:asciiTheme="minorHAnsi" w:hAnsiTheme="minorHAnsi" w:cstheme="minorHAnsi"/>
                <w:color w:val="000000" w:themeColor="text1"/>
              </w:rPr>
            </w:pPr>
            <w:r w:rsidRPr="00563005">
              <w:rPr>
                <w:rFonts w:asciiTheme="minorHAnsi" w:hAnsiTheme="minorHAnsi" w:cstheme="minorHAnsi"/>
                <w:color w:val="000000" w:themeColor="text1"/>
              </w:rPr>
              <w:t>Females</w:t>
            </w:r>
          </w:p>
        </w:tc>
      </w:tr>
      <w:tr w:rsidR="00392601" w:rsidRPr="0060782B" w14:paraId="729BD5F2" w14:textId="77777777" w:rsidTr="0041177B">
        <w:trPr>
          <w:trHeight w:val="113"/>
        </w:trPr>
        <w:tc>
          <w:tcPr>
            <w:tcW w:w="3256" w:type="dxa"/>
          </w:tcPr>
          <w:p w14:paraId="03724D43" w14:textId="77777777" w:rsidR="00392601" w:rsidRPr="0060782B" w:rsidRDefault="00392601" w:rsidP="0041177B">
            <w:pPr>
              <w:jc w:val="center"/>
              <w:rPr>
                <w:rFonts w:asciiTheme="minorHAnsi" w:hAnsiTheme="minorHAnsi" w:cstheme="minorHAnsi"/>
                <w:color w:val="000000" w:themeColor="text1"/>
              </w:rPr>
            </w:pPr>
            <w:r w:rsidRPr="00A07714">
              <w:rPr>
                <w:rFonts w:cstheme="minorHAnsi"/>
                <w:noProof/>
                <w:color w:val="000000" w:themeColor="text1"/>
              </w:rPr>
              <w:drawing>
                <wp:inline distT="0" distB="0" distL="0" distR="0" wp14:anchorId="7E9DA1B8" wp14:editId="005202B7">
                  <wp:extent cx="1842929" cy="1436400"/>
                  <wp:effectExtent l="0" t="0" r="5080" b="0"/>
                  <wp:docPr id="783874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87450" name="Picture 4"/>
                          <pic:cNvPicPr>
                            <a:picLocks noChangeAspect="1" noChangeArrowheads="1"/>
                          </pic:cNvPicPr>
                        </pic:nvPicPr>
                        <pic:blipFill>
                          <a:blip r:embed="rId53">
                            <a:extLst>
                              <a:ext uri="{96DAC541-7B7A-43D3-8B79-37D633B846F1}">
                                <asvg:svgBlip xmlns:asvg="http://schemas.microsoft.com/office/drawing/2016/SVG/main" r:embed="rId54"/>
                              </a:ext>
                            </a:extLst>
                          </a:blip>
                          <a:stretch>
                            <a:fillRect/>
                          </a:stretch>
                        </pic:blipFill>
                        <pic:spPr bwMode="auto">
                          <a:xfrm>
                            <a:off x="0" y="0"/>
                            <a:ext cx="1842929" cy="1436400"/>
                          </a:xfrm>
                          <a:prstGeom prst="rect">
                            <a:avLst/>
                          </a:prstGeom>
                        </pic:spPr>
                      </pic:pic>
                    </a:graphicData>
                  </a:graphic>
                </wp:inline>
              </w:drawing>
            </w:r>
          </w:p>
        </w:tc>
        <w:tc>
          <w:tcPr>
            <w:tcW w:w="3256" w:type="dxa"/>
            <w:vAlign w:val="center"/>
          </w:tcPr>
          <w:p w14:paraId="530AC8A6" w14:textId="77777777" w:rsidR="00392601" w:rsidRPr="0060782B" w:rsidRDefault="00392601" w:rsidP="0041177B">
            <w:pPr>
              <w:jc w:val="center"/>
              <w:rPr>
                <w:rFonts w:asciiTheme="minorHAnsi" w:hAnsiTheme="minorHAnsi" w:cstheme="minorHAnsi"/>
                <w:color w:val="000000" w:themeColor="text1"/>
              </w:rPr>
            </w:pPr>
            <w:r w:rsidRPr="00A07714">
              <w:rPr>
                <w:rFonts w:eastAsia="Times New Roman" w:cs="Times New Roman"/>
                <w:noProof/>
                <w:lang w:eastAsia="en-GB"/>
              </w:rPr>
              <w:drawing>
                <wp:inline distT="0" distB="0" distL="0" distR="0" wp14:anchorId="653EC520" wp14:editId="341D41A1">
                  <wp:extent cx="1842928" cy="1436400"/>
                  <wp:effectExtent l="0" t="0" r="5080" b="0"/>
                  <wp:docPr id="12301467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46799" name="Picture 5"/>
                          <pic:cNvPicPr>
                            <a:picLocks noChangeAspect="1" noChangeArrowheads="1"/>
                          </pic:cNvPicPr>
                        </pic:nvPicPr>
                        <pic:blipFill>
                          <a:blip r:embed="rId55">
                            <a:extLst>
                              <a:ext uri="{96DAC541-7B7A-43D3-8B79-37D633B846F1}">
                                <asvg:svgBlip xmlns:asvg="http://schemas.microsoft.com/office/drawing/2016/SVG/main" r:embed="rId56"/>
                              </a:ext>
                            </a:extLst>
                          </a:blip>
                          <a:stretch>
                            <a:fillRect/>
                          </a:stretch>
                        </pic:blipFill>
                        <pic:spPr bwMode="auto">
                          <a:xfrm>
                            <a:off x="0" y="0"/>
                            <a:ext cx="1842928" cy="1436400"/>
                          </a:xfrm>
                          <a:prstGeom prst="rect">
                            <a:avLst/>
                          </a:prstGeom>
                        </pic:spPr>
                      </pic:pic>
                    </a:graphicData>
                  </a:graphic>
                </wp:inline>
              </w:drawing>
            </w:r>
          </w:p>
        </w:tc>
        <w:tc>
          <w:tcPr>
            <w:tcW w:w="3256" w:type="dxa"/>
          </w:tcPr>
          <w:p w14:paraId="5FC062D1" w14:textId="77777777" w:rsidR="00392601" w:rsidRPr="00F42967" w:rsidRDefault="00392601" w:rsidP="0041177B">
            <w:pPr>
              <w:jc w:val="center"/>
              <w:rPr>
                <w:rFonts w:asciiTheme="minorHAnsi" w:hAnsiTheme="minorHAnsi" w:cstheme="minorHAnsi"/>
                <w:color w:val="000000" w:themeColor="text1"/>
              </w:rPr>
            </w:pPr>
            <w:r w:rsidRPr="00A07714">
              <w:rPr>
                <w:rFonts w:cstheme="minorHAnsi"/>
                <w:noProof/>
                <w:color w:val="000000" w:themeColor="text1"/>
              </w:rPr>
              <w:drawing>
                <wp:inline distT="0" distB="0" distL="0" distR="0" wp14:anchorId="616BA004" wp14:editId="78E6B42F">
                  <wp:extent cx="1842929" cy="1436400"/>
                  <wp:effectExtent l="0" t="0" r="5080" b="0"/>
                  <wp:docPr id="6623591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59123" name="Picture 6"/>
                          <pic:cNvPicPr>
                            <a:picLocks noChangeAspect="1" noChangeArrowheads="1"/>
                          </pic:cNvPicPr>
                        </pic:nvPicPr>
                        <pic:blipFill>
                          <a:blip r:embed="rId57">
                            <a:extLst>
                              <a:ext uri="{96DAC541-7B7A-43D3-8B79-37D633B846F1}">
                                <asvg:svgBlip xmlns:asvg="http://schemas.microsoft.com/office/drawing/2016/SVG/main" r:embed="rId58"/>
                              </a:ext>
                            </a:extLst>
                          </a:blip>
                          <a:stretch>
                            <a:fillRect/>
                          </a:stretch>
                        </pic:blipFill>
                        <pic:spPr bwMode="auto">
                          <a:xfrm>
                            <a:off x="0" y="0"/>
                            <a:ext cx="1842929" cy="1436400"/>
                          </a:xfrm>
                          <a:prstGeom prst="rect">
                            <a:avLst/>
                          </a:prstGeom>
                        </pic:spPr>
                      </pic:pic>
                    </a:graphicData>
                  </a:graphic>
                </wp:inline>
              </w:drawing>
            </w:r>
          </w:p>
        </w:tc>
      </w:tr>
    </w:tbl>
    <w:p w14:paraId="5F6BA5F0" w14:textId="77777777" w:rsidR="0080459B" w:rsidRPr="0080459B" w:rsidRDefault="0080459B" w:rsidP="0080459B">
      <w:bookmarkStart w:id="102" w:name="_Toc197557057"/>
    </w:p>
    <w:p w14:paraId="3FC9E04C" w14:textId="77777777" w:rsidR="00392601" w:rsidRPr="00C32002" w:rsidRDefault="00392601" w:rsidP="001C767A">
      <w:pPr>
        <w:pStyle w:val="Heading2"/>
        <w:spacing w:before="0" w:after="0"/>
      </w:pPr>
      <w:bookmarkStart w:id="103" w:name="_Toc201512451"/>
      <w:r w:rsidRPr="00C32002">
        <w:t>Mortality</w:t>
      </w:r>
      <w:bookmarkEnd w:id="102"/>
      <w:bookmarkEnd w:id="103"/>
    </w:p>
    <w:p w14:paraId="3EAEA3F8" w14:textId="1A6C991D" w:rsidR="00392601" w:rsidRPr="00C32002" w:rsidRDefault="002C41FA" w:rsidP="001C767A">
      <w:pPr>
        <w:spacing w:after="0" w:line="240" w:lineRule="auto"/>
      </w:pPr>
      <w:r w:rsidRPr="006C1190">
        <w:t>The age-standardised mortality rate of pharyngeal cancer</w:t>
      </w:r>
      <w:r w:rsidR="00463A61">
        <w:t xml:space="preserve"> during the period</w:t>
      </w:r>
      <w:r w:rsidRPr="006C1190">
        <w:t xml:space="preserve"> 1994-2022 was 3.2 deaths per 100,000 males and 0.9 deaths per 100,000 females per year.</w:t>
      </w:r>
      <w:r>
        <w:t xml:space="preserve"> </w:t>
      </w:r>
      <w:r w:rsidR="00392601" w:rsidRPr="00C32002">
        <w:t xml:space="preserve">Figure </w:t>
      </w:r>
      <w:r w:rsidR="001C767A">
        <w:t>6.4</w:t>
      </w:r>
      <w:r w:rsidR="00392601" w:rsidRPr="00C32002">
        <w:t xml:space="preserve"> breaks this down further by sex and age group. </w:t>
      </w:r>
      <w:r w:rsidR="00392601">
        <w:t>Mortality rates were higher among older age groups regardless of sex.</w:t>
      </w:r>
    </w:p>
    <w:p w14:paraId="4CD52B33" w14:textId="77777777" w:rsidR="00392601" w:rsidRPr="00C32002" w:rsidRDefault="00392601" w:rsidP="00392601">
      <w:pPr>
        <w:spacing w:after="0" w:line="240" w:lineRule="auto"/>
        <w:rPr>
          <w:highlight w:val="yellow"/>
        </w:rPr>
      </w:pPr>
    </w:p>
    <w:tbl>
      <w:tblPr>
        <w:tblStyle w:val="TableGrid"/>
        <w:tblW w:w="976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256"/>
        <w:gridCol w:w="3256"/>
      </w:tblGrid>
      <w:tr w:rsidR="00392601" w:rsidRPr="0060782B" w14:paraId="4350687D" w14:textId="77777777" w:rsidTr="0041177B">
        <w:trPr>
          <w:trHeight w:val="113"/>
        </w:trPr>
        <w:tc>
          <w:tcPr>
            <w:tcW w:w="9768" w:type="dxa"/>
            <w:gridSpan w:val="3"/>
            <w:shd w:val="clear" w:color="auto" w:fill="002060"/>
            <w:hideMark/>
          </w:tcPr>
          <w:p w14:paraId="28E70FA8" w14:textId="052798A5" w:rsidR="00392601" w:rsidRPr="001C767A" w:rsidRDefault="00392601" w:rsidP="0041177B">
            <w:pPr>
              <w:rPr>
                <w:rFonts w:asciiTheme="minorHAnsi" w:hAnsiTheme="minorHAnsi" w:cstheme="minorHAnsi"/>
                <w:b/>
                <w:bCs/>
                <w:color w:val="FFFFFF" w:themeColor="background1"/>
              </w:rPr>
            </w:pPr>
            <w:r w:rsidRPr="001C767A">
              <w:rPr>
                <w:rFonts w:asciiTheme="minorHAnsi" w:hAnsiTheme="minorHAnsi" w:cstheme="minorHAnsi"/>
                <w:b/>
                <w:bCs/>
                <w:color w:val="FFFFFF" w:themeColor="background1"/>
              </w:rPr>
              <w:t xml:space="preserve">Figure </w:t>
            </w:r>
            <w:r w:rsidR="001C767A" w:rsidRPr="001C767A">
              <w:rPr>
                <w:rFonts w:asciiTheme="minorHAnsi" w:hAnsiTheme="minorHAnsi" w:cstheme="minorHAnsi"/>
                <w:b/>
                <w:bCs/>
                <w:color w:val="FFFFFF" w:themeColor="background1"/>
              </w:rPr>
              <w:t>6.4:</w:t>
            </w:r>
            <w:r w:rsidRPr="001C767A">
              <w:rPr>
                <w:rFonts w:asciiTheme="minorHAnsi" w:hAnsiTheme="minorHAnsi" w:cstheme="minorHAnsi"/>
                <w:b/>
                <w:bCs/>
                <w:color w:val="FFFFFF" w:themeColor="background1"/>
              </w:rPr>
              <w:t xml:space="preserve">  Mortality rate (per 100,000) for pharyn</w:t>
            </w:r>
            <w:r w:rsidR="002C41FA">
              <w:rPr>
                <w:rFonts w:asciiTheme="minorHAnsi" w:hAnsiTheme="minorHAnsi" w:cstheme="minorHAnsi"/>
                <w:b/>
                <w:bCs/>
                <w:color w:val="FFFFFF" w:themeColor="background1"/>
              </w:rPr>
              <w:t>geal</w:t>
            </w:r>
            <w:r w:rsidRPr="001C767A">
              <w:rPr>
                <w:rFonts w:asciiTheme="minorHAnsi" w:hAnsiTheme="minorHAnsi" w:cstheme="minorHAnsi"/>
                <w:b/>
                <w:bCs/>
                <w:color w:val="FFFFFF" w:themeColor="background1"/>
              </w:rPr>
              <w:t xml:space="preserve"> cancer by </w:t>
            </w:r>
            <w:r w:rsidR="00366242">
              <w:rPr>
                <w:rFonts w:asciiTheme="minorHAnsi" w:hAnsiTheme="minorHAnsi" w:cstheme="minorHAnsi"/>
                <w:b/>
                <w:bCs/>
                <w:color w:val="FFFFFF" w:themeColor="background1"/>
              </w:rPr>
              <w:t>age group</w:t>
            </w:r>
            <w:r w:rsidRPr="001C767A">
              <w:rPr>
                <w:rFonts w:asciiTheme="minorHAnsi" w:hAnsiTheme="minorHAnsi" w:cstheme="minorHAnsi"/>
                <w:b/>
                <w:bCs/>
                <w:color w:val="FFFFFF" w:themeColor="background1"/>
              </w:rPr>
              <w:t>, 1994-2022</w:t>
            </w:r>
          </w:p>
        </w:tc>
      </w:tr>
      <w:tr w:rsidR="00392601" w:rsidRPr="00563005" w14:paraId="07B03919" w14:textId="77777777" w:rsidTr="0041177B">
        <w:trPr>
          <w:trHeight w:val="113"/>
        </w:trPr>
        <w:tc>
          <w:tcPr>
            <w:tcW w:w="3256" w:type="dxa"/>
            <w:hideMark/>
          </w:tcPr>
          <w:p w14:paraId="7EC54FAF" w14:textId="77777777" w:rsidR="00392601" w:rsidRPr="00563005" w:rsidRDefault="00392601" w:rsidP="0041177B">
            <w:pPr>
              <w:jc w:val="center"/>
              <w:rPr>
                <w:rFonts w:asciiTheme="minorHAnsi" w:hAnsiTheme="minorHAnsi" w:cstheme="minorHAnsi"/>
                <w:color w:val="000000" w:themeColor="text1"/>
              </w:rPr>
            </w:pPr>
            <w:r w:rsidRPr="00563005">
              <w:rPr>
                <w:rFonts w:asciiTheme="minorHAnsi" w:hAnsiTheme="minorHAnsi" w:cstheme="minorHAnsi"/>
                <w:color w:val="000000" w:themeColor="text1"/>
              </w:rPr>
              <w:t>Total</w:t>
            </w:r>
          </w:p>
        </w:tc>
        <w:tc>
          <w:tcPr>
            <w:tcW w:w="3256" w:type="dxa"/>
          </w:tcPr>
          <w:p w14:paraId="728EE954" w14:textId="77777777" w:rsidR="00392601" w:rsidRPr="00563005" w:rsidRDefault="00392601" w:rsidP="0041177B">
            <w:pPr>
              <w:jc w:val="center"/>
              <w:rPr>
                <w:rFonts w:asciiTheme="minorHAnsi" w:hAnsiTheme="minorHAnsi" w:cstheme="minorHAnsi"/>
                <w:color w:val="000000" w:themeColor="text1"/>
              </w:rPr>
            </w:pPr>
            <w:r w:rsidRPr="00563005">
              <w:rPr>
                <w:rFonts w:asciiTheme="minorHAnsi" w:hAnsiTheme="minorHAnsi" w:cstheme="minorHAnsi"/>
                <w:color w:val="000000" w:themeColor="text1"/>
              </w:rPr>
              <w:t>Males</w:t>
            </w:r>
          </w:p>
        </w:tc>
        <w:tc>
          <w:tcPr>
            <w:tcW w:w="3256" w:type="dxa"/>
          </w:tcPr>
          <w:p w14:paraId="6F9A25FC" w14:textId="77777777" w:rsidR="00392601" w:rsidRPr="00F42967" w:rsidRDefault="00392601" w:rsidP="0041177B">
            <w:pPr>
              <w:jc w:val="center"/>
              <w:rPr>
                <w:rFonts w:asciiTheme="minorHAnsi" w:hAnsiTheme="minorHAnsi" w:cstheme="minorHAnsi"/>
                <w:color w:val="000000" w:themeColor="text1"/>
              </w:rPr>
            </w:pPr>
            <w:r w:rsidRPr="00563005">
              <w:rPr>
                <w:rFonts w:asciiTheme="minorHAnsi" w:hAnsiTheme="minorHAnsi" w:cstheme="minorHAnsi"/>
                <w:color w:val="000000" w:themeColor="text1"/>
              </w:rPr>
              <w:t>Females</w:t>
            </w:r>
          </w:p>
        </w:tc>
      </w:tr>
      <w:tr w:rsidR="00392601" w:rsidRPr="0060782B" w14:paraId="4825BB0D" w14:textId="77777777" w:rsidTr="0041177B">
        <w:trPr>
          <w:trHeight w:val="113"/>
        </w:trPr>
        <w:tc>
          <w:tcPr>
            <w:tcW w:w="3256" w:type="dxa"/>
            <w:vAlign w:val="center"/>
          </w:tcPr>
          <w:p w14:paraId="0E8B3400" w14:textId="77777777" w:rsidR="00392601" w:rsidRPr="0060782B" w:rsidRDefault="00392601" w:rsidP="0041177B">
            <w:pPr>
              <w:jc w:val="center"/>
              <w:rPr>
                <w:rFonts w:asciiTheme="minorHAnsi" w:hAnsiTheme="minorHAnsi" w:cstheme="minorHAnsi"/>
                <w:color w:val="000000" w:themeColor="text1"/>
              </w:rPr>
            </w:pPr>
            <w:r w:rsidRPr="00081746">
              <w:rPr>
                <w:rFonts w:cstheme="minorHAnsi"/>
                <w:noProof/>
                <w:color w:val="000000" w:themeColor="text1"/>
              </w:rPr>
              <w:drawing>
                <wp:inline distT="0" distB="0" distL="0" distR="0" wp14:anchorId="459B5D25" wp14:editId="40F6534A">
                  <wp:extent cx="1640827" cy="1436400"/>
                  <wp:effectExtent l="0" t="0" r="0" b="0"/>
                  <wp:docPr id="1860039932" name="Picture 7" descr="A graph of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039932" name="Picture 7" descr="A graph of numbers and a bar&#10;&#10;AI-generated content may be incorrec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40827" cy="1436400"/>
                          </a:xfrm>
                          <a:prstGeom prst="rect">
                            <a:avLst/>
                          </a:prstGeom>
                          <a:noFill/>
                        </pic:spPr>
                      </pic:pic>
                    </a:graphicData>
                  </a:graphic>
                </wp:inline>
              </w:drawing>
            </w:r>
          </w:p>
        </w:tc>
        <w:tc>
          <w:tcPr>
            <w:tcW w:w="3256" w:type="dxa"/>
            <w:vAlign w:val="center"/>
          </w:tcPr>
          <w:p w14:paraId="0D569528" w14:textId="77777777" w:rsidR="00392601" w:rsidRPr="0060782B" w:rsidRDefault="00392601" w:rsidP="0041177B">
            <w:pPr>
              <w:jc w:val="center"/>
              <w:rPr>
                <w:rFonts w:asciiTheme="minorHAnsi" w:hAnsiTheme="minorHAnsi" w:cstheme="minorHAnsi"/>
                <w:color w:val="000000" w:themeColor="text1"/>
              </w:rPr>
            </w:pPr>
            <w:r w:rsidRPr="00081746">
              <w:rPr>
                <w:rFonts w:eastAsia="Times New Roman" w:cs="Times New Roman"/>
                <w:noProof/>
                <w:lang w:eastAsia="en-GB"/>
              </w:rPr>
              <w:drawing>
                <wp:inline distT="0" distB="0" distL="0" distR="0" wp14:anchorId="68721CF3" wp14:editId="44E61879">
                  <wp:extent cx="1640827" cy="1436400"/>
                  <wp:effectExtent l="0" t="0" r="0" b="0"/>
                  <wp:docPr id="1644802053" name="Picture 8"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02053" name="Picture 8" descr="A graph with numbers and a bar chart&#10;&#10;AI-generated content may be incorrec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40827" cy="1436400"/>
                          </a:xfrm>
                          <a:prstGeom prst="rect">
                            <a:avLst/>
                          </a:prstGeom>
                          <a:noFill/>
                        </pic:spPr>
                      </pic:pic>
                    </a:graphicData>
                  </a:graphic>
                </wp:inline>
              </w:drawing>
            </w:r>
          </w:p>
        </w:tc>
        <w:tc>
          <w:tcPr>
            <w:tcW w:w="3256" w:type="dxa"/>
          </w:tcPr>
          <w:p w14:paraId="4DA4D900" w14:textId="77777777" w:rsidR="00392601" w:rsidRPr="00F42967" w:rsidRDefault="00392601" w:rsidP="0041177B">
            <w:pPr>
              <w:jc w:val="center"/>
              <w:rPr>
                <w:rFonts w:asciiTheme="minorHAnsi" w:hAnsiTheme="minorHAnsi" w:cstheme="minorHAnsi"/>
                <w:color w:val="000000" w:themeColor="text1"/>
              </w:rPr>
            </w:pPr>
            <w:r w:rsidRPr="00081746">
              <w:rPr>
                <w:rFonts w:cstheme="minorHAnsi"/>
                <w:noProof/>
                <w:color w:val="000000" w:themeColor="text1"/>
              </w:rPr>
              <w:drawing>
                <wp:inline distT="0" distB="0" distL="0" distR="0" wp14:anchorId="71A07191" wp14:editId="4A45A496">
                  <wp:extent cx="1640827" cy="1436400"/>
                  <wp:effectExtent l="0" t="0" r="0" b="0"/>
                  <wp:docPr id="870195361" name="Picture 9"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195361" name="Picture 9" descr="A graph with numbers and a bar chart&#10;&#10;AI-generated content may be incorrec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40827" cy="1436400"/>
                          </a:xfrm>
                          <a:prstGeom prst="rect">
                            <a:avLst/>
                          </a:prstGeom>
                          <a:noFill/>
                        </pic:spPr>
                      </pic:pic>
                    </a:graphicData>
                  </a:graphic>
                </wp:inline>
              </w:drawing>
            </w:r>
          </w:p>
        </w:tc>
      </w:tr>
    </w:tbl>
    <w:p w14:paraId="6A85CAB2" w14:textId="77777777" w:rsidR="00392601" w:rsidRDefault="00392601" w:rsidP="00392601">
      <w:pPr>
        <w:keepNext/>
        <w:keepLines/>
        <w:spacing w:after="0" w:line="240" w:lineRule="auto"/>
        <w:ind w:left="720"/>
        <w:outlineLvl w:val="2"/>
        <w:rPr>
          <w:rFonts w:eastAsiaTheme="majorEastAsia" w:cstheme="majorBidi"/>
          <w:color w:val="0F4761" w:themeColor="accent1" w:themeShade="BF"/>
          <w:sz w:val="28"/>
          <w:szCs w:val="28"/>
        </w:rPr>
        <w:sectPr w:rsidR="00392601" w:rsidSect="002746C0">
          <w:pgSz w:w="11906" w:h="16838"/>
          <w:pgMar w:top="1440" w:right="1440" w:bottom="1440" w:left="1440" w:header="708" w:footer="708" w:gutter="0"/>
          <w:cols w:space="708"/>
          <w:docGrid w:linePitch="360"/>
        </w:sectPr>
      </w:pPr>
      <w:bookmarkStart w:id="104" w:name="_Toc197557058"/>
    </w:p>
    <w:p w14:paraId="29BDFADD" w14:textId="77777777" w:rsidR="00392601" w:rsidRPr="00C32002" w:rsidRDefault="00392601" w:rsidP="001C767A">
      <w:pPr>
        <w:pStyle w:val="Heading3"/>
      </w:pPr>
      <w:bookmarkStart w:id="105" w:name="_Toc201512452"/>
      <w:r w:rsidRPr="00C32002">
        <w:t>Trends over time</w:t>
      </w:r>
      <w:bookmarkEnd w:id="104"/>
      <w:bookmarkEnd w:id="105"/>
    </w:p>
    <w:p w14:paraId="784DAED9" w14:textId="02BF346A" w:rsidR="00392601" w:rsidRPr="00C32002" w:rsidRDefault="00392601" w:rsidP="00392601">
      <w:pPr>
        <w:spacing w:after="0" w:line="240" w:lineRule="auto"/>
      </w:pPr>
      <w:r w:rsidRPr="00C32002">
        <w:t xml:space="preserve">Figure </w:t>
      </w:r>
      <w:r w:rsidR="001C767A">
        <w:t>6.5</w:t>
      </w:r>
      <w:r w:rsidRPr="00C32002">
        <w:t xml:space="preserve"> </w:t>
      </w:r>
      <w:r>
        <w:t>displays age-standardised mortality</w:t>
      </w:r>
      <w:r w:rsidRPr="00C32002">
        <w:t xml:space="preserve"> </w:t>
      </w:r>
      <w:r>
        <w:t xml:space="preserve">for </w:t>
      </w:r>
      <w:r w:rsidR="001C767A">
        <w:t>pharyngeal cancer</w:t>
      </w:r>
      <w:r w:rsidRPr="00C32002">
        <w:t xml:space="preserve"> </w:t>
      </w:r>
      <w:r>
        <w:t>from</w:t>
      </w:r>
      <w:r w:rsidRPr="00C32002">
        <w:t xml:space="preserve"> 1994 to 2022</w:t>
      </w:r>
      <w:r>
        <w:t xml:space="preserve"> for males and females</w:t>
      </w:r>
      <w:r w:rsidRPr="00C32002">
        <w:t xml:space="preserve">. </w:t>
      </w:r>
      <w:r>
        <w:t>No significant change in trend</w:t>
      </w:r>
      <w:r w:rsidR="001C767A">
        <w:t xml:space="preserve"> </w:t>
      </w:r>
      <w:r>
        <w:t>was observed for males or females during this period</w:t>
      </w:r>
      <w:r w:rsidRPr="00C32002">
        <w:t>.</w:t>
      </w:r>
    </w:p>
    <w:p w14:paraId="5739AE5F" w14:textId="77777777" w:rsidR="00392601" w:rsidRPr="00C32002" w:rsidRDefault="00392601" w:rsidP="00392601">
      <w:pPr>
        <w:spacing w:after="0" w:line="240" w:lineRule="auto"/>
      </w:pPr>
      <w:r w:rsidRPr="00C32002">
        <w:t xml:space="preserve">  </w:t>
      </w:r>
    </w:p>
    <w:tbl>
      <w:tblPr>
        <w:tblStyle w:val="TableGrid"/>
        <w:tblW w:w="950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3"/>
      </w:tblGrid>
      <w:tr w:rsidR="00392601" w:rsidRPr="002161E6" w14:paraId="5D7EE428" w14:textId="77777777" w:rsidTr="001C767A">
        <w:trPr>
          <w:trHeight w:val="113"/>
        </w:trPr>
        <w:tc>
          <w:tcPr>
            <w:tcW w:w="9503" w:type="dxa"/>
            <w:shd w:val="clear" w:color="auto" w:fill="002060"/>
            <w:vAlign w:val="center"/>
            <w:hideMark/>
          </w:tcPr>
          <w:p w14:paraId="5AE34FF2" w14:textId="44851517" w:rsidR="00392601" w:rsidRPr="00F42967" w:rsidRDefault="00392601" w:rsidP="0041177B">
            <w:pPr>
              <w:rPr>
                <w:rFonts w:asciiTheme="minorHAnsi" w:hAnsiTheme="minorHAnsi"/>
                <w:b/>
                <w:bCs/>
              </w:rPr>
            </w:pPr>
            <w:r w:rsidRPr="002161E6">
              <w:rPr>
                <w:rFonts w:asciiTheme="minorHAnsi" w:hAnsiTheme="minorHAnsi"/>
                <w:b/>
                <w:bCs/>
              </w:rPr>
              <w:t xml:space="preserve">Figure </w:t>
            </w:r>
            <w:r w:rsidR="001C767A">
              <w:rPr>
                <w:rFonts w:asciiTheme="minorHAnsi" w:hAnsiTheme="minorHAnsi"/>
                <w:b/>
                <w:bCs/>
              </w:rPr>
              <w:t>6.5:</w:t>
            </w:r>
            <w:r w:rsidRPr="002161E6">
              <w:rPr>
                <w:rFonts w:asciiTheme="minorHAnsi" w:hAnsiTheme="minorHAnsi"/>
                <w:b/>
                <w:bCs/>
              </w:rPr>
              <w:t xml:space="preserve"> Age-</w:t>
            </w:r>
            <w:r w:rsidRPr="002161E6">
              <w:rPr>
                <w:rFonts w:asciiTheme="minorHAnsi" w:hAnsiTheme="minorHAnsi"/>
                <w:b/>
                <w:bCs/>
                <w:bdr w:val="single" w:sz="4" w:space="0" w:color="auto" w:frame="1"/>
              </w:rPr>
              <w:t>standardised mortality rate 1994-</w:t>
            </w:r>
            <w:r w:rsidR="001C767A" w:rsidRPr="002161E6">
              <w:rPr>
                <w:rFonts w:asciiTheme="minorHAnsi" w:hAnsiTheme="minorHAnsi"/>
                <w:b/>
                <w:bCs/>
                <w:bdr w:val="single" w:sz="4" w:space="0" w:color="auto" w:frame="1"/>
              </w:rPr>
              <w:t>2022, pharyn</w:t>
            </w:r>
            <w:r w:rsidR="002C41FA">
              <w:rPr>
                <w:rFonts w:asciiTheme="minorHAnsi" w:hAnsiTheme="minorHAnsi"/>
                <w:b/>
                <w:bCs/>
                <w:bdr w:val="single" w:sz="4" w:space="0" w:color="auto" w:frame="1"/>
              </w:rPr>
              <w:t>geal cancer</w:t>
            </w:r>
          </w:p>
        </w:tc>
      </w:tr>
      <w:tr w:rsidR="00392601" w:rsidRPr="002161E6" w14:paraId="74C11316" w14:textId="77777777" w:rsidTr="001C767A">
        <w:trPr>
          <w:trHeight w:val="113"/>
        </w:trPr>
        <w:tc>
          <w:tcPr>
            <w:tcW w:w="9503" w:type="dxa"/>
            <w:vAlign w:val="center"/>
          </w:tcPr>
          <w:p w14:paraId="6803CC4A" w14:textId="77777777" w:rsidR="00392601" w:rsidRPr="00F42967" w:rsidRDefault="00392601" w:rsidP="0041177B">
            <w:pPr>
              <w:jc w:val="center"/>
              <w:rPr>
                <w:rFonts w:asciiTheme="minorHAnsi" w:hAnsiTheme="minorHAnsi"/>
              </w:rPr>
            </w:pPr>
            <w:r w:rsidRPr="002161E6">
              <w:rPr>
                <w:noProof/>
              </w:rPr>
              <w:drawing>
                <wp:inline distT="0" distB="0" distL="0" distR="0" wp14:anchorId="151BF387" wp14:editId="6C5A33A5">
                  <wp:extent cx="5756292" cy="3016800"/>
                  <wp:effectExtent l="0" t="0" r="0" b="0"/>
                  <wp:docPr id="17317925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92500" name="Picture 9"/>
                          <pic:cNvPicPr>
                            <a:picLocks noChangeAspect="1" noChangeArrowheads="1"/>
                          </pic:cNvPicPr>
                        </pic:nvPicPr>
                        <pic:blipFill>
                          <a:blip r:embed="rId62">
                            <a:extLst>
                              <a:ext uri="{96DAC541-7B7A-43D3-8B79-37D633B846F1}">
                                <asvg:svgBlip xmlns:asvg="http://schemas.microsoft.com/office/drawing/2016/SVG/main" r:embed="rId63"/>
                              </a:ext>
                            </a:extLst>
                          </a:blip>
                          <a:stretch>
                            <a:fillRect/>
                          </a:stretch>
                        </pic:blipFill>
                        <pic:spPr bwMode="auto">
                          <a:xfrm>
                            <a:off x="0" y="0"/>
                            <a:ext cx="5756292" cy="3016800"/>
                          </a:xfrm>
                          <a:prstGeom prst="rect">
                            <a:avLst/>
                          </a:prstGeom>
                        </pic:spPr>
                      </pic:pic>
                    </a:graphicData>
                  </a:graphic>
                </wp:inline>
              </w:drawing>
            </w:r>
          </w:p>
        </w:tc>
      </w:tr>
      <w:tr w:rsidR="00392601" w:rsidRPr="002161E6" w14:paraId="0371C390" w14:textId="77777777" w:rsidTr="001C767A">
        <w:trPr>
          <w:trHeight w:val="533"/>
        </w:trPr>
        <w:tc>
          <w:tcPr>
            <w:tcW w:w="9503" w:type="dxa"/>
            <w:vAlign w:val="center"/>
          </w:tcPr>
          <w:tbl>
            <w:tblPr>
              <w:tblpPr w:leftFromText="180" w:rightFromText="180" w:bottomFromText="160" w:vertAnchor="page" w:horzAnchor="page" w:tblpX="961" w:tblpY="1"/>
              <w:tblOverlap w:val="never"/>
              <w:tblW w:w="0" w:type="auto"/>
              <w:tblLook w:val="04A0" w:firstRow="1" w:lastRow="0" w:firstColumn="1" w:lastColumn="0" w:noHBand="0" w:noVBand="1"/>
            </w:tblPr>
            <w:tblGrid>
              <w:gridCol w:w="530"/>
              <w:gridCol w:w="1180"/>
              <w:gridCol w:w="771"/>
              <w:gridCol w:w="924"/>
              <w:gridCol w:w="706"/>
              <w:gridCol w:w="530"/>
              <w:gridCol w:w="1180"/>
              <w:gridCol w:w="771"/>
              <w:gridCol w:w="909"/>
              <w:gridCol w:w="706"/>
            </w:tblGrid>
            <w:tr w:rsidR="00392601" w:rsidRPr="002161E6" w14:paraId="2A96E189" w14:textId="77777777" w:rsidTr="0041177B">
              <w:trPr>
                <w:trHeight w:val="113"/>
              </w:trPr>
              <w:tc>
                <w:tcPr>
                  <w:tcW w:w="0" w:type="auto"/>
                  <w:noWrap/>
                  <w:tcMar>
                    <w:top w:w="15" w:type="dxa"/>
                    <w:left w:w="108" w:type="dxa"/>
                    <w:bottom w:w="15" w:type="dxa"/>
                    <w:right w:w="108" w:type="dxa"/>
                  </w:tcMar>
                  <w:vAlign w:val="center"/>
                  <w:hideMark/>
                </w:tcPr>
                <w:p w14:paraId="2E063BE3" w14:textId="77777777" w:rsidR="00392601" w:rsidRPr="002F206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2F206F">
                    <w:rPr>
                      <w:rFonts w:eastAsia="Times New Roman" w:cs="Calibri"/>
                      <w:b/>
                      <w:bCs/>
                      <w:color w:val="000000"/>
                      <w:kern w:val="0"/>
                      <w:sz w:val="20"/>
                      <w:szCs w:val="20"/>
                      <w:u w:val="single"/>
                      <w:lang w:eastAsia="en-GB"/>
                      <w14:ligatures w14:val="none"/>
                    </w:rPr>
                    <w:t>sex</w:t>
                  </w:r>
                </w:p>
              </w:tc>
              <w:tc>
                <w:tcPr>
                  <w:tcW w:w="0" w:type="auto"/>
                  <w:noWrap/>
                  <w:tcMar>
                    <w:top w:w="15" w:type="dxa"/>
                    <w:left w:w="108" w:type="dxa"/>
                    <w:bottom w:w="15" w:type="dxa"/>
                    <w:right w:w="108" w:type="dxa"/>
                  </w:tcMar>
                  <w:vAlign w:val="center"/>
                  <w:hideMark/>
                </w:tcPr>
                <w:p w14:paraId="403447E9" w14:textId="77777777" w:rsidR="00392601" w:rsidRPr="002F206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2F206F">
                    <w:rPr>
                      <w:rFonts w:eastAsia="Times New Roman" w:cs="Calibri"/>
                      <w:b/>
                      <w:bCs/>
                      <w:color w:val="000000"/>
                      <w:kern w:val="0"/>
                      <w:sz w:val="20"/>
                      <w:szCs w:val="20"/>
                      <w:u w:val="single"/>
                      <w:lang w:eastAsia="en-GB"/>
                      <w14:ligatures w14:val="none"/>
                    </w:rPr>
                    <w:t>period</w:t>
                  </w:r>
                </w:p>
              </w:tc>
              <w:tc>
                <w:tcPr>
                  <w:tcW w:w="0" w:type="auto"/>
                  <w:noWrap/>
                  <w:tcMar>
                    <w:top w:w="15" w:type="dxa"/>
                    <w:left w:w="108" w:type="dxa"/>
                    <w:bottom w:w="15" w:type="dxa"/>
                    <w:right w:w="108" w:type="dxa"/>
                  </w:tcMar>
                  <w:vAlign w:val="center"/>
                  <w:hideMark/>
                </w:tcPr>
                <w:p w14:paraId="30B78452" w14:textId="77777777" w:rsidR="00392601" w:rsidRPr="002F206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2F206F">
                    <w:rPr>
                      <w:rFonts w:eastAsia="Times New Roman" w:cs="Calibri"/>
                      <w:b/>
                      <w:bCs/>
                      <w:color w:val="000000"/>
                      <w:kern w:val="0"/>
                      <w:sz w:val="20"/>
                      <w:szCs w:val="20"/>
                      <w:u w:val="single"/>
                      <w:lang w:eastAsia="en-GB"/>
                      <w14:ligatures w14:val="none"/>
                    </w:rPr>
                    <w:t>APC%</w:t>
                  </w:r>
                </w:p>
              </w:tc>
              <w:tc>
                <w:tcPr>
                  <w:tcW w:w="0" w:type="auto"/>
                  <w:noWrap/>
                  <w:tcMar>
                    <w:top w:w="15" w:type="dxa"/>
                    <w:left w:w="108" w:type="dxa"/>
                    <w:bottom w:w="15" w:type="dxa"/>
                    <w:right w:w="108" w:type="dxa"/>
                  </w:tcMar>
                  <w:vAlign w:val="center"/>
                  <w:hideMark/>
                </w:tcPr>
                <w:p w14:paraId="0B5C0CFE" w14:textId="77777777" w:rsidR="00392601" w:rsidRPr="002F206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2F206F">
                    <w:rPr>
                      <w:rFonts w:eastAsia="Times New Roman" w:cs="Calibri"/>
                      <w:b/>
                      <w:bCs/>
                      <w:color w:val="000000"/>
                      <w:kern w:val="0"/>
                      <w:sz w:val="20"/>
                      <w:szCs w:val="20"/>
                      <w:u w:val="single"/>
                      <w:lang w:eastAsia="en-GB"/>
                      <w14:ligatures w14:val="none"/>
                    </w:rPr>
                    <w:t>95%CI</w:t>
                  </w:r>
                </w:p>
              </w:tc>
              <w:tc>
                <w:tcPr>
                  <w:tcW w:w="0" w:type="auto"/>
                  <w:noWrap/>
                  <w:tcMar>
                    <w:top w:w="15" w:type="dxa"/>
                    <w:left w:w="108" w:type="dxa"/>
                    <w:bottom w:w="15" w:type="dxa"/>
                    <w:right w:w="108" w:type="dxa"/>
                  </w:tcMar>
                  <w:vAlign w:val="center"/>
                  <w:hideMark/>
                </w:tcPr>
                <w:p w14:paraId="656B1F86" w14:textId="77777777" w:rsidR="00392601" w:rsidRPr="002F206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2F206F">
                    <w:rPr>
                      <w:rFonts w:eastAsia="Times New Roman" w:cs="Calibri"/>
                      <w:b/>
                      <w:bCs/>
                      <w:color w:val="000000"/>
                      <w:kern w:val="0"/>
                      <w:sz w:val="20"/>
                      <w:szCs w:val="20"/>
                      <w:u w:val="single"/>
                      <w:lang w:eastAsia="en-GB"/>
                      <w14:ligatures w14:val="none"/>
                    </w:rPr>
                    <w:t>trend</w:t>
                  </w:r>
                </w:p>
              </w:tc>
              <w:tc>
                <w:tcPr>
                  <w:tcW w:w="0" w:type="auto"/>
                  <w:vAlign w:val="center"/>
                </w:tcPr>
                <w:p w14:paraId="59A53ACF" w14:textId="77777777" w:rsidR="00392601" w:rsidRPr="002F206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2F206F">
                    <w:rPr>
                      <w:rFonts w:eastAsia="Times New Roman" w:cs="Calibri"/>
                      <w:b/>
                      <w:bCs/>
                      <w:color w:val="000000"/>
                      <w:kern w:val="0"/>
                      <w:sz w:val="20"/>
                      <w:szCs w:val="20"/>
                      <w:u w:val="single"/>
                      <w:lang w:eastAsia="en-GB"/>
                      <w14:ligatures w14:val="none"/>
                    </w:rPr>
                    <w:t>sex</w:t>
                  </w:r>
                </w:p>
              </w:tc>
              <w:tc>
                <w:tcPr>
                  <w:tcW w:w="0" w:type="auto"/>
                  <w:vAlign w:val="center"/>
                </w:tcPr>
                <w:p w14:paraId="32CDFCF4" w14:textId="77777777" w:rsidR="00392601" w:rsidRPr="002F206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2F206F">
                    <w:rPr>
                      <w:rFonts w:eastAsia="Times New Roman" w:cs="Calibri"/>
                      <w:b/>
                      <w:bCs/>
                      <w:color w:val="000000"/>
                      <w:kern w:val="0"/>
                      <w:sz w:val="20"/>
                      <w:szCs w:val="20"/>
                      <w:u w:val="single"/>
                      <w:lang w:eastAsia="en-GB"/>
                      <w14:ligatures w14:val="none"/>
                    </w:rPr>
                    <w:t>period</w:t>
                  </w:r>
                </w:p>
              </w:tc>
              <w:tc>
                <w:tcPr>
                  <w:tcW w:w="0" w:type="auto"/>
                  <w:vAlign w:val="center"/>
                </w:tcPr>
                <w:p w14:paraId="236DE9BE" w14:textId="77777777" w:rsidR="00392601" w:rsidRPr="002F206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2F206F">
                    <w:rPr>
                      <w:rFonts w:eastAsia="Times New Roman" w:cs="Calibri"/>
                      <w:b/>
                      <w:bCs/>
                      <w:color w:val="000000"/>
                      <w:kern w:val="0"/>
                      <w:sz w:val="20"/>
                      <w:szCs w:val="20"/>
                      <w:u w:val="single"/>
                      <w:lang w:eastAsia="en-GB"/>
                      <w14:ligatures w14:val="none"/>
                    </w:rPr>
                    <w:t>APC%</w:t>
                  </w:r>
                </w:p>
              </w:tc>
              <w:tc>
                <w:tcPr>
                  <w:tcW w:w="0" w:type="auto"/>
                  <w:vAlign w:val="center"/>
                </w:tcPr>
                <w:p w14:paraId="4AACF457" w14:textId="77777777" w:rsidR="00392601" w:rsidRPr="002F206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2F206F">
                    <w:rPr>
                      <w:rFonts w:eastAsia="Times New Roman" w:cs="Calibri"/>
                      <w:b/>
                      <w:bCs/>
                      <w:color w:val="000000"/>
                      <w:kern w:val="0"/>
                      <w:sz w:val="20"/>
                      <w:szCs w:val="20"/>
                      <w:u w:val="single"/>
                      <w:lang w:eastAsia="en-GB"/>
                      <w14:ligatures w14:val="none"/>
                    </w:rPr>
                    <w:t>95%CI</w:t>
                  </w:r>
                </w:p>
              </w:tc>
              <w:tc>
                <w:tcPr>
                  <w:tcW w:w="0" w:type="auto"/>
                  <w:vAlign w:val="center"/>
                </w:tcPr>
                <w:p w14:paraId="68269108" w14:textId="77777777" w:rsidR="00392601" w:rsidRPr="002F206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2F206F">
                    <w:rPr>
                      <w:rFonts w:eastAsia="Times New Roman" w:cs="Calibri"/>
                      <w:b/>
                      <w:bCs/>
                      <w:color w:val="000000"/>
                      <w:kern w:val="0"/>
                      <w:sz w:val="20"/>
                      <w:szCs w:val="20"/>
                      <w:u w:val="single"/>
                      <w:lang w:eastAsia="en-GB"/>
                      <w14:ligatures w14:val="none"/>
                    </w:rPr>
                    <w:t>trend</w:t>
                  </w:r>
                </w:p>
              </w:tc>
            </w:tr>
            <w:tr w:rsidR="00392601" w:rsidRPr="002161E6" w14:paraId="4BD3546D" w14:textId="77777777" w:rsidTr="0041177B">
              <w:trPr>
                <w:trHeight w:val="113"/>
              </w:trPr>
              <w:tc>
                <w:tcPr>
                  <w:tcW w:w="0" w:type="auto"/>
                  <w:noWrap/>
                  <w:tcMar>
                    <w:top w:w="15" w:type="dxa"/>
                    <w:left w:w="108" w:type="dxa"/>
                    <w:bottom w:w="15" w:type="dxa"/>
                    <w:right w:w="108" w:type="dxa"/>
                  </w:tcMar>
                  <w:hideMark/>
                </w:tcPr>
                <w:p w14:paraId="79570162" w14:textId="77777777" w:rsidR="00392601" w:rsidRPr="002F206F" w:rsidRDefault="00392601" w:rsidP="0041177B">
                  <w:pPr>
                    <w:spacing w:after="0" w:line="240" w:lineRule="auto"/>
                    <w:jc w:val="center"/>
                    <w:rPr>
                      <w:rFonts w:eastAsia="Times New Roman" w:cs="Calibri"/>
                      <w:color w:val="000000"/>
                      <w:kern w:val="0"/>
                      <w:sz w:val="20"/>
                      <w:szCs w:val="20"/>
                      <w:lang w:eastAsia="en-GB"/>
                      <w14:ligatures w14:val="none"/>
                    </w:rPr>
                  </w:pPr>
                  <w:r w:rsidRPr="002F206F">
                    <w:rPr>
                      <w:rFonts w:cs="Calibri"/>
                      <w:sz w:val="20"/>
                      <w:szCs w:val="20"/>
                    </w:rPr>
                    <w:t>M </w:t>
                  </w:r>
                </w:p>
              </w:tc>
              <w:tc>
                <w:tcPr>
                  <w:tcW w:w="0" w:type="auto"/>
                  <w:noWrap/>
                  <w:tcMar>
                    <w:top w:w="15" w:type="dxa"/>
                    <w:left w:w="108" w:type="dxa"/>
                    <w:bottom w:w="15" w:type="dxa"/>
                    <w:right w:w="108" w:type="dxa"/>
                  </w:tcMar>
                  <w:hideMark/>
                </w:tcPr>
                <w:p w14:paraId="19DD0AC9" w14:textId="77777777" w:rsidR="00392601" w:rsidRPr="002F206F" w:rsidRDefault="00392601" w:rsidP="0041177B">
                  <w:pPr>
                    <w:spacing w:after="0" w:line="240" w:lineRule="auto"/>
                    <w:jc w:val="center"/>
                    <w:rPr>
                      <w:rFonts w:eastAsia="Times New Roman" w:cs="Calibri"/>
                      <w:color w:val="000000"/>
                      <w:kern w:val="0"/>
                      <w:sz w:val="20"/>
                      <w:szCs w:val="20"/>
                      <w:lang w:eastAsia="en-GB"/>
                      <w14:ligatures w14:val="none"/>
                    </w:rPr>
                  </w:pPr>
                  <w:r w:rsidRPr="002F206F">
                    <w:rPr>
                      <w:rFonts w:cs="Calibri"/>
                      <w:sz w:val="20"/>
                      <w:szCs w:val="20"/>
                    </w:rPr>
                    <w:t>1994-2022 </w:t>
                  </w:r>
                </w:p>
              </w:tc>
              <w:tc>
                <w:tcPr>
                  <w:tcW w:w="0" w:type="auto"/>
                  <w:noWrap/>
                  <w:tcMar>
                    <w:top w:w="15" w:type="dxa"/>
                    <w:left w:w="108" w:type="dxa"/>
                    <w:bottom w:w="15" w:type="dxa"/>
                    <w:right w:w="108" w:type="dxa"/>
                  </w:tcMar>
                  <w:hideMark/>
                </w:tcPr>
                <w:p w14:paraId="4FF37000" w14:textId="77777777" w:rsidR="00392601" w:rsidRPr="002F206F" w:rsidRDefault="00392601" w:rsidP="0041177B">
                  <w:pPr>
                    <w:spacing w:after="0" w:line="240" w:lineRule="auto"/>
                    <w:jc w:val="center"/>
                    <w:rPr>
                      <w:rFonts w:eastAsia="Times New Roman" w:cs="Calibri"/>
                      <w:color w:val="000000"/>
                      <w:kern w:val="0"/>
                      <w:sz w:val="20"/>
                      <w:szCs w:val="20"/>
                      <w:lang w:eastAsia="en-GB"/>
                      <w14:ligatures w14:val="none"/>
                    </w:rPr>
                  </w:pPr>
                  <w:r w:rsidRPr="002F206F">
                    <w:rPr>
                      <w:rFonts w:cs="Calibri"/>
                      <w:sz w:val="20"/>
                      <w:szCs w:val="20"/>
                    </w:rPr>
                    <w:t>0.4</w:t>
                  </w:r>
                </w:p>
              </w:tc>
              <w:tc>
                <w:tcPr>
                  <w:tcW w:w="0" w:type="auto"/>
                  <w:noWrap/>
                  <w:tcMar>
                    <w:top w:w="15" w:type="dxa"/>
                    <w:left w:w="108" w:type="dxa"/>
                    <w:bottom w:w="15" w:type="dxa"/>
                    <w:right w:w="108" w:type="dxa"/>
                  </w:tcMar>
                  <w:hideMark/>
                </w:tcPr>
                <w:p w14:paraId="491C8591" w14:textId="77777777" w:rsidR="00392601" w:rsidRPr="002F206F" w:rsidRDefault="00392601" w:rsidP="0041177B">
                  <w:pPr>
                    <w:spacing w:after="0" w:line="240" w:lineRule="auto"/>
                    <w:jc w:val="center"/>
                    <w:rPr>
                      <w:rFonts w:eastAsia="Times New Roman" w:cs="Calibri"/>
                      <w:color w:val="000000"/>
                      <w:kern w:val="0"/>
                      <w:sz w:val="20"/>
                      <w:szCs w:val="20"/>
                      <w:lang w:eastAsia="en-GB"/>
                      <w14:ligatures w14:val="none"/>
                    </w:rPr>
                  </w:pPr>
                  <w:r w:rsidRPr="002F206F">
                    <w:rPr>
                      <w:rFonts w:cs="Calibri"/>
                      <w:sz w:val="20"/>
                      <w:szCs w:val="20"/>
                    </w:rPr>
                    <w:t>-0.2, 0.9</w:t>
                  </w:r>
                </w:p>
              </w:tc>
              <w:tc>
                <w:tcPr>
                  <w:tcW w:w="0" w:type="auto"/>
                  <w:noWrap/>
                  <w:tcMar>
                    <w:top w:w="15" w:type="dxa"/>
                    <w:left w:w="108" w:type="dxa"/>
                    <w:bottom w:w="15" w:type="dxa"/>
                    <w:right w:w="108" w:type="dxa"/>
                  </w:tcMar>
                  <w:hideMark/>
                </w:tcPr>
                <w:p w14:paraId="663CF626" w14:textId="77777777" w:rsidR="00392601" w:rsidRPr="002F206F" w:rsidRDefault="00392601" w:rsidP="0041177B">
                  <w:pPr>
                    <w:spacing w:after="0" w:line="240" w:lineRule="auto"/>
                    <w:jc w:val="center"/>
                    <w:rPr>
                      <w:rFonts w:eastAsia="Times New Roman" w:cs="Calibri"/>
                      <w:color w:val="000000"/>
                      <w:kern w:val="0"/>
                      <w:sz w:val="20"/>
                      <w:szCs w:val="20"/>
                      <w:lang w:eastAsia="en-GB"/>
                      <w14:ligatures w14:val="none"/>
                    </w:rPr>
                  </w:pPr>
                  <w:r w:rsidRPr="002F206F">
                    <w:rPr>
                      <w:rFonts w:cs="Calibri"/>
                      <w:sz w:val="20"/>
                      <w:szCs w:val="20"/>
                    </w:rPr>
                    <w:t>flat</w:t>
                  </w:r>
                </w:p>
              </w:tc>
              <w:tc>
                <w:tcPr>
                  <w:tcW w:w="0" w:type="auto"/>
                </w:tcPr>
                <w:p w14:paraId="4BBBEDEA" w14:textId="77777777" w:rsidR="00392601" w:rsidRPr="002F206F" w:rsidRDefault="00392601" w:rsidP="0041177B">
                  <w:pPr>
                    <w:spacing w:after="0" w:line="240" w:lineRule="auto"/>
                    <w:jc w:val="center"/>
                    <w:rPr>
                      <w:rFonts w:cs="Calibri"/>
                      <w:sz w:val="20"/>
                      <w:szCs w:val="20"/>
                    </w:rPr>
                  </w:pPr>
                  <w:r w:rsidRPr="002F206F">
                    <w:rPr>
                      <w:rFonts w:cs="Calibri"/>
                      <w:sz w:val="20"/>
                      <w:szCs w:val="20"/>
                    </w:rPr>
                    <w:t>F </w:t>
                  </w:r>
                </w:p>
              </w:tc>
              <w:tc>
                <w:tcPr>
                  <w:tcW w:w="0" w:type="auto"/>
                </w:tcPr>
                <w:p w14:paraId="03A3093F" w14:textId="77777777" w:rsidR="00392601" w:rsidRPr="002F206F" w:rsidRDefault="00392601" w:rsidP="0041177B">
                  <w:pPr>
                    <w:spacing w:after="0" w:line="240" w:lineRule="auto"/>
                    <w:jc w:val="center"/>
                    <w:rPr>
                      <w:rFonts w:cs="Calibri"/>
                      <w:sz w:val="20"/>
                      <w:szCs w:val="20"/>
                    </w:rPr>
                  </w:pPr>
                  <w:r w:rsidRPr="002F206F">
                    <w:rPr>
                      <w:rFonts w:cs="Calibri"/>
                      <w:sz w:val="20"/>
                      <w:szCs w:val="20"/>
                    </w:rPr>
                    <w:t>1994-2022 </w:t>
                  </w:r>
                </w:p>
              </w:tc>
              <w:tc>
                <w:tcPr>
                  <w:tcW w:w="0" w:type="auto"/>
                </w:tcPr>
                <w:p w14:paraId="20A66432" w14:textId="77777777" w:rsidR="00392601" w:rsidRPr="002F206F" w:rsidRDefault="00392601" w:rsidP="0041177B">
                  <w:pPr>
                    <w:spacing w:after="0" w:line="240" w:lineRule="auto"/>
                    <w:jc w:val="center"/>
                    <w:rPr>
                      <w:rFonts w:cs="Calibri"/>
                      <w:sz w:val="20"/>
                      <w:szCs w:val="20"/>
                    </w:rPr>
                  </w:pPr>
                  <w:r w:rsidRPr="002F206F">
                    <w:rPr>
                      <w:rFonts w:cs="Calibri"/>
                      <w:sz w:val="20"/>
                      <w:szCs w:val="20"/>
                    </w:rPr>
                    <w:t>-0.4</w:t>
                  </w:r>
                </w:p>
              </w:tc>
              <w:tc>
                <w:tcPr>
                  <w:tcW w:w="0" w:type="auto"/>
                </w:tcPr>
                <w:p w14:paraId="2A5E8F62" w14:textId="77777777" w:rsidR="00392601" w:rsidRPr="002F206F" w:rsidRDefault="00392601" w:rsidP="0041177B">
                  <w:pPr>
                    <w:spacing w:after="0" w:line="240" w:lineRule="auto"/>
                    <w:jc w:val="center"/>
                    <w:rPr>
                      <w:rFonts w:cs="Calibri"/>
                      <w:sz w:val="20"/>
                      <w:szCs w:val="20"/>
                    </w:rPr>
                  </w:pPr>
                  <w:r w:rsidRPr="002F206F">
                    <w:rPr>
                      <w:rFonts w:cs="Calibri"/>
                      <w:sz w:val="20"/>
                      <w:szCs w:val="20"/>
                    </w:rPr>
                    <w:t>-1.5, 0.6</w:t>
                  </w:r>
                </w:p>
              </w:tc>
              <w:tc>
                <w:tcPr>
                  <w:tcW w:w="0" w:type="auto"/>
                </w:tcPr>
                <w:p w14:paraId="08AF6571" w14:textId="77777777" w:rsidR="00392601" w:rsidRPr="002F206F" w:rsidRDefault="00392601" w:rsidP="0041177B">
                  <w:pPr>
                    <w:spacing w:after="0" w:line="240" w:lineRule="auto"/>
                    <w:jc w:val="center"/>
                    <w:rPr>
                      <w:rFonts w:cs="Calibri"/>
                      <w:sz w:val="20"/>
                      <w:szCs w:val="20"/>
                    </w:rPr>
                  </w:pPr>
                  <w:r w:rsidRPr="002F206F">
                    <w:rPr>
                      <w:rFonts w:cs="Calibri"/>
                      <w:sz w:val="20"/>
                      <w:szCs w:val="20"/>
                    </w:rPr>
                    <w:t>flat</w:t>
                  </w:r>
                </w:p>
              </w:tc>
            </w:tr>
          </w:tbl>
          <w:p w14:paraId="055AB22B" w14:textId="77777777" w:rsidR="00392601" w:rsidRPr="00F42967" w:rsidRDefault="00392601" w:rsidP="0041177B">
            <w:pPr>
              <w:jc w:val="center"/>
              <w:rPr>
                <w:rFonts w:eastAsia="Times New Roman" w:cs="Calibri"/>
                <w:b/>
                <w:bCs/>
                <w:color w:val="000000"/>
                <w:sz w:val="16"/>
                <w:szCs w:val="16"/>
                <w:u w:val="single"/>
                <w:lang w:eastAsia="en-GB"/>
              </w:rPr>
            </w:pPr>
          </w:p>
        </w:tc>
      </w:tr>
      <w:tr w:rsidR="00392601" w:rsidRPr="002161E6" w14:paraId="32E48FDD" w14:textId="77777777" w:rsidTr="001C767A">
        <w:trPr>
          <w:trHeight w:val="113"/>
        </w:trPr>
        <w:tc>
          <w:tcPr>
            <w:tcW w:w="9503" w:type="dxa"/>
            <w:vAlign w:val="center"/>
          </w:tcPr>
          <w:p w14:paraId="3E6817AC" w14:textId="77777777" w:rsidR="00392601" w:rsidRPr="00F42967" w:rsidRDefault="00392601" w:rsidP="0041177B">
            <w:pPr>
              <w:pBdr>
                <w:bottom w:val="single" w:sz="4" w:space="1" w:color="auto"/>
              </w:pBdr>
              <w:rPr>
                <w:rFonts w:asciiTheme="minorHAnsi" w:hAnsiTheme="minorHAnsi"/>
                <w:bCs/>
                <w:sz w:val="18"/>
                <w:szCs w:val="16"/>
              </w:rPr>
            </w:pPr>
            <w:r w:rsidRPr="002161E6">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3A60E957" w14:textId="77777777" w:rsidR="00392601" w:rsidRPr="00F42967" w:rsidRDefault="00392601" w:rsidP="0041177B">
            <w:pPr>
              <w:rPr>
                <w:rFonts w:asciiTheme="minorHAnsi" w:hAnsiTheme="minorHAnsi"/>
                <w:b/>
                <w:bCs/>
                <w:noProof/>
                <w:sz w:val="14"/>
                <w:szCs w:val="14"/>
                <w:u w:val="single"/>
              </w:rPr>
            </w:pPr>
          </w:p>
        </w:tc>
      </w:tr>
    </w:tbl>
    <w:p w14:paraId="056FE249" w14:textId="77777777" w:rsidR="00392601" w:rsidRPr="00C32002" w:rsidRDefault="00392601" w:rsidP="00392601">
      <w:pPr>
        <w:spacing w:after="0" w:line="240" w:lineRule="auto"/>
      </w:pPr>
    </w:p>
    <w:p w14:paraId="3048CB8F" w14:textId="77777777" w:rsidR="00392601" w:rsidRPr="00C32002" w:rsidRDefault="00392601" w:rsidP="00392601">
      <w:pPr>
        <w:spacing w:after="0" w:line="240" w:lineRule="auto"/>
        <w:sectPr w:rsidR="00392601" w:rsidRPr="00C32002" w:rsidSect="002746C0">
          <w:pgSz w:w="11906" w:h="16838"/>
          <w:pgMar w:top="1440" w:right="1440" w:bottom="1440" w:left="1440" w:header="708" w:footer="708" w:gutter="0"/>
          <w:cols w:space="708"/>
          <w:docGrid w:linePitch="360"/>
        </w:sectPr>
      </w:pPr>
    </w:p>
    <w:p w14:paraId="73B5F9E6" w14:textId="77777777" w:rsidR="00392601" w:rsidRPr="00C32002" w:rsidRDefault="00392601" w:rsidP="001C767A">
      <w:pPr>
        <w:pStyle w:val="Heading2"/>
      </w:pPr>
      <w:bookmarkStart w:id="106" w:name="_Toc197557059"/>
      <w:bookmarkStart w:id="107" w:name="_Toc201512453"/>
      <w:r w:rsidRPr="00C32002">
        <w:t>Survival</w:t>
      </w:r>
      <w:bookmarkEnd w:id="97"/>
      <w:bookmarkEnd w:id="106"/>
      <w:bookmarkEnd w:id="107"/>
      <w:r w:rsidRPr="00C32002">
        <w:t xml:space="preserve"> </w:t>
      </w:r>
    </w:p>
    <w:p w14:paraId="2740DB4D" w14:textId="428B0705" w:rsidR="00392601" w:rsidRDefault="00392601" w:rsidP="00392601">
      <w:pPr>
        <w:spacing w:after="0" w:line="240" w:lineRule="auto"/>
        <w:rPr>
          <w:rFonts w:cstheme="minorHAnsi"/>
        </w:rPr>
      </w:pPr>
      <w:r w:rsidRPr="00C32002">
        <w:rPr>
          <w:rFonts w:cstheme="minorHAnsi"/>
        </w:rPr>
        <w:t>Overall</w:t>
      </w:r>
      <w:r>
        <w:rPr>
          <w:rFonts w:cstheme="minorHAnsi"/>
        </w:rPr>
        <w:t>,</w:t>
      </w:r>
      <w:r w:rsidRPr="00C32002">
        <w:rPr>
          <w:rFonts w:cstheme="minorHAnsi"/>
        </w:rPr>
        <w:t xml:space="preserve"> 5-year net survival was 47% for cases diagnosed during 2019-2022 (Figure </w:t>
      </w:r>
      <w:r w:rsidR="001C767A">
        <w:rPr>
          <w:rFonts w:cstheme="minorHAnsi"/>
        </w:rPr>
        <w:t>6.6</w:t>
      </w:r>
      <w:r w:rsidRPr="00C32002">
        <w:rPr>
          <w:rFonts w:cstheme="minorHAnsi"/>
        </w:rPr>
        <w:t xml:space="preserve">). </w:t>
      </w:r>
      <w:r>
        <w:rPr>
          <w:rFonts w:cstheme="minorHAnsi"/>
        </w:rPr>
        <w:t>Five</w:t>
      </w:r>
      <w:r w:rsidRPr="00C32002">
        <w:rPr>
          <w:rFonts w:cstheme="minorHAnsi"/>
        </w:rPr>
        <w:t xml:space="preserve">-year net survival for 2019-2022 was similar for females (47%) and for males (48%). </w:t>
      </w:r>
    </w:p>
    <w:p w14:paraId="7E29DE6D" w14:textId="77777777" w:rsidR="00392601" w:rsidRPr="00C32002" w:rsidRDefault="00392601" w:rsidP="00392601">
      <w:pPr>
        <w:spacing w:after="0" w:line="240" w:lineRule="auto"/>
        <w:rPr>
          <w:rFonts w:cstheme="minorHAnsi"/>
        </w:rPr>
      </w:pPr>
    </w:p>
    <w:tbl>
      <w:tblPr>
        <w:tblStyle w:val="TableGrid"/>
        <w:tblW w:w="0" w:type="auto"/>
        <w:tblInd w:w="-567"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3544"/>
        <w:gridCol w:w="3067"/>
      </w:tblGrid>
      <w:tr w:rsidR="00392601" w:rsidRPr="0060782B" w14:paraId="6B674013" w14:textId="77777777" w:rsidTr="001C767A">
        <w:trPr>
          <w:trHeight w:val="113"/>
        </w:trPr>
        <w:tc>
          <w:tcPr>
            <w:tcW w:w="9583" w:type="dxa"/>
            <w:gridSpan w:val="3"/>
            <w:shd w:val="clear" w:color="auto" w:fill="002060"/>
            <w:hideMark/>
          </w:tcPr>
          <w:p w14:paraId="27470A6A" w14:textId="0A004206" w:rsidR="00392601" w:rsidRPr="001C767A" w:rsidRDefault="00392601" w:rsidP="0041177B">
            <w:pPr>
              <w:rPr>
                <w:rFonts w:asciiTheme="minorHAnsi" w:hAnsiTheme="minorHAnsi" w:cstheme="minorHAnsi"/>
                <w:b/>
                <w:bCs/>
              </w:rPr>
            </w:pPr>
            <w:r w:rsidRPr="001C767A">
              <w:rPr>
                <w:rFonts w:asciiTheme="minorHAnsi" w:hAnsiTheme="minorHAnsi" w:cstheme="minorHAnsi"/>
                <w:b/>
                <w:bCs/>
              </w:rPr>
              <w:t xml:space="preserve">Figure </w:t>
            </w:r>
            <w:r w:rsidR="001C767A" w:rsidRPr="001C767A">
              <w:rPr>
                <w:rFonts w:asciiTheme="minorHAnsi" w:hAnsiTheme="minorHAnsi" w:cstheme="minorHAnsi"/>
                <w:b/>
                <w:bCs/>
              </w:rPr>
              <w:t>6.6:</w:t>
            </w:r>
            <w:r w:rsidRPr="001C767A">
              <w:rPr>
                <w:rFonts w:asciiTheme="minorHAnsi" w:hAnsiTheme="minorHAnsi" w:cstheme="minorHAnsi"/>
                <w:b/>
                <w:bCs/>
              </w:rPr>
              <w:t xml:space="preserve"> Age-standardised 5-year net survival (%) for </w:t>
            </w:r>
            <w:r w:rsidR="002C41FA" w:rsidRPr="001C767A">
              <w:rPr>
                <w:rFonts w:asciiTheme="minorHAnsi" w:hAnsiTheme="minorHAnsi" w:cstheme="minorHAnsi"/>
                <w:b/>
                <w:bCs/>
              </w:rPr>
              <w:t>pharyn</w:t>
            </w:r>
            <w:r w:rsidR="002C41FA">
              <w:rPr>
                <w:rFonts w:asciiTheme="minorHAnsi" w:hAnsiTheme="minorHAnsi" w:cstheme="minorHAnsi"/>
                <w:b/>
                <w:bCs/>
              </w:rPr>
              <w:t xml:space="preserve">geal </w:t>
            </w:r>
            <w:r w:rsidRPr="001C767A">
              <w:rPr>
                <w:rFonts w:asciiTheme="minorHAnsi" w:hAnsiTheme="minorHAnsi" w:cstheme="minorHAnsi"/>
                <w:b/>
                <w:bCs/>
              </w:rPr>
              <w:t>cancer over six consecutive diagnosis periods</w:t>
            </w:r>
          </w:p>
        </w:tc>
      </w:tr>
      <w:tr w:rsidR="00392601" w:rsidRPr="00563005" w14:paraId="1D09F6F0" w14:textId="77777777" w:rsidTr="001C767A">
        <w:trPr>
          <w:trHeight w:val="113"/>
        </w:trPr>
        <w:tc>
          <w:tcPr>
            <w:tcW w:w="2972" w:type="dxa"/>
            <w:hideMark/>
          </w:tcPr>
          <w:p w14:paraId="73120240" w14:textId="77777777" w:rsidR="00392601" w:rsidRPr="00563005" w:rsidRDefault="00392601" w:rsidP="0041177B">
            <w:pPr>
              <w:jc w:val="center"/>
              <w:rPr>
                <w:rFonts w:asciiTheme="minorHAnsi" w:hAnsiTheme="minorHAnsi" w:cstheme="minorHAnsi"/>
                <w:color w:val="000000" w:themeColor="text1"/>
              </w:rPr>
            </w:pPr>
            <w:r w:rsidRPr="00563005">
              <w:rPr>
                <w:rFonts w:asciiTheme="minorHAnsi" w:hAnsiTheme="minorHAnsi" w:cstheme="minorHAnsi"/>
                <w:color w:val="000000" w:themeColor="text1"/>
              </w:rPr>
              <w:t>Total</w:t>
            </w:r>
          </w:p>
        </w:tc>
        <w:tc>
          <w:tcPr>
            <w:tcW w:w="3544" w:type="dxa"/>
          </w:tcPr>
          <w:p w14:paraId="14ED3A14" w14:textId="77777777" w:rsidR="00392601" w:rsidRPr="00563005" w:rsidRDefault="00392601" w:rsidP="0041177B">
            <w:pPr>
              <w:jc w:val="center"/>
              <w:rPr>
                <w:rFonts w:asciiTheme="minorHAnsi" w:hAnsiTheme="minorHAnsi" w:cstheme="minorHAnsi"/>
                <w:color w:val="000000" w:themeColor="text1"/>
              </w:rPr>
            </w:pPr>
            <w:r w:rsidRPr="00563005">
              <w:rPr>
                <w:rFonts w:asciiTheme="minorHAnsi" w:hAnsiTheme="minorHAnsi" w:cstheme="minorHAnsi"/>
                <w:color w:val="000000" w:themeColor="text1"/>
              </w:rPr>
              <w:t>Males</w:t>
            </w:r>
          </w:p>
        </w:tc>
        <w:tc>
          <w:tcPr>
            <w:tcW w:w="3067" w:type="dxa"/>
          </w:tcPr>
          <w:p w14:paraId="6BD9C93C" w14:textId="77777777" w:rsidR="00392601" w:rsidRPr="00F42967" w:rsidRDefault="00392601" w:rsidP="0041177B">
            <w:pPr>
              <w:jc w:val="center"/>
              <w:rPr>
                <w:rFonts w:asciiTheme="minorHAnsi" w:hAnsiTheme="minorHAnsi" w:cstheme="minorHAnsi"/>
                <w:color w:val="000000" w:themeColor="text1"/>
              </w:rPr>
            </w:pPr>
            <w:r w:rsidRPr="00563005">
              <w:rPr>
                <w:rFonts w:asciiTheme="minorHAnsi" w:hAnsiTheme="minorHAnsi" w:cstheme="minorHAnsi"/>
                <w:color w:val="000000" w:themeColor="text1"/>
              </w:rPr>
              <w:t>Females</w:t>
            </w:r>
          </w:p>
        </w:tc>
      </w:tr>
      <w:tr w:rsidR="00392601" w:rsidRPr="0060782B" w14:paraId="1826EFB3" w14:textId="77777777" w:rsidTr="001C767A">
        <w:trPr>
          <w:trHeight w:val="113"/>
        </w:trPr>
        <w:tc>
          <w:tcPr>
            <w:tcW w:w="2972" w:type="dxa"/>
            <w:vAlign w:val="center"/>
          </w:tcPr>
          <w:p w14:paraId="22531DA5" w14:textId="77777777" w:rsidR="00392601" w:rsidRPr="0060782B" w:rsidRDefault="00392601" w:rsidP="0041177B">
            <w:pPr>
              <w:rPr>
                <w:rFonts w:asciiTheme="minorHAnsi" w:hAnsiTheme="minorHAnsi" w:cstheme="minorHAnsi"/>
                <w:color w:val="000000" w:themeColor="text1"/>
              </w:rPr>
            </w:pPr>
            <w:r w:rsidRPr="00081746">
              <w:rPr>
                <w:rFonts w:cstheme="minorHAnsi"/>
                <w:noProof/>
                <w:color w:val="000000" w:themeColor="text1"/>
              </w:rPr>
              <w:drawing>
                <wp:inline distT="0" distB="0" distL="0" distR="0" wp14:anchorId="5B7C2438" wp14:editId="6CC7E508">
                  <wp:extent cx="1800000" cy="1260000"/>
                  <wp:effectExtent l="0" t="0" r="0" b="0"/>
                  <wp:docPr id="1411350668" name="Picture 10" descr="A graph with numbers and a numb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1350668" name="Picture 10" descr="A graph with numbers and a number&#10;&#10;AI-generated content may be incorrec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00000" cy="1260000"/>
                          </a:xfrm>
                          <a:prstGeom prst="rect">
                            <a:avLst/>
                          </a:prstGeom>
                          <a:noFill/>
                        </pic:spPr>
                      </pic:pic>
                    </a:graphicData>
                  </a:graphic>
                </wp:inline>
              </w:drawing>
            </w:r>
          </w:p>
        </w:tc>
        <w:tc>
          <w:tcPr>
            <w:tcW w:w="3544" w:type="dxa"/>
            <w:vAlign w:val="center"/>
          </w:tcPr>
          <w:p w14:paraId="69A50F37" w14:textId="77777777" w:rsidR="00392601" w:rsidRPr="0060782B" w:rsidRDefault="00392601" w:rsidP="0041177B">
            <w:pPr>
              <w:jc w:val="center"/>
              <w:rPr>
                <w:rFonts w:asciiTheme="minorHAnsi" w:hAnsiTheme="minorHAnsi" w:cstheme="minorHAnsi"/>
                <w:color w:val="000000" w:themeColor="text1"/>
              </w:rPr>
            </w:pPr>
            <w:r w:rsidRPr="00081746">
              <w:rPr>
                <w:rFonts w:eastAsia="Times New Roman" w:cs="Times New Roman"/>
                <w:noProof/>
                <w:lang w:eastAsia="en-GB"/>
              </w:rPr>
              <w:drawing>
                <wp:inline distT="0" distB="0" distL="0" distR="0" wp14:anchorId="73EE39FF" wp14:editId="4BAA5C3E">
                  <wp:extent cx="1800000" cy="1260000"/>
                  <wp:effectExtent l="0" t="0" r="0" b="0"/>
                  <wp:docPr id="909045546" name="Picture 11" descr="A graph with numbers and a number of object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9045546" name="Picture 11" descr="A graph with numbers and a number of objects&#10;&#10;AI-generated content may be incorrec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00000" cy="1260000"/>
                          </a:xfrm>
                          <a:prstGeom prst="rect">
                            <a:avLst/>
                          </a:prstGeom>
                          <a:noFill/>
                        </pic:spPr>
                      </pic:pic>
                    </a:graphicData>
                  </a:graphic>
                </wp:inline>
              </w:drawing>
            </w:r>
          </w:p>
        </w:tc>
        <w:tc>
          <w:tcPr>
            <w:tcW w:w="3067" w:type="dxa"/>
          </w:tcPr>
          <w:p w14:paraId="7C45ADBC" w14:textId="77777777" w:rsidR="00392601" w:rsidRPr="00F42967" w:rsidRDefault="00392601" w:rsidP="0041177B">
            <w:pPr>
              <w:jc w:val="center"/>
              <w:rPr>
                <w:rFonts w:asciiTheme="minorHAnsi" w:hAnsiTheme="minorHAnsi" w:cstheme="minorHAnsi"/>
                <w:color w:val="000000" w:themeColor="text1"/>
              </w:rPr>
            </w:pPr>
            <w:r w:rsidRPr="00081746">
              <w:rPr>
                <w:rFonts w:cstheme="minorHAnsi"/>
                <w:noProof/>
                <w:color w:val="000000" w:themeColor="text1"/>
              </w:rPr>
              <w:drawing>
                <wp:inline distT="0" distB="0" distL="0" distR="0" wp14:anchorId="02E2F4C1" wp14:editId="61A18592">
                  <wp:extent cx="1800000" cy="1260000"/>
                  <wp:effectExtent l="0" t="0" r="0" b="0"/>
                  <wp:docPr id="1183640441" name="Picture 12" descr="A graph with numbers and a number of object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3640441" name="Picture 12" descr="A graph with numbers and a number of objects&#10;&#10;AI-generated content may b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00000" cy="1260000"/>
                          </a:xfrm>
                          <a:prstGeom prst="rect">
                            <a:avLst/>
                          </a:prstGeom>
                          <a:noFill/>
                        </pic:spPr>
                      </pic:pic>
                    </a:graphicData>
                  </a:graphic>
                </wp:inline>
              </w:drawing>
            </w:r>
          </w:p>
        </w:tc>
      </w:tr>
    </w:tbl>
    <w:p w14:paraId="5BFD0031" w14:textId="77777777" w:rsidR="00392601" w:rsidRPr="00C32002" w:rsidRDefault="00392601" w:rsidP="001C767A">
      <w:pPr>
        <w:pStyle w:val="Heading2"/>
      </w:pPr>
      <w:bookmarkStart w:id="108" w:name="_Toc196914563"/>
      <w:bookmarkStart w:id="109" w:name="_Toc197557060"/>
      <w:bookmarkStart w:id="110" w:name="_Toc201512454"/>
      <w:r w:rsidRPr="00C32002">
        <w:t>Population Attributable Fraction</w:t>
      </w:r>
      <w:bookmarkEnd w:id="108"/>
      <w:bookmarkEnd w:id="109"/>
      <w:bookmarkEnd w:id="110"/>
    </w:p>
    <w:p w14:paraId="13FD2C19" w14:textId="3291BB8F" w:rsidR="00392601" w:rsidRDefault="00392601" w:rsidP="00392601">
      <w:pPr>
        <w:spacing w:after="0" w:line="240" w:lineRule="auto"/>
        <w:rPr>
          <w:rFonts w:ascii="Aptos" w:hAnsi="Aptos"/>
          <w:color w:val="000000"/>
          <w:shd w:val="clear" w:color="auto" w:fill="FFFFFF"/>
        </w:rPr>
      </w:pPr>
      <w:r w:rsidRPr="00C32002">
        <w:rPr>
          <w:rFonts w:cstheme="minorHAnsi"/>
        </w:rPr>
        <w:t xml:space="preserve">In 2022, 213 cases of </w:t>
      </w:r>
      <w:r>
        <w:rPr>
          <w:rFonts w:cstheme="minorHAnsi"/>
        </w:rPr>
        <w:t>pharyngeal</w:t>
      </w:r>
      <w:r w:rsidRPr="00C32002">
        <w:rPr>
          <w:rFonts w:cstheme="minorHAnsi"/>
        </w:rPr>
        <w:t xml:space="preserve"> cancer were recorded (165 males, 48 females). </w:t>
      </w:r>
      <w:r w:rsidRPr="00C32002">
        <w:rPr>
          <w:rFonts w:ascii="Aptos" w:hAnsi="Aptos"/>
          <w:color w:val="000000"/>
          <w:shd w:val="clear" w:color="auto" w:fill="FFFFFF"/>
        </w:rPr>
        <w:t xml:space="preserve">The estimated total number of </w:t>
      </w:r>
      <w:r w:rsidR="005D16CA">
        <w:rPr>
          <w:rFonts w:ascii="Aptos" w:hAnsi="Aptos"/>
          <w:color w:val="000000"/>
          <w:shd w:val="clear" w:color="auto" w:fill="FFFFFF"/>
        </w:rPr>
        <w:t>pharyngeal cancers</w:t>
      </w:r>
      <w:r w:rsidRPr="00C32002">
        <w:rPr>
          <w:rFonts w:ascii="Aptos" w:hAnsi="Aptos"/>
          <w:color w:val="000000"/>
          <w:shd w:val="clear" w:color="auto" w:fill="FFFFFF"/>
        </w:rPr>
        <w:t xml:space="preserve"> attributable to smoking in Ireland in 2022 was 80 (PAF 37.6%). Table </w:t>
      </w:r>
      <w:r w:rsidR="001C767A">
        <w:rPr>
          <w:rFonts w:ascii="Aptos" w:hAnsi="Aptos"/>
          <w:color w:val="000000"/>
          <w:shd w:val="clear" w:color="auto" w:fill="FFFFFF"/>
        </w:rPr>
        <w:t>6.1 p</w:t>
      </w:r>
      <w:r w:rsidRPr="00C32002">
        <w:rPr>
          <w:rFonts w:ascii="Aptos" w:hAnsi="Aptos"/>
          <w:color w:val="000000"/>
          <w:shd w:val="clear" w:color="auto" w:fill="FFFFFF"/>
        </w:rPr>
        <w:t>resents the difference between male and female pharyn</w:t>
      </w:r>
      <w:r>
        <w:rPr>
          <w:rFonts w:ascii="Aptos" w:hAnsi="Aptos"/>
          <w:color w:val="000000"/>
          <w:shd w:val="clear" w:color="auto" w:fill="FFFFFF"/>
        </w:rPr>
        <w:t xml:space="preserve">geal </w:t>
      </w:r>
      <w:r w:rsidRPr="00C32002">
        <w:rPr>
          <w:rFonts w:ascii="Aptos" w:hAnsi="Aptos"/>
          <w:color w:val="000000"/>
          <w:shd w:val="clear" w:color="auto" w:fill="FFFFFF"/>
        </w:rPr>
        <w:t>cancer incidence related to smoking. Males had higher PAF than females, 38.4% vs 34.8%.</w:t>
      </w:r>
    </w:p>
    <w:p w14:paraId="72917BD1" w14:textId="77777777" w:rsidR="00392601" w:rsidRPr="00C32002" w:rsidRDefault="00392601" w:rsidP="00392601">
      <w:pPr>
        <w:spacing w:after="0" w:line="240" w:lineRule="auto"/>
        <w:rPr>
          <w:rFonts w:cstheme="minorHAnsi"/>
        </w:rPr>
      </w:pPr>
    </w:p>
    <w:tbl>
      <w:tblPr>
        <w:tblW w:w="9727" w:type="dxa"/>
        <w:tblInd w:w="-71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42"/>
        <w:gridCol w:w="2293"/>
        <w:gridCol w:w="2428"/>
        <w:gridCol w:w="2264"/>
      </w:tblGrid>
      <w:tr w:rsidR="00392601" w:rsidRPr="00C32002" w14:paraId="2F0424E0" w14:textId="77777777" w:rsidTr="001C767A">
        <w:trPr>
          <w:trHeight w:val="300"/>
        </w:trPr>
        <w:tc>
          <w:tcPr>
            <w:tcW w:w="9727" w:type="dxa"/>
            <w:gridSpan w:val="4"/>
            <w:tcBorders>
              <w:top w:val="single" w:sz="6" w:space="0" w:color="auto"/>
              <w:left w:val="single" w:sz="6" w:space="0" w:color="auto"/>
              <w:bottom w:val="single" w:sz="6" w:space="0" w:color="auto"/>
              <w:right w:val="single" w:sz="6" w:space="0" w:color="auto"/>
            </w:tcBorders>
            <w:shd w:val="clear" w:color="auto" w:fill="002060"/>
            <w:hideMark/>
          </w:tcPr>
          <w:p w14:paraId="5247FEBB" w14:textId="476207F2" w:rsidR="00392601" w:rsidRPr="001C767A" w:rsidRDefault="00392601" w:rsidP="0041177B">
            <w:pPr>
              <w:spacing w:after="0" w:line="240" w:lineRule="auto"/>
              <w:textAlignment w:val="baseline"/>
              <w:rPr>
                <w:rFonts w:ascii="Segoe UI" w:eastAsia="Times New Roman" w:hAnsi="Segoe UI" w:cs="Segoe UI"/>
                <w:b/>
                <w:bCs/>
                <w:kern w:val="0"/>
                <w:sz w:val="18"/>
                <w:szCs w:val="18"/>
                <w:lang w:eastAsia="en-GB"/>
                <w14:ligatures w14:val="none"/>
              </w:rPr>
            </w:pPr>
            <w:r w:rsidRPr="001C767A">
              <w:rPr>
                <w:rFonts w:ascii="Aptos" w:eastAsia="Times New Roman" w:hAnsi="Aptos" w:cs="Segoe UI"/>
                <w:b/>
                <w:bCs/>
                <w:color w:val="FFFFFF"/>
                <w:kern w:val="0"/>
                <w:lang w:eastAsia="en-GB"/>
                <w14:ligatures w14:val="none"/>
              </w:rPr>
              <w:t xml:space="preserve">Table </w:t>
            </w:r>
            <w:r w:rsidR="001C767A">
              <w:rPr>
                <w:rFonts w:ascii="Aptos" w:eastAsia="Times New Roman" w:hAnsi="Aptos" w:cs="Segoe UI"/>
                <w:b/>
                <w:bCs/>
                <w:color w:val="FFFFFF"/>
                <w:kern w:val="0"/>
                <w:lang w:eastAsia="en-GB"/>
                <w14:ligatures w14:val="none"/>
              </w:rPr>
              <w:t>6.1</w:t>
            </w:r>
            <w:r w:rsidRPr="001C767A">
              <w:rPr>
                <w:rFonts w:ascii="Aptos" w:eastAsia="Times New Roman" w:hAnsi="Aptos" w:cs="Segoe UI"/>
                <w:b/>
                <w:bCs/>
                <w:color w:val="FFFFFF"/>
                <w:kern w:val="0"/>
                <w:lang w:eastAsia="en-GB"/>
                <w14:ligatures w14:val="none"/>
              </w:rPr>
              <w:t>: Population attributable fraction and attributable cases for cancer of the pharynx in 2022 </w:t>
            </w:r>
          </w:p>
        </w:tc>
      </w:tr>
      <w:tr w:rsidR="00392601" w:rsidRPr="00C32002" w14:paraId="7DB9326E" w14:textId="77777777" w:rsidTr="001C767A">
        <w:trPr>
          <w:trHeight w:val="300"/>
        </w:trPr>
        <w:tc>
          <w:tcPr>
            <w:tcW w:w="2742" w:type="dxa"/>
            <w:tcBorders>
              <w:top w:val="single" w:sz="6" w:space="0" w:color="auto"/>
              <w:left w:val="single" w:sz="6" w:space="0" w:color="auto"/>
              <w:bottom w:val="single" w:sz="6" w:space="0" w:color="auto"/>
              <w:right w:val="single" w:sz="6" w:space="0" w:color="auto"/>
            </w:tcBorders>
            <w:shd w:val="clear" w:color="auto" w:fill="auto"/>
            <w:hideMark/>
          </w:tcPr>
          <w:p w14:paraId="4D077027" w14:textId="77777777" w:rsidR="00392601" w:rsidRPr="00C32002" w:rsidRDefault="00392601" w:rsidP="0041177B">
            <w:pPr>
              <w:spacing w:after="0" w:line="240" w:lineRule="auto"/>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31666CA6" w14:textId="77777777" w:rsidR="00392601" w:rsidRPr="00C32002"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Total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4162E609" w14:textId="77777777" w:rsidR="00392601" w:rsidRPr="00C32002"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Males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0A1FB6EC" w14:textId="77777777" w:rsidR="00392601" w:rsidRPr="00C32002"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Females </w:t>
            </w:r>
          </w:p>
        </w:tc>
      </w:tr>
      <w:tr w:rsidR="00392601" w:rsidRPr="00C32002" w14:paraId="39A5DF41" w14:textId="77777777" w:rsidTr="001C767A">
        <w:trPr>
          <w:trHeight w:val="300"/>
        </w:trPr>
        <w:tc>
          <w:tcPr>
            <w:tcW w:w="2742" w:type="dxa"/>
            <w:tcBorders>
              <w:top w:val="single" w:sz="6" w:space="0" w:color="auto"/>
              <w:left w:val="single" w:sz="6" w:space="0" w:color="auto"/>
              <w:bottom w:val="single" w:sz="6" w:space="0" w:color="auto"/>
              <w:right w:val="single" w:sz="6" w:space="0" w:color="auto"/>
            </w:tcBorders>
            <w:shd w:val="clear" w:color="auto" w:fill="auto"/>
            <w:hideMark/>
          </w:tcPr>
          <w:p w14:paraId="44D096BA" w14:textId="77777777" w:rsidR="00392601" w:rsidRPr="00C32002" w:rsidRDefault="00392601" w:rsidP="0041177B">
            <w:pPr>
              <w:spacing w:after="0" w:line="240" w:lineRule="auto"/>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PAF (%)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113345A6" w14:textId="77777777" w:rsidR="00392601" w:rsidRPr="00C32002"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37.6 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7703B03E" w14:textId="77777777" w:rsidR="00392601" w:rsidRPr="00C32002"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38.4 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638D2A8A" w14:textId="77777777" w:rsidR="00392601" w:rsidRPr="00C32002"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34.8 </w:t>
            </w:r>
          </w:p>
        </w:tc>
      </w:tr>
      <w:tr w:rsidR="003A3C3E" w:rsidRPr="00C32002" w14:paraId="6E56D213" w14:textId="77777777" w:rsidTr="001C767A">
        <w:trPr>
          <w:trHeight w:val="300"/>
        </w:trPr>
        <w:tc>
          <w:tcPr>
            <w:tcW w:w="2742" w:type="dxa"/>
            <w:tcBorders>
              <w:top w:val="single" w:sz="6" w:space="0" w:color="auto"/>
              <w:left w:val="single" w:sz="6" w:space="0" w:color="auto"/>
              <w:bottom w:val="single" w:sz="6" w:space="0" w:color="auto"/>
              <w:right w:val="single" w:sz="6" w:space="0" w:color="auto"/>
            </w:tcBorders>
            <w:shd w:val="clear" w:color="auto" w:fill="auto"/>
          </w:tcPr>
          <w:p w14:paraId="3CB14DE2" w14:textId="2F8E8CED" w:rsidR="003A3C3E" w:rsidRPr="00C32002" w:rsidRDefault="003A3C3E" w:rsidP="0041177B">
            <w:pPr>
              <w:spacing w:after="0" w:line="240" w:lineRule="auto"/>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Total cases</w:t>
            </w:r>
          </w:p>
        </w:tc>
        <w:tc>
          <w:tcPr>
            <w:tcW w:w="2293" w:type="dxa"/>
            <w:tcBorders>
              <w:top w:val="single" w:sz="6" w:space="0" w:color="auto"/>
              <w:left w:val="single" w:sz="6" w:space="0" w:color="auto"/>
              <w:bottom w:val="single" w:sz="6" w:space="0" w:color="auto"/>
              <w:right w:val="single" w:sz="6" w:space="0" w:color="auto"/>
            </w:tcBorders>
            <w:shd w:val="clear" w:color="auto" w:fill="auto"/>
          </w:tcPr>
          <w:p w14:paraId="7905BA87" w14:textId="0D795ED6" w:rsidR="003A3C3E" w:rsidRPr="00C32002" w:rsidRDefault="00084418"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213</w:t>
            </w:r>
          </w:p>
        </w:tc>
        <w:tc>
          <w:tcPr>
            <w:tcW w:w="2428" w:type="dxa"/>
            <w:tcBorders>
              <w:top w:val="single" w:sz="6" w:space="0" w:color="auto"/>
              <w:left w:val="single" w:sz="6" w:space="0" w:color="auto"/>
              <w:bottom w:val="single" w:sz="6" w:space="0" w:color="auto"/>
              <w:right w:val="single" w:sz="6" w:space="0" w:color="auto"/>
            </w:tcBorders>
            <w:shd w:val="clear" w:color="auto" w:fill="auto"/>
          </w:tcPr>
          <w:p w14:paraId="6BD1CEAB" w14:textId="19777467" w:rsidR="003A3C3E" w:rsidRPr="00C32002" w:rsidRDefault="00084418"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165</w:t>
            </w:r>
          </w:p>
        </w:tc>
        <w:tc>
          <w:tcPr>
            <w:tcW w:w="2264" w:type="dxa"/>
            <w:tcBorders>
              <w:top w:val="single" w:sz="6" w:space="0" w:color="auto"/>
              <w:left w:val="single" w:sz="6" w:space="0" w:color="auto"/>
              <w:bottom w:val="single" w:sz="6" w:space="0" w:color="auto"/>
              <w:right w:val="single" w:sz="6" w:space="0" w:color="auto"/>
            </w:tcBorders>
            <w:shd w:val="clear" w:color="auto" w:fill="auto"/>
          </w:tcPr>
          <w:p w14:paraId="6AF25940" w14:textId="172A4D66" w:rsidR="003A3C3E" w:rsidRPr="00C32002" w:rsidRDefault="00084418"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48</w:t>
            </w:r>
          </w:p>
        </w:tc>
      </w:tr>
      <w:tr w:rsidR="00392601" w:rsidRPr="00C32002" w14:paraId="4DDB05F4" w14:textId="77777777" w:rsidTr="001C767A">
        <w:trPr>
          <w:trHeight w:val="300"/>
        </w:trPr>
        <w:tc>
          <w:tcPr>
            <w:tcW w:w="2742" w:type="dxa"/>
            <w:tcBorders>
              <w:top w:val="single" w:sz="6" w:space="0" w:color="auto"/>
              <w:left w:val="single" w:sz="6" w:space="0" w:color="auto"/>
              <w:bottom w:val="single" w:sz="6" w:space="0" w:color="auto"/>
              <w:right w:val="single" w:sz="6" w:space="0" w:color="auto"/>
            </w:tcBorders>
            <w:shd w:val="clear" w:color="auto" w:fill="auto"/>
            <w:hideMark/>
          </w:tcPr>
          <w:p w14:paraId="2B728267" w14:textId="77777777" w:rsidR="00392601" w:rsidRPr="00C32002" w:rsidRDefault="00392601" w:rsidP="0041177B">
            <w:pPr>
              <w:spacing w:after="0" w:line="240" w:lineRule="auto"/>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Attributable cases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63016F53" w14:textId="77777777" w:rsidR="00392601" w:rsidRPr="00C32002"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80 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4918AF0D" w14:textId="77777777" w:rsidR="00392601" w:rsidRPr="00C32002"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63 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53004EC7" w14:textId="77777777" w:rsidR="00392601" w:rsidRPr="00C32002"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17 </w:t>
            </w:r>
          </w:p>
        </w:tc>
      </w:tr>
    </w:tbl>
    <w:p w14:paraId="66803D6D" w14:textId="77777777" w:rsidR="00392601" w:rsidRPr="00C32002" w:rsidRDefault="00392601" w:rsidP="00392601">
      <w:pPr>
        <w:spacing w:after="0" w:line="240" w:lineRule="auto"/>
        <w:sectPr w:rsidR="00392601" w:rsidRPr="00C32002" w:rsidSect="002746C0">
          <w:pgSz w:w="11906" w:h="16838"/>
          <w:pgMar w:top="1440" w:right="1440" w:bottom="1440" w:left="1440" w:header="708" w:footer="708" w:gutter="0"/>
          <w:cols w:space="708"/>
          <w:docGrid w:linePitch="360"/>
        </w:sectPr>
      </w:pPr>
    </w:p>
    <w:p w14:paraId="60C16BFE" w14:textId="74D8ABE4" w:rsidR="00392601" w:rsidRPr="00C033E5" w:rsidRDefault="00392601" w:rsidP="00392601">
      <w:pPr>
        <w:pStyle w:val="Heading1"/>
        <w:spacing w:before="0" w:after="0" w:line="240" w:lineRule="auto"/>
      </w:pPr>
      <w:bookmarkStart w:id="111" w:name="_Toc197557061"/>
      <w:bookmarkStart w:id="112" w:name="_Toc201512455"/>
      <w:r w:rsidRPr="00C033E5">
        <w:t>Nasopharynx</w:t>
      </w:r>
      <w:r w:rsidRPr="00C033E5">
        <w:tab/>
      </w:r>
      <w:r w:rsidR="008F109F" w:rsidRPr="00C033E5">
        <w:t xml:space="preserve"> </w:t>
      </w:r>
      <w:r w:rsidRPr="00C033E5">
        <w:t>C11</w:t>
      </w:r>
      <w:bookmarkEnd w:id="111"/>
      <w:bookmarkEnd w:id="112"/>
    </w:p>
    <w:p w14:paraId="7758D09A" w14:textId="77777777" w:rsidR="00392601" w:rsidRPr="00F167A5" w:rsidRDefault="00392601" w:rsidP="00392601">
      <w:pPr>
        <w:pStyle w:val="Subtitle"/>
        <w:spacing w:after="0" w:line="240" w:lineRule="auto"/>
        <w:rPr>
          <w:rStyle w:val="IntenseEmphasis"/>
          <w:rFonts w:cstheme="minorHAnsi"/>
        </w:rPr>
      </w:pPr>
      <w:r w:rsidRPr="00F167A5">
        <w:rPr>
          <w:rStyle w:val="IntenseEmphasis"/>
          <w:rFonts w:cstheme="minorHAnsi"/>
        </w:rPr>
        <w:t>Key points</w:t>
      </w:r>
    </w:p>
    <w:p w14:paraId="2547A247" w14:textId="77777777" w:rsidR="00392601" w:rsidRPr="00F167A5" w:rsidRDefault="00392601" w:rsidP="00392601">
      <w:pPr>
        <w:pStyle w:val="Subtitle"/>
        <w:spacing w:after="0" w:line="240" w:lineRule="auto"/>
        <w:rPr>
          <w:rStyle w:val="Emphasis"/>
          <w:rFonts w:cstheme="minorHAnsi"/>
        </w:rPr>
      </w:pPr>
      <w:r w:rsidRPr="00F167A5">
        <w:rPr>
          <w:rStyle w:val="Emphasis"/>
          <w:rFonts w:cstheme="minorHAnsi"/>
        </w:rPr>
        <w:t>Incidence</w:t>
      </w:r>
    </w:p>
    <w:p w14:paraId="70C3E52F" w14:textId="1B324CA0" w:rsidR="00392601" w:rsidRPr="0079258C" w:rsidRDefault="00392601">
      <w:pPr>
        <w:pStyle w:val="ListParagraph"/>
        <w:numPr>
          <w:ilvl w:val="0"/>
          <w:numId w:val="14"/>
        </w:numPr>
        <w:spacing w:after="0" w:line="240" w:lineRule="auto"/>
        <w:jc w:val="both"/>
        <w:rPr>
          <w:rStyle w:val="Emphasis"/>
          <w:rFonts w:cstheme="minorHAnsi"/>
          <w:i w:val="0"/>
          <w:iCs w:val="0"/>
        </w:rPr>
      </w:pPr>
      <w:r>
        <w:rPr>
          <w:rStyle w:val="Emphasis"/>
          <w:rFonts w:cstheme="minorHAnsi"/>
          <w:i w:val="0"/>
          <w:iCs w:val="0"/>
        </w:rPr>
        <w:t>Incidence</w:t>
      </w:r>
      <w:r w:rsidRPr="0079258C">
        <w:rPr>
          <w:rStyle w:val="Emphasis"/>
          <w:rFonts w:cstheme="minorHAnsi"/>
          <w:i w:val="0"/>
          <w:iCs w:val="0"/>
        </w:rPr>
        <w:t xml:space="preserve"> </w:t>
      </w:r>
      <w:r w:rsidR="006C1190">
        <w:rPr>
          <w:rStyle w:val="Emphasis"/>
          <w:rFonts w:cstheme="minorHAnsi"/>
          <w:i w:val="0"/>
          <w:iCs w:val="0"/>
        </w:rPr>
        <w:t xml:space="preserve">rates </w:t>
      </w:r>
      <w:r w:rsidRPr="0079258C">
        <w:rPr>
          <w:rStyle w:val="Emphasis"/>
          <w:rFonts w:cstheme="minorHAnsi"/>
          <w:i w:val="0"/>
          <w:iCs w:val="0"/>
        </w:rPr>
        <w:t xml:space="preserve">remained </w:t>
      </w:r>
      <w:r w:rsidR="004F6C84">
        <w:rPr>
          <w:rStyle w:val="Emphasis"/>
          <w:rFonts w:cstheme="minorHAnsi"/>
          <w:i w:val="0"/>
          <w:iCs w:val="0"/>
        </w:rPr>
        <w:t>stable</w:t>
      </w:r>
      <w:r w:rsidR="004F6C84" w:rsidRPr="0079258C">
        <w:rPr>
          <w:rStyle w:val="Emphasis"/>
          <w:rFonts w:cstheme="minorHAnsi"/>
          <w:i w:val="0"/>
          <w:iCs w:val="0"/>
        </w:rPr>
        <w:t xml:space="preserve"> </w:t>
      </w:r>
      <w:r>
        <w:rPr>
          <w:rStyle w:val="Emphasis"/>
          <w:rFonts w:cstheme="minorHAnsi"/>
          <w:i w:val="0"/>
          <w:iCs w:val="0"/>
        </w:rPr>
        <w:t>during th</w:t>
      </w:r>
      <w:r w:rsidR="004F6C84">
        <w:rPr>
          <w:rStyle w:val="Emphasis"/>
          <w:rFonts w:cstheme="minorHAnsi"/>
          <w:i w:val="0"/>
          <w:iCs w:val="0"/>
        </w:rPr>
        <w:t>e</w:t>
      </w:r>
      <w:r>
        <w:rPr>
          <w:rStyle w:val="Emphasis"/>
          <w:rFonts w:cstheme="minorHAnsi"/>
          <w:i w:val="0"/>
          <w:iCs w:val="0"/>
        </w:rPr>
        <w:t xml:space="preserve"> period </w:t>
      </w:r>
      <w:r w:rsidR="007F4977">
        <w:rPr>
          <w:rStyle w:val="Emphasis"/>
          <w:rFonts w:cstheme="minorHAnsi"/>
          <w:i w:val="0"/>
          <w:iCs w:val="0"/>
        </w:rPr>
        <w:t>1994 to 2022</w:t>
      </w:r>
      <w:r w:rsidR="004F6C84">
        <w:rPr>
          <w:rStyle w:val="Emphasis"/>
          <w:rFonts w:cstheme="minorHAnsi"/>
          <w:i w:val="0"/>
          <w:iCs w:val="0"/>
        </w:rPr>
        <w:t xml:space="preserve"> </w:t>
      </w:r>
      <w:r w:rsidRPr="0079258C">
        <w:rPr>
          <w:rStyle w:val="Emphasis"/>
          <w:rFonts w:cstheme="minorHAnsi"/>
          <w:i w:val="0"/>
          <w:iCs w:val="0"/>
        </w:rPr>
        <w:t xml:space="preserve">among males </w:t>
      </w:r>
      <w:r>
        <w:rPr>
          <w:rStyle w:val="Emphasis"/>
          <w:rFonts w:cstheme="minorHAnsi"/>
          <w:i w:val="0"/>
          <w:iCs w:val="0"/>
        </w:rPr>
        <w:t>while</w:t>
      </w:r>
      <w:r w:rsidRPr="0079258C">
        <w:rPr>
          <w:rStyle w:val="Emphasis"/>
          <w:rFonts w:cstheme="minorHAnsi"/>
          <w:i w:val="0"/>
          <w:iCs w:val="0"/>
        </w:rPr>
        <w:t xml:space="preserve"> </w:t>
      </w:r>
      <w:r>
        <w:rPr>
          <w:rStyle w:val="Emphasis"/>
          <w:rFonts w:cstheme="minorHAnsi"/>
          <w:i w:val="0"/>
          <w:iCs w:val="0"/>
        </w:rPr>
        <w:t>incidence</w:t>
      </w:r>
      <w:r w:rsidRPr="0079258C">
        <w:rPr>
          <w:rStyle w:val="Emphasis"/>
          <w:rFonts w:cstheme="minorHAnsi"/>
          <w:i w:val="0"/>
          <w:iCs w:val="0"/>
        </w:rPr>
        <w:t xml:space="preserve"> increased among </w:t>
      </w:r>
      <w:r w:rsidR="00BC7D1F">
        <w:rPr>
          <w:rStyle w:val="Emphasis"/>
          <w:rFonts w:cstheme="minorHAnsi"/>
          <w:i w:val="0"/>
          <w:iCs w:val="0"/>
        </w:rPr>
        <w:t>females</w:t>
      </w:r>
      <w:r w:rsidR="00147B99">
        <w:rPr>
          <w:rStyle w:val="Emphasis"/>
          <w:rFonts w:cstheme="minorHAnsi"/>
          <w:i w:val="0"/>
          <w:iCs w:val="0"/>
        </w:rPr>
        <w:t>.</w:t>
      </w:r>
    </w:p>
    <w:p w14:paraId="461AD370" w14:textId="4BD4BFB5" w:rsidR="001A3715" w:rsidRPr="001A3715" w:rsidRDefault="001A3715" w:rsidP="005D16CA">
      <w:pPr>
        <w:pStyle w:val="ListParagraph"/>
        <w:numPr>
          <w:ilvl w:val="0"/>
          <w:numId w:val="14"/>
        </w:numPr>
        <w:spacing w:after="0"/>
        <w:rPr>
          <w:rFonts w:cstheme="minorHAnsi"/>
          <w:color w:val="000000" w:themeColor="text1"/>
        </w:rPr>
      </w:pPr>
      <w:r w:rsidRPr="001A3715">
        <w:rPr>
          <w:rFonts w:cstheme="minorHAnsi"/>
          <w:color w:val="000000" w:themeColor="text1"/>
        </w:rPr>
        <w:t>Incidence rates in the diagnosis period 2014</w:t>
      </w:r>
      <w:r w:rsidR="006C1190">
        <w:rPr>
          <w:rFonts w:cstheme="minorHAnsi"/>
          <w:color w:val="000000" w:themeColor="text1"/>
        </w:rPr>
        <w:t>-</w:t>
      </w:r>
      <w:r w:rsidRPr="001A3715">
        <w:rPr>
          <w:rFonts w:cstheme="minorHAnsi"/>
          <w:color w:val="000000" w:themeColor="text1"/>
        </w:rPr>
        <w:t>2018 were similar across deprivation quintiles.</w:t>
      </w:r>
    </w:p>
    <w:p w14:paraId="6B8033F9" w14:textId="77777777" w:rsidR="00392601" w:rsidRPr="00B21AEC" w:rsidRDefault="00392601" w:rsidP="00392601">
      <w:pPr>
        <w:spacing w:after="0" w:line="240" w:lineRule="auto"/>
        <w:jc w:val="both"/>
        <w:rPr>
          <w:rStyle w:val="Emphasis"/>
          <w:rFonts w:eastAsia="Times New Roman" w:cstheme="minorHAnsi"/>
          <w:color w:val="808080" w:themeColor="background1" w:themeShade="80"/>
        </w:rPr>
      </w:pPr>
      <w:r w:rsidRPr="00B21AEC">
        <w:rPr>
          <w:rStyle w:val="Emphasis"/>
          <w:rFonts w:cstheme="minorHAnsi"/>
          <w:color w:val="808080" w:themeColor="background1" w:themeShade="80"/>
        </w:rPr>
        <w:t>Mortality</w:t>
      </w:r>
    </w:p>
    <w:p w14:paraId="0EFB1BCD" w14:textId="3DACE6B7" w:rsidR="00392601" w:rsidRDefault="00392601">
      <w:pPr>
        <w:pStyle w:val="ListParagraph"/>
        <w:numPr>
          <w:ilvl w:val="0"/>
          <w:numId w:val="15"/>
        </w:numPr>
        <w:spacing w:after="0" w:line="240" w:lineRule="auto"/>
        <w:jc w:val="both"/>
        <w:rPr>
          <w:rFonts w:eastAsia="Calibri" w:cstheme="minorHAnsi"/>
          <w:color w:val="000000" w:themeColor="text1"/>
        </w:rPr>
      </w:pPr>
      <w:r w:rsidRPr="00F167A5">
        <w:rPr>
          <w:rFonts w:eastAsia="Calibri" w:cstheme="minorHAnsi"/>
          <w:color w:val="000000" w:themeColor="text1"/>
        </w:rPr>
        <w:t>In males</w:t>
      </w:r>
      <w:r>
        <w:rPr>
          <w:rFonts w:eastAsia="Calibri" w:cstheme="minorHAnsi"/>
          <w:color w:val="000000" w:themeColor="text1"/>
        </w:rPr>
        <w:t>,</w:t>
      </w:r>
      <w:r w:rsidRPr="00F167A5">
        <w:rPr>
          <w:rFonts w:eastAsia="Calibri" w:cstheme="minorHAnsi"/>
          <w:color w:val="000000" w:themeColor="text1"/>
        </w:rPr>
        <w:t xml:space="preserve"> </w:t>
      </w:r>
      <w:r w:rsidR="001F106F">
        <w:rPr>
          <w:rFonts w:eastAsia="Calibri" w:cstheme="minorHAnsi"/>
          <w:color w:val="000000" w:themeColor="text1"/>
        </w:rPr>
        <w:t xml:space="preserve">no significant change in mortality rates was observed </w:t>
      </w:r>
      <w:r w:rsidRPr="00F167A5">
        <w:rPr>
          <w:rFonts w:eastAsia="Calibri" w:cstheme="minorHAnsi"/>
          <w:color w:val="000000" w:themeColor="text1"/>
        </w:rPr>
        <w:t>from 1994</w:t>
      </w:r>
      <w:r w:rsidR="006C1190">
        <w:rPr>
          <w:rFonts w:eastAsia="Calibri" w:cstheme="minorHAnsi"/>
          <w:color w:val="000000" w:themeColor="text1"/>
        </w:rPr>
        <w:t>-</w:t>
      </w:r>
      <w:r w:rsidR="001A3715">
        <w:rPr>
          <w:rFonts w:eastAsia="Calibri" w:cstheme="minorHAnsi"/>
          <w:color w:val="000000" w:themeColor="text1"/>
        </w:rPr>
        <w:t>2022</w:t>
      </w:r>
      <w:r w:rsidRPr="00F167A5">
        <w:rPr>
          <w:rFonts w:eastAsia="Calibri" w:cstheme="minorHAnsi"/>
          <w:color w:val="000000" w:themeColor="text1"/>
        </w:rPr>
        <w:t xml:space="preserve">. </w:t>
      </w:r>
      <w:r w:rsidR="001F106F">
        <w:t>Due to small numbers, including the absence of cases reported for certain years, trends in mortality rates could not be estimated for females</w:t>
      </w:r>
      <w:r w:rsidR="001F106F" w:rsidRPr="006B3E01">
        <w:t>.</w:t>
      </w:r>
    </w:p>
    <w:p w14:paraId="397CD098" w14:textId="77777777" w:rsidR="00392601" w:rsidRDefault="00392601" w:rsidP="00392601">
      <w:pPr>
        <w:pStyle w:val="Subtitle"/>
        <w:spacing w:after="0" w:line="240" w:lineRule="auto"/>
        <w:rPr>
          <w:rStyle w:val="Emphasis"/>
          <w:rFonts w:cstheme="minorHAnsi"/>
          <w:sz w:val="24"/>
          <w:szCs w:val="24"/>
        </w:rPr>
      </w:pPr>
      <w:r w:rsidRPr="00B21AEC">
        <w:rPr>
          <w:rStyle w:val="Emphasis"/>
          <w:rFonts w:cstheme="minorHAnsi"/>
          <w:sz w:val="24"/>
          <w:szCs w:val="24"/>
        </w:rPr>
        <w:t>Survival</w:t>
      </w:r>
    </w:p>
    <w:p w14:paraId="045B21DA" w14:textId="6CC720DC" w:rsidR="00392601" w:rsidRPr="00B21AEC" w:rsidRDefault="001B51CF">
      <w:pPr>
        <w:pStyle w:val="ListParagraph"/>
        <w:numPr>
          <w:ilvl w:val="0"/>
          <w:numId w:val="16"/>
        </w:numPr>
        <w:spacing w:after="0" w:line="240" w:lineRule="auto"/>
      </w:pPr>
      <w:r>
        <w:rPr>
          <w:rFonts w:cstheme="minorHAnsi"/>
        </w:rPr>
        <w:t>O</w:t>
      </w:r>
      <w:r w:rsidRPr="00B21AEC">
        <w:rPr>
          <w:rFonts w:cstheme="minorHAnsi"/>
        </w:rPr>
        <w:t>verall,</w:t>
      </w:r>
      <w:r w:rsidR="00392601" w:rsidRPr="00B21AEC">
        <w:rPr>
          <w:rFonts w:cstheme="minorHAnsi"/>
        </w:rPr>
        <w:t xml:space="preserve"> 5-year net survival was 60% for cases diagnosed during 2019-2022</w:t>
      </w:r>
      <w:r w:rsidR="00392601">
        <w:rPr>
          <w:rFonts w:cstheme="minorHAnsi"/>
        </w:rPr>
        <w:t>.</w:t>
      </w:r>
    </w:p>
    <w:p w14:paraId="372E5860" w14:textId="77777777" w:rsidR="00392601" w:rsidRPr="00F167A5" w:rsidRDefault="00392601" w:rsidP="00392601">
      <w:pPr>
        <w:pStyle w:val="Subtitle"/>
        <w:spacing w:after="0" w:line="240" w:lineRule="auto"/>
        <w:rPr>
          <w:rStyle w:val="Emphasis"/>
          <w:rFonts w:eastAsiaTheme="minorHAnsi" w:cstheme="minorHAnsi"/>
          <w:color w:val="auto"/>
          <w:spacing w:val="0"/>
          <w:sz w:val="24"/>
          <w:szCs w:val="24"/>
        </w:rPr>
      </w:pPr>
      <w:r w:rsidRPr="00F167A5">
        <w:rPr>
          <w:rStyle w:val="Emphasis"/>
          <w:rFonts w:cstheme="minorHAnsi"/>
          <w:sz w:val="24"/>
          <w:szCs w:val="24"/>
        </w:rPr>
        <w:t>Population attributable fraction</w:t>
      </w:r>
    </w:p>
    <w:p w14:paraId="08012CDA" w14:textId="77777777" w:rsidR="00392601" w:rsidRPr="00F167A5" w:rsidRDefault="00392601">
      <w:pPr>
        <w:pStyle w:val="ListParagraph"/>
        <w:numPr>
          <w:ilvl w:val="0"/>
          <w:numId w:val="2"/>
        </w:numPr>
        <w:spacing w:after="0" w:line="240" w:lineRule="auto"/>
        <w:rPr>
          <w:rFonts w:eastAsiaTheme="majorEastAsia" w:cstheme="minorHAnsi"/>
          <w:color w:val="0F4761" w:themeColor="accent1" w:themeShade="BF"/>
        </w:rPr>
      </w:pPr>
      <w:r w:rsidRPr="00F167A5">
        <w:rPr>
          <w:rFonts w:eastAsia="Calibri" w:cstheme="minorHAnsi"/>
          <w:color w:val="000000" w:themeColor="text1"/>
        </w:rPr>
        <w:t xml:space="preserve">The estimated total number of nasopharyngeal cancer cases attributable to smoking in Ireland in 2022 was 4 (PAF 25.4%). </w:t>
      </w:r>
    </w:p>
    <w:p w14:paraId="2F599D0A" w14:textId="77777777" w:rsidR="00392601" w:rsidRDefault="00392601" w:rsidP="00392601">
      <w:pPr>
        <w:spacing w:after="0" w:line="240" w:lineRule="auto"/>
      </w:pPr>
    </w:p>
    <w:p w14:paraId="1BEA55E3" w14:textId="77777777" w:rsidR="00392601" w:rsidRDefault="00392601" w:rsidP="00392601">
      <w:pPr>
        <w:spacing w:after="0" w:line="240" w:lineRule="auto"/>
      </w:pPr>
    </w:p>
    <w:p w14:paraId="07EDA35C" w14:textId="77777777" w:rsidR="00392601" w:rsidRDefault="00392601" w:rsidP="00392601">
      <w:pPr>
        <w:spacing w:after="0" w:line="240" w:lineRule="auto"/>
      </w:pPr>
    </w:p>
    <w:p w14:paraId="42A0B53F" w14:textId="77777777" w:rsidR="00392601" w:rsidRDefault="00392601" w:rsidP="00392601">
      <w:pPr>
        <w:spacing w:after="0" w:line="240" w:lineRule="auto"/>
      </w:pPr>
    </w:p>
    <w:p w14:paraId="2A560DE6" w14:textId="77777777" w:rsidR="00392601" w:rsidRDefault="00392601" w:rsidP="00392601">
      <w:pPr>
        <w:spacing w:after="0" w:line="240" w:lineRule="auto"/>
      </w:pPr>
    </w:p>
    <w:p w14:paraId="42600C7E" w14:textId="77777777" w:rsidR="00392601" w:rsidRDefault="00392601" w:rsidP="00392601">
      <w:pPr>
        <w:spacing w:after="0" w:line="240" w:lineRule="auto"/>
      </w:pPr>
    </w:p>
    <w:p w14:paraId="79CC12BD" w14:textId="77777777" w:rsidR="00392601" w:rsidRDefault="00392601" w:rsidP="00392601">
      <w:pPr>
        <w:spacing w:after="0" w:line="240" w:lineRule="auto"/>
        <w:sectPr w:rsidR="00392601" w:rsidSect="002746C0">
          <w:pgSz w:w="11906" w:h="16838"/>
          <w:pgMar w:top="1440" w:right="1440" w:bottom="1440" w:left="1440" w:header="708" w:footer="708" w:gutter="0"/>
          <w:cols w:space="708"/>
          <w:docGrid w:linePitch="360"/>
        </w:sectPr>
      </w:pPr>
    </w:p>
    <w:p w14:paraId="24F7DC1D" w14:textId="77777777" w:rsidR="00392601" w:rsidRDefault="00392601" w:rsidP="00392601">
      <w:pPr>
        <w:pStyle w:val="Heading2"/>
        <w:spacing w:before="0" w:after="0" w:line="240" w:lineRule="auto"/>
      </w:pPr>
      <w:bookmarkStart w:id="113" w:name="_Toc197557062"/>
      <w:bookmarkStart w:id="114" w:name="_Toc201512456"/>
      <w:r>
        <w:t>Incidence</w:t>
      </w:r>
      <w:bookmarkEnd w:id="113"/>
      <w:bookmarkEnd w:id="114"/>
    </w:p>
    <w:p w14:paraId="53C41D53" w14:textId="24DE95B0" w:rsidR="00392601" w:rsidRDefault="00392601" w:rsidP="00392601">
      <w:pPr>
        <w:spacing w:after="0" w:line="240" w:lineRule="auto"/>
        <w:rPr>
          <w:rFonts w:cstheme="minorHAnsi"/>
        </w:rPr>
      </w:pPr>
      <w:r>
        <w:t>Between</w:t>
      </w:r>
      <w:r w:rsidRPr="00AF52A2">
        <w:t xml:space="preserve"> 1994</w:t>
      </w:r>
      <w:r>
        <w:t xml:space="preserve"> and </w:t>
      </w:r>
      <w:r w:rsidRPr="00AF52A2">
        <w:t>2022, 468 cases of nasopharyn</w:t>
      </w:r>
      <w:r>
        <w:t>geal</w:t>
      </w:r>
      <w:r w:rsidRPr="00AF52A2">
        <w:t xml:space="preserve"> cancer </w:t>
      </w:r>
      <w:r>
        <w:t>were</w:t>
      </w:r>
      <w:r w:rsidRPr="00AF52A2">
        <w:t xml:space="preserve"> reported (355 </w:t>
      </w:r>
      <w:r>
        <w:t>m</w:t>
      </w:r>
      <w:r w:rsidRPr="00AF52A2">
        <w:t xml:space="preserve">ales, 113 </w:t>
      </w:r>
      <w:r>
        <w:t>f</w:t>
      </w:r>
      <w:r w:rsidRPr="00AF52A2">
        <w:t>emales). The median age at diagnosis was 56 years (</w:t>
      </w:r>
      <w:r>
        <w:t xml:space="preserve">IQR: </w:t>
      </w:r>
      <w:r w:rsidRPr="00AF52A2">
        <w:t xml:space="preserve">45-65) for males and 55 </w:t>
      </w:r>
      <w:r>
        <w:t xml:space="preserve">years </w:t>
      </w:r>
      <w:r w:rsidRPr="00AF52A2">
        <w:t>(</w:t>
      </w:r>
      <w:r>
        <w:t xml:space="preserve">IQR: </w:t>
      </w:r>
      <w:r w:rsidRPr="00AF52A2">
        <w:t>44-70) for females.</w:t>
      </w:r>
      <w:r>
        <w:t xml:space="preserve"> </w:t>
      </w:r>
      <w:r w:rsidRPr="00AF52A2">
        <w:rPr>
          <w:rFonts w:cstheme="minorHAnsi"/>
        </w:rPr>
        <w:t xml:space="preserve">Age-standardised incidence rates of </w:t>
      </w:r>
      <w:r w:rsidR="00463A61">
        <w:rPr>
          <w:rFonts w:cstheme="minorHAnsi"/>
        </w:rPr>
        <w:t>nasopharyngeal</w:t>
      </w:r>
      <w:r w:rsidRPr="00AF52A2">
        <w:rPr>
          <w:rFonts w:cstheme="minorHAnsi"/>
        </w:rPr>
        <w:t xml:space="preserve"> cancer </w:t>
      </w:r>
      <w:r w:rsidR="005D16CA">
        <w:rPr>
          <w:rFonts w:cstheme="minorHAnsi"/>
        </w:rPr>
        <w:t>during the period</w:t>
      </w:r>
      <w:r w:rsidRPr="00AF52A2">
        <w:rPr>
          <w:rFonts w:cstheme="minorHAnsi"/>
        </w:rPr>
        <w:t xml:space="preserve"> 1994-2022 were 0.7 cases per 100,000 males and 0.2 cases per 100,000 females per year. Figure </w:t>
      </w:r>
      <w:r w:rsidR="001C767A">
        <w:rPr>
          <w:rFonts w:cstheme="minorHAnsi"/>
        </w:rPr>
        <w:t>7.1</w:t>
      </w:r>
      <w:r w:rsidRPr="00AF52A2">
        <w:rPr>
          <w:rFonts w:cstheme="minorHAnsi"/>
        </w:rPr>
        <w:t xml:space="preserve"> breaks this down further by sex and age group.</w:t>
      </w:r>
    </w:p>
    <w:p w14:paraId="25A5DC5C" w14:textId="77777777" w:rsidR="00392601" w:rsidRPr="00AF52A2" w:rsidRDefault="00392601" w:rsidP="00392601">
      <w:pPr>
        <w:spacing w:after="0" w:line="240" w:lineRule="auto"/>
        <w:rPr>
          <w:rFonts w:cstheme="minorHAnsi"/>
        </w:rPr>
      </w:pPr>
    </w:p>
    <w:tbl>
      <w:tblPr>
        <w:tblStyle w:val="TableGrid"/>
        <w:tblW w:w="9640" w:type="dxa"/>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3250"/>
        <w:gridCol w:w="3448"/>
      </w:tblGrid>
      <w:tr w:rsidR="00392601" w:rsidRPr="002161E6" w14:paraId="0BB070A4" w14:textId="77777777" w:rsidTr="0041177B">
        <w:trPr>
          <w:trHeight w:val="557"/>
        </w:trPr>
        <w:tc>
          <w:tcPr>
            <w:tcW w:w="9640" w:type="dxa"/>
            <w:gridSpan w:val="3"/>
            <w:shd w:val="clear" w:color="auto" w:fill="002060"/>
            <w:hideMark/>
          </w:tcPr>
          <w:p w14:paraId="67037BC7" w14:textId="2B7C685A" w:rsidR="00392601" w:rsidRPr="001C767A" w:rsidRDefault="00392601" w:rsidP="0041177B">
            <w:pPr>
              <w:rPr>
                <w:rFonts w:asciiTheme="minorHAnsi" w:hAnsiTheme="minorHAnsi" w:cstheme="minorHAnsi"/>
                <w:b/>
                <w:bCs/>
                <w:color w:val="FFFFFF" w:themeColor="background1"/>
              </w:rPr>
            </w:pPr>
            <w:r w:rsidRPr="001C767A">
              <w:rPr>
                <w:rFonts w:asciiTheme="minorHAnsi" w:hAnsiTheme="minorHAnsi" w:cstheme="minorHAnsi"/>
                <w:b/>
                <w:bCs/>
                <w:color w:val="FFFFFF" w:themeColor="background1"/>
              </w:rPr>
              <w:t xml:space="preserve">Figure </w:t>
            </w:r>
            <w:r w:rsidR="001C767A" w:rsidRPr="001C767A">
              <w:rPr>
                <w:rFonts w:asciiTheme="minorHAnsi" w:hAnsiTheme="minorHAnsi" w:cstheme="minorHAnsi"/>
                <w:b/>
                <w:bCs/>
                <w:color w:val="FFFFFF" w:themeColor="background1"/>
              </w:rPr>
              <w:t>7.1:</w:t>
            </w:r>
            <w:r w:rsidRPr="001C767A">
              <w:rPr>
                <w:rFonts w:asciiTheme="minorHAnsi" w:hAnsiTheme="minorHAnsi" w:cstheme="minorHAnsi"/>
                <w:b/>
                <w:bCs/>
                <w:color w:val="FFFFFF" w:themeColor="background1"/>
              </w:rPr>
              <w:t xml:space="preserve">  Incidence rate (per 100,000) for nasopharyngeal cancer by </w:t>
            </w:r>
            <w:r w:rsidR="00366242">
              <w:rPr>
                <w:rFonts w:asciiTheme="minorHAnsi" w:hAnsiTheme="minorHAnsi" w:cstheme="minorHAnsi"/>
                <w:b/>
                <w:bCs/>
                <w:color w:val="FFFFFF" w:themeColor="background1"/>
              </w:rPr>
              <w:t>age group</w:t>
            </w:r>
            <w:r w:rsidRPr="001C767A">
              <w:rPr>
                <w:rFonts w:asciiTheme="minorHAnsi" w:hAnsiTheme="minorHAnsi" w:cstheme="minorHAnsi"/>
                <w:b/>
                <w:bCs/>
                <w:color w:val="FFFFFF" w:themeColor="background1"/>
              </w:rPr>
              <w:t>,1994-2022</w:t>
            </w:r>
          </w:p>
        </w:tc>
      </w:tr>
      <w:tr w:rsidR="00392601" w:rsidRPr="002161E6" w14:paraId="338AD66F" w14:textId="77777777" w:rsidTr="0041177B">
        <w:trPr>
          <w:trHeight w:val="70"/>
        </w:trPr>
        <w:tc>
          <w:tcPr>
            <w:tcW w:w="2942" w:type="dxa"/>
            <w:hideMark/>
          </w:tcPr>
          <w:p w14:paraId="0ADDF3E9" w14:textId="77777777" w:rsidR="00392601" w:rsidRPr="002161E6" w:rsidRDefault="00392601" w:rsidP="0041177B">
            <w:pPr>
              <w:jc w:val="center"/>
              <w:rPr>
                <w:rFonts w:asciiTheme="minorHAnsi" w:hAnsiTheme="minorHAnsi" w:cstheme="minorHAnsi"/>
                <w:color w:val="000000" w:themeColor="text1"/>
              </w:rPr>
            </w:pPr>
            <w:r w:rsidRPr="002161E6">
              <w:rPr>
                <w:rFonts w:asciiTheme="minorHAnsi" w:hAnsiTheme="minorHAnsi" w:cstheme="minorHAnsi"/>
                <w:color w:val="000000" w:themeColor="text1"/>
              </w:rPr>
              <w:t>Total</w:t>
            </w:r>
          </w:p>
        </w:tc>
        <w:tc>
          <w:tcPr>
            <w:tcW w:w="3250" w:type="dxa"/>
          </w:tcPr>
          <w:p w14:paraId="7FE2EB30" w14:textId="77777777" w:rsidR="00392601" w:rsidRPr="002161E6" w:rsidRDefault="00392601" w:rsidP="0041177B">
            <w:pPr>
              <w:jc w:val="center"/>
              <w:rPr>
                <w:rFonts w:asciiTheme="minorHAnsi" w:hAnsiTheme="minorHAnsi" w:cstheme="minorHAnsi"/>
                <w:color w:val="000000" w:themeColor="text1"/>
              </w:rPr>
            </w:pPr>
            <w:r w:rsidRPr="002161E6">
              <w:rPr>
                <w:rFonts w:asciiTheme="minorHAnsi" w:hAnsiTheme="minorHAnsi" w:cstheme="minorHAnsi"/>
                <w:color w:val="000000" w:themeColor="text1"/>
              </w:rPr>
              <w:t>Males</w:t>
            </w:r>
          </w:p>
        </w:tc>
        <w:tc>
          <w:tcPr>
            <w:tcW w:w="3448" w:type="dxa"/>
          </w:tcPr>
          <w:p w14:paraId="3F657D75" w14:textId="77777777" w:rsidR="00392601" w:rsidRPr="00F42967" w:rsidRDefault="00392601" w:rsidP="0041177B">
            <w:pPr>
              <w:jc w:val="center"/>
              <w:rPr>
                <w:rFonts w:asciiTheme="minorHAnsi" w:hAnsiTheme="minorHAnsi" w:cstheme="minorHAnsi"/>
                <w:color w:val="000000" w:themeColor="text1"/>
              </w:rPr>
            </w:pPr>
            <w:r w:rsidRPr="002161E6">
              <w:rPr>
                <w:rFonts w:asciiTheme="minorHAnsi" w:hAnsiTheme="minorHAnsi" w:cstheme="minorHAnsi"/>
                <w:color w:val="000000" w:themeColor="text1"/>
              </w:rPr>
              <w:t>Females</w:t>
            </w:r>
          </w:p>
        </w:tc>
      </w:tr>
      <w:tr w:rsidR="00392601" w:rsidRPr="002161E6" w14:paraId="38741C19" w14:textId="77777777" w:rsidTr="0041177B">
        <w:trPr>
          <w:trHeight w:val="1856"/>
        </w:trPr>
        <w:tc>
          <w:tcPr>
            <w:tcW w:w="2942" w:type="dxa"/>
            <w:vAlign w:val="center"/>
          </w:tcPr>
          <w:p w14:paraId="70512D7F" w14:textId="77777777" w:rsidR="00392601" w:rsidRPr="002161E6" w:rsidRDefault="00392601" w:rsidP="0041177B">
            <w:pPr>
              <w:jc w:val="center"/>
              <w:rPr>
                <w:rFonts w:asciiTheme="minorHAnsi" w:hAnsiTheme="minorHAnsi" w:cstheme="minorHAnsi"/>
                <w:color w:val="000000" w:themeColor="text1"/>
              </w:rPr>
            </w:pPr>
            <w:r w:rsidRPr="002161E6">
              <w:rPr>
                <w:rFonts w:cstheme="minorHAnsi"/>
                <w:noProof/>
                <w:color w:val="000000" w:themeColor="text1"/>
              </w:rPr>
              <w:drawing>
                <wp:inline distT="0" distB="0" distL="0" distR="0" wp14:anchorId="057F660B" wp14:editId="0C8E2415">
                  <wp:extent cx="1640827" cy="1436400"/>
                  <wp:effectExtent l="0" t="0" r="0" b="0"/>
                  <wp:docPr id="79603274" name="Picture 13"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03274" name="Picture 13" descr="A graph with numbers and lines&#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40827" cy="1436400"/>
                          </a:xfrm>
                          <a:prstGeom prst="rect">
                            <a:avLst/>
                          </a:prstGeom>
                          <a:noFill/>
                        </pic:spPr>
                      </pic:pic>
                    </a:graphicData>
                  </a:graphic>
                </wp:inline>
              </w:drawing>
            </w:r>
          </w:p>
        </w:tc>
        <w:tc>
          <w:tcPr>
            <w:tcW w:w="3250" w:type="dxa"/>
            <w:vAlign w:val="center"/>
          </w:tcPr>
          <w:p w14:paraId="754B64C8" w14:textId="77777777" w:rsidR="00392601" w:rsidRPr="002161E6" w:rsidRDefault="00392601" w:rsidP="0041177B">
            <w:pPr>
              <w:jc w:val="center"/>
              <w:rPr>
                <w:rFonts w:asciiTheme="minorHAnsi" w:hAnsiTheme="minorHAnsi" w:cstheme="minorHAnsi"/>
                <w:color w:val="000000" w:themeColor="text1"/>
              </w:rPr>
            </w:pPr>
            <w:r w:rsidRPr="002161E6">
              <w:rPr>
                <w:rFonts w:eastAsia="Times New Roman" w:cs="Times New Roman"/>
                <w:noProof/>
                <w:lang w:eastAsia="en-GB"/>
              </w:rPr>
              <w:drawing>
                <wp:inline distT="0" distB="0" distL="0" distR="0" wp14:anchorId="08147353" wp14:editId="74D79837">
                  <wp:extent cx="1640827" cy="1436400"/>
                  <wp:effectExtent l="0" t="0" r="0" b="0"/>
                  <wp:docPr id="801482810" name="Picture 14" descr="A graph with numbers an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482810" name="Picture 14" descr="A graph with numbers and squares&#10;&#10;AI-generated content may be incorrec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40827" cy="1436400"/>
                          </a:xfrm>
                          <a:prstGeom prst="rect">
                            <a:avLst/>
                          </a:prstGeom>
                          <a:noFill/>
                        </pic:spPr>
                      </pic:pic>
                    </a:graphicData>
                  </a:graphic>
                </wp:inline>
              </w:drawing>
            </w:r>
          </w:p>
        </w:tc>
        <w:tc>
          <w:tcPr>
            <w:tcW w:w="3448" w:type="dxa"/>
          </w:tcPr>
          <w:p w14:paraId="68665267" w14:textId="77777777" w:rsidR="00392601" w:rsidRPr="00F42967" w:rsidRDefault="00392601" w:rsidP="0041177B">
            <w:pPr>
              <w:jc w:val="center"/>
              <w:rPr>
                <w:rFonts w:asciiTheme="minorHAnsi" w:hAnsiTheme="minorHAnsi" w:cstheme="minorHAnsi"/>
                <w:color w:val="000000" w:themeColor="text1"/>
              </w:rPr>
            </w:pPr>
            <w:r w:rsidRPr="002161E6">
              <w:rPr>
                <w:rFonts w:cstheme="minorHAnsi"/>
                <w:noProof/>
                <w:color w:val="000000" w:themeColor="text1"/>
              </w:rPr>
              <w:drawing>
                <wp:inline distT="0" distB="0" distL="0" distR="0" wp14:anchorId="6D70A885" wp14:editId="68A344A6">
                  <wp:extent cx="1640827" cy="1436400"/>
                  <wp:effectExtent l="0" t="0" r="0" b="0"/>
                  <wp:docPr id="1791931276" name="Picture 15"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31276" name="Picture 15" descr="A graph with numbers and lines&#10;&#10;AI-generated content may be incorrec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40827" cy="1436400"/>
                          </a:xfrm>
                          <a:prstGeom prst="rect">
                            <a:avLst/>
                          </a:prstGeom>
                          <a:noFill/>
                        </pic:spPr>
                      </pic:pic>
                    </a:graphicData>
                  </a:graphic>
                </wp:inline>
              </w:drawing>
            </w:r>
          </w:p>
        </w:tc>
      </w:tr>
    </w:tbl>
    <w:p w14:paraId="5966CD63" w14:textId="77777777" w:rsidR="005A6286" w:rsidRPr="005A6286" w:rsidRDefault="005A6286" w:rsidP="005A6286">
      <w:bookmarkStart w:id="115" w:name="_Toc197557063"/>
    </w:p>
    <w:p w14:paraId="57E234CB" w14:textId="77777777" w:rsidR="00392601" w:rsidRDefault="00392601" w:rsidP="00392601">
      <w:pPr>
        <w:pStyle w:val="Heading3"/>
        <w:spacing w:before="0" w:after="0" w:line="240" w:lineRule="auto"/>
      </w:pPr>
      <w:bookmarkStart w:id="116" w:name="_Toc201512457"/>
      <w:r w:rsidRPr="00B06BFF">
        <w:t>Trends over</w:t>
      </w:r>
      <w:r>
        <w:t xml:space="preserve"> </w:t>
      </w:r>
      <w:r w:rsidRPr="00B06BFF">
        <w:t>time</w:t>
      </w:r>
      <w:bookmarkEnd w:id="115"/>
      <w:bookmarkEnd w:id="116"/>
    </w:p>
    <w:p w14:paraId="1C1023D1" w14:textId="6BBFF18B" w:rsidR="00392601" w:rsidRPr="005648D7" w:rsidRDefault="00392601" w:rsidP="00392601">
      <w:pPr>
        <w:spacing w:after="0" w:line="240" w:lineRule="auto"/>
        <w:rPr>
          <w:rFonts w:cstheme="minorHAnsi"/>
          <w:highlight w:val="yellow"/>
        </w:rPr>
      </w:pPr>
      <w:r w:rsidRPr="00D5198D">
        <w:rPr>
          <w:rFonts w:cstheme="minorHAnsi"/>
        </w:rPr>
        <w:t xml:space="preserve">Figure </w:t>
      </w:r>
      <w:r w:rsidR="001C767A">
        <w:rPr>
          <w:rFonts w:cstheme="minorHAnsi"/>
        </w:rPr>
        <w:t>7.2</w:t>
      </w:r>
      <w:r w:rsidRPr="00D5198D">
        <w:rPr>
          <w:rFonts w:cstheme="minorHAnsi"/>
        </w:rPr>
        <w:t xml:space="preserve"> shows the incidence of nasopharyn</w:t>
      </w:r>
      <w:r>
        <w:rPr>
          <w:rFonts w:cstheme="minorHAnsi"/>
        </w:rPr>
        <w:t>geal</w:t>
      </w:r>
      <w:r w:rsidRPr="00D5198D">
        <w:rPr>
          <w:rFonts w:cstheme="minorHAnsi"/>
        </w:rPr>
        <w:t xml:space="preserve"> from 1994 to 2022. Across the period </w:t>
      </w:r>
      <w:r>
        <w:rPr>
          <w:rFonts w:cstheme="minorHAnsi"/>
        </w:rPr>
        <w:t>incidence remained st</w:t>
      </w:r>
      <w:r w:rsidR="005D16CA">
        <w:rPr>
          <w:rFonts w:cstheme="minorHAnsi"/>
        </w:rPr>
        <w:t>able</w:t>
      </w:r>
      <w:r w:rsidRPr="00D5198D">
        <w:rPr>
          <w:rFonts w:cstheme="minorHAnsi"/>
        </w:rPr>
        <w:t xml:space="preserve"> among </w:t>
      </w:r>
      <w:r>
        <w:rPr>
          <w:rFonts w:cstheme="minorHAnsi"/>
        </w:rPr>
        <w:t xml:space="preserve">males but </w:t>
      </w:r>
      <w:r w:rsidRPr="00D5198D">
        <w:rPr>
          <w:rFonts w:cstheme="minorHAnsi"/>
        </w:rPr>
        <w:t xml:space="preserve">increased steadily among </w:t>
      </w:r>
      <w:r w:rsidR="00BC7D1F">
        <w:rPr>
          <w:rFonts w:cstheme="minorHAnsi"/>
        </w:rPr>
        <w:t>females</w:t>
      </w:r>
      <w:r w:rsidRPr="00D5198D">
        <w:rPr>
          <w:rFonts w:cstheme="minorHAnsi"/>
        </w:rPr>
        <w:t xml:space="preserve"> by </w:t>
      </w:r>
      <w:r>
        <w:rPr>
          <w:rFonts w:cstheme="minorHAnsi"/>
        </w:rPr>
        <w:t>3.0</w:t>
      </w:r>
      <w:r w:rsidRPr="00D5198D">
        <w:rPr>
          <w:rFonts w:cstheme="minorHAnsi"/>
        </w:rPr>
        <w:t xml:space="preserve">% per year (95%CI </w:t>
      </w:r>
      <w:r>
        <w:rPr>
          <w:rFonts w:cstheme="minorHAnsi"/>
        </w:rPr>
        <w:t>1.0</w:t>
      </w:r>
      <w:r w:rsidRPr="00D5198D">
        <w:rPr>
          <w:rFonts w:cstheme="minorHAnsi"/>
        </w:rPr>
        <w:t xml:space="preserve">; </w:t>
      </w:r>
      <w:r>
        <w:rPr>
          <w:rFonts w:cstheme="minorHAnsi"/>
        </w:rPr>
        <w:t>5.2</w:t>
      </w:r>
      <w:r w:rsidRPr="00D5198D">
        <w:rPr>
          <w:rFonts w:cstheme="minorHAnsi"/>
        </w:rPr>
        <w:t>).</w:t>
      </w:r>
    </w:p>
    <w:p w14:paraId="323ADB20" w14:textId="77777777" w:rsidR="00392601" w:rsidRPr="005648D7" w:rsidRDefault="00392601" w:rsidP="00392601">
      <w:pPr>
        <w:spacing w:after="0" w:line="240" w:lineRule="auto"/>
        <w:rPr>
          <w:rFonts w:cstheme="minorHAnsi"/>
          <w:highlight w:val="yellow"/>
        </w:rPr>
      </w:pPr>
      <w:r w:rsidRPr="005648D7">
        <w:rPr>
          <w:rFonts w:cstheme="minorHAnsi"/>
          <w:highlight w:val="yellow"/>
        </w:rPr>
        <w:t xml:space="preserve"> </w:t>
      </w:r>
    </w:p>
    <w:tbl>
      <w:tblPr>
        <w:tblStyle w:val="TableGrid"/>
        <w:tblW w:w="969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2"/>
      </w:tblGrid>
      <w:tr w:rsidR="00392601" w:rsidRPr="002161E6" w14:paraId="53A91BEA" w14:textId="77777777" w:rsidTr="0041177B">
        <w:trPr>
          <w:trHeight w:val="113"/>
        </w:trPr>
        <w:tc>
          <w:tcPr>
            <w:tcW w:w="9692" w:type="dxa"/>
            <w:shd w:val="clear" w:color="auto" w:fill="002060"/>
            <w:vAlign w:val="center"/>
            <w:hideMark/>
          </w:tcPr>
          <w:p w14:paraId="16F51812" w14:textId="0185D7EB" w:rsidR="00392601" w:rsidRPr="00F42967" w:rsidRDefault="00392601" w:rsidP="0041177B">
            <w:pPr>
              <w:rPr>
                <w:rFonts w:asciiTheme="minorHAnsi" w:hAnsiTheme="minorHAnsi"/>
                <w:b/>
                <w:bCs/>
              </w:rPr>
            </w:pPr>
            <w:r w:rsidRPr="002161E6">
              <w:rPr>
                <w:rFonts w:asciiTheme="minorHAnsi" w:hAnsiTheme="minorHAnsi"/>
                <w:b/>
                <w:bCs/>
              </w:rPr>
              <w:t xml:space="preserve">Figure </w:t>
            </w:r>
            <w:r w:rsidR="001C767A">
              <w:rPr>
                <w:rFonts w:asciiTheme="minorHAnsi" w:hAnsiTheme="minorHAnsi"/>
                <w:b/>
                <w:bCs/>
              </w:rPr>
              <w:t>7.2:</w:t>
            </w:r>
            <w:r w:rsidRPr="002161E6">
              <w:rPr>
                <w:rFonts w:asciiTheme="minorHAnsi" w:hAnsiTheme="minorHAnsi"/>
                <w:b/>
                <w:bCs/>
              </w:rPr>
              <w:t xml:space="preserve">  Age-</w:t>
            </w:r>
            <w:r w:rsidRPr="002161E6">
              <w:rPr>
                <w:rFonts w:asciiTheme="minorHAnsi" w:hAnsiTheme="minorHAnsi"/>
                <w:b/>
                <w:bCs/>
                <w:bdr w:val="single" w:sz="4" w:space="0" w:color="auto" w:frame="1"/>
              </w:rPr>
              <w:t>standardised incidence rate 1994-</w:t>
            </w:r>
            <w:r w:rsidR="00E716DB" w:rsidRPr="002161E6">
              <w:rPr>
                <w:rFonts w:asciiTheme="minorHAnsi" w:hAnsiTheme="minorHAnsi"/>
                <w:b/>
                <w:bCs/>
                <w:bdr w:val="single" w:sz="4" w:space="0" w:color="auto" w:frame="1"/>
              </w:rPr>
              <w:t>2022, nasopharyngeal</w:t>
            </w:r>
            <w:r w:rsidR="001C767A">
              <w:rPr>
                <w:rFonts w:asciiTheme="minorHAnsi" w:hAnsiTheme="minorHAnsi"/>
                <w:b/>
                <w:bCs/>
                <w:bdr w:val="single" w:sz="4" w:space="0" w:color="auto" w:frame="1"/>
              </w:rPr>
              <w:t xml:space="preserve"> cancer</w:t>
            </w:r>
          </w:p>
        </w:tc>
      </w:tr>
      <w:tr w:rsidR="00392601" w:rsidRPr="002161E6" w14:paraId="4A0E7D13" w14:textId="77777777" w:rsidTr="0041177B">
        <w:trPr>
          <w:trHeight w:val="113"/>
        </w:trPr>
        <w:tc>
          <w:tcPr>
            <w:tcW w:w="9692" w:type="dxa"/>
            <w:vAlign w:val="center"/>
          </w:tcPr>
          <w:p w14:paraId="19A0D4C0" w14:textId="77777777" w:rsidR="00392601" w:rsidRPr="00F42967" w:rsidRDefault="00392601" w:rsidP="0041177B">
            <w:pPr>
              <w:jc w:val="center"/>
              <w:rPr>
                <w:rFonts w:asciiTheme="minorHAnsi" w:hAnsiTheme="minorHAnsi"/>
              </w:rPr>
            </w:pPr>
            <w:r w:rsidRPr="002161E6">
              <w:rPr>
                <w:noProof/>
              </w:rPr>
              <w:drawing>
                <wp:inline distT="0" distB="0" distL="0" distR="0" wp14:anchorId="46FECB12" wp14:editId="0F099F10">
                  <wp:extent cx="5755241" cy="2785533"/>
                  <wp:effectExtent l="0" t="0" r="0" b="0"/>
                  <wp:docPr id="12062025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202548" name="Picture 13"/>
                          <pic:cNvPicPr>
                            <a:picLocks noChangeAspect="1" noChangeArrowheads="1"/>
                          </pic:cNvPicPr>
                        </pic:nvPicPr>
                        <pic:blipFill>
                          <a:blip r:embed="rId70">
                            <a:extLst>
                              <a:ext uri="{96DAC541-7B7A-43D3-8B79-37D633B846F1}">
                                <asvg:svgBlip xmlns:asvg="http://schemas.microsoft.com/office/drawing/2016/SVG/main" r:embed="rId71"/>
                              </a:ext>
                            </a:extLst>
                          </a:blip>
                          <a:stretch>
                            <a:fillRect/>
                          </a:stretch>
                        </pic:blipFill>
                        <pic:spPr bwMode="auto">
                          <a:xfrm>
                            <a:off x="0" y="0"/>
                            <a:ext cx="5764054" cy="2789799"/>
                          </a:xfrm>
                          <a:prstGeom prst="rect">
                            <a:avLst/>
                          </a:prstGeom>
                        </pic:spPr>
                      </pic:pic>
                    </a:graphicData>
                  </a:graphic>
                </wp:inline>
              </w:drawing>
            </w:r>
          </w:p>
        </w:tc>
      </w:tr>
      <w:tr w:rsidR="00392601" w:rsidRPr="002161E6" w14:paraId="257417E4" w14:textId="77777777" w:rsidTr="0041177B">
        <w:trPr>
          <w:trHeight w:val="113"/>
        </w:trPr>
        <w:tc>
          <w:tcPr>
            <w:tcW w:w="9692" w:type="dxa"/>
            <w:vAlign w:val="center"/>
          </w:tcPr>
          <w:tbl>
            <w:tblPr>
              <w:tblpPr w:leftFromText="180" w:rightFromText="180" w:bottomFromText="160" w:vertAnchor="page" w:horzAnchor="margin" w:tblpXSpec="center" w:tblpY="1"/>
              <w:tblOverlap w:val="never"/>
              <w:tblW w:w="0" w:type="auto"/>
              <w:tblLook w:val="04A0" w:firstRow="1" w:lastRow="0" w:firstColumn="1" w:lastColumn="0" w:noHBand="0" w:noVBand="1"/>
            </w:tblPr>
            <w:tblGrid>
              <w:gridCol w:w="530"/>
              <w:gridCol w:w="1180"/>
              <w:gridCol w:w="771"/>
              <w:gridCol w:w="924"/>
              <w:gridCol w:w="706"/>
              <w:gridCol w:w="530"/>
              <w:gridCol w:w="1180"/>
              <w:gridCol w:w="771"/>
              <w:gridCol w:w="856"/>
              <w:gridCol w:w="706"/>
            </w:tblGrid>
            <w:tr w:rsidR="00392601" w:rsidRPr="00D46C49" w14:paraId="29920495" w14:textId="77777777" w:rsidTr="0041177B">
              <w:trPr>
                <w:trHeight w:val="113"/>
              </w:trPr>
              <w:tc>
                <w:tcPr>
                  <w:tcW w:w="0" w:type="auto"/>
                  <w:noWrap/>
                  <w:tcMar>
                    <w:top w:w="15" w:type="dxa"/>
                    <w:left w:w="108" w:type="dxa"/>
                    <w:bottom w:w="15" w:type="dxa"/>
                    <w:right w:w="108" w:type="dxa"/>
                  </w:tcMar>
                  <w:vAlign w:val="center"/>
                  <w:hideMark/>
                </w:tcPr>
                <w:p w14:paraId="28E12C01" w14:textId="77777777" w:rsidR="00392601" w:rsidRPr="00D46C49"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46C49">
                    <w:rPr>
                      <w:rFonts w:eastAsia="Times New Roman" w:cs="Calibri"/>
                      <w:b/>
                      <w:bCs/>
                      <w:color w:val="000000"/>
                      <w:kern w:val="0"/>
                      <w:sz w:val="20"/>
                      <w:szCs w:val="20"/>
                      <w:u w:val="single"/>
                      <w:lang w:eastAsia="en-GB"/>
                      <w14:ligatures w14:val="none"/>
                    </w:rPr>
                    <w:t>sex</w:t>
                  </w:r>
                </w:p>
              </w:tc>
              <w:tc>
                <w:tcPr>
                  <w:tcW w:w="0" w:type="auto"/>
                  <w:noWrap/>
                  <w:tcMar>
                    <w:top w:w="15" w:type="dxa"/>
                    <w:left w:w="108" w:type="dxa"/>
                    <w:bottom w:w="15" w:type="dxa"/>
                    <w:right w:w="108" w:type="dxa"/>
                  </w:tcMar>
                  <w:vAlign w:val="center"/>
                  <w:hideMark/>
                </w:tcPr>
                <w:p w14:paraId="6161DDA1" w14:textId="77777777" w:rsidR="00392601" w:rsidRPr="00D46C49"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46C49">
                    <w:rPr>
                      <w:rFonts w:eastAsia="Times New Roman" w:cs="Calibri"/>
                      <w:b/>
                      <w:bCs/>
                      <w:color w:val="000000"/>
                      <w:kern w:val="0"/>
                      <w:sz w:val="20"/>
                      <w:szCs w:val="20"/>
                      <w:u w:val="single"/>
                      <w:lang w:eastAsia="en-GB"/>
                      <w14:ligatures w14:val="none"/>
                    </w:rPr>
                    <w:t>period</w:t>
                  </w:r>
                </w:p>
              </w:tc>
              <w:tc>
                <w:tcPr>
                  <w:tcW w:w="0" w:type="auto"/>
                  <w:noWrap/>
                  <w:tcMar>
                    <w:top w:w="15" w:type="dxa"/>
                    <w:left w:w="108" w:type="dxa"/>
                    <w:bottom w:w="15" w:type="dxa"/>
                    <w:right w:w="108" w:type="dxa"/>
                  </w:tcMar>
                  <w:vAlign w:val="center"/>
                  <w:hideMark/>
                </w:tcPr>
                <w:p w14:paraId="02805D55" w14:textId="77777777" w:rsidR="00392601" w:rsidRPr="00D46C49"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46C49">
                    <w:rPr>
                      <w:rFonts w:eastAsia="Times New Roman" w:cs="Calibri"/>
                      <w:b/>
                      <w:bCs/>
                      <w:color w:val="000000"/>
                      <w:kern w:val="0"/>
                      <w:sz w:val="20"/>
                      <w:szCs w:val="20"/>
                      <w:u w:val="single"/>
                      <w:lang w:eastAsia="en-GB"/>
                      <w14:ligatures w14:val="none"/>
                    </w:rPr>
                    <w:t>APC%</w:t>
                  </w:r>
                </w:p>
              </w:tc>
              <w:tc>
                <w:tcPr>
                  <w:tcW w:w="0" w:type="auto"/>
                  <w:noWrap/>
                  <w:tcMar>
                    <w:top w:w="15" w:type="dxa"/>
                    <w:left w:w="108" w:type="dxa"/>
                    <w:bottom w:w="15" w:type="dxa"/>
                    <w:right w:w="108" w:type="dxa"/>
                  </w:tcMar>
                  <w:vAlign w:val="center"/>
                  <w:hideMark/>
                </w:tcPr>
                <w:p w14:paraId="11893251" w14:textId="77777777" w:rsidR="00392601" w:rsidRPr="00D46C49"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46C49">
                    <w:rPr>
                      <w:rFonts w:eastAsia="Times New Roman" w:cs="Calibri"/>
                      <w:b/>
                      <w:bCs/>
                      <w:color w:val="000000"/>
                      <w:kern w:val="0"/>
                      <w:sz w:val="20"/>
                      <w:szCs w:val="20"/>
                      <w:u w:val="single"/>
                      <w:lang w:eastAsia="en-GB"/>
                      <w14:ligatures w14:val="none"/>
                    </w:rPr>
                    <w:t>95%CI</w:t>
                  </w:r>
                </w:p>
              </w:tc>
              <w:tc>
                <w:tcPr>
                  <w:tcW w:w="0" w:type="auto"/>
                  <w:tcBorders>
                    <w:right w:val="single" w:sz="4" w:space="0" w:color="auto"/>
                  </w:tcBorders>
                  <w:noWrap/>
                  <w:tcMar>
                    <w:top w:w="15" w:type="dxa"/>
                    <w:left w:w="108" w:type="dxa"/>
                    <w:bottom w:w="15" w:type="dxa"/>
                    <w:right w:w="108" w:type="dxa"/>
                  </w:tcMar>
                  <w:vAlign w:val="center"/>
                  <w:hideMark/>
                </w:tcPr>
                <w:p w14:paraId="575BF5E3" w14:textId="77777777" w:rsidR="00392601" w:rsidRPr="00D46C49"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46C49">
                    <w:rPr>
                      <w:rFonts w:eastAsia="Times New Roman" w:cs="Calibri"/>
                      <w:b/>
                      <w:bCs/>
                      <w:color w:val="000000"/>
                      <w:kern w:val="0"/>
                      <w:sz w:val="20"/>
                      <w:szCs w:val="20"/>
                      <w:u w:val="single"/>
                      <w:lang w:eastAsia="en-GB"/>
                      <w14:ligatures w14:val="none"/>
                    </w:rPr>
                    <w:t>trend</w:t>
                  </w:r>
                </w:p>
              </w:tc>
              <w:tc>
                <w:tcPr>
                  <w:tcW w:w="0" w:type="auto"/>
                  <w:tcBorders>
                    <w:left w:val="single" w:sz="4" w:space="0" w:color="auto"/>
                  </w:tcBorders>
                  <w:vAlign w:val="center"/>
                </w:tcPr>
                <w:p w14:paraId="7DF4F99A" w14:textId="77777777" w:rsidR="00392601" w:rsidRPr="00D46C49"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46C49">
                    <w:rPr>
                      <w:rFonts w:eastAsia="Times New Roman" w:cs="Calibri"/>
                      <w:b/>
                      <w:bCs/>
                      <w:color w:val="000000"/>
                      <w:kern w:val="0"/>
                      <w:sz w:val="20"/>
                      <w:szCs w:val="20"/>
                      <w:u w:val="single"/>
                      <w:lang w:eastAsia="en-GB"/>
                      <w14:ligatures w14:val="none"/>
                    </w:rPr>
                    <w:t>sex</w:t>
                  </w:r>
                </w:p>
              </w:tc>
              <w:tc>
                <w:tcPr>
                  <w:tcW w:w="0" w:type="auto"/>
                  <w:vAlign w:val="center"/>
                </w:tcPr>
                <w:p w14:paraId="3A18779D" w14:textId="77777777" w:rsidR="00392601" w:rsidRPr="00D46C49"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46C49">
                    <w:rPr>
                      <w:rFonts w:eastAsia="Times New Roman" w:cs="Calibri"/>
                      <w:b/>
                      <w:bCs/>
                      <w:color w:val="000000"/>
                      <w:kern w:val="0"/>
                      <w:sz w:val="20"/>
                      <w:szCs w:val="20"/>
                      <w:u w:val="single"/>
                      <w:lang w:eastAsia="en-GB"/>
                      <w14:ligatures w14:val="none"/>
                    </w:rPr>
                    <w:t>period</w:t>
                  </w:r>
                </w:p>
              </w:tc>
              <w:tc>
                <w:tcPr>
                  <w:tcW w:w="0" w:type="auto"/>
                  <w:vAlign w:val="center"/>
                </w:tcPr>
                <w:p w14:paraId="57B1A6D0" w14:textId="77777777" w:rsidR="00392601" w:rsidRPr="00D46C49"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46C49">
                    <w:rPr>
                      <w:rFonts w:eastAsia="Times New Roman" w:cs="Calibri"/>
                      <w:b/>
                      <w:bCs/>
                      <w:color w:val="000000"/>
                      <w:kern w:val="0"/>
                      <w:sz w:val="20"/>
                      <w:szCs w:val="20"/>
                      <w:u w:val="single"/>
                      <w:lang w:eastAsia="en-GB"/>
                      <w14:ligatures w14:val="none"/>
                    </w:rPr>
                    <w:t>APC%</w:t>
                  </w:r>
                </w:p>
              </w:tc>
              <w:tc>
                <w:tcPr>
                  <w:tcW w:w="0" w:type="auto"/>
                  <w:vAlign w:val="center"/>
                </w:tcPr>
                <w:p w14:paraId="55595F2A" w14:textId="77777777" w:rsidR="00392601" w:rsidRPr="00D46C49"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46C49">
                    <w:rPr>
                      <w:rFonts w:eastAsia="Times New Roman" w:cs="Calibri"/>
                      <w:b/>
                      <w:bCs/>
                      <w:color w:val="000000"/>
                      <w:kern w:val="0"/>
                      <w:sz w:val="20"/>
                      <w:szCs w:val="20"/>
                      <w:u w:val="single"/>
                      <w:lang w:eastAsia="en-GB"/>
                      <w14:ligatures w14:val="none"/>
                    </w:rPr>
                    <w:t>95%CI</w:t>
                  </w:r>
                </w:p>
              </w:tc>
              <w:tc>
                <w:tcPr>
                  <w:tcW w:w="0" w:type="auto"/>
                  <w:vAlign w:val="center"/>
                </w:tcPr>
                <w:p w14:paraId="60A4B3C9" w14:textId="77777777" w:rsidR="00392601" w:rsidRPr="00D46C49"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46C49">
                    <w:rPr>
                      <w:rFonts w:eastAsia="Times New Roman" w:cs="Calibri"/>
                      <w:b/>
                      <w:bCs/>
                      <w:color w:val="000000"/>
                      <w:kern w:val="0"/>
                      <w:sz w:val="20"/>
                      <w:szCs w:val="20"/>
                      <w:u w:val="single"/>
                      <w:lang w:eastAsia="en-GB"/>
                      <w14:ligatures w14:val="none"/>
                    </w:rPr>
                    <w:t>trend</w:t>
                  </w:r>
                </w:p>
              </w:tc>
            </w:tr>
            <w:tr w:rsidR="00392601" w:rsidRPr="00D46C49" w14:paraId="57BFD1EE" w14:textId="77777777" w:rsidTr="0041177B">
              <w:trPr>
                <w:trHeight w:val="113"/>
              </w:trPr>
              <w:tc>
                <w:tcPr>
                  <w:tcW w:w="0" w:type="auto"/>
                  <w:noWrap/>
                  <w:tcMar>
                    <w:top w:w="15" w:type="dxa"/>
                    <w:left w:w="108" w:type="dxa"/>
                    <w:bottom w:w="15" w:type="dxa"/>
                    <w:right w:w="108" w:type="dxa"/>
                  </w:tcMar>
                  <w:hideMark/>
                </w:tcPr>
                <w:p w14:paraId="61C68472" w14:textId="77777777" w:rsidR="00392601" w:rsidRPr="00D46C49" w:rsidRDefault="00392601" w:rsidP="0041177B">
                  <w:pPr>
                    <w:spacing w:after="0" w:line="240" w:lineRule="auto"/>
                    <w:jc w:val="center"/>
                    <w:rPr>
                      <w:rFonts w:eastAsia="Times New Roman" w:cs="Calibri"/>
                      <w:color w:val="000000"/>
                      <w:kern w:val="0"/>
                      <w:sz w:val="20"/>
                      <w:szCs w:val="20"/>
                      <w:lang w:eastAsia="en-GB"/>
                      <w14:ligatures w14:val="none"/>
                    </w:rPr>
                  </w:pPr>
                  <w:r w:rsidRPr="00D46C49">
                    <w:rPr>
                      <w:rFonts w:cs="Calibri"/>
                      <w:sz w:val="20"/>
                      <w:szCs w:val="20"/>
                    </w:rPr>
                    <w:t>M </w:t>
                  </w:r>
                </w:p>
              </w:tc>
              <w:tc>
                <w:tcPr>
                  <w:tcW w:w="0" w:type="auto"/>
                  <w:noWrap/>
                  <w:tcMar>
                    <w:top w:w="15" w:type="dxa"/>
                    <w:left w:w="108" w:type="dxa"/>
                    <w:bottom w:w="15" w:type="dxa"/>
                    <w:right w:w="108" w:type="dxa"/>
                  </w:tcMar>
                  <w:hideMark/>
                </w:tcPr>
                <w:p w14:paraId="17D3EBB9" w14:textId="77777777" w:rsidR="00392601" w:rsidRPr="00D46C49" w:rsidRDefault="00392601" w:rsidP="0041177B">
                  <w:pPr>
                    <w:spacing w:after="0" w:line="240" w:lineRule="auto"/>
                    <w:jc w:val="center"/>
                    <w:rPr>
                      <w:rFonts w:eastAsia="Times New Roman" w:cs="Calibri"/>
                      <w:color w:val="000000"/>
                      <w:kern w:val="0"/>
                      <w:sz w:val="20"/>
                      <w:szCs w:val="20"/>
                      <w:lang w:eastAsia="en-GB"/>
                      <w14:ligatures w14:val="none"/>
                    </w:rPr>
                  </w:pPr>
                  <w:r w:rsidRPr="00D46C49">
                    <w:rPr>
                      <w:rFonts w:cs="Calibri"/>
                      <w:sz w:val="20"/>
                      <w:szCs w:val="20"/>
                    </w:rPr>
                    <w:t>1994-2022 </w:t>
                  </w:r>
                </w:p>
              </w:tc>
              <w:tc>
                <w:tcPr>
                  <w:tcW w:w="0" w:type="auto"/>
                  <w:noWrap/>
                  <w:tcMar>
                    <w:top w:w="15" w:type="dxa"/>
                    <w:left w:w="108" w:type="dxa"/>
                    <w:bottom w:w="15" w:type="dxa"/>
                    <w:right w:w="108" w:type="dxa"/>
                  </w:tcMar>
                  <w:hideMark/>
                </w:tcPr>
                <w:p w14:paraId="3806D7AC" w14:textId="77777777" w:rsidR="00392601" w:rsidRPr="00D46C49" w:rsidRDefault="00392601" w:rsidP="0041177B">
                  <w:pPr>
                    <w:spacing w:after="0" w:line="240" w:lineRule="auto"/>
                    <w:jc w:val="center"/>
                    <w:rPr>
                      <w:rFonts w:eastAsia="Times New Roman" w:cs="Calibri"/>
                      <w:color w:val="000000"/>
                      <w:kern w:val="0"/>
                      <w:sz w:val="20"/>
                      <w:szCs w:val="20"/>
                      <w:lang w:eastAsia="en-GB"/>
                      <w14:ligatures w14:val="none"/>
                    </w:rPr>
                  </w:pPr>
                  <w:r w:rsidRPr="00D46C49">
                    <w:rPr>
                      <w:rFonts w:cs="Calibri"/>
                      <w:sz w:val="20"/>
                      <w:szCs w:val="20"/>
                    </w:rPr>
                    <w:t>-0.6</w:t>
                  </w:r>
                </w:p>
              </w:tc>
              <w:tc>
                <w:tcPr>
                  <w:tcW w:w="0" w:type="auto"/>
                  <w:noWrap/>
                  <w:tcMar>
                    <w:top w:w="15" w:type="dxa"/>
                    <w:left w:w="108" w:type="dxa"/>
                    <w:bottom w:w="15" w:type="dxa"/>
                    <w:right w:w="108" w:type="dxa"/>
                  </w:tcMar>
                  <w:hideMark/>
                </w:tcPr>
                <w:p w14:paraId="798CB58D" w14:textId="77777777" w:rsidR="00392601" w:rsidRPr="00D46C49" w:rsidRDefault="00392601" w:rsidP="0041177B">
                  <w:pPr>
                    <w:spacing w:after="0" w:line="240" w:lineRule="auto"/>
                    <w:jc w:val="center"/>
                    <w:rPr>
                      <w:rFonts w:eastAsia="Times New Roman" w:cs="Calibri"/>
                      <w:color w:val="000000"/>
                      <w:kern w:val="0"/>
                      <w:sz w:val="20"/>
                      <w:szCs w:val="20"/>
                      <w:lang w:eastAsia="en-GB"/>
                      <w14:ligatures w14:val="none"/>
                    </w:rPr>
                  </w:pPr>
                  <w:r w:rsidRPr="00D46C49">
                    <w:rPr>
                      <w:rFonts w:cs="Calibri"/>
                      <w:sz w:val="20"/>
                      <w:szCs w:val="20"/>
                    </w:rPr>
                    <w:t>-2.0, 0.8</w:t>
                  </w:r>
                </w:p>
              </w:tc>
              <w:tc>
                <w:tcPr>
                  <w:tcW w:w="0" w:type="auto"/>
                  <w:tcBorders>
                    <w:right w:val="single" w:sz="4" w:space="0" w:color="auto"/>
                  </w:tcBorders>
                  <w:noWrap/>
                  <w:tcMar>
                    <w:top w:w="15" w:type="dxa"/>
                    <w:left w:w="108" w:type="dxa"/>
                    <w:bottom w:w="15" w:type="dxa"/>
                    <w:right w:w="108" w:type="dxa"/>
                  </w:tcMar>
                  <w:hideMark/>
                </w:tcPr>
                <w:p w14:paraId="261DDAC9" w14:textId="77777777" w:rsidR="00392601" w:rsidRPr="00D46C49" w:rsidRDefault="00392601" w:rsidP="0041177B">
                  <w:pPr>
                    <w:spacing w:after="0" w:line="240" w:lineRule="auto"/>
                    <w:jc w:val="center"/>
                    <w:rPr>
                      <w:rFonts w:eastAsia="Times New Roman" w:cs="Calibri"/>
                      <w:color w:val="000000"/>
                      <w:kern w:val="0"/>
                      <w:sz w:val="20"/>
                      <w:szCs w:val="20"/>
                      <w:lang w:eastAsia="en-GB"/>
                      <w14:ligatures w14:val="none"/>
                    </w:rPr>
                  </w:pPr>
                  <w:r w:rsidRPr="00D46C49">
                    <w:rPr>
                      <w:rFonts w:cs="Calibri"/>
                      <w:sz w:val="20"/>
                      <w:szCs w:val="20"/>
                    </w:rPr>
                    <w:t>flat</w:t>
                  </w:r>
                </w:p>
              </w:tc>
              <w:tc>
                <w:tcPr>
                  <w:tcW w:w="0" w:type="auto"/>
                  <w:tcBorders>
                    <w:left w:val="single" w:sz="4" w:space="0" w:color="auto"/>
                  </w:tcBorders>
                </w:tcPr>
                <w:p w14:paraId="625F0E89" w14:textId="77777777" w:rsidR="00392601" w:rsidRPr="00D46C49" w:rsidRDefault="00392601" w:rsidP="0041177B">
                  <w:pPr>
                    <w:spacing w:after="0" w:line="240" w:lineRule="auto"/>
                    <w:jc w:val="center"/>
                    <w:rPr>
                      <w:rFonts w:cs="Calibri"/>
                      <w:sz w:val="20"/>
                      <w:szCs w:val="20"/>
                    </w:rPr>
                  </w:pPr>
                  <w:r w:rsidRPr="00D46C49">
                    <w:rPr>
                      <w:rFonts w:cs="Calibri"/>
                      <w:sz w:val="20"/>
                      <w:szCs w:val="20"/>
                    </w:rPr>
                    <w:t>F </w:t>
                  </w:r>
                </w:p>
              </w:tc>
              <w:tc>
                <w:tcPr>
                  <w:tcW w:w="0" w:type="auto"/>
                </w:tcPr>
                <w:p w14:paraId="73BD7C7A" w14:textId="77777777" w:rsidR="00392601" w:rsidRPr="00D46C49" w:rsidRDefault="00392601" w:rsidP="0041177B">
                  <w:pPr>
                    <w:spacing w:after="0" w:line="240" w:lineRule="auto"/>
                    <w:jc w:val="center"/>
                    <w:rPr>
                      <w:rFonts w:cs="Calibri"/>
                      <w:sz w:val="20"/>
                      <w:szCs w:val="20"/>
                    </w:rPr>
                  </w:pPr>
                  <w:r w:rsidRPr="00D46C49">
                    <w:rPr>
                      <w:rFonts w:cs="Calibri"/>
                      <w:sz w:val="20"/>
                      <w:szCs w:val="20"/>
                    </w:rPr>
                    <w:t>1994-2022 </w:t>
                  </w:r>
                </w:p>
              </w:tc>
              <w:tc>
                <w:tcPr>
                  <w:tcW w:w="0" w:type="auto"/>
                </w:tcPr>
                <w:p w14:paraId="475D44F0" w14:textId="77777777" w:rsidR="00392601" w:rsidRPr="00D46C49" w:rsidRDefault="00392601" w:rsidP="0041177B">
                  <w:pPr>
                    <w:spacing w:after="0" w:line="240" w:lineRule="auto"/>
                    <w:jc w:val="center"/>
                    <w:rPr>
                      <w:rFonts w:cs="Calibri"/>
                      <w:sz w:val="20"/>
                      <w:szCs w:val="20"/>
                    </w:rPr>
                  </w:pPr>
                  <w:r w:rsidRPr="00D46C49">
                    <w:rPr>
                      <w:rFonts w:cs="Calibri"/>
                      <w:sz w:val="20"/>
                      <w:szCs w:val="20"/>
                    </w:rPr>
                    <w:t>3</w:t>
                  </w:r>
                </w:p>
              </w:tc>
              <w:tc>
                <w:tcPr>
                  <w:tcW w:w="0" w:type="auto"/>
                </w:tcPr>
                <w:p w14:paraId="602A8553" w14:textId="77777777" w:rsidR="00392601" w:rsidRPr="00D46C49" w:rsidRDefault="00392601" w:rsidP="0041177B">
                  <w:pPr>
                    <w:spacing w:after="0" w:line="240" w:lineRule="auto"/>
                    <w:jc w:val="center"/>
                    <w:rPr>
                      <w:rFonts w:cs="Calibri"/>
                      <w:sz w:val="20"/>
                      <w:szCs w:val="20"/>
                    </w:rPr>
                  </w:pPr>
                  <w:r w:rsidRPr="00D46C49">
                    <w:rPr>
                      <w:rFonts w:cs="Calibri"/>
                      <w:sz w:val="20"/>
                      <w:szCs w:val="20"/>
                    </w:rPr>
                    <w:t>1.0, 5.2</w:t>
                  </w:r>
                </w:p>
              </w:tc>
              <w:tc>
                <w:tcPr>
                  <w:tcW w:w="0" w:type="auto"/>
                </w:tcPr>
                <w:p w14:paraId="5A49AEB2" w14:textId="77777777" w:rsidR="00392601" w:rsidRPr="00D46C49" w:rsidRDefault="00392601" w:rsidP="0041177B">
                  <w:pPr>
                    <w:spacing w:after="0" w:line="240" w:lineRule="auto"/>
                    <w:jc w:val="center"/>
                    <w:rPr>
                      <w:rFonts w:cs="Calibri"/>
                      <w:sz w:val="20"/>
                      <w:szCs w:val="20"/>
                    </w:rPr>
                  </w:pPr>
                  <w:r w:rsidRPr="00D46C49">
                    <w:rPr>
                      <w:rFonts w:cs="Calibri"/>
                      <w:sz w:val="20"/>
                      <w:szCs w:val="20"/>
                    </w:rPr>
                    <w:t>up </w:t>
                  </w:r>
                </w:p>
              </w:tc>
            </w:tr>
          </w:tbl>
          <w:p w14:paraId="74E58D8C" w14:textId="77777777" w:rsidR="00392601" w:rsidRPr="00F42967" w:rsidRDefault="00392601" w:rsidP="0041177B">
            <w:pPr>
              <w:jc w:val="center"/>
              <w:rPr>
                <w:rFonts w:eastAsia="Times New Roman" w:cs="Calibri"/>
                <w:b/>
                <w:bCs/>
                <w:color w:val="000000"/>
                <w:sz w:val="14"/>
                <w:szCs w:val="14"/>
                <w:u w:val="single"/>
                <w:lang w:eastAsia="en-GB"/>
              </w:rPr>
            </w:pPr>
          </w:p>
        </w:tc>
      </w:tr>
      <w:tr w:rsidR="00392601" w:rsidRPr="002161E6" w14:paraId="197F5DB7" w14:textId="77777777" w:rsidTr="00C13E0E">
        <w:trPr>
          <w:trHeight w:val="567"/>
        </w:trPr>
        <w:tc>
          <w:tcPr>
            <w:tcW w:w="9692" w:type="dxa"/>
            <w:vAlign w:val="center"/>
          </w:tcPr>
          <w:p w14:paraId="71C54C2F" w14:textId="77777777" w:rsidR="00392601" w:rsidRPr="00F42967" w:rsidRDefault="00392601" w:rsidP="0041177B">
            <w:pPr>
              <w:pBdr>
                <w:bottom w:val="single" w:sz="4" w:space="1" w:color="auto"/>
              </w:pBdr>
              <w:rPr>
                <w:rFonts w:asciiTheme="minorHAnsi" w:hAnsiTheme="minorHAnsi"/>
                <w:bCs/>
                <w:sz w:val="18"/>
                <w:szCs w:val="16"/>
              </w:rPr>
            </w:pPr>
            <w:r w:rsidRPr="002161E6">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3908966B" w14:textId="77777777" w:rsidR="00392601" w:rsidRPr="00F42967" w:rsidRDefault="00392601" w:rsidP="0041177B">
            <w:pPr>
              <w:rPr>
                <w:rFonts w:asciiTheme="minorHAnsi" w:hAnsiTheme="minorHAnsi"/>
                <w:b/>
                <w:bCs/>
                <w:noProof/>
                <w:sz w:val="14"/>
                <w:szCs w:val="14"/>
                <w:u w:val="single"/>
              </w:rPr>
            </w:pPr>
          </w:p>
        </w:tc>
      </w:tr>
    </w:tbl>
    <w:p w14:paraId="463AFCF6" w14:textId="77777777" w:rsidR="00392601" w:rsidRDefault="00392601" w:rsidP="00392601">
      <w:pPr>
        <w:spacing w:after="0" w:line="240" w:lineRule="auto"/>
        <w:sectPr w:rsidR="00392601" w:rsidSect="002746C0">
          <w:pgSz w:w="11906" w:h="16838"/>
          <w:pgMar w:top="1440" w:right="1440" w:bottom="1440" w:left="1440" w:header="708" w:footer="708" w:gutter="0"/>
          <w:cols w:space="708"/>
          <w:docGrid w:linePitch="360"/>
        </w:sectPr>
      </w:pPr>
    </w:p>
    <w:p w14:paraId="60074E25" w14:textId="77777777" w:rsidR="00392601" w:rsidRDefault="00392601" w:rsidP="00392601">
      <w:pPr>
        <w:pStyle w:val="Heading3"/>
        <w:spacing w:before="0" w:after="0" w:line="240" w:lineRule="auto"/>
      </w:pPr>
      <w:bookmarkStart w:id="117" w:name="_Toc197557064"/>
      <w:bookmarkStart w:id="118" w:name="_Toc201512458"/>
      <w:r>
        <w:t>V</w:t>
      </w:r>
      <w:r w:rsidRPr="00E825A8">
        <w:t>ariation by deprivation quintile</w:t>
      </w:r>
      <w:bookmarkEnd w:id="117"/>
      <w:bookmarkEnd w:id="118"/>
    </w:p>
    <w:p w14:paraId="134DC70C" w14:textId="62A849A1" w:rsidR="00392601" w:rsidRDefault="00392601" w:rsidP="00392601">
      <w:pPr>
        <w:spacing w:after="0" w:line="240" w:lineRule="auto"/>
        <w:rPr>
          <w:rFonts w:cstheme="minorHAnsi"/>
          <w:color w:val="000000" w:themeColor="text1"/>
        </w:rPr>
      </w:pPr>
      <w:r w:rsidRPr="00D5198D">
        <w:rPr>
          <w:rFonts w:cstheme="minorHAnsi"/>
          <w:color w:val="000000" w:themeColor="text1"/>
        </w:rPr>
        <w:t xml:space="preserve">Age-standardised incidence rates of </w:t>
      </w:r>
      <w:r>
        <w:rPr>
          <w:rFonts w:cstheme="minorHAnsi"/>
        </w:rPr>
        <w:t>nasopharyngeal</w:t>
      </w:r>
      <w:r w:rsidRPr="00D5198D">
        <w:rPr>
          <w:rFonts w:cstheme="minorHAnsi"/>
        </w:rPr>
        <w:t xml:space="preserve"> cancer </w:t>
      </w:r>
      <w:r w:rsidRPr="00D5198D">
        <w:rPr>
          <w:rFonts w:cstheme="minorHAnsi"/>
          <w:color w:val="000000" w:themeColor="text1"/>
        </w:rPr>
        <w:t xml:space="preserve">in 2014-2018 ranged </w:t>
      </w:r>
      <w:r>
        <w:rPr>
          <w:rFonts w:cstheme="minorHAnsi"/>
          <w:color w:val="000000" w:themeColor="text1"/>
        </w:rPr>
        <w:t>from 0.4-0.6</w:t>
      </w:r>
      <w:r w:rsidRPr="00D5198D">
        <w:rPr>
          <w:rFonts w:cstheme="minorHAnsi"/>
          <w:color w:val="000000" w:themeColor="text1"/>
        </w:rPr>
        <w:t xml:space="preserve"> cases per 100,000 from the least to the most deprived quintiles (Figure </w:t>
      </w:r>
      <w:r w:rsidR="001C767A">
        <w:rPr>
          <w:rFonts w:cstheme="minorHAnsi"/>
          <w:color w:val="000000" w:themeColor="text1"/>
        </w:rPr>
        <w:t>7.3</w:t>
      </w:r>
      <w:r w:rsidRPr="00D5198D">
        <w:rPr>
          <w:rFonts w:cstheme="minorHAnsi"/>
          <w:color w:val="000000" w:themeColor="text1"/>
        </w:rPr>
        <w:t>).</w:t>
      </w:r>
      <w:r>
        <w:rPr>
          <w:rFonts w:cstheme="minorHAnsi"/>
          <w:color w:val="000000" w:themeColor="text1"/>
        </w:rPr>
        <w:t xml:space="preserve"> Very little</w:t>
      </w:r>
      <w:r w:rsidRPr="00D5198D">
        <w:rPr>
          <w:rFonts w:cstheme="minorHAnsi"/>
          <w:color w:val="000000" w:themeColor="text1"/>
        </w:rPr>
        <w:t xml:space="preserve"> difference </w:t>
      </w:r>
      <w:r>
        <w:rPr>
          <w:rFonts w:cstheme="minorHAnsi"/>
          <w:color w:val="000000" w:themeColor="text1"/>
        </w:rPr>
        <w:t xml:space="preserve">was </w:t>
      </w:r>
      <w:r w:rsidR="001C767A">
        <w:rPr>
          <w:rFonts w:cstheme="minorHAnsi"/>
          <w:color w:val="000000" w:themeColor="text1"/>
        </w:rPr>
        <w:t>observed</w:t>
      </w:r>
      <w:r>
        <w:rPr>
          <w:rFonts w:cstheme="minorHAnsi"/>
          <w:color w:val="000000" w:themeColor="text1"/>
        </w:rPr>
        <w:t xml:space="preserve"> </w:t>
      </w:r>
      <w:r w:rsidRPr="00D5198D">
        <w:rPr>
          <w:rFonts w:cstheme="minorHAnsi"/>
          <w:color w:val="000000" w:themeColor="text1"/>
        </w:rPr>
        <w:t xml:space="preserve">in rates of </w:t>
      </w:r>
      <w:r>
        <w:rPr>
          <w:rFonts w:cstheme="minorHAnsi"/>
          <w:color w:val="000000" w:themeColor="text1"/>
        </w:rPr>
        <w:t>nasopharyngeal</w:t>
      </w:r>
      <w:r w:rsidRPr="00D5198D">
        <w:rPr>
          <w:rFonts w:cstheme="minorHAnsi"/>
          <w:color w:val="000000" w:themeColor="text1"/>
        </w:rPr>
        <w:t xml:space="preserve"> cancer between the most and least deprived quintiles for males (</w:t>
      </w:r>
      <w:r>
        <w:rPr>
          <w:rFonts w:cstheme="minorHAnsi"/>
          <w:color w:val="000000" w:themeColor="text1"/>
        </w:rPr>
        <w:t>0.6</w:t>
      </w:r>
      <w:r w:rsidRPr="00D5198D">
        <w:rPr>
          <w:rFonts w:cstheme="minorHAnsi"/>
          <w:color w:val="000000" w:themeColor="text1"/>
        </w:rPr>
        <w:t xml:space="preserve"> for least deprived and </w:t>
      </w:r>
      <w:r>
        <w:rPr>
          <w:rFonts w:cstheme="minorHAnsi"/>
          <w:color w:val="000000" w:themeColor="text1"/>
        </w:rPr>
        <w:t>0.8</w:t>
      </w:r>
      <w:r w:rsidRPr="00D5198D">
        <w:rPr>
          <w:rFonts w:cstheme="minorHAnsi"/>
          <w:color w:val="000000" w:themeColor="text1"/>
        </w:rPr>
        <w:t xml:space="preserve"> for most deprived)</w:t>
      </w:r>
      <w:r>
        <w:rPr>
          <w:rFonts w:cstheme="minorHAnsi"/>
          <w:color w:val="000000" w:themeColor="text1"/>
        </w:rPr>
        <w:t xml:space="preserve"> and</w:t>
      </w:r>
      <w:r w:rsidRPr="00D5198D">
        <w:rPr>
          <w:rFonts w:cstheme="minorHAnsi"/>
          <w:color w:val="000000" w:themeColor="text1"/>
        </w:rPr>
        <w:t xml:space="preserve"> females (</w:t>
      </w:r>
      <w:r>
        <w:rPr>
          <w:rFonts w:cstheme="minorHAnsi"/>
          <w:color w:val="000000" w:themeColor="text1"/>
        </w:rPr>
        <w:t>0.3</w:t>
      </w:r>
      <w:r w:rsidRPr="00D5198D">
        <w:rPr>
          <w:rFonts w:cstheme="minorHAnsi"/>
          <w:color w:val="000000" w:themeColor="text1"/>
        </w:rPr>
        <w:t xml:space="preserve"> for least deprived and </w:t>
      </w:r>
      <w:r>
        <w:rPr>
          <w:rFonts w:cstheme="minorHAnsi"/>
          <w:color w:val="000000" w:themeColor="text1"/>
        </w:rPr>
        <w:t>0.4</w:t>
      </w:r>
      <w:r w:rsidRPr="00D5198D">
        <w:rPr>
          <w:rFonts w:cstheme="minorHAnsi"/>
          <w:color w:val="000000" w:themeColor="text1"/>
        </w:rPr>
        <w:t xml:space="preserve"> for most deprived).</w:t>
      </w:r>
    </w:p>
    <w:p w14:paraId="29D9D687" w14:textId="77777777" w:rsidR="00392601" w:rsidRPr="00D5198D" w:rsidRDefault="00392601" w:rsidP="00392601">
      <w:pPr>
        <w:spacing w:after="0" w:line="240" w:lineRule="auto"/>
        <w:rPr>
          <w:rFonts w:cstheme="minorHAnsi"/>
          <w:color w:val="000000" w:themeColor="text1"/>
        </w:rPr>
      </w:pPr>
    </w:p>
    <w:tbl>
      <w:tblPr>
        <w:tblStyle w:val="TableGrid"/>
        <w:tblW w:w="977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259"/>
        <w:gridCol w:w="3260"/>
      </w:tblGrid>
      <w:tr w:rsidR="00392601" w:rsidRPr="00C63CA0" w14:paraId="332753D8" w14:textId="77777777" w:rsidTr="0041177B">
        <w:trPr>
          <w:trHeight w:val="113"/>
        </w:trPr>
        <w:tc>
          <w:tcPr>
            <w:tcW w:w="9778" w:type="dxa"/>
            <w:gridSpan w:val="3"/>
            <w:shd w:val="clear" w:color="auto" w:fill="002060"/>
            <w:hideMark/>
          </w:tcPr>
          <w:p w14:paraId="2507B13E" w14:textId="1FA08A15" w:rsidR="00392601" w:rsidRPr="001C767A" w:rsidRDefault="00392601" w:rsidP="0041177B">
            <w:pPr>
              <w:rPr>
                <w:rFonts w:asciiTheme="minorHAnsi" w:hAnsiTheme="minorHAnsi" w:cstheme="minorHAnsi"/>
                <w:b/>
                <w:bCs/>
                <w:color w:val="FFFFFF" w:themeColor="background1"/>
              </w:rPr>
            </w:pPr>
            <w:r w:rsidRPr="001C767A">
              <w:rPr>
                <w:rFonts w:asciiTheme="minorHAnsi" w:hAnsiTheme="minorHAnsi" w:cstheme="minorHAnsi"/>
                <w:b/>
                <w:bCs/>
                <w:color w:val="FFFFFF" w:themeColor="background1"/>
              </w:rPr>
              <w:t xml:space="preserve">Figure </w:t>
            </w:r>
            <w:r w:rsidR="001C767A" w:rsidRPr="001C767A">
              <w:rPr>
                <w:rFonts w:asciiTheme="minorHAnsi" w:hAnsiTheme="minorHAnsi" w:cstheme="minorHAnsi"/>
                <w:b/>
                <w:bCs/>
                <w:color w:val="FFFFFF" w:themeColor="background1"/>
              </w:rPr>
              <w:t>7.3</w:t>
            </w:r>
            <w:r w:rsidR="001C767A">
              <w:rPr>
                <w:rFonts w:asciiTheme="minorHAnsi" w:hAnsiTheme="minorHAnsi" w:cstheme="minorHAnsi"/>
                <w:b/>
                <w:bCs/>
                <w:color w:val="FFFFFF" w:themeColor="background1"/>
              </w:rPr>
              <w:t>:</w:t>
            </w:r>
            <w:r w:rsidRPr="001C767A">
              <w:rPr>
                <w:rFonts w:asciiTheme="minorHAnsi" w:hAnsiTheme="minorHAnsi" w:cstheme="minorHAnsi"/>
                <w:b/>
                <w:bCs/>
                <w:color w:val="FFFFFF" w:themeColor="background1"/>
              </w:rPr>
              <w:t xml:space="preserve"> Incidence rate (per 100,000) for nasopharyngeal cancer by deprivation quintile, 2014-2018</w:t>
            </w:r>
          </w:p>
        </w:tc>
      </w:tr>
      <w:tr w:rsidR="00392601" w:rsidRPr="00C63CA0" w14:paraId="20B8CF3E" w14:textId="77777777" w:rsidTr="0041177B">
        <w:trPr>
          <w:trHeight w:val="113"/>
        </w:trPr>
        <w:tc>
          <w:tcPr>
            <w:tcW w:w="3259" w:type="dxa"/>
            <w:hideMark/>
          </w:tcPr>
          <w:p w14:paraId="06C8416A" w14:textId="77777777" w:rsidR="00392601" w:rsidRPr="00C63CA0" w:rsidRDefault="00392601" w:rsidP="0041177B">
            <w:pPr>
              <w:jc w:val="center"/>
              <w:rPr>
                <w:rFonts w:asciiTheme="minorHAnsi" w:hAnsiTheme="minorHAnsi" w:cstheme="minorHAnsi"/>
                <w:color w:val="000000" w:themeColor="text1"/>
              </w:rPr>
            </w:pPr>
            <w:r w:rsidRPr="00C63CA0">
              <w:rPr>
                <w:rFonts w:asciiTheme="minorHAnsi" w:hAnsiTheme="minorHAnsi" w:cstheme="minorHAnsi"/>
                <w:color w:val="000000" w:themeColor="text1"/>
              </w:rPr>
              <w:t>Total</w:t>
            </w:r>
          </w:p>
        </w:tc>
        <w:tc>
          <w:tcPr>
            <w:tcW w:w="3260" w:type="dxa"/>
          </w:tcPr>
          <w:p w14:paraId="4B823EF9" w14:textId="77777777" w:rsidR="00392601" w:rsidRPr="00C63CA0" w:rsidRDefault="00392601" w:rsidP="0041177B">
            <w:pPr>
              <w:jc w:val="center"/>
              <w:rPr>
                <w:rFonts w:asciiTheme="minorHAnsi" w:hAnsiTheme="minorHAnsi" w:cstheme="minorHAnsi"/>
                <w:color w:val="000000" w:themeColor="text1"/>
              </w:rPr>
            </w:pPr>
            <w:r w:rsidRPr="00C63CA0">
              <w:rPr>
                <w:rFonts w:asciiTheme="minorHAnsi" w:hAnsiTheme="minorHAnsi" w:cstheme="minorHAnsi"/>
                <w:color w:val="000000" w:themeColor="text1"/>
              </w:rPr>
              <w:t>Males</w:t>
            </w:r>
          </w:p>
        </w:tc>
        <w:tc>
          <w:tcPr>
            <w:tcW w:w="3259" w:type="dxa"/>
          </w:tcPr>
          <w:p w14:paraId="5EB6AA86" w14:textId="77777777" w:rsidR="00392601" w:rsidRPr="00F42967" w:rsidRDefault="00392601" w:rsidP="0041177B">
            <w:pPr>
              <w:jc w:val="center"/>
              <w:rPr>
                <w:rFonts w:asciiTheme="minorHAnsi" w:hAnsiTheme="minorHAnsi" w:cstheme="minorHAnsi"/>
                <w:color w:val="000000" w:themeColor="text1"/>
              </w:rPr>
            </w:pPr>
            <w:r w:rsidRPr="00D46C49">
              <w:rPr>
                <w:rFonts w:asciiTheme="minorHAnsi" w:hAnsiTheme="minorHAnsi" w:cstheme="minorHAnsi"/>
                <w:color w:val="000000" w:themeColor="text1"/>
              </w:rPr>
              <w:t>Females</w:t>
            </w:r>
          </w:p>
        </w:tc>
      </w:tr>
      <w:tr w:rsidR="00392601" w:rsidRPr="00C63CA0" w14:paraId="0EDDBB71" w14:textId="77777777" w:rsidTr="0041177B">
        <w:trPr>
          <w:trHeight w:val="113"/>
        </w:trPr>
        <w:tc>
          <w:tcPr>
            <w:tcW w:w="3259" w:type="dxa"/>
          </w:tcPr>
          <w:p w14:paraId="6CF33AF6" w14:textId="77777777" w:rsidR="00392601" w:rsidRPr="00C63CA0" w:rsidRDefault="00392601" w:rsidP="0041177B">
            <w:pPr>
              <w:jc w:val="center"/>
              <w:rPr>
                <w:rFonts w:asciiTheme="minorHAnsi" w:hAnsiTheme="minorHAnsi" w:cstheme="minorHAnsi"/>
                <w:color w:val="000000" w:themeColor="text1"/>
              </w:rPr>
            </w:pPr>
            <w:r w:rsidRPr="00081746">
              <w:rPr>
                <w:rFonts w:cstheme="minorHAnsi"/>
                <w:noProof/>
                <w:color w:val="000000" w:themeColor="text1"/>
              </w:rPr>
              <w:drawing>
                <wp:inline distT="0" distB="0" distL="0" distR="0" wp14:anchorId="0AE35788" wp14:editId="00B2DD01">
                  <wp:extent cx="1641807" cy="1436400"/>
                  <wp:effectExtent l="0" t="0" r="0" b="0"/>
                  <wp:docPr id="829160919" name="Picture 16" descr="A graph of numbers and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160919" name="Picture 16" descr="A graph of numbers and a number of objects&#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41807" cy="1436400"/>
                          </a:xfrm>
                          <a:prstGeom prst="rect">
                            <a:avLst/>
                          </a:prstGeom>
                          <a:noFill/>
                        </pic:spPr>
                      </pic:pic>
                    </a:graphicData>
                  </a:graphic>
                </wp:inline>
              </w:drawing>
            </w:r>
          </w:p>
        </w:tc>
        <w:tc>
          <w:tcPr>
            <w:tcW w:w="3260" w:type="dxa"/>
          </w:tcPr>
          <w:p w14:paraId="4A29ED79" w14:textId="77777777" w:rsidR="00392601" w:rsidRPr="00C63CA0" w:rsidRDefault="00392601" w:rsidP="0041177B">
            <w:pPr>
              <w:jc w:val="center"/>
              <w:rPr>
                <w:rFonts w:asciiTheme="minorHAnsi" w:hAnsiTheme="minorHAnsi" w:cstheme="minorHAnsi"/>
                <w:color w:val="000000" w:themeColor="text1"/>
              </w:rPr>
            </w:pPr>
            <w:r w:rsidRPr="00081746">
              <w:rPr>
                <w:rFonts w:eastAsia="Times New Roman" w:cs="Times New Roman"/>
                <w:noProof/>
                <w:lang w:eastAsia="en-GB"/>
              </w:rPr>
              <w:drawing>
                <wp:inline distT="0" distB="0" distL="0" distR="0" wp14:anchorId="2986BE10" wp14:editId="5175DCFF">
                  <wp:extent cx="1641807" cy="1436400"/>
                  <wp:effectExtent l="0" t="0" r="0" b="0"/>
                  <wp:docPr id="19567027" name="Picture 17"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027" name="Picture 17" descr="A graph with numbers and lines&#10;&#10;AI-generated content may be incorrec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41807" cy="1436400"/>
                          </a:xfrm>
                          <a:prstGeom prst="rect">
                            <a:avLst/>
                          </a:prstGeom>
                          <a:noFill/>
                        </pic:spPr>
                      </pic:pic>
                    </a:graphicData>
                  </a:graphic>
                </wp:inline>
              </w:drawing>
            </w:r>
          </w:p>
        </w:tc>
        <w:tc>
          <w:tcPr>
            <w:tcW w:w="3259" w:type="dxa"/>
          </w:tcPr>
          <w:p w14:paraId="45880968" w14:textId="77777777" w:rsidR="00392601" w:rsidRPr="00F42967" w:rsidRDefault="00392601" w:rsidP="0041177B">
            <w:pPr>
              <w:jc w:val="center"/>
              <w:rPr>
                <w:rFonts w:asciiTheme="minorHAnsi" w:hAnsiTheme="minorHAnsi" w:cstheme="minorHAnsi"/>
                <w:color w:val="000000" w:themeColor="text1"/>
              </w:rPr>
            </w:pPr>
            <w:r w:rsidRPr="00081746">
              <w:rPr>
                <w:rFonts w:cstheme="minorHAnsi"/>
                <w:noProof/>
                <w:color w:val="000000" w:themeColor="text1"/>
              </w:rPr>
              <w:drawing>
                <wp:inline distT="0" distB="0" distL="0" distR="0" wp14:anchorId="081E203C" wp14:editId="2F5A9679">
                  <wp:extent cx="1933200" cy="1436400"/>
                  <wp:effectExtent l="0" t="0" r="0" b="0"/>
                  <wp:docPr id="1861700628" name="Picture 18" descr="A graph with numbers and lin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1700628" name="Picture 18" descr="A graph with numbers and lines&#10;&#10;AI-generated content may be incorrect."/>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33200" cy="1436400"/>
                          </a:xfrm>
                          <a:prstGeom prst="rect">
                            <a:avLst/>
                          </a:prstGeom>
                          <a:noFill/>
                        </pic:spPr>
                      </pic:pic>
                    </a:graphicData>
                  </a:graphic>
                </wp:inline>
              </w:drawing>
            </w:r>
          </w:p>
        </w:tc>
      </w:tr>
    </w:tbl>
    <w:p w14:paraId="221CC9F0" w14:textId="77777777" w:rsidR="0080459B" w:rsidRDefault="0080459B" w:rsidP="0080459B">
      <w:bookmarkStart w:id="119" w:name="_Toc197557065"/>
    </w:p>
    <w:p w14:paraId="40E964C4" w14:textId="77777777" w:rsidR="00392601" w:rsidRDefault="00392601" w:rsidP="00392601">
      <w:pPr>
        <w:pStyle w:val="Heading2"/>
        <w:spacing w:before="0" w:after="0" w:line="240" w:lineRule="auto"/>
      </w:pPr>
      <w:bookmarkStart w:id="120" w:name="_Toc201512459"/>
      <w:r>
        <w:t>Mortality</w:t>
      </w:r>
      <w:bookmarkEnd w:id="119"/>
      <w:bookmarkEnd w:id="120"/>
    </w:p>
    <w:p w14:paraId="54CB7D28" w14:textId="588B224A" w:rsidR="00392601" w:rsidRPr="0060360C" w:rsidRDefault="00392601" w:rsidP="00392601">
      <w:pPr>
        <w:spacing w:after="0" w:line="240" w:lineRule="auto"/>
      </w:pPr>
      <w:r w:rsidRPr="0060360C">
        <w:t>Age-standardised mortality rates of nasopharyn</w:t>
      </w:r>
      <w:r>
        <w:t>geal</w:t>
      </w:r>
      <w:r w:rsidRPr="0060360C">
        <w:t xml:space="preserve"> cancer </w:t>
      </w:r>
      <w:r w:rsidR="005D16CA">
        <w:t xml:space="preserve">during the period </w:t>
      </w:r>
      <w:r w:rsidRPr="0060360C">
        <w:t xml:space="preserve">1994-2022 were 0.4 deaths per 100,000 males and 0.1 deaths per 100,000 females per year. Figure </w:t>
      </w:r>
      <w:r w:rsidR="006205D4">
        <w:t>7.4</w:t>
      </w:r>
      <w:r w:rsidRPr="0060360C">
        <w:t xml:space="preserve"> breaks this down further by sex and age group. </w:t>
      </w:r>
      <w:r>
        <w:t>M</w:t>
      </w:r>
      <w:r w:rsidRPr="0060360C">
        <w:t>ortality rate</w:t>
      </w:r>
      <w:r>
        <w:t xml:space="preserve">s </w:t>
      </w:r>
      <w:r w:rsidR="005D16CA">
        <w:t>tended to be</w:t>
      </w:r>
      <w:r>
        <w:t xml:space="preserve"> higher in older age groups</w:t>
      </w:r>
      <w:r w:rsidRPr="0060360C">
        <w:t xml:space="preserve"> regardless of sex.</w:t>
      </w:r>
    </w:p>
    <w:p w14:paraId="1D8D4C16" w14:textId="77777777" w:rsidR="00392601" w:rsidRPr="005648D7" w:rsidRDefault="00392601" w:rsidP="00392601">
      <w:pPr>
        <w:spacing w:after="0" w:line="240" w:lineRule="auto"/>
        <w:rPr>
          <w:highlight w:val="yellow"/>
        </w:rPr>
      </w:pPr>
    </w:p>
    <w:tbl>
      <w:tblPr>
        <w:tblStyle w:val="TableGrid"/>
        <w:tblW w:w="976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256"/>
        <w:gridCol w:w="3256"/>
      </w:tblGrid>
      <w:tr w:rsidR="00392601" w:rsidRPr="005648D7" w14:paraId="0D3629D5" w14:textId="77777777" w:rsidTr="0041177B">
        <w:trPr>
          <w:trHeight w:val="113"/>
        </w:trPr>
        <w:tc>
          <w:tcPr>
            <w:tcW w:w="9768" w:type="dxa"/>
            <w:gridSpan w:val="3"/>
            <w:shd w:val="clear" w:color="auto" w:fill="002060"/>
            <w:hideMark/>
          </w:tcPr>
          <w:p w14:paraId="50ACB8B0" w14:textId="61E76582" w:rsidR="00392601" w:rsidRPr="006205D4" w:rsidRDefault="00392601" w:rsidP="0041177B">
            <w:pPr>
              <w:rPr>
                <w:rFonts w:cstheme="minorHAnsi"/>
                <w:b/>
                <w:bCs/>
                <w:color w:val="FFFFFF" w:themeColor="background1"/>
              </w:rPr>
            </w:pPr>
            <w:r w:rsidRPr="006205D4">
              <w:rPr>
                <w:rFonts w:asciiTheme="minorHAnsi" w:hAnsiTheme="minorHAnsi" w:cstheme="minorHAnsi"/>
                <w:b/>
                <w:bCs/>
                <w:color w:val="FFFFFF" w:themeColor="background1"/>
              </w:rPr>
              <w:t xml:space="preserve">Figure </w:t>
            </w:r>
            <w:r w:rsidR="006205D4" w:rsidRPr="006205D4">
              <w:rPr>
                <w:rFonts w:asciiTheme="minorHAnsi" w:hAnsiTheme="minorHAnsi" w:cstheme="minorHAnsi"/>
                <w:b/>
                <w:bCs/>
                <w:color w:val="FFFFFF" w:themeColor="background1"/>
              </w:rPr>
              <w:t>7.4</w:t>
            </w:r>
            <w:r w:rsidR="006205D4">
              <w:rPr>
                <w:rFonts w:asciiTheme="minorHAnsi" w:hAnsiTheme="minorHAnsi" w:cstheme="minorHAnsi"/>
                <w:b/>
                <w:bCs/>
                <w:color w:val="FFFFFF" w:themeColor="background1"/>
              </w:rPr>
              <w:t>:</w:t>
            </w:r>
            <w:r w:rsidRPr="006205D4">
              <w:rPr>
                <w:rFonts w:asciiTheme="minorHAnsi" w:hAnsiTheme="minorHAnsi" w:cstheme="minorHAnsi"/>
                <w:b/>
                <w:bCs/>
                <w:color w:val="FFFFFF" w:themeColor="background1"/>
              </w:rPr>
              <w:t xml:space="preserve"> Mortality rate (per 100,000) for nasophary</w:t>
            </w:r>
            <w:r w:rsidR="002C41FA">
              <w:rPr>
                <w:rFonts w:asciiTheme="minorHAnsi" w:hAnsiTheme="minorHAnsi" w:cstheme="minorHAnsi"/>
                <w:b/>
                <w:bCs/>
                <w:color w:val="FFFFFF" w:themeColor="background1"/>
              </w:rPr>
              <w:t>ngeal</w:t>
            </w:r>
            <w:r w:rsidRPr="006205D4">
              <w:rPr>
                <w:rFonts w:asciiTheme="minorHAnsi" w:hAnsiTheme="minorHAnsi" w:cstheme="minorHAnsi"/>
                <w:b/>
                <w:bCs/>
                <w:color w:val="FFFFFF" w:themeColor="background1"/>
              </w:rPr>
              <w:t xml:space="preserve"> cancer by </w:t>
            </w:r>
            <w:r w:rsidR="00366242">
              <w:rPr>
                <w:rFonts w:asciiTheme="minorHAnsi" w:hAnsiTheme="minorHAnsi" w:cstheme="minorHAnsi"/>
                <w:b/>
                <w:bCs/>
                <w:color w:val="FFFFFF" w:themeColor="background1"/>
              </w:rPr>
              <w:t>age group</w:t>
            </w:r>
            <w:r w:rsidRPr="006205D4">
              <w:rPr>
                <w:rFonts w:asciiTheme="minorHAnsi" w:hAnsiTheme="minorHAnsi" w:cstheme="minorHAnsi"/>
                <w:b/>
                <w:bCs/>
                <w:color w:val="FFFFFF" w:themeColor="background1"/>
              </w:rPr>
              <w:t>, 1994-2022</w:t>
            </w:r>
          </w:p>
        </w:tc>
      </w:tr>
      <w:tr w:rsidR="00392601" w:rsidRPr="005648D7" w14:paraId="3EB3B05A" w14:textId="77777777" w:rsidTr="0041177B">
        <w:trPr>
          <w:trHeight w:val="113"/>
        </w:trPr>
        <w:tc>
          <w:tcPr>
            <w:tcW w:w="3256" w:type="dxa"/>
            <w:hideMark/>
          </w:tcPr>
          <w:p w14:paraId="71EF8773" w14:textId="77777777" w:rsidR="00392601" w:rsidRPr="00B973FF" w:rsidRDefault="00392601" w:rsidP="0041177B">
            <w:pPr>
              <w:jc w:val="center"/>
              <w:rPr>
                <w:rFonts w:asciiTheme="minorHAnsi" w:hAnsiTheme="minorHAnsi" w:cstheme="minorHAnsi"/>
                <w:color w:val="000000" w:themeColor="text1"/>
              </w:rPr>
            </w:pPr>
            <w:r w:rsidRPr="00B973FF">
              <w:rPr>
                <w:rFonts w:asciiTheme="minorHAnsi" w:hAnsiTheme="minorHAnsi" w:cstheme="minorHAnsi"/>
                <w:color w:val="000000" w:themeColor="text1"/>
              </w:rPr>
              <w:t>Total</w:t>
            </w:r>
          </w:p>
        </w:tc>
        <w:tc>
          <w:tcPr>
            <w:tcW w:w="3256" w:type="dxa"/>
          </w:tcPr>
          <w:p w14:paraId="0D2C3407" w14:textId="77777777" w:rsidR="00392601" w:rsidRPr="00B973FF" w:rsidRDefault="00392601" w:rsidP="0041177B">
            <w:pPr>
              <w:jc w:val="center"/>
              <w:rPr>
                <w:rFonts w:asciiTheme="minorHAnsi" w:hAnsiTheme="minorHAnsi" w:cstheme="minorHAnsi"/>
                <w:color w:val="000000" w:themeColor="text1"/>
              </w:rPr>
            </w:pPr>
            <w:r w:rsidRPr="00C63CA0">
              <w:rPr>
                <w:rFonts w:asciiTheme="minorHAnsi" w:hAnsiTheme="minorHAnsi" w:cstheme="minorHAnsi"/>
                <w:color w:val="000000" w:themeColor="text1"/>
              </w:rPr>
              <w:t>Males</w:t>
            </w:r>
          </w:p>
        </w:tc>
        <w:tc>
          <w:tcPr>
            <w:tcW w:w="3256" w:type="dxa"/>
          </w:tcPr>
          <w:p w14:paraId="73D49DB9" w14:textId="77777777" w:rsidR="00392601" w:rsidRPr="00B973FF" w:rsidRDefault="00392601" w:rsidP="0041177B">
            <w:pPr>
              <w:jc w:val="center"/>
              <w:rPr>
                <w:rFonts w:cstheme="minorHAnsi"/>
                <w:color w:val="000000" w:themeColor="text1"/>
              </w:rPr>
            </w:pPr>
            <w:r w:rsidRPr="00D46C49">
              <w:rPr>
                <w:rFonts w:asciiTheme="minorHAnsi" w:hAnsiTheme="minorHAnsi" w:cstheme="minorHAnsi"/>
                <w:color w:val="000000" w:themeColor="text1"/>
              </w:rPr>
              <w:t>Females</w:t>
            </w:r>
          </w:p>
        </w:tc>
      </w:tr>
      <w:tr w:rsidR="00392601" w:rsidRPr="005648D7" w14:paraId="471C25E6" w14:textId="77777777" w:rsidTr="0041177B">
        <w:trPr>
          <w:trHeight w:val="113"/>
        </w:trPr>
        <w:tc>
          <w:tcPr>
            <w:tcW w:w="3256" w:type="dxa"/>
          </w:tcPr>
          <w:p w14:paraId="0E814723" w14:textId="77777777" w:rsidR="00392601" w:rsidRPr="00B973FF" w:rsidRDefault="00392601" w:rsidP="0041177B">
            <w:pPr>
              <w:jc w:val="center"/>
              <w:rPr>
                <w:rFonts w:asciiTheme="minorHAnsi" w:hAnsiTheme="minorHAnsi" w:cstheme="minorHAnsi"/>
                <w:color w:val="000000" w:themeColor="text1"/>
              </w:rPr>
            </w:pPr>
            <w:r>
              <w:rPr>
                <w:rFonts w:eastAsia="Times New Roman" w:cs="Times New Roman"/>
                <w:noProof/>
                <w:lang w:eastAsia="en-GB"/>
              </w:rPr>
              <w:drawing>
                <wp:inline distT="0" distB="0" distL="0" distR="0" wp14:anchorId="27889BF9" wp14:editId="081C1252">
                  <wp:extent cx="1640827" cy="1436400"/>
                  <wp:effectExtent l="0" t="0" r="0" b="0"/>
                  <wp:docPr id="437435111" name="Picture 19"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35111" name="Picture 19" descr="A graph with numbers and lines&#10;&#10;AI-generated content may be incorrec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40827" cy="1436400"/>
                          </a:xfrm>
                          <a:prstGeom prst="rect">
                            <a:avLst/>
                          </a:prstGeom>
                          <a:noFill/>
                        </pic:spPr>
                      </pic:pic>
                    </a:graphicData>
                  </a:graphic>
                </wp:inline>
              </w:drawing>
            </w:r>
          </w:p>
        </w:tc>
        <w:tc>
          <w:tcPr>
            <w:tcW w:w="3256" w:type="dxa"/>
          </w:tcPr>
          <w:p w14:paraId="1092C669" w14:textId="77777777" w:rsidR="00392601" w:rsidRPr="00B973FF" w:rsidRDefault="00392601" w:rsidP="0041177B">
            <w:pPr>
              <w:jc w:val="center"/>
              <w:rPr>
                <w:rFonts w:asciiTheme="minorHAnsi" w:hAnsiTheme="minorHAnsi" w:cstheme="minorHAnsi"/>
                <w:color w:val="000000" w:themeColor="text1"/>
              </w:rPr>
            </w:pPr>
            <w:r w:rsidRPr="001D05B9">
              <w:rPr>
                <w:rFonts w:eastAsia="Times New Roman" w:cs="Times New Roman"/>
                <w:noProof/>
                <w:lang w:eastAsia="en-GB"/>
              </w:rPr>
              <w:drawing>
                <wp:inline distT="0" distB="0" distL="0" distR="0" wp14:anchorId="778ED22B" wp14:editId="37F77894">
                  <wp:extent cx="1640827" cy="1436400"/>
                  <wp:effectExtent l="0" t="0" r="0" b="0"/>
                  <wp:docPr id="412517782" name="Picture 20"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17782" name="Picture 20" descr="A graph with numbers and a bar chart&#10;&#10;AI-generated content may be incorrect."/>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40827" cy="1436400"/>
                          </a:xfrm>
                          <a:prstGeom prst="rect">
                            <a:avLst/>
                          </a:prstGeom>
                          <a:noFill/>
                        </pic:spPr>
                      </pic:pic>
                    </a:graphicData>
                  </a:graphic>
                </wp:inline>
              </w:drawing>
            </w:r>
          </w:p>
        </w:tc>
        <w:tc>
          <w:tcPr>
            <w:tcW w:w="3256" w:type="dxa"/>
          </w:tcPr>
          <w:p w14:paraId="69D26290" w14:textId="77777777" w:rsidR="00392601" w:rsidRPr="00B973FF" w:rsidRDefault="00392601" w:rsidP="0041177B">
            <w:pPr>
              <w:jc w:val="center"/>
              <w:rPr>
                <w:rFonts w:cstheme="minorHAnsi"/>
                <w:color w:val="000000" w:themeColor="text1"/>
              </w:rPr>
            </w:pPr>
            <w:r w:rsidRPr="001D05B9">
              <w:rPr>
                <w:rFonts w:cstheme="minorHAnsi"/>
                <w:noProof/>
                <w:color w:val="000000" w:themeColor="text1"/>
              </w:rPr>
              <w:drawing>
                <wp:inline distT="0" distB="0" distL="0" distR="0" wp14:anchorId="4F8BDDB7" wp14:editId="2BD9A6B9">
                  <wp:extent cx="1640827" cy="1436400"/>
                  <wp:effectExtent l="0" t="0" r="0" b="0"/>
                  <wp:docPr id="733283542" name="Picture 2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283542" name="Picture 21" descr="A graph with numbers and lines&#10;&#10;AI-generated content may be incorrect."/>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40827" cy="1436400"/>
                          </a:xfrm>
                          <a:prstGeom prst="rect">
                            <a:avLst/>
                          </a:prstGeom>
                          <a:noFill/>
                        </pic:spPr>
                      </pic:pic>
                    </a:graphicData>
                  </a:graphic>
                </wp:inline>
              </w:drawing>
            </w:r>
          </w:p>
        </w:tc>
      </w:tr>
    </w:tbl>
    <w:p w14:paraId="1DE6BE80" w14:textId="77777777" w:rsidR="00392601" w:rsidRDefault="00392601" w:rsidP="00392601">
      <w:pPr>
        <w:spacing w:after="0" w:line="240" w:lineRule="auto"/>
        <w:sectPr w:rsidR="00392601" w:rsidSect="002746C0">
          <w:pgSz w:w="11906" w:h="16838"/>
          <w:pgMar w:top="1440" w:right="1440" w:bottom="1440" w:left="1440" w:header="708" w:footer="708" w:gutter="0"/>
          <w:cols w:space="708"/>
          <w:docGrid w:linePitch="360"/>
        </w:sectPr>
      </w:pPr>
    </w:p>
    <w:p w14:paraId="3826F517" w14:textId="77777777" w:rsidR="00392601" w:rsidRDefault="00392601" w:rsidP="00392601">
      <w:pPr>
        <w:pStyle w:val="Heading3"/>
        <w:spacing w:before="0" w:after="0" w:line="240" w:lineRule="auto"/>
      </w:pPr>
      <w:bookmarkStart w:id="121" w:name="_Toc197557066"/>
      <w:bookmarkStart w:id="122" w:name="_Toc201512460"/>
      <w:r w:rsidRPr="00B06BFF">
        <w:t>Trends over</w:t>
      </w:r>
      <w:r>
        <w:t xml:space="preserve"> </w:t>
      </w:r>
      <w:r w:rsidRPr="00B06BFF">
        <w:t>time</w:t>
      </w:r>
      <w:bookmarkEnd w:id="121"/>
      <w:bookmarkEnd w:id="122"/>
    </w:p>
    <w:p w14:paraId="49953CDC" w14:textId="09AC5D26" w:rsidR="00392601" w:rsidRPr="006B3E01" w:rsidRDefault="00392601" w:rsidP="00392601">
      <w:pPr>
        <w:spacing w:after="0" w:line="240" w:lineRule="auto"/>
      </w:pPr>
      <w:r w:rsidRPr="006B3E01">
        <w:t xml:space="preserve">Figure </w:t>
      </w:r>
      <w:r w:rsidR="006205D4">
        <w:t>7.5</w:t>
      </w:r>
      <w:r w:rsidRPr="006B3E01">
        <w:t xml:space="preserve"> shows the </w:t>
      </w:r>
      <w:r>
        <w:t>age</w:t>
      </w:r>
      <w:r w:rsidR="00366242">
        <w:t>-</w:t>
      </w:r>
      <w:r>
        <w:t>standardised mortality rate for</w:t>
      </w:r>
      <w:r w:rsidRPr="006B3E01">
        <w:t xml:space="preserve"> </w:t>
      </w:r>
      <w:r>
        <w:t>nasopharyngeal cancer</w:t>
      </w:r>
      <w:r w:rsidRPr="006B3E01">
        <w:t xml:space="preserve"> from 1994 to 2022</w:t>
      </w:r>
      <w:r>
        <w:t xml:space="preserve"> in males</w:t>
      </w:r>
      <w:r w:rsidRPr="006B3E01">
        <w:t>. In males</w:t>
      </w:r>
      <w:r>
        <w:t>,</w:t>
      </w:r>
      <w:r w:rsidRPr="006B3E01">
        <w:t xml:space="preserve"> mortality rates (APC)</w:t>
      </w:r>
      <w:r>
        <w:t xml:space="preserve"> </w:t>
      </w:r>
      <w:r w:rsidR="00C7721F">
        <w:t xml:space="preserve">were stable from 1994 to 2022. </w:t>
      </w:r>
      <w:r>
        <w:t>Due to small numbers, including the absence of cases reported for certain years, trends in mortality rates could not be estimated for females</w:t>
      </w:r>
      <w:r w:rsidRPr="006B3E01">
        <w:t>.</w:t>
      </w:r>
    </w:p>
    <w:p w14:paraId="7D4CA507" w14:textId="77777777" w:rsidR="00392601" w:rsidRPr="006B3E01" w:rsidRDefault="00392601" w:rsidP="00392601">
      <w:pPr>
        <w:spacing w:after="0" w:line="240" w:lineRule="auto"/>
      </w:pPr>
      <w:r w:rsidRPr="006B3E01">
        <w:t xml:space="preserve">  </w:t>
      </w:r>
    </w:p>
    <w:tbl>
      <w:tblPr>
        <w:tblStyle w:val="TableGrid"/>
        <w:tblW w:w="9711"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1"/>
      </w:tblGrid>
      <w:tr w:rsidR="00392601" w:rsidRPr="001469E6" w14:paraId="13A08174" w14:textId="77777777" w:rsidTr="0041177B">
        <w:trPr>
          <w:trHeight w:val="113"/>
        </w:trPr>
        <w:tc>
          <w:tcPr>
            <w:tcW w:w="9711" w:type="dxa"/>
            <w:shd w:val="clear" w:color="auto" w:fill="002060"/>
            <w:vAlign w:val="center"/>
            <w:hideMark/>
          </w:tcPr>
          <w:p w14:paraId="0063E6F9" w14:textId="21228B9A" w:rsidR="00392601" w:rsidRPr="006205D4" w:rsidRDefault="00392601" w:rsidP="0041177B">
            <w:pPr>
              <w:rPr>
                <w:rFonts w:asciiTheme="minorHAnsi" w:hAnsiTheme="minorHAnsi"/>
                <w:b/>
                <w:bCs/>
              </w:rPr>
            </w:pPr>
            <w:r w:rsidRPr="006205D4">
              <w:rPr>
                <w:rFonts w:asciiTheme="minorHAnsi" w:hAnsiTheme="minorHAnsi"/>
                <w:b/>
                <w:bCs/>
              </w:rPr>
              <w:t xml:space="preserve">Figure </w:t>
            </w:r>
            <w:r w:rsidR="006205D4">
              <w:rPr>
                <w:rFonts w:asciiTheme="minorHAnsi" w:hAnsiTheme="minorHAnsi"/>
                <w:b/>
                <w:bCs/>
              </w:rPr>
              <w:t>7.5</w:t>
            </w:r>
            <w:r w:rsidRPr="006205D4">
              <w:rPr>
                <w:rFonts w:asciiTheme="minorHAnsi" w:hAnsiTheme="minorHAnsi"/>
                <w:b/>
                <w:bCs/>
              </w:rPr>
              <w:t xml:space="preserve">   Age-</w:t>
            </w:r>
            <w:r w:rsidRPr="006205D4">
              <w:rPr>
                <w:rFonts w:asciiTheme="minorHAnsi" w:hAnsiTheme="minorHAnsi"/>
                <w:b/>
                <w:bCs/>
                <w:bdr w:val="single" w:sz="4" w:space="0" w:color="auto" w:frame="1"/>
              </w:rPr>
              <w:t xml:space="preserve">standardised mortality rate 1994-2022, </w:t>
            </w:r>
            <w:r w:rsidR="00AF318A">
              <w:rPr>
                <w:rFonts w:asciiTheme="minorHAnsi" w:hAnsiTheme="minorHAnsi"/>
                <w:b/>
                <w:bCs/>
                <w:bdr w:val="single" w:sz="4" w:space="0" w:color="auto" w:frame="1"/>
              </w:rPr>
              <w:t>naso</w:t>
            </w:r>
            <w:r w:rsidR="006205D4">
              <w:rPr>
                <w:rFonts w:asciiTheme="minorHAnsi" w:hAnsiTheme="minorHAnsi"/>
                <w:b/>
                <w:bCs/>
                <w:bdr w:val="single" w:sz="4" w:space="0" w:color="auto" w:frame="1"/>
              </w:rPr>
              <w:t>pharyngeal cancer</w:t>
            </w:r>
          </w:p>
        </w:tc>
      </w:tr>
      <w:tr w:rsidR="00392601" w:rsidRPr="00191989" w14:paraId="1272A2F3" w14:textId="77777777" w:rsidTr="0041177B">
        <w:trPr>
          <w:trHeight w:val="113"/>
        </w:trPr>
        <w:tc>
          <w:tcPr>
            <w:tcW w:w="9711" w:type="dxa"/>
            <w:vAlign w:val="center"/>
          </w:tcPr>
          <w:p w14:paraId="0F92EBF4" w14:textId="77777777" w:rsidR="00392601" w:rsidRPr="00F42967" w:rsidRDefault="00392601" w:rsidP="0041177B">
            <w:pPr>
              <w:jc w:val="center"/>
              <w:rPr>
                <w:rFonts w:asciiTheme="minorHAnsi" w:hAnsiTheme="minorHAnsi"/>
              </w:rPr>
            </w:pPr>
            <w:r w:rsidRPr="00191989">
              <w:rPr>
                <w:noProof/>
              </w:rPr>
              <w:drawing>
                <wp:inline distT="0" distB="0" distL="0" distR="0" wp14:anchorId="0E6E1F13" wp14:editId="31AAD73F">
                  <wp:extent cx="5756291" cy="3016800"/>
                  <wp:effectExtent l="0" t="0" r="0" b="0"/>
                  <wp:docPr id="20524641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464199" name="Picture 11"/>
                          <pic:cNvPicPr>
                            <a:picLocks noChangeAspect="1" noChangeArrowheads="1"/>
                          </pic:cNvPicPr>
                        </pic:nvPicPr>
                        <pic:blipFill>
                          <a:blip r:embed="rId78">
                            <a:extLst>
                              <a:ext uri="{96DAC541-7B7A-43D3-8B79-37D633B846F1}">
                                <asvg:svgBlip xmlns:asvg="http://schemas.microsoft.com/office/drawing/2016/SVG/main" r:embed="rId79"/>
                              </a:ext>
                            </a:extLst>
                          </a:blip>
                          <a:stretch>
                            <a:fillRect/>
                          </a:stretch>
                        </pic:blipFill>
                        <pic:spPr bwMode="auto">
                          <a:xfrm>
                            <a:off x="0" y="0"/>
                            <a:ext cx="5756291" cy="3016800"/>
                          </a:xfrm>
                          <a:prstGeom prst="rect">
                            <a:avLst/>
                          </a:prstGeom>
                        </pic:spPr>
                      </pic:pic>
                    </a:graphicData>
                  </a:graphic>
                </wp:inline>
              </w:drawing>
            </w:r>
          </w:p>
        </w:tc>
      </w:tr>
      <w:tr w:rsidR="00392601" w:rsidRPr="00191989" w14:paraId="5D6CF942" w14:textId="77777777" w:rsidTr="0041177B">
        <w:trPr>
          <w:trHeight w:val="513"/>
        </w:trPr>
        <w:tc>
          <w:tcPr>
            <w:tcW w:w="9711" w:type="dxa"/>
            <w:vAlign w:val="center"/>
          </w:tcPr>
          <w:tbl>
            <w:tblPr>
              <w:tblpPr w:leftFromText="180" w:rightFromText="180" w:bottomFromText="160" w:vertAnchor="page" w:horzAnchor="margin" w:tblpXSpec="center" w:tblpY="1"/>
              <w:tblOverlap w:val="never"/>
              <w:tblW w:w="0" w:type="auto"/>
              <w:tblLook w:val="04A0" w:firstRow="1" w:lastRow="0" w:firstColumn="1" w:lastColumn="0" w:noHBand="0" w:noVBand="1"/>
            </w:tblPr>
            <w:tblGrid>
              <w:gridCol w:w="428"/>
              <w:gridCol w:w="1078"/>
              <w:gridCol w:w="669"/>
              <w:gridCol w:w="822"/>
              <w:gridCol w:w="604"/>
              <w:gridCol w:w="530"/>
              <w:gridCol w:w="1180"/>
              <w:gridCol w:w="771"/>
              <w:gridCol w:w="799"/>
              <w:gridCol w:w="706"/>
            </w:tblGrid>
            <w:tr w:rsidR="00392601" w:rsidRPr="001E3F71" w14:paraId="35F9530B" w14:textId="77777777" w:rsidTr="00C7721F">
              <w:trPr>
                <w:trHeight w:val="113"/>
              </w:trPr>
              <w:tc>
                <w:tcPr>
                  <w:tcW w:w="0" w:type="auto"/>
                  <w:noWrap/>
                  <w:tcMar>
                    <w:top w:w="15" w:type="dxa"/>
                    <w:left w:w="57" w:type="dxa"/>
                    <w:bottom w:w="15" w:type="dxa"/>
                    <w:right w:w="57" w:type="dxa"/>
                  </w:tcMar>
                  <w:hideMark/>
                </w:tcPr>
                <w:p w14:paraId="52E20FDC" w14:textId="77777777" w:rsidR="00392601" w:rsidRPr="001E3F71"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1E3F71">
                    <w:rPr>
                      <w:rFonts w:eastAsia="Times New Roman" w:cs="Calibri"/>
                      <w:b/>
                      <w:bCs/>
                      <w:color w:val="000000"/>
                      <w:kern w:val="0"/>
                      <w:sz w:val="20"/>
                      <w:szCs w:val="20"/>
                      <w:u w:val="single"/>
                      <w:lang w:eastAsia="en-GB"/>
                      <w14:ligatures w14:val="none"/>
                    </w:rPr>
                    <w:t>sex</w:t>
                  </w:r>
                </w:p>
              </w:tc>
              <w:tc>
                <w:tcPr>
                  <w:tcW w:w="0" w:type="auto"/>
                  <w:noWrap/>
                  <w:tcMar>
                    <w:top w:w="15" w:type="dxa"/>
                    <w:left w:w="57" w:type="dxa"/>
                    <w:bottom w:w="15" w:type="dxa"/>
                    <w:right w:w="57" w:type="dxa"/>
                  </w:tcMar>
                  <w:hideMark/>
                </w:tcPr>
                <w:p w14:paraId="4587572D" w14:textId="77777777" w:rsidR="00392601" w:rsidRPr="001E3F71"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1E3F71">
                    <w:rPr>
                      <w:rFonts w:eastAsia="Times New Roman" w:cs="Calibri"/>
                      <w:b/>
                      <w:bCs/>
                      <w:color w:val="000000"/>
                      <w:kern w:val="0"/>
                      <w:sz w:val="20"/>
                      <w:szCs w:val="20"/>
                      <w:u w:val="single"/>
                      <w:lang w:eastAsia="en-GB"/>
                      <w14:ligatures w14:val="none"/>
                    </w:rPr>
                    <w:t>period</w:t>
                  </w:r>
                </w:p>
              </w:tc>
              <w:tc>
                <w:tcPr>
                  <w:tcW w:w="0" w:type="auto"/>
                  <w:noWrap/>
                  <w:tcMar>
                    <w:top w:w="15" w:type="dxa"/>
                    <w:left w:w="57" w:type="dxa"/>
                    <w:bottom w:w="15" w:type="dxa"/>
                    <w:right w:w="57" w:type="dxa"/>
                  </w:tcMar>
                  <w:hideMark/>
                </w:tcPr>
                <w:p w14:paraId="742826BF" w14:textId="77777777" w:rsidR="00392601" w:rsidRPr="001E3F71"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1E3F71">
                    <w:rPr>
                      <w:rFonts w:eastAsia="Times New Roman" w:cs="Calibri"/>
                      <w:b/>
                      <w:bCs/>
                      <w:color w:val="000000"/>
                      <w:kern w:val="0"/>
                      <w:sz w:val="20"/>
                      <w:szCs w:val="20"/>
                      <w:u w:val="single"/>
                      <w:lang w:eastAsia="en-GB"/>
                      <w14:ligatures w14:val="none"/>
                    </w:rPr>
                    <w:t>APC%</w:t>
                  </w:r>
                </w:p>
              </w:tc>
              <w:tc>
                <w:tcPr>
                  <w:tcW w:w="0" w:type="auto"/>
                  <w:noWrap/>
                  <w:tcMar>
                    <w:top w:w="15" w:type="dxa"/>
                    <w:left w:w="57" w:type="dxa"/>
                    <w:bottom w:w="15" w:type="dxa"/>
                    <w:right w:w="57" w:type="dxa"/>
                  </w:tcMar>
                  <w:hideMark/>
                </w:tcPr>
                <w:p w14:paraId="43635F94" w14:textId="77777777" w:rsidR="00392601" w:rsidRPr="001E3F71"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1E3F71">
                    <w:rPr>
                      <w:rFonts w:eastAsia="Times New Roman" w:cs="Calibri"/>
                      <w:b/>
                      <w:bCs/>
                      <w:color w:val="000000"/>
                      <w:kern w:val="0"/>
                      <w:sz w:val="20"/>
                      <w:szCs w:val="20"/>
                      <w:u w:val="single"/>
                      <w:lang w:eastAsia="en-GB"/>
                      <w14:ligatures w14:val="none"/>
                    </w:rPr>
                    <w:t>95%CI</w:t>
                  </w:r>
                </w:p>
              </w:tc>
              <w:tc>
                <w:tcPr>
                  <w:tcW w:w="0" w:type="auto"/>
                  <w:tcBorders>
                    <w:right w:val="single" w:sz="4" w:space="0" w:color="auto"/>
                  </w:tcBorders>
                  <w:noWrap/>
                  <w:tcMar>
                    <w:top w:w="15" w:type="dxa"/>
                    <w:left w:w="57" w:type="dxa"/>
                    <w:bottom w:w="15" w:type="dxa"/>
                    <w:right w:w="57" w:type="dxa"/>
                  </w:tcMar>
                  <w:hideMark/>
                </w:tcPr>
                <w:p w14:paraId="565683B6" w14:textId="77777777" w:rsidR="00392601" w:rsidRPr="001E3F71"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1E3F71">
                    <w:rPr>
                      <w:rFonts w:eastAsia="Times New Roman" w:cs="Calibri"/>
                      <w:b/>
                      <w:bCs/>
                      <w:color w:val="000000"/>
                      <w:kern w:val="0"/>
                      <w:sz w:val="20"/>
                      <w:szCs w:val="20"/>
                      <w:u w:val="single"/>
                      <w:lang w:eastAsia="en-GB"/>
                      <w14:ligatures w14:val="none"/>
                    </w:rPr>
                    <w:t>trend</w:t>
                  </w:r>
                </w:p>
              </w:tc>
              <w:tc>
                <w:tcPr>
                  <w:tcW w:w="0" w:type="auto"/>
                </w:tcPr>
                <w:p w14:paraId="5007B9E1" w14:textId="77777777" w:rsidR="00392601" w:rsidRPr="001E3F71"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1E3F71">
                    <w:rPr>
                      <w:rFonts w:eastAsia="Times New Roman" w:cs="Calibri"/>
                      <w:b/>
                      <w:bCs/>
                      <w:color w:val="000000"/>
                      <w:kern w:val="0"/>
                      <w:sz w:val="20"/>
                      <w:szCs w:val="20"/>
                      <w:u w:val="single"/>
                      <w:lang w:eastAsia="en-GB"/>
                      <w14:ligatures w14:val="none"/>
                    </w:rPr>
                    <w:t>sex</w:t>
                  </w:r>
                </w:p>
              </w:tc>
              <w:tc>
                <w:tcPr>
                  <w:tcW w:w="0" w:type="auto"/>
                </w:tcPr>
                <w:p w14:paraId="5372C1A2" w14:textId="77777777" w:rsidR="00392601" w:rsidRPr="001E3F71"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1E3F71">
                    <w:rPr>
                      <w:rFonts w:eastAsia="Times New Roman" w:cs="Calibri"/>
                      <w:b/>
                      <w:bCs/>
                      <w:color w:val="000000"/>
                      <w:kern w:val="0"/>
                      <w:sz w:val="20"/>
                      <w:szCs w:val="20"/>
                      <w:u w:val="single"/>
                      <w:lang w:eastAsia="en-GB"/>
                      <w14:ligatures w14:val="none"/>
                    </w:rPr>
                    <w:t>period</w:t>
                  </w:r>
                </w:p>
              </w:tc>
              <w:tc>
                <w:tcPr>
                  <w:tcW w:w="0" w:type="auto"/>
                </w:tcPr>
                <w:p w14:paraId="747B35F8" w14:textId="77777777" w:rsidR="00392601" w:rsidRPr="001E3F71"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1E3F71">
                    <w:rPr>
                      <w:rFonts w:eastAsia="Times New Roman" w:cs="Calibri"/>
                      <w:b/>
                      <w:bCs/>
                      <w:color w:val="000000"/>
                      <w:kern w:val="0"/>
                      <w:sz w:val="20"/>
                      <w:szCs w:val="20"/>
                      <w:u w:val="single"/>
                      <w:lang w:eastAsia="en-GB"/>
                      <w14:ligatures w14:val="none"/>
                    </w:rPr>
                    <w:t>APC%</w:t>
                  </w:r>
                </w:p>
              </w:tc>
              <w:tc>
                <w:tcPr>
                  <w:tcW w:w="0" w:type="auto"/>
                </w:tcPr>
                <w:p w14:paraId="35D26E4B" w14:textId="77777777" w:rsidR="00392601" w:rsidRPr="001E3F71"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1E3F71">
                    <w:rPr>
                      <w:rFonts w:eastAsia="Times New Roman" w:cs="Calibri"/>
                      <w:b/>
                      <w:bCs/>
                      <w:color w:val="000000"/>
                      <w:kern w:val="0"/>
                      <w:sz w:val="20"/>
                      <w:szCs w:val="20"/>
                      <w:u w:val="single"/>
                      <w:lang w:eastAsia="en-GB"/>
                      <w14:ligatures w14:val="none"/>
                    </w:rPr>
                    <w:t>95%CI</w:t>
                  </w:r>
                </w:p>
              </w:tc>
              <w:tc>
                <w:tcPr>
                  <w:tcW w:w="0" w:type="auto"/>
                </w:tcPr>
                <w:p w14:paraId="64DE0F2E" w14:textId="77777777" w:rsidR="00392601" w:rsidRPr="001E3F71"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1E3F71">
                    <w:rPr>
                      <w:rFonts w:eastAsia="Times New Roman" w:cs="Calibri"/>
                      <w:b/>
                      <w:bCs/>
                      <w:color w:val="000000"/>
                      <w:kern w:val="0"/>
                      <w:sz w:val="20"/>
                      <w:szCs w:val="20"/>
                      <w:u w:val="single"/>
                      <w:lang w:eastAsia="en-GB"/>
                      <w14:ligatures w14:val="none"/>
                    </w:rPr>
                    <w:t>trend</w:t>
                  </w:r>
                </w:p>
              </w:tc>
            </w:tr>
            <w:tr w:rsidR="00392601" w:rsidRPr="001E3F71" w14:paraId="4C13CD36" w14:textId="77777777" w:rsidTr="00C7721F">
              <w:trPr>
                <w:trHeight w:val="113"/>
              </w:trPr>
              <w:tc>
                <w:tcPr>
                  <w:tcW w:w="0" w:type="auto"/>
                  <w:noWrap/>
                  <w:tcMar>
                    <w:top w:w="15" w:type="dxa"/>
                    <w:left w:w="57" w:type="dxa"/>
                    <w:bottom w:w="15" w:type="dxa"/>
                    <w:right w:w="57" w:type="dxa"/>
                  </w:tcMar>
                  <w:hideMark/>
                </w:tcPr>
                <w:p w14:paraId="38F3A616" w14:textId="77777777" w:rsidR="00392601" w:rsidRPr="001E3F71" w:rsidRDefault="00392601" w:rsidP="0041177B">
                  <w:pPr>
                    <w:spacing w:after="0" w:line="240" w:lineRule="auto"/>
                    <w:jc w:val="center"/>
                    <w:rPr>
                      <w:rFonts w:eastAsia="Times New Roman" w:cs="Calibri"/>
                      <w:color w:val="000000"/>
                      <w:kern w:val="0"/>
                      <w:sz w:val="20"/>
                      <w:szCs w:val="20"/>
                      <w:lang w:eastAsia="en-GB"/>
                      <w14:ligatures w14:val="none"/>
                    </w:rPr>
                  </w:pPr>
                  <w:r w:rsidRPr="001E3F71">
                    <w:rPr>
                      <w:rFonts w:cs="Calibri"/>
                      <w:sz w:val="20"/>
                      <w:szCs w:val="20"/>
                    </w:rPr>
                    <w:t>M </w:t>
                  </w:r>
                </w:p>
              </w:tc>
              <w:tc>
                <w:tcPr>
                  <w:tcW w:w="0" w:type="auto"/>
                  <w:noWrap/>
                  <w:tcMar>
                    <w:top w:w="15" w:type="dxa"/>
                    <w:left w:w="57" w:type="dxa"/>
                    <w:bottom w:w="15" w:type="dxa"/>
                    <w:right w:w="57" w:type="dxa"/>
                  </w:tcMar>
                  <w:hideMark/>
                </w:tcPr>
                <w:p w14:paraId="763772B4" w14:textId="77777777" w:rsidR="00392601" w:rsidRPr="001E3F71" w:rsidRDefault="00392601" w:rsidP="0041177B">
                  <w:pPr>
                    <w:spacing w:after="0" w:line="240" w:lineRule="auto"/>
                    <w:jc w:val="center"/>
                    <w:rPr>
                      <w:rFonts w:eastAsia="Times New Roman" w:cs="Calibri"/>
                      <w:color w:val="000000"/>
                      <w:kern w:val="0"/>
                      <w:sz w:val="20"/>
                      <w:szCs w:val="20"/>
                      <w:lang w:eastAsia="en-GB"/>
                      <w14:ligatures w14:val="none"/>
                    </w:rPr>
                  </w:pPr>
                  <w:r w:rsidRPr="001E3F71">
                    <w:rPr>
                      <w:rFonts w:cs="Calibri"/>
                      <w:sz w:val="20"/>
                      <w:szCs w:val="20"/>
                    </w:rPr>
                    <w:t>1994-2022 </w:t>
                  </w:r>
                </w:p>
              </w:tc>
              <w:tc>
                <w:tcPr>
                  <w:tcW w:w="0" w:type="auto"/>
                  <w:noWrap/>
                  <w:tcMar>
                    <w:top w:w="15" w:type="dxa"/>
                    <w:left w:w="57" w:type="dxa"/>
                    <w:bottom w:w="15" w:type="dxa"/>
                    <w:right w:w="57" w:type="dxa"/>
                  </w:tcMar>
                  <w:hideMark/>
                </w:tcPr>
                <w:p w14:paraId="483865FE" w14:textId="77777777" w:rsidR="00392601" w:rsidRPr="001E3F71" w:rsidRDefault="00392601" w:rsidP="0041177B">
                  <w:pPr>
                    <w:spacing w:after="0" w:line="240" w:lineRule="auto"/>
                    <w:jc w:val="center"/>
                    <w:rPr>
                      <w:rFonts w:eastAsia="Times New Roman" w:cs="Calibri"/>
                      <w:color w:val="000000"/>
                      <w:kern w:val="0"/>
                      <w:sz w:val="20"/>
                      <w:szCs w:val="20"/>
                      <w:lang w:eastAsia="en-GB"/>
                      <w14:ligatures w14:val="none"/>
                    </w:rPr>
                  </w:pPr>
                  <w:r w:rsidRPr="001E3F71">
                    <w:rPr>
                      <w:rFonts w:cs="Calibri"/>
                      <w:sz w:val="20"/>
                      <w:szCs w:val="20"/>
                    </w:rPr>
                    <w:t>-0.5</w:t>
                  </w:r>
                </w:p>
              </w:tc>
              <w:tc>
                <w:tcPr>
                  <w:tcW w:w="0" w:type="auto"/>
                  <w:noWrap/>
                  <w:tcMar>
                    <w:top w:w="15" w:type="dxa"/>
                    <w:left w:w="57" w:type="dxa"/>
                    <w:bottom w:w="15" w:type="dxa"/>
                    <w:right w:w="57" w:type="dxa"/>
                  </w:tcMar>
                  <w:hideMark/>
                </w:tcPr>
                <w:p w14:paraId="36AD8BD4" w14:textId="77777777" w:rsidR="00392601" w:rsidRPr="001E3F71" w:rsidRDefault="00392601" w:rsidP="0041177B">
                  <w:pPr>
                    <w:spacing w:after="0" w:line="240" w:lineRule="auto"/>
                    <w:jc w:val="center"/>
                    <w:rPr>
                      <w:rFonts w:eastAsia="Times New Roman" w:cs="Calibri"/>
                      <w:color w:val="000000"/>
                      <w:kern w:val="0"/>
                      <w:sz w:val="20"/>
                      <w:szCs w:val="20"/>
                      <w:lang w:eastAsia="en-GB"/>
                      <w14:ligatures w14:val="none"/>
                    </w:rPr>
                  </w:pPr>
                  <w:r w:rsidRPr="001E3F71">
                    <w:rPr>
                      <w:rFonts w:cs="Calibri"/>
                      <w:sz w:val="20"/>
                      <w:szCs w:val="20"/>
                    </w:rPr>
                    <w:t>-2.4, 1.4</w:t>
                  </w:r>
                </w:p>
              </w:tc>
              <w:tc>
                <w:tcPr>
                  <w:tcW w:w="0" w:type="auto"/>
                  <w:tcBorders>
                    <w:right w:val="single" w:sz="4" w:space="0" w:color="auto"/>
                  </w:tcBorders>
                  <w:noWrap/>
                  <w:tcMar>
                    <w:top w:w="15" w:type="dxa"/>
                    <w:left w:w="57" w:type="dxa"/>
                    <w:bottom w:w="15" w:type="dxa"/>
                    <w:right w:w="57" w:type="dxa"/>
                  </w:tcMar>
                  <w:hideMark/>
                </w:tcPr>
                <w:p w14:paraId="3ADA1397" w14:textId="77777777" w:rsidR="00392601" w:rsidRPr="001E3F71" w:rsidRDefault="00392601" w:rsidP="0041177B">
                  <w:pPr>
                    <w:spacing w:after="0" w:line="240" w:lineRule="auto"/>
                    <w:jc w:val="center"/>
                    <w:rPr>
                      <w:rFonts w:eastAsia="Times New Roman" w:cs="Calibri"/>
                      <w:color w:val="000000"/>
                      <w:kern w:val="0"/>
                      <w:sz w:val="20"/>
                      <w:szCs w:val="20"/>
                      <w:lang w:eastAsia="en-GB"/>
                      <w14:ligatures w14:val="none"/>
                    </w:rPr>
                  </w:pPr>
                  <w:r w:rsidRPr="001E3F71">
                    <w:rPr>
                      <w:rFonts w:cs="Calibri"/>
                      <w:sz w:val="20"/>
                      <w:szCs w:val="20"/>
                    </w:rPr>
                    <w:t>flat</w:t>
                  </w:r>
                </w:p>
              </w:tc>
              <w:tc>
                <w:tcPr>
                  <w:tcW w:w="0" w:type="auto"/>
                </w:tcPr>
                <w:p w14:paraId="5B2E5DF2" w14:textId="77777777" w:rsidR="00392601" w:rsidRPr="001E3F71" w:rsidRDefault="00392601" w:rsidP="0041177B">
                  <w:pPr>
                    <w:spacing w:after="0" w:line="240" w:lineRule="auto"/>
                    <w:jc w:val="center"/>
                    <w:rPr>
                      <w:rFonts w:cs="Calibri"/>
                      <w:sz w:val="20"/>
                      <w:szCs w:val="20"/>
                    </w:rPr>
                  </w:pPr>
                  <w:r w:rsidRPr="001E3F71">
                    <w:rPr>
                      <w:rFonts w:cs="Calibri"/>
                      <w:sz w:val="20"/>
                      <w:szCs w:val="20"/>
                    </w:rPr>
                    <w:t>F </w:t>
                  </w:r>
                </w:p>
              </w:tc>
              <w:tc>
                <w:tcPr>
                  <w:tcW w:w="0" w:type="auto"/>
                </w:tcPr>
                <w:p w14:paraId="1CD701CE" w14:textId="77777777" w:rsidR="00392601" w:rsidRPr="001E3F71" w:rsidRDefault="00392601" w:rsidP="0041177B">
                  <w:pPr>
                    <w:spacing w:after="0" w:line="240" w:lineRule="auto"/>
                    <w:jc w:val="center"/>
                    <w:rPr>
                      <w:rFonts w:cs="Calibri"/>
                      <w:sz w:val="20"/>
                      <w:szCs w:val="20"/>
                    </w:rPr>
                  </w:pPr>
                  <w:r w:rsidRPr="001E3F71">
                    <w:rPr>
                      <w:rFonts w:cs="Calibri"/>
                      <w:sz w:val="20"/>
                      <w:szCs w:val="20"/>
                    </w:rPr>
                    <w:t>1994-2022 </w:t>
                  </w:r>
                </w:p>
              </w:tc>
              <w:tc>
                <w:tcPr>
                  <w:tcW w:w="0" w:type="auto"/>
                </w:tcPr>
                <w:p w14:paraId="7F6CFD18" w14:textId="77777777" w:rsidR="00392601" w:rsidRPr="001E3F71" w:rsidRDefault="00392601" w:rsidP="0041177B">
                  <w:pPr>
                    <w:spacing w:after="0" w:line="240" w:lineRule="auto"/>
                    <w:jc w:val="center"/>
                    <w:rPr>
                      <w:rFonts w:cs="Calibri"/>
                      <w:sz w:val="20"/>
                      <w:szCs w:val="20"/>
                    </w:rPr>
                  </w:pPr>
                  <w:r w:rsidRPr="001E3F71">
                    <w:rPr>
                      <w:rFonts w:cs="Calibri"/>
                      <w:sz w:val="20"/>
                      <w:szCs w:val="20"/>
                    </w:rPr>
                    <w:t>NA</w:t>
                  </w:r>
                </w:p>
              </w:tc>
              <w:tc>
                <w:tcPr>
                  <w:tcW w:w="0" w:type="auto"/>
                </w:tcPr>
                <w:p w14:paraId="133689F1" w14:textId="77777777" w:rsidR="00392601" w:rsidRPr="001E3F71" w:rsidRDefault="00392601" w:rsidP="0041177B">
                  <w:pPr>
                    <w:spacing w:after="0" w:line="240" w:lineRule="auto"/>
                    <w:jc w:val="center"/>
                    <w:rPr>
                      <w:rFonts w:cs="Calibri"/>
                      <w:sz w:val="20"/>
                      <w:szCs w:val="20"/>
                    </w:rPr>
                  </w:pPr>
                  <w:r w:rsidRPr="001E3F71">
                    <w:rPr>
                      <w:rFonts w:cs="Calibri"/>
                      <w:sz w:val="20"/>
                      <w:szCs w:val="20"/>
                    </w:rPr>
                    <w:t>NA</w:t>
                  </w:r>
                </w:p>
              </w:tc>
              <w:tc>
                <w:tcPr>
                  <w:tcW w:w="0" w:type="auto"/>
                </w:tcPr>
                <w:p w14:paraId="2E569EB8" w14:textId="77777777" w:rsidR="00392601" w:rsidRPr="001E3F71" w:rsidRDefault="00392601" w:rsidP="0041177B">
                  <w:pPr>
                    <w:spacing w:after="0" w:line="240" w:lineRule="auto"/>
                    <w:jc w:val="center"/>
                    <w:rPr>
                      <w:rFonts w:cs="Calibri"/>
                      <w:sz w:val="20"/>
                      <w:szCs w:val="20"/>
                    </w:rPr>
                  </w:pPr>
                  <w:r w:rsidRPr="001E3F71">
                    <w:rPr>
                      <w:rFonts w:cs="Calibri"/>
                      <w:sz w:val="20"/>
                      <w:szCs w:val="20"/>
                    </w:rPr>
                    <w:t>NA</w:t>
                  </w:r>
                </w:p>
              </w:tc>
            </w:tr>
          </w:tbl>
          <w:p w14:paraId="2EB47EB0" w14:textId="77777777" w:rsidR="00392601" w:rsidRPr="00F42967" w:rsidRDefault="00392601" w:rsidP="0041177B">
            <w:pPr>
              <w:jc w:val="center"/>
              <w:rPr>
                <w:rFonts w:eastAsia="Times New Roman" w:cs="Calibri"/>
                <w:b/>
                <w:bCs/>
                <w:color w:val="000000"/>
                <w:sz w:val="16"/>
                <w:szCs w:val="16"/>
                <w:u w:val="single"/>
                <w:lang w:eastAsia="en-GB"/>
              </w:rPr>
            </w:pPr>
          </w:p>
        </w:tc>
      </w:tr>
      <w:tr w:rsidR="00392601" w:rsidRPr="00191989" w14:paraId="573770D8" w14:textId="77777777" w:rsidTr="0041177B">
        <w:trPr>
          <w:trHeight w:val="113"/>
        </w:trPr>
        <w:tc>
          <w:tcPr>
            <w:tcW w:w="9711" w:type="dxa"/>
            <w:vAlign w:val="center"/>
          </w:tcPr>
          <w:p w14:paraId="38A33238" w14:textId="77777777" w:rsidR="00392601" w:rsidRPr="00F42967" w:rsidRDefault="00392601" w:rsidP="0041177B">
            <w:pPr>
              <w:pBdr>
                <w:bottom w:val="single" w:sz="4" w:space="1" w:color="auto"/>
              </w:pBdr>
              <w:rPr>
                <w:rFonts w:asciiTheme="minorHAnsi" w:hAnsiTheme="minorHAnsi"/>
                <w:bCs/>
                <w:sz w:val="18"/>
                <w:szCs w:val="16"/>
              </w:rPr>
            </w:pPr>
            <w:r w:rsidRPr="00191989">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67CA4EA1" w14:textId="77777777" w:rsidR="00392601" w:rsidRPr="00F42967" w:rsidRDefault="00392601" w:rsidP="0041177B">
            <w:pPr>
              <w:rPr>
                <w:rFonts w:asciiTheme="minorHAnsi" w:hAnsiTheme="minorHAnsi"/>
                <w:b/>
                <w:bCs/>
                <w:noProof/>
                <w:sz w:val="14"/>
                <w:szCs w:val="14"/>
                <w:u w:val="single"/>
              </w:rPr>
            </w:pPr>
          </w:p>
        </w:tc>
      </w:tr>
    </w:tbl>
    <w:p w14:paraId="04F10010" w14:textId="77777777" w:rsidR="00392601" w:rsidRDefault="00392601" w:rsidP="00392601">
      <w:pPr>
        <w:spacing w:after="0" w:line="240" w:lineRule="auto"/>
        <w:sectPr w:rsidR="00392601" w:rsidSect="002746C0">
          <w:pgSz w:w="11906" w:h="16838"/>
          <w:pgMar w:top="1440" w:right="1440" w:bottom="1440" w:left="1440" w:header="708" w:footer="708" w:gutter="0"/>
          <w:cols w:space="708"/>
          <w:docGrid w:linePitch="360"/>
        </w:sectPr>
      </w:pPr>
    </w:p>
    <w:p w14:paraId="2C9C2760" w14:textId="77777777" w:rsidR="00392601" w:rsidRDefault="00392601" w:rsidP="00392601">
      <w:pPr>
        <w:pStyle w:val="Heading2"/>
        <w:spacing w:before="0" w:after="0" w:line="240" w:lineRule="auto"/>
      </w:pPr>
      <w:bookmarkStart w:id="123" w:name="_Toc197557067"/>
      <w:bookmarkStart w:id="124" w:name="_Toc201512461"/>
      <w:r>
        <w:t>Survival</w:t>
      </w:r>
      <w:bookmarkEnd w:id="123"/>
      <w:bookmarkEnd w:id="124"/>
      <w:r>
        <w:t xml:space="preserve"> </w:t>
      </w:r>
    </w:p>
    <w:p w14:paraId="7D9F653D" w14:textId="13E68085" w:rsidR="00392601" w:rsidRDefault="00392601" w:rsidP="00392601">
      <w:pPr>
        <w:spacing w:after="0" w:line="240" w:lineRule="auto"/>
        <w:rPr>
          <w:rFonts w:ascii="Segoe UI" w:eastAsia="Segoe UI" w:hAnsi="Segoe UI" w:cs="Segoe UI"/>
          <w:sz w:val="18"/>
          <w:szCs w:val="18"/>
        </w:rPr>
      </w:pPr>
      <w:r w:rsidRPr="61F24C2E">
        <w:t>Overall, 5-year net survival was 60% for cases diagnosed during 2019-2022 (Figure</w:t>
      </w:r>
      <w:r w:rsidR="00CD2A49">
        <w:t xml:space="preserve"> 7.6</w:t>
      </w:r>
      <w:r w:rsidRPr="61F24C2E">
        <w:t>). Five-year net survival was 64% for 2019-2022 for males and 71% for 2014-2018 for females. It was not possible to calculate five</w:t>
      </w:r>
      <w:r w:rsidRPr="61F24C2E">
        <w:rPr>
          <w:rFonts w:eastAsiaTheme="minorEastAsia"/>
        </w:rPr>
        <w:t xml:space="preserve">-year net survival for several periods for females because of an insufficient number of cases (Figure </w:t>
      </w:r>
      <w:r w:rsidR="00AF318A">
        <w:rPr>
          <w:rFonts w:eastAsiaTheme="minorEastAsia"/>
        </w:rPr>
        <w:t>7.6</w:t>
      </w:r>
      <w:r w:rsidRPr="61F24C2E">
        <w:rPr>
          <w:rFonts w:eastAsiaTheme="minorEastAsia"/>
        </w:rPr>
        <w:t>).</w:t>
      </w:r>
    </w:p>
    <w:p w14:paraId="66FBCD6B" w14:textId="77777777" w:rsidR="00392601" w:rsidRDefault="00392601" w:rsidP="00392601">
      <w:pPr>
        <w:spacing w:after="0" w:line="240" w:lineRule="auto"/>
        <w:rPr>
          <w:rFonts w:ascii="Segoe UI" w:eastAsia="Segoe UI" w:hAnsi="Segoe UI" w:cs="Segoe UI"/>
          <w:sz w:val="18"/>
          <w:szCs w:val="18"/>
        </w:rPr>
      </w:pPr>
    </w:p>
    <w:tbl>
      <w:tblPr>
        <w:tblStyle w:val="TableGrid"/>
        <w:tblW w:w="9158" w:type="dxa"/>
        <w:tblInd w:w="-142"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7"/>
        <w:gridCol w:w="3356"/>
        <w:gridCol w:w="2925"/>
      </w:tblGrid>
      <w:tr w:rsidR="00392601" w:rsidRPr="00242229" w14:paraId="7652C35A" w14:textId="77777777" w:rsidTr="0041177B">
        <w:trPr>
          <w:trHeight w:val="113"/>
        </w:trPr>
        <w:tc>
          <w:tcPr>
            <w:tcW w:w="9158" w:type="dxa"/>
            <w:gridSpan w:val="3"/>
            <w:shd w:val="clear" w:color="auto" w:fill="002060"/>
            <w:hideMark/>
          </w:tcPr>
          <w:p w14:paraId="6504703D" w14:textId="533068C4" w:rsidR="00392601" w:rsidRPr="00AF318A" w:rsidRDefault="00392601" w:rsidP="0041177B">
            <w:pPr>
              <w:rPr>
                <w:rFonts w:asciiTheme="minorHAnsi" w:hAnsiTheme="minorHAnsi" w:cstheme="minorHAnsi"/>
                <w:b/>
                <w:bCs/>
              </w:rPr>
            </w:pPr>
            <w:r w:rsidRPr="00AF318A">
              <w:rPr>
                <w:rFonts w:asciiTheme="minorHAnsi" w:hAnsiTheme="minorHAnsi" w:cstheme="minorHAnsi"/>
                <w:b/>
                <w:bCs/>
              </w:rPr>
              <w:t xml:space="preserve">Figure </w:t>
            </w:r>
            <w:r w:rsidR="00AF318A" w:rsidRPr="00AF318A">
              <w:rPr>
                <w:rFonts w:asciiTheme="minorHAnsi" w:hAnsiTheme="minorHAnsi" w:cstheme="minorHAnsi"/>
                <w:b/>
                <w:bCs/>
              </w:rPr>
              <w:t>7.6:</w:t>
            </w:r>
            <w:r w:rsidRPr="00AF318A">
              <w:rPr>
                <w:rFonts w:asciiTheme="minorHAnsi" w:hAnsiTheme="minorHAnsi" w:cstheme="minorHAnsi"/>
                <w:b/>
                <w:bCs/>
              </w:rPr>
              <w:t xml:space="preserve"> Age-standardised 5-year net survival (%) for </w:t>
            </w:r>
            <w:r w:rsidR="002C41FA" w:rsidRPr="00AF318A">
              <w:rPr>
                <w:rFonts w:asciiTheme="minorHAnsi" w:hAnsiTheme="minorHAnsi" w:cstheme="minorHAnsi"/>
                <w:b/>
                <w:bCs/>
              </w:rPr>
              <w:t>nasopharyn</w:t>
            </w:r>
            <w:r w:rsidR="002C41FA">
              <w:rPr>
                <w:rFonts w:asciiTheme="minorHAnsi" w:hAnsiTheme="minorHAnsi" w:cstheme="minorHAnsi"/>
                <w:b/>
                <w:bCs/>
              </w:rPr>
              <w:t xml:space="preserve">geal </w:t>
            </w:r>
            <w:r w:rsidRPr="00AF318A">
              <w:rPr>
                <w:rFonts w:asciiTheme="minorHAnsi" w:hAnsiTheme="minorHAnsi" w:cstheme="minorHAnsi"/>
                <w:b/>
                <w:bCs/>
              </w:rPr>
              <w:t>cancer over six consecutive diagnosis periods</w:t>
            </w:r>
          </w:p>
        </w:tc>
      </w:tr>
      <w:tr w:rsidR="00392601" w:rsidRPr="00242229" w14:paraId="0D2C8AC1" w14:textId="77777777" w:rsidTr="0041177B">
        <w:trPr>
          <w:trHeight w:val="113"/>
        </w:trPr>
        <w:tc>
          <w:tcPr>
            <w:tcW w:w="2877" w:type="dxa"/>
            <w:hideMark/>
          </w:tcPr>
          <w:p w14:paraId="601D42D0" w14:textId="77777777" w:rsidR="00392601" w:rsidRPr="00242229" w:rsidRDefault="00392601" w:rsidP="0041177B">
            <w:pPr>
              <w:jc w:val="center"/>
              <w:rPr>
                <w:rFonts w:asciiTheme="minorHAnsi" w:hAnsiTheme="minorHAnsi" w:cstheme="minorHAnsi"/>
                <w:color w:val="000000" w:themeColor="text1"/>
              </w:rPr>
            </w:pPr>
            <w:r w:rsidRPr="00242229">
              <w:rPr>
                <w:rFonts w:asciiTheme="minorHAnsi" w:hAnsiTheme="minorHAnsi" w:cstheme="minorHAnsi"/>
                <w:color w:val="000000" w:themeColor="text1"/>
              </w:rPr>
              <w:t>Total</w:t>
            </w:r>
          </w:p>
        </w:tc>
        <w:tc>
          <w:tcPr>
            <w:tcW w:w="3356" w:type="dxa"/>
          </w:tcPr>
          <w:p w14:paraId="5D990DC9" w14:textId="77777777" w:rsidR="00392601" w:rsidRPr="00242229" w:rsidRDefault="00392601" w:rsidP="0041177B">
            <w:pPr>
              <w:jc w:val="center"/>
              <w:rPr>
                <w:rFonts w:asciiTheme="minorHAnsi" w:hAnsiTheme="minorHAnsi" w:cstheme="minorHAnsi"/>
                <w:color w:val="000000" w:themeColor="text1"/>
              </w:rPr>
            </w:pPr>
            <w:r w:rsidRPr="00242229">
              <w:rPr>
                <w:rFonts w:asciiTheme="minorHAnsi" w:hAnsiTheme="minorHAnsi" w:cstheme="minorHAnsi"/>
                <w:color w:val="000000" w:themeColor="text1"/>
              </w:rPr>
              <w:t>Males</w:t>
            </w:r>
          </w:p>
        </w:tc>
        <w:tc>
          <w:tcPr>
            <w:tcW w:w="2925" w:type="dxa"/>
          </w:tcPr>
          <w:p w14:paraId="53B2CB42" w14:textId="77777777" w:rsidR="00392601" w:rsidRPr="00F42967" w:rsidRDefault="00392601" w:rsidP="0041177B">
            <w:pPr>
              <w:jc w:val="center"/>
              <w:rPr>
                <w:rFonts w:asciiTheme="minorHAnsi" w:hAnsiTheme="minorHAnsi" w:cstheme="minorHAnsi"/>
                <w:color w:val="000000" w:themeColor="text1"/>
              </w:rPr>
            </w:pPr>
            <w:r w:rsidRPr="00242229">
              <w:rPr>
                <w:rFonts w:cstheme="minorHAnsi"/>
                <w:color w:val="000000" w:themeColor="text1"/>
              </w:rPr>
              <w:t>Females</w:t>
            </w:r>
          </w:p>
        </w:tc>
      </w:tr>
      <w:tr w:rsidR="00392601" w:rsidRPr="00242229" w14:paraId="3E476774" w14:textId="77777777" w:rsidTr="0041177B">
        <w:trPr>
          <w:trHeight w:val="113"/>
        </w:trPr>
        <w:tc>
          <w:tcPr>
            <w:tcW w:w="2877" w:type="dxa"/>
          </w:tcPr>
          <w:p w14:paraId="00D3D78C" w14:textId="77777777" w:rsidR="00392601" w:rsidRPr="00242229" w:rsidRDefault="00392601" w:rsidP="0041177B">
            <w:pPr>
              <w:jc w:val="center"/>
              <w:rPr>
                <w:rFonts w:asciiTheme="minorHAnsi" w:hAnsiTheme="minorHAnsi" w:cstheme="minorHAnsi"/>
                <w:color w:val="000000" w:themeColor="text1"/>
              </w:rPr>
            </w:pPr>
            <w:r w:rsidRPr="00081746">
              <w:rPr>
                <w:rFonts w:cstheme="minorHAnsi"/>
                <w:noProof/>
                <w:color w:val="000000" w:themeColor="text1"/>
              </w:rPr>
              <w:drawing>
                <wp:inline distT="0" distB="0" distL="0" distR="0" wp14:anchorId="02106056" wp14:editId="57DDE2B1">
                  <wp:extent cx="1800000" cy="1260000"/>
                  <wp:effectExtent l="0" t="0" r="0" b="0"/>
                  <wp:docPr id="2078441770" name="Picture 22" descr="A graph of numbers and a number of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8441770" name="Picture 22" descr="A graph of numbers and a number of numbers&#10;&#10;AI-generated content may be incorrec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00000" cy="1260000"/>
                          </a:xfrm>
                          <a:prstGeom prst="rect">
                            <a:avLst/>
                          </a:prstGeom>
                          <a:noFill/>
                        </pic:spPr>
                      </pic:pic>
                    </a:graphicData>
                  </a:graphic>
                </wp:inline>
              </w:drawing>
            </w:r>
          </w:p>
        </w:tc>
        <w:tc>
          <w:tcPr>
            <w:tcW w:w="3356" w:type="dxa"/>
          </w:tcPr>
          <w:p w14:paraId="5A00C9A2" w14:textId="77777777" w:rsidR="00392601" w:rsidRPr="00F42967" w:rsidRDefault="00392601" w:rsidP="0041177B">
            <w:pPr>
              <w:jc w:val="center"/>
              <w:rPr>
                <w:rFonts w:asciiTheme="minorHAnsi" w:hAnsiTheme="minorHAnsi" w:cstheme="minorHAnsi"/>
                <w:color w:val="000000" w:themeColor="text1"/>
              </w:rPr>
            </w:pPr>
            <w:r w:rsidRPr="00081746">
              <w:rPr>
                <w:rFonts w:eastAsia="Times New Roman" w:cs="Times New Roman"/>
                <w:noProof/>
                <w:lang w:eastAsia="en-GB"/>
              </w:rPr>
              <w:drawing>
                <wp:inline distT="0" distB="0" distL="0" distR="0" wp14:anchorId="13C6F5CA" wp14:editId="403134E4">
                  <wp:extent cx="1800000" cy="1260000"/>
                  <wp:effectExtent l="0" t="0" r="0" b="0"/>
                  <wp:docPr id="188047414" name="Picture 23" descr="A graph with numbers and a number of percentag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047414" name="Picture 23" descr="A graph with numbers and a number of percentages&#10;&#10;AI-generated content may be incorrect."/>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00000" cy="1260000"/>
                          </a:xfrm>
                          <a:prstGeom prst="rect">
                            <a:avLst/>
                          </a:prstGeom>
                          <a:noFill/>
                        </pic:spPr>
                      </pic:pic>
                    </a:graphicData>
                  </a:graphic>
                </wp:inline>
              </w:drawing>
            </w:r>
          </w:p>
          <w:p w14:paraId="6B443965" w14:textId="77777777" w:rsidR="00392601" w:rsidRPr="00242229" w:rsidRDefault="00392601" w:rsidP="0041177B">
            <w:pPr>
              <w:jc w:val="center"/>
              <w:rPr>
                <w:rFonts w:asciiTheme="minorHAnsi" w:hAnsiTheme="minorHAnsi" w:cstheme="minorHAnsi"/>
                <w:color w:val="000000" w:themeColor="text1"/>
              </w:rPr>
            </w:pPr>
          </w:p>
        </w:tc>
        <w:tc>
          <w:tcPr>
            <w:tcW w:w="2925" w:type="dxa"/>
          </w:tcPr>
          <w:p w14:paraId="335AD26D" w14:textId="77777777" w:rsidR="00392601" w:rsidRPr="00F42967" w:rsidRDefault="00392601" w:rsidP="0041177B">
            <w:pPr>
              <w:jc w:val="center"/>
              <w:rPr>
                <w:rFonts w:asciiTheme="minorHAnsi" w:hAnsiTheme="minorHAnsi" w:cstheme="minorHAnsi"/>
                <w:color w:val="000000" w:themeColor="text1"/>
              </w:rPr>
            </w:pPr>
            <w:r w:rsidRPr="00081746">
              <w:rPr>
                <w:rFonts w:cstheme="minorHAnsi"/>
                <w:noProof/>
                <w:color w:val="000000" w:themeColor="text1"/>
              </w:rPr>
              <w:drawing>
                <wp:inline distT="0" distB="0" distL="0" distR="0" wp14:anchorId="131B1748" wp14:editId="3AC6E55F">
                  <wp:extent cx="1800000" cy="1260000"/>
                  <wp:effectExtent l="0" t="0" r="0" b="0"/>
                  <wp:docPr id="201484512" name="Picture 24" descr="A graph with numbers and a number of object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484512" name="Picture 24" descr="A graph with numbers and a number of objects&#10;&#10;AI-generated content may be incorrec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00000" cy="1260000"/>
                          </a:xfrm>
                          <a:prstGeom prst="rect">
                            <a:avLst/>
                          </a:prstGeom>
                          <a:noFill/>
                        </pic:spPr>
                      </pic:pic>
                    </a:graphicData>
                  </a:graphic>
                </wp:inline>
              </w:drawing>
            </w:r>
          </w:p>
        </w:tc>
      </w:tr>
    </w:tbl>
    <w:p w14:paraId="5458AE66" w14:textId="77777777" w:rsidR="0080459B" w:rsidRPr="0080459B" w:rsidRDefault="0080459B" w:rsidP="0080459B">
      <w:bookmarkStart w:id="125" w:name="_Toc196914568"/>
    </w:p>
    <w:p w14:paraId="6927500D" w14:textId="77777777" w:rsidR="00392601" w:rsidRDefault="00392601" w:rsidP="00392601">
      <w:pPr>
        <w:pStyle w:val="Heading2"/>
        <w:spacing w:before="0" w:after="0" w:line="240" w:lineRule="auto"/>
      </w:pPr>
      <w:bookmarkStart w:id="126" w:name="_Toc197557068"/>
      <w:bookmarkStart w:id="127" w:name="_Toc201512462"/>
      <w:r>
        <w:t>Population Attributable Fraction</w:t>
      </w:r>
      <w:bookmarkEnd w:id="125"/>
      <w:bookmarkEnd w:id="126"/>
      <w:bookmarkEnd w:id="127"/>
    </w:p>
    <w:p w14:paraId="2436EA20" w14:textId="1842AD9F" w:rsidR="00392601" w:rsidRDefault="00392601" w:rsidP="00392601">
      <w:pPr>
        <w:spacing w:after="0" w:line="240" w:lineRule="auto"/>
        <w:rPr>
          <w:rStyle w:val="normaltextrun"/>
          <w:rFonts w:ascii="Aptos" w:hAnsi="Aptos"/>
          <w:color w:val="000000"/>
          <w:shd w:val="clear" w:color="auto" w:fill="FFFFFF"/>
        </w:rPr>
      </w:pPr>
      <w:r w:rsidRPr="00810294">
        <w:rPr>
          <w:rFonts w:cstheme="minorHAnsi"/>
        </w:rPr>
        <w:t>In 2022, 15 cases of nasopharyn</w:t>
      </w:r>
      <w:r>
        <w:rPr>
          <w:rFonts w:cstheme="minorHAnsi"/>
        </w:rPr>
        <w:t>geal</w:t>
      </w:r>
      <w:r w:rsidRPr="00810294">
        <w:rPr>
          <w:rFonts w:cstheme="minorHAnsi"/>
        </w:rPr>
        <w:t xml:space="preserve"> cancer were re</w:t>
      </w:r>
      <w:r>
        <w:rPr>
          <w:rFonts w:cstheme="minorHAnsi"/>
        </w:rPr>
        <w:t xml:space="preserve">corded </w:t>
      </w:r>
      <w:r w:rsidRPr="00810294">
        <w:rPr>
          <w:rFonts w:cstheme="minorHAnsi"/>
        </w:rPr>
        <w:t>(7 males, 8 females).</w:t>
      </w:r>
      <w:r>
        <w:rPr>
          <w:rFonts w:cstheme="minorHAnsi"/>
        </w:rPr>
        <w:t xml:space="preserve"> </w:t>
      </w:r>
      <w:r>
        <w:rPr>
          <w:rStyle w:val="normaltextrun"/>
          <w:rFonts w:ascii="Aptos" w:hAnsi="Aptos"/>
          <w:color w:val="000000"/>
          <w:shd w:val="clear" w:color="auto" w:fill="FFFFFF"/>
        </w:rPr>
        <w:t xml:space="preserve">The estimated total number of nasopharyngeal cancer cases attributable to smoking in Ireland in 2022 was 4 (PAF 25.4%). Table </w:t>
      </w:r>
      <w:r w:rsidR="00AF318A">
        <w:rPr>
          <w:rStyle w:val="normaltextrun"/>
          <w:rFonts w:ascii="Aptos" w:hAnsi="Aptos"/>
          <w:color w:val="000000"/>
          <w:shd w:val="clear" w:color="auto" w:fill="FFFFFF"/>
        </w:rPr>
        <w:t xml:space="preserve">7.1 </w:t>
      </w:r>
      <w:r>
        <w:rPr>
          <w:rStyle w:val="normaltextrun"/>
          <w:rFonts w:ascii="Aptos" w:hAnsi="Aptos"/>
          <w:color w:val="000000"/>
          <w:shd w:val="clear" w:color="auto" w:fill="FFFFFF"/>
        </w:rPr>
        <w:t>presents the difference between male and female nasopharyngeal cancer incidence related to smoking. Males had a higher PAF than females, 27.0% vs 24.0%.</w:t>
      </w:r>
    </w:p>
    <w:p w14:paraId="69C09A93" w14:textId="77777777" w:rsidR="00392601" w:rsidRPr="00810294" w:rsidRDefault="00392601" w:rsidP="00392601">
      <w:pPr>
        <w:spacing w:after="0" w:line="240" w:lineRule="auto"/>
        <w:rPr>
          <w:rFonts w:cstheme="minorHAnsi"/>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25"/>
        <w:gridCol w:w="2293"/>
        <w:gridCol w:w="2428"/>
        <w:gridCol w:w="2264"/>
      </w:tblGrid>
      <w:tr w:rsidR="00392601" w:rsidRPr="00810294" w14:paraId="4734BF1D" w14:textId="77777777" w:rsidTr="006C1190">
        <w:trPr>
          <w:trHeight w:val="300"/>
        </w:trPr>
        <w:tc>
          <w:tcPr>
            <w:tcW w:w="9010" w:type="dxa"/>
            <w:gridSpan w:val="4"/>
            <w:tcBorders>
              <w:top w:val="single" w:sz="6" w:space="0" w:color="auto"/>
              <w:left w:val="single" w:sz="6" w:space="0" w:color="auto"/>
              <w:bottom w:val="single" w:sz="6" w:space="0" w:color="auto"/>
              <w:right w:val="single" w:sz="6" w:space="0" w:color="auto"/>
            </w:tcBorders>
            <w:shd w:val="clear" w:color="auto" w:fill="002060"/>
            <w:hideMark/>
          </w:tcPr>
          <w:p w14:paraId="1CF6E826" w14:textId="72916042" w:rsidR="00392601" w:rsidRPr="00AF318A" w:rsidRDefault="00392601" w:rsidP="0041177B">
            <w:pPr>
              <w:spacing w:after="0" w:line="240" w:lineRule="auto"/>
              <w:textAlignment w:val="baseline"/>
              <w:rPr>
                <w:rFonts w:ascii="Segoe UI" w:eastAsia="Times New Roman" w:hAnsi="Segoe UI" w:cs="Segoe UI"/>
                <w:b/>
                <w:bCs/>
                <w:kern w:val="0"/>
                <w:sz w:val="18"/>
                <w:szCs w:val="18"/>
                <w:lang w:eastAsia="en-GB"/>
                <w14:ligatures w14:val="none"/>
              </w:rPr>
            </w:pPr>
            <w:r w:rsidRPr="00AF318A">
              <w:rPr>
                <w:rFonts w:ascii="Aptos" w:eastAsia="Times New Roman" w:hAnsi="Aptos" w:cs="Segoe UI"/>
                <w:b/>
                <w:bCs/>
                <w:color w:val="FFFFFF"/>
                <w:kern w:val="0"/>
                <w:lang w:eastAsia="en-GB"/>
                <w14:ligatures w14:val="none"/>
              </w:rPr>
              <w:t xml:space="preserve">Table </w:t>
            </w:r>
            <w:r w:rsidR="00AF318A">
              <w:rPr>
                <w:rFonts w:ascii="Aptos" w:eastAsia="Times New Roman" w:hAnsi="Aptos" w:cs="Segoe UI"/>
                <w:b/>
                <w:bCs/>
                <w:color w:val="FFFFFF"/>
                <w:kern w:val="0"/>
                <w:lang w:eastAsia="en-GB"/>
                <w14:ligatures w14:val="none"/>
              </w:rPr>
              <w:t>7.1</w:t>
            </w:r>
            <w:r w:rsidRPr="00AF318A">
              <w:rPr>
                <w:rFonts w:ascii="Aptos" w:eastAsia="Times New Roman" w:hAnsi="Aptos" w:cs="Segoe UI"/>
                <w:b/>
                <w:bCs/>
                <w:color w:val="FFFFFF"/>
                <w:kern w:val="0"/>
                <w:lang w:eastAsia="en-GB"/>
                <w14:ligatures w14:val="none"/>
              </w:rPr>
              <w:t>: Population attributable fraction and attributable cases of nasopharyngeal cancer in 2022 </w:t>
            </w:r>
          </w:p>
        </w:tc>
      </w:tr>
      <w:tr w:rsidR="00392601" w:rsidRPr="00810294" w14:paraId="56637465" w14:textId="77777777" w:rsidTr="006C1190">
        <w:trPr>
          <w:trHeight w:val="300"/>
        </w:trPr>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D94960C" w14:textId="77777777" w:rsidR="00392601" w:rsidRPr="00810294" w:rsidRDefault="00392601" w:rsidP="0041177B">
            <w:pPr>
              <w:spacing w:after="0" w:line="240" w:lineRule="auto"/>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584D3462"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Total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24DF6E44"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Males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2A95F84D"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Females </w:t>
            </w:r>
          </w:p>
        </w:tc>
      </w:tr>
      <w:tr w:rsidR="00392601" w:rsidRPr="00810294" w14:paraId="5E3674D4" w14:textId="77777777" w:rsidTr="006C1190">
        <w:trPr>
          <w:trHeight w:val="300"/>
        </w:trPr>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075190A" w14:textId="77777777" w:rsidR="00392601" w:rsidRPr="00810294" w:rsidRDefault="00392601" w:rsidP="0041177B">
            <w:pPr>
              <w:spacing w:after="0" w:line="240" w:lineRule="auto"/>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PAF (%)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674E6002"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25.4 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44C62297"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27.0 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0029C9FC"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24.0 </w:t>
            </w:r>
          </w:p>
        </w:tc>
      </w:tr>
      <w:tr w:rsidR="00367C23" w:rsidRPr="00810294" w14:paraId="6CDFE926" w14:textId="77777777" w:rsidTr="006C1190">
        <w:trPr>
          <w:trHeight w:val="300"/>
        </w:trPr>
        <w:tc>
          <w:tcPr>
            <w:tcW w:w="2025" w:type="dxa"/>
            <w:tcBorders>
              <w:top w:val="single" w:sz="6" w:space="0" w:color="auto"/>
              <w:left w:val="single" w:sz="6" w:space="0" w:color="auto"/>
              <w:bottom w:val="single" w:sz="6" w:space="0" w:color="auto"/>
              <w:right w:val="single" w:sz="6" w:space="0" w:color="auto"/>
            </w:tcBorders>
            <w:shd w:val="clear" w:color="auto" w:fill="auto"/>
          </w:tcPr>
          <w:p w14:paraId="414A3DDC" w14:textId="42F185B7" w:rsidR="00367C23" w:rsidRPr="00810294" w:rsidRDefault="00367C23" w:rsidP="0041177B">
            <w:pPr>
              <w:spacing w:after="0" w:line="240" w:lineRule="auto"/>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Total cases</w:t>
            </w:r>
          </w:p>
        </w:tc>
        <w:tc>
          <w:tcPr>
            <w:tcW w:w="2293" w:type="dxa"/>
            <w:tcBorders>
              <w:top w:val="single" w:sz="6" w:space="0" w:color="auto"/>
              <w:left w:val="single" w:sz="6" w:space="0" w:color="auto"/>
              <w:bottom w:val="single" w:sz="6" w:space="0" w:color="auto"/>
              <w:right w:val="single" w:sz="6" w:space="0" w:color="auto"/>
            </w:tcBorders>
            <w:shd w:val="clear" w:color="auto" w:fill="auto"/>
          </w:tcPr>
          <w:p w14:paraId="5833E8ED" w14:textId="7CEDDF63" w:rsidR="00367C23" w:rsidRPr="00810294" w:rsidRDefault="00367C23"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15</w:t>
            </w:r>
          </w:p>
        </w:tc>
        <w:tc>
          <w:tcPr>
            <w:tcW w:w="2428" w:type="dxa"/>
            <w:tcBorders>
              <w:top w:val="single" w:sz="6" w:space="0" w:color="auto"/>
              <w:left w:val="single" w:sz="6" w:space="0" w:color="auto"/>
              <w:bottom w:val="single" w:sz="6" w:space="0" w:color="auto"/>
              <w:right w:val="single" w:sz="6" w:space="0" w:color="auto"/>
            </w:tcBorders>
            <w:shd w:val="clear" w:color="auto" w:fill="auto"/>
          </w:tcPr>
          <w:p w14:paraId="5A7BBB4A" w14:textId="39CE7EE9" w:rsidR="00367C23" w:rsidRPr="00810294" w:rsidRDefault="00367C23"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7</w:t>
            </w:r>
          </w:p>
        </w:tc>
        <w:tc>
          <w:tcPr>
            <w:tcW w:w="2264" w:type="dxa"/>
            <w:tcBorders>
              <w:top w:val="single" w:sz="6" w:space="0" w:color="auto"/>
              <w:left w:val="single" w:sz="6" w:space="0" w:color="auto"/>
              <w:bottom w:val="single" w:sz="6" w:space="0" w:color="auto"/>
              <w:right w:val="single" w:sz="6" w:space="0" w:color="auto"/>
            </w:tcBorders>
            <w:shd w:val="clear" w:color="auto" w:fill="auto"/>
          </w:tcPr>
          <w:p w14:paraId="57CCF500" w14:textId="52396980" w:rsidR="00367C23" w:rsidRPr="00810294" w:rsidRDefault="00367C23"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8</w:t>
            </w:r>
          </w:p>
        </w:tc>
      </w:tr>
      <w:tr w:rsidR="00392601" w:rsidRPr="00810294" w14:paraId="3DD83E79" w14:textId="77777777" w:rsidTr="006C1190">
        <w:trPr>
          <w:trHeight w:val="300"/>
        </w:trPr>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A2CD044" w14:textId="77777777" w:rsidR="00392601" w:rsidRPr="00810294" w:rsidRDefault="00392601" w:rsidP="0041177B">
            <w:pPr>
              <w:spacing w:after="0" w:line="240" w:lineRule="auto"/>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Attributable cases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543EB477"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4 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049E2B6D"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2 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42F4A12E"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2 </w:t>
            </w:r>
          </w:p>
        </w:tc>
      </w:tr>
    </w:tbl>
    <w:p w14:paraId="2BE17CDA" w14:textId="77777777" w:rsidR="00392601" w:rsidRPr="00642FC1" w:rsidRDefault="00392601" w:rsidP="00392601">
      <w:pPr>
        <w:spacing w:after="0" w:line="240" w:lineRule="auto"/>
        <w:sectPr w:rsidR="00392601" w:rsidRPr="00642FC1" w:rsidSect="002746C0">
          <w:pgSz w:w="11906" w:h="16838"/>
          <w:pgMar w:top="1440" w:right="1440" w:bottom="1440" w:left="1440" w:header="708" w:footer="708" w:gutter="0"/>
          <w:cols w:space="708"/>
          <w:docGrid w:linePitch="360"/>
        </w:sectPr>
      </w:pPr>
    </w:p>
    <w:p w14:paraId="047F8952" w14:textId="02022EC2" w:rsidR="00392601" w:rsidRDefault="00392601" w:rsidP="00392601">
      <w:pPr>
        <w:pStyle w:val="Heading1"/>
        <w:spacing w:before="0" w:after="0" w:line="240" w:lineRule="auto"/>
      </w:pPr>
      <w:bookmarkStart w:id="128" w:name="_Toc197557069"/>
      <w:bookmarkStart w:id="129" w:name="_Toc201512463"/>
      <w:r>
        <w:t>Oesophagus</w:t>
      </w:r>
      <w:bookmarkEnd w:id="128"/>
      <w:r w:rsidR="008F109F">
        <w:t xml:space="preserve"> C15</w:t>
      </w:r>
      <w:bookmarkEnd w:id="129"/>
    </w:p>
    <w:p w14:paraId="2BC3C543" w14:textId="18682F6A" w:rsidR="00392601" w:rsidRDefault="00392601" w:rsidP="00392601">
      <w:pPr>
        <w:pStyle w:val="Heading2"/>
        <w:spacing w:before="0" w:after="0" w:line="240" w:lineRule="auto"/>
      </w:pPr>
      <w:bookmarkStart w:id="130" w:name="_Toc201512464"/>
      <w:bookmarkStart w:id="131" w:name="_Toc197557070"/>
      <w:r>
        <w:t>Oesophagus (adenocarcinoma)</w:t>
      </w:r>
      <w:bookmarkEnd w:id="130"/>
      <w:r>
        <w:tab/>
      </w:r>
      <w:bookmarkEnd w:id="131"/>
    </w:p>
    <w:p w14:paraId="10737735" w14:textId="77777777" w:rsidR="00392601" w:rsidRPr="0077726B" w:rsidRDefault="00392601" w:rsidP="00392601">
      <w:pPr>
        <w:numPr>
          <w:ilvl w:val="1"/>
          <w:numId w:val="0"/>
        </w:numPr>
        <w:spacing w:after="0" w:line="240" w:lineRule="auto"/>
        <w:rPr>
          <w:rFonts w:eastAsiaTheme="majorEastAsia" w:cstheme="minorHAnsi"/>
          <w:i/>
          <w:iCs/>
          <w:color w:val="0F4761" w:themeColor="accent1" w:themeShade="BF"/>
          <w:spacing w:val="15"/>
          <w:sz w:val="28"/>
          <w:szCs w:val="28"/>
        </w:rPr>
      </w:pPr>
      <w:r w:rsidRPr="0077726B">
        <w:rPr>
          <w:rFonts w:eastAsiaTheme="majorEastAsia" w:cstheme="minorHAnsi"/>
          <w:i/>
          <w:iCs/>
          <w:color w:val="0F4761" w:themeColor="accent1" w:themeShade="BF"/>
          <w:spacing w:val="15"/>
          <w:sz w:val="28"/>
          <w:szCs w:val="28"/>
        </w:rPr>
        <w:t>Key points</w:t>
      </w:r>
    </w:p>
    <w:p w14:paraId="38B0D3E4" w14:textId="77777777" w:rsidR="00392601" w:rsidRPr="0077726B" w:rsidRDefault="00392601" w:rsidP="00392601">
      <w:pPr>
        <w:numPr>
          <w:ilvl w:val="1"/>
          <w:numId w:val="0"/>
        </w:numPr>
        <w:spacing w:after="0" w:line="240" w:lineRule="auto"/>
        <w:rPr>
          <w:rFonts w:eastAsiaTheme="majorEastAsia" w:cstheme="minorHAnsi"/>
          <w:i/>
          <w:iCs/>
          <w:color w:val="595959" w:themeColor="text1" w:themeTint="A6"/>
          <w:spacing w:val="15"/>
        </w:rPr>
      </w:pPr>
      <w:r w:rsidRPr="0077726B">
        <w:rPr>
          <w:rFonts w:eastAsiaTheme="majorEastAsia" w:cstheme="minorHAnsi"/>
          <w:i/>
          <w:iCs/>
          <w:color w:val="595959" w:themeColor="text1" w:themeTint="A6"/>
          <w:spacing w:val="15"/>
        </w:rPr>
        <w:t>Incidence</w:t>
      </w:r>
    </w:p>
    <w:p w14:paraId="71F0EAF8" w14:textId="68DA33F9" w:rsidR="00392601" w:rsidRPr="0077726B" w:rsidRDefault="00392601" w:rsidP="00551E37">
      <w:pPr>
        <w:numPr>
          <w:ilvl w:val="0"/>
          <w:numId w:val="17"/>
        </w:numPr>
        <w:spacing w:after="0" w:line="240" w:lineRule="auto"/>
        <w:contextualSpacing/>
      </w:pPr>
      <w:r w:rsidRPr="0077726B">
        <w:t xml:space="preserve">Incidence </w:t>
      </w:r>
      <w:r w:rsidR="00551E37">
        <w:t xml:space="preserve">rates </w:t>
      </w:r>
      <w:r w:rsidRPr="0077726B">
        <w:t xml:space="preserve">increased </w:t>
      </w:r>
      <w:r w:rsidR="00551E37">
        <w:t xml:space="preserve">in </w:t>
      </w:r>
      <w:r w:rsidRPr="0077726B">
        <w:t>males from 1994 to 2004</w:t>
      </w:r>
      <w:r w:rsidR="00551E37">
        <w:t xml:space="preserve">. There was no significant change in incidence among males </w:t>
      </w:r>
      <w:r w:rsidRPr="0077726B">
        <w:t>from 2004 to 2022</w:t>
      </w:r>
      <w:r w:rsidR="008A5CD6">
        <w:t>.</w:t>
      </w:r>
      <w:r w:rsidRPr="0077726B">
        <w:t xml:space="preserve"> </w:t>
      </w:r>
    </w:p>
    <w:p w14:paraId="4273324A" w14:textId="2DD5E951" w:rsidR="00392601" w:rsidRPr="0077726B" w:rsidRDefault="00392601" w:rsidP="00551E37">
      <w:pPr>
        <w:numPr>
          <w:ilvl w:val="0"/>
          <w:numId w:val="17"/>
        </w:numPr>
        <w:spacing w:after="0" w:line="240" w:lineRule="auto"/>
        <w:contextualSpacing/>
      </w:pPr>
      <w:r w:rsidRPr="0077726B">
        <w:t xml:space="preserve">Across the period </w:t>
      </w:r>
      <w:r w:rsidR="00E80E07">
        <w:t xml:space="preserve">1994 to 2022 </w:t>
      </w:r>
      <w:r>
        <w:t>incidence</w:t>
      </w:r>
      <w:r w:rsidRPr="0077726B">
        <w:t xml:space="preserve"> </w:t>
      </w:r>
      <w:r w:rsidR="00551E37">
        <w:t xml:space="preserve">rates </w:t>
      </w:r>
      <w:r w:rsidRPr="0077726B">
        <w:t xml:space="preserve">increased steadily among </w:t>
      </w:r>
      <w:r w:rsidR="00BC7D1F">
        <w:t>females</w:t>
      </w:r>
      <w:r w:rsidR="008A5CD6">
        <w:t>.</w:t>
      </w:r>
    </w:p>
    <w:p w14:paraId="68A56083" w14:textId="77777777" w:rsidR="008A5CD6" w:rsidRPr="008A5CD6" w:rsidRDefault="008A5CD6" w:rsidP="00551E37">
      <w:pPr>
        <w:pStyle w:val="ListParagraph"/>
        <w:numPr>
          <w:ilvl w:val="0"/>
          <w:numId w:val="17"/>
        </w:numPr>
        <w:spacing w:after="0" w:line="240" w:lineRule="auto"/>
      </w:pPr>
      <w:r w:rsidRPr="008A5CD6">
        <w:t>Incidence rates in the diagnosis period 2014-2018 were similar across deprivation quintiles.</w:t>
      </w:r>
    </w:p>
    <w:p w14:paraId="08AE67AC" w14:textId="77777777" w:rsidR="00392601" w:rsidRPr="0077726B" w:rsidRDefault="00392601" w:rsidP="00551E37">
      <w:pPr>
        <w:spacing w:after="0" w:line="240" w:lineRule="auto"/>
        <w:jc w:val="both"/>
        <w:rPr>
          <w:rFonts w:eastAsia="Times New Roman" w:cstheme="minorHAnsi"/>
          <w:i/>
          <w:iCs/>
          <w:color w:val="808080" w:themeColor="background1" w:themeShade="80"/>
        </w:rPr>
      </w:pPr>
      <w:r w:rsidRPr="0077726B">
        <w:rPr>
          <w:rFonts w:cstheme="minorHAnsi"/>
          <w:i/>
          <w:iCs/>
          <w:color w:val="808080" w:themeColor="background1" w:themeShade="80"/>
        </w:rPr>
        <w:t>Mortality</w:t>
      </w:r>
    </w:p>
    <w:p w14:paraId="1C3DAA78" w14:textId="0CF533A7" w:rsidR="00392601" w:rsidRPr="0077726B" w:rsidRDefault="007A1D5E" w:rsidP="00551E37">
      <w:pPr>
        <w:spacing w:after="0" w:line="240" w:lineRule="auto"/>
        <w:ind w:left="720"/>
        <w:contextualSpacing/>
        <w:jc w:val="both"/>
        <w:rPr>
          <w:rFonts w:eastAsia="Calibri" w:cstheme="minorHAnsi"/>
          <w:color w:val="000000" w:themeColor="text1"/>
        </w:rPr>
      </w:pPr>
      <w:bookmarkStart w:id="132" w:name="_Hlk201051158"/>
      <w:r w:rsidRPr="006C1190">
        <w:t>CSO mortality data does not provide mortality figures at the tumour morphological level</w:t>
      </w:r>
      <w:r>
        <w:t xml:space="preserve"> therefore mortality trends are not presented</w:t>
      </w:r>
      <w:bookmarkEnd w:id="132"/>
      <w:r>
        <w:t xml:space="preserve">. </w:t>
      </w:r>
    </w:p>
    <w:p w14:paraId="04C18741" w14:textId="77777777" w:rsidR="00392601" w:rsidRPr="0077726B" w:rsidRDefault="00392601" w:rsidP="00392601">
      <w:pPr>
        <w:numPr>
          <w:ilvl w:val="1"/>
          <w:numId w:val="0"/>
        </w:numPr>
        <w:spacing w:after="0" w:line="240" w:lineRule="auto"/>
        <w:rPr>
          <w:rFonts w:eastAsiaTheme="majorEastAsia" w:cstheme="minorHAnsi"/>
          <w:i/>
          <w:iCs/>
          <w:color w:val="595959" w:themeColor="text1" w:themeTint="A6"/>
          <w:spacing w:val="15"/>
        </w:rPr>
      </w:pPr>
      <w:r w:rsidRPr="0077726B">
        <w:rPr>
          <w:rFonts w:eastAsiaTheme="majorEastAsia" w:cstheme="minorHAnsi"/>
          <w:i/>
          <w:iCs/>
          <w:color w:val="595959" w:themeColor="text1" w:themeTint="A6"/>
          <w:spacing w:val="15"/>
        </w:rPr>
        <w:t>Survival</w:t>
      </w:r>
    </w:p>
    <w:p w14:paraId="1A090DA5" w14:textId="5D42D47C" w:rsidR="00392601" w:rsidRPr="0077726B" w:rsidRDefault="00392601" w:rsidP="00551E37">
      <w:pPr>
        <w:numPr>
          <w:ilvl w:val="0"/>
          <w:numId w:val="18"/>
        </w:numPr>
        <w:spacing w:after="0" w:line="240" w:lineRule="auto"/>
        <w:contextualSpacing/>
      </w:pPr>
      <w:r w:rsidRPr="0077726B">
        <w:t>5-year net survival was 25% for cases diagnosed during 2019-2022.</w:t>
      </w:r>
    </w:p>
    <w:p w14:paraId="685D3CF8" w14:textId="77777777" w:rsidR="00392601" w:rsidRPr="0077726B" w:rsidRDefault="00392601" w:rsidP="00392601">
      <w:pPr>
        <w:numPr>
          <w:ilvl w:val="1"/>
          <w:numId w:val="0"/>
        </w:numPr>
        <w:spacing w:after="0" w:line="240" w:lineRule="auto"/>
        <w:rPr>
          <w:rFonts w:cstheme="minorHAnsi"/>
          <w:i/>
          <w:iCs/>
        </w:rPr>
      </w:pPr>
      <w:r w:rsidRPr="0077726B">
        <w:rPr>
          <w:rFonts w:eastAsiaTheme="majorEastAsia" w:cstheme="minorHAnsi"/>
          <w:i/>
          <w:iCs/>
          <w:color w:val="595959" w:themeColor="text1" w:themeTint="A6"/>
          <w:spacing w:val="15"/>
        </w:rPr>
        <w:t>Population attributable fraction</w:t>
      </w:r>
    </w:p>
    <w:p w14:paraId="5BF8E19D" w14:textId="77777777" w:rsidR="00392601" w:rsidRPr="0077726B" w:rsidRDefault="00392601">
      <w:pPr>
        <w:numPr>
          <w:ilvl w:val="0"/>
          <w:numId w:val="19"/>
        </w:numPr>
        <w:spacing w:after="0" w:line="240" w:lineRule="auto"/>
        <w:contextualSpacing/>
      </w:pPr>
      <w:r w:rsidRPr="0077726B">
        <w:t xml:space="preserve">The estimated total number of </w:t>
      </w:r>
      <w:r>
        <w:t xml:space="preserve">cases of </w:t>
      </w:r>
      <w:r w:rsidRPr="0077726B">
        <w:t>oesophag</w:t>
      </w:r>
      <w:r>
        <w:t>eal</w:t>
      </w:r>
      <w:r w:rsidRPr="0077726B">
        <w:t xml:space="preserve"> adenocarcinoma attributable to smoking in Ireland in 2022 was 123 (PAF 38.6%). </w:t>
      </w:r>
    </w:p>
    <w:p w14:paraId="34EDE0B9" w14:textId="77777777" w:rsidR="00392601" w:rsidRPr="0077726B" w:rsidRDefault="00392601" w:rsidP="00392601">
      <w:pPr>
        <w:spacing w:after="0" w:line="240" w:lineRule="auto"/>
      </w:pPr>
    </w:p>
    <w:p w14:paraId="24D2F333" w14:textId="77777777" w:rsidR="00392601" w:rsidRDefault="00392601" w:rsidP="00392601">
      <w:pPr>
        <w:spacing w:after="0" w:line="240" w:lineRule="auto"/>
        <w:sectPr w:rsidR="00392601" w:rsidSect="002746C0">
          <w:pgSz w:w="11906" w:h="16838"/>
          <w:pgMar w:top="1440" w:right="1440" w:bottom="1440" w:left="1440" w:header="708" w:footer="708" w:gutter="0"/>
          <w:cols w:space="708"/>
          <w:docGrid w:linePitch="360"/>
        </w:sectPr>
      </w:pPr>
    </w:p>
    <w:p w14:paraId="4BC8A4C6" w14:textId="77777777" w:rsidR="00392601" w:rsidRPr="0077726B" w:rsidRDefault="00392601" w:rsidP="00392601">
      <w:pPr>
        <w:pStyle w:val="Heading3"/>
        <w:spacing w:before="0" w:after="0" w:line="240" w:lineRule="auto"/>
      </w:pPr>
      <w:bookmarkStart w:id="133" w:name="_Toc197557071"/>
      <w:bookmarkStart w:id="134" w:name="_Toc201512465"/>
      <w:r w:rsidRPr="0077726B">
        <w:t>Incidence</w:t>
      </w:r>
      <w:bookmarkEnd w:id="133"/>
      <w:bookmarkEnd w:id="134"/>
    </w:p>
    <w:p w14:paraId="6B661113" w14:textId="045FAD37" w:rsidR="00392601" w:rsidRDefault="00392601" w:rsidP="00392601">
      <w:pPr>
        <w:spacing w:after="0" w:line="240" w:lineRule="auto"/>
      </w:pPr>
      <w:r>
        <w:t>Between</w:t>
      </w:r>
      <w:r w:rsidRPr="0077726B">
        <w:t xml:space="preserve"> 1994-2022, 5,212 cases of oesophag</w:t>
      </w:r>
      <w:r>
        <w:t>eal</w:t>
      </w:r>
      <w:r w:rsidRPr="0077726B">
        <w:t xml:space="preserve"> adenocarcinoma </w:t>
      </w:r>
      <w:r>
        <w:t>were</w:t>
      </w:r>
      <w:r w:rsidRPr="0077726B">
        <w:t xml:space="preserve"> reported (4,152 </w:t>
      </w:r>
      <w:r>
        <w:t>m</w:t>
      </w:r>
      <w:r w:rsidRPr="0077726B">
        <w:t xml:space="preserve">ales, 1,060 </w:t>
      </w:r>
      <w:r>
        <w:t>f</w:t>
      </w:r>
      <w:r w:rsidRPr="0077726B">
        <w:t>emales). The median age at diagnosis was 68 years (</w:t>
      </w:r>
      <w:r>
        <w:t xml:space="preserve">IQR: </w:t>
      </w:r>
      <w:r w:rsidRPr="0077726B">
        <w:t xml:space="preserve">59-76) for males and 74 </w:t>
      </w:r>
      <w:r>
        <w:t xml:space="preserve">years </w:t>
      </w:r>
      <w:r w:rsidRPr="0077726B">
        <w:t>(</w:t>
      </w:r>
      <w:r>
        <w:t xml:space="preserve">IQR: </w:t>
      </w:r>
      <w:r w:rsidRPr="0077726B">
        <w:t>65-81) for females.</w:t>
      </w:r>
      <w:r>
        <w:t xml:space="preserve"> </w:t>
      </w:r>
      <w:r w:rsidRPr="61F24C2E">
        <w:t xml:space="preserve">Age-standardised incidence rates of </w:t>
      </w:r>
      <w:r w:rsidRPr="0077726B">
        <w:t>oesophag</w:t>
      </w:r>
      <w:r>
        <w:t>eal</w:t>
      </w:r>
      <w:r w:rsidRPr="0077726B">
        <w:t xml:space="preserve"> adenocarcinoma </w:t>
      </w:r>
      <w:r w:rsidR="00E80E07">
        <w:t>during the period</w:t>
      </w:r>
      <w:r w:rsidRPr="61F24C2E">
        <w:t xml:space="preserve"> 1994-2022 were 10.3 cases per 100,000 males and 2.3 cases per 100,000 females per year. Figure </w:t>
      </w:r>
      <w:r w:rsidR="00C7364C">
        <w:t>8.1</w:t>
      </w:r>
      <w:r w:rsidRPr="61F24C2E">
        <w:t xml:space="preserve"> breaks this down further by sex and age group.</w:t>
      </w:r>
    </w:p>
    <w:p w14:paraId="45A9FB3D" w14:textId="77777777" w:rsidR="00392601" w:rsidRPr="0077726B" w:rsidRDefault="00392601" w:rsidP="00392601">
      <w:pPr>
        <w:spacing w:after="0" w:line="240" w:lineRule="auto"/>
        <w:rPr>
          <w:rFonts w:cstheme="minorHAnsi"/>
        </w:rPr>
      </w:pPr>
    </w:p>
    <w:tbl>
      <w:tblPr>
        <w:tblStyle w:val="TableGrid"/>
        <w:tblW w:w="0" w:type="auto"/>
        <w:tblInd w:w="-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3259"/>
        <w:gridCol w:w="3259"/>
      </w:tblGrid>
      <w:tr w:rsidR="00392601" w:rsidRPr="00191989" w14:paraId="2E1E0CAB" w14:textId="77777777" w:rsidTr="00296FF6">
        <w:trPr>
          <w:trHeight w:val="113"/>
        </w:trPr>
        <w:tc>
          <w:tcPr>
            <w:tcW w:w="0" w:type="auto"/>
            <w:gridSpan w:val="3"/>
            <w:shd w:val="clear" w:color="auto" w:fill="002060"/>
            <w:hideMark/>
          </w:tcPr>
          <w:p w14:paraId="25183E62" w14:textId="5ACB068B" w:rsidR="00392601" w:rsidRPr="00C7364C" w:rsidRDefault="00392601" w:rsidP="0041177B">
            <w:pPr>
              <w:rPr>
                <w:rFonts w:asciiTheme="minorHAnsi" w:hAnsiTheme="minorHAnsi" w:cstheme="minorHAnsi"/>
                <w:b/>
                <w:bCs/>
                <w:color w:val="FFFFFF" w:themeColor="background1"/>
              </w:rPr>
            </w:pPr>
            <w:r w:rsidRPr="00C7364C">
              <w:rPr>
                <w:rFonts w:asciiTheme="minorHAnsi" w:hAnsiTheme="minorHAnsi" w:cstheme="minorHAnsi"/>
                <w:b/>
                <w:bCs/>
                <w:color w:val="FFFFFF" w:themeColor="background1"/>
              </w:rPr>
              <w:t xml:space="preserve">Figure </w:t>
            </w:r>
            <w:r w:rsidR="00C7364C" w:rsidRPr="00C7364C">
              <w:rPr>
                <w:rFonts w:asciiTheme="minorHAnsi" w:hAnsiTheme="minorHAnsi" w:cstheme="minorHAnsi"/>
                <w:b/>
                <w:bCs/>
                <w:color w:val="FFFFFF" w:themeColor="background1"/>
              </w:rPr>
              <w:t>8.1:</w:t>
            </w:r>
            <w:r w:rsidRPr="00C7364C">
              <w:rPr>
                <w:rFonts w:asciiTheme="minorHAnsi" w:hAnsiTheme="minorHAnsi" w:cstheme="minorHAnsi"/>
                <w:b/>
                <w:bCs/>
                <w:color w:val="FFFFFF" w:themeColor="background1"/>
              </w:rPr>
              <w:t xml:space="preserve"> Incidence rate (per 100,000) for </w:t>
            </w:r>
            <w:r w:rsidRPr="00C7364C">
              <w:rPr>
                <w:rFonts w:asciiTheme="minorHAnsi" w:hAnsiTheme="minorHAnsi"/>
                <w:b/>
                <w:bCs/>
              </w:rPr>
              <w:t xml:space="preserve">oesophageal adenocarcinoma </w:t>
            </w:r>
            <w:r w:rsidRPr="00C7364C">
              <w:rPr>
                <w:rFonts w:asciiTheme="minorHAnsi" w:hAnsiTheme="minorHAnsi" w:cstheme="minorHAnsi"/>
                <w:b/>
                <w:bCs/>
                <w:color w:val="FFFFFF" w:themeColor="background1"/>
              </w:rPr>
              <w:t xml:space="preserve">by </w:t>
            </w:r>
            <w:r w:rsidR="00366242">
              <w:rPr>
                <w:rFonts w:asciiTheme="minorHAnsi" w:hAnsiTheme="minorHAnsi" w:cstheme="minorHAnsi"/>
                <w:b/>
                <w:bCs/>
                <w:color w:val="FFFFFF" w:themeColor="background1"/>
              </w:rPr>
              <w:t>age group</w:t>
            </w:r>
            <w:r w:rsidRPr="00C7364C">
              <w:rPr>
                <w:rFonts w:asciiTheme="minorHAnsi" w:hAnsiTheme="minorHAnsi" w:cstheme="minorHAnsi"/>
                <w:b/>
                <w:bCs/>
                <w:color w:val="FFFFFF" w:themeColor="background1"/>
              </w:rPr>
              <w:t>,1994-2022</w:t>
            </w:r>
          </w:p>
        </w:tc>
      </w:tr>
      <w:tr w:rsidR="00392601" w:rsidRPr="00191989" w14:paraId="2876404D" w14:textId="77777777" w:rsidTr="00296FF6">
        <w:trPr>
          <w:trHeight w:val="113"/>
        </w:trPr>
        <w:tc>
          <w:tcPr>
            <w:tcW w:w="0" w:type="auto"/>
            <w:hideMark/>
          </w:tcPr>
          <w:p w14:paraId="51D8D882" w14:textId="77777777" w:rsidR="00392601" w:rsidRPr="00191989" w:rsidRDefault="00392601" w:rsidP="0041177B">
            <w:pPr>
              <w:jc w:val="center"/>
              <w:rPr>
                <w:rFonts w:asciiTheme="minorHAnsi" w:hAnsiTheme="minorHAnsi" w:cstheme="minorHAnsi"/>
                <w:color w:val="000000" w:themeColor="text1"/>
              </w:rPr>
            </w:pPr>
            <w:r w:rsidRPr="00191989">
              <w:rPr>
                <w:rFonts w:asciiTheme="minorHAnsi" w:hAnsiTheme="minorHAnsi" w:cstheme="minorHAnsi"/>
                <w:color w:val="000000" w:themeColor="text1"/>
              </w:rPr>
              <w:t>Total</w:t>
            </w:r>
          </w:p>
        </w:tc>
        <w:tc>
          <w:tcPr>
            <w:tcW w:w="0" w:type="auto"/>
          </w:tcPr>
          <w:p w14:paraId="06F6CBA5" w14:textId="77777777" w:rsidR="00392601" w:rsidRPr="00191989" w:rsidRDefault="00392601" w:rsidP="0041177B">
            <w:pPr>
              <w:jc w:val="center"/>
              <w:rPr>
                <w:rFonts w:asciiTheme="minorHAnsi" w:hAnsiTheme="minorHAnsi" w:cstheme="minorHAnsi"/>
                <w:color w:val="000000" w:themeColor="text1"/>
              </w:rPr>
            </w:pPr>
            <w:r w:rsidRPr="00191989">
              <w:rPr>
                <w:rFonts w:asciiTheme="minorHAnsi" w:hAnsiTheme="minorHAnsi" w:cstheme="minorHAnsi"/>
                <w:color w:val="000000" w:themeColor="text1"/>
              </w:rPr>
              <w:t>Males</w:t>
            </w:r>
          </w:p>
        </w:tc>
        <w:tc>
          <w:tcPr>
            <w:tcW w:w="0" w:type="auto"/>
          </w:tcPr>
          <w:p w14:paraId="44EF394E" w14:textId="77777777" w:rsidR="00392601" w:rsidRPr="00F42967" w:rsidRDefault="00392601" w:rsidP="0041177B">
            <w:pPr>
              <w:jc w:val="center"/>
              <w:rPr>
                <w:rFonts w:asciiTheme="minorHAnsi" w:hAnsiTheme="minorHAnsi" w:cstheme="minorHAnsi"/>
                <w:color w:val="000000" w:themeColor="text1"/>
              </w:rPr>
            </w:pPr>
            <w:r w:rsidRPr="00191989">
              <w:rPr>
                <w:rFonts w:asciiTheme="minorHAnsi" w:hAnsiTheme="minorHAnsi" w:cstheme="minorHAnsi"/>
                <w:color w:val="000000" w:themeColor="text1"/>
              </w:rPr>
              <w:t>Females</w:t>
            </w:r>
          </w:p>
        </w:tc>
      </w:tr>
      <w:tr w:rsidR="00392601" w:rsidRPr="00191989" w14:paraId="53D59BF8" w14:textId="77777777" w:rsidTr="00296FF6">
        <w:trPr>
          <w:trHeight w:val="113"/>
        </w:trPr>
        <w:tc>
          <w:tcPr>
            <w:tcW w:w="0" w:type="auto"/>
          </w:tcPr>
          <w:p w14:paraId="5B8D9114" w14:textId="607D7EFD" w:rsidR="00392601" w:rsidRPr="00191989" w:rsidRDefault="00392601" w:rsidP="0041177B">
            <w:pPr>
              <w:jc w:val="center"/>
              <w:rPr>
                <w:rFonts w:asciiTheme="minorHAnsi" w:hAnsiTheme="minorHAnsi" w:cstheme="minorHAnsi"/>
                <w:color w:val="000000" w:themeColor="text1"/>
              </w:rPr>
            </w:pPr>
            <w:r w:rsidRPr="00191989">
              <w:rPr>
                <w:rFonts w:eastAsia="Times New Roman" w:cs="Times New Roman"/>
                <w:noProof/>
                <w:lang w:eastAsia="en-GB"/>
              </w:rPr>
              <w:drawing>
                <wp:inline distT="0" distB="0" distL="0" distR="0" wp14:anchorId="1A643A8A" wp14:editId="07C2F9D8">
                  <wp:extent cx="1689140" cy="1436400"/>
                  <wp:effectExtent l="0" t="0" r="6350" b="0"/>
                  <wp:docPr id="1529988290" name="Picture 25"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988290" name="Picture 25" descr="A graph with numbers and a bar&#10;&#10;AI-generated content may be incorrect."/>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89140" cy="1436400"/>
                          </a:xfrm>
                          <a:prstGeom prst="rect">
                            <a:avLst/>
                          </a:prstGeom>
                          <a:noFill/>
                        </pic:spPr>
                      </pic:pic>
                    </a:graphicData>
                  </a:graphic>
                </wp:inline>
              </w:drawing>
            </w:r>
          </w:p>
        </w:tc>
        <w:tc>
          <w:tcPr>
            <w:tcW w:w="0" w:type="auto"/>
          </w:tcPr>
          <w:p w14:paraId="61039490" w14:textId="77777777" w:rsidR="00392601" w:rsidRPr="00191989" w:rsidRDefault="00392601" w:rsidP="0041177B">
            <w:pPr>
              <w:jc w:val="center"/>
              <w:rPr>
                <w:rFonts w:asciiTheme="minorHAnsi" w:hAnsiTheme="minorHAnsi" w:cstheme="minorHAnsi"/>
                <w:color w:val="000000" w:themeColor="text1"/>
              </w:rPr>
            </w:pPr>
            <w:r w:rsidRPr="00191989">
              <w:rPr>
                <w:rFonts w:eastAsia="Times New Roman" w:cs="Times New Roman"/>
                <w:noProof/>
                <w:lang w:eastAsia="en-GB"/>
              </w:rPr>
              <w:drawing>
                <wp:inline distT="0" distB="0" distL="0" distR="0" wp14:anchorId="6C5B493B" wp14:editId="43B9DF18">
                  <wp:extent cx="1689140" cy="1436400"/>
                  <wp:effectExtent l="0" t="0" r="6350" b="0"/>
                  <wp:docPr id="1042830152" name="Picture 26"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830152" name="Picture 26" descr="A graph with numbers and a bar&#10;&#10;AI-generated content may be incorrec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89140" cy="1436400"/>
                          </a:xfrm>
                          <a:prstGeom prst="rect">
                            <a:avLst/>
                          </a:prstGeom>
                          <a:noFill/>
                        </pic:spPr>
                      </pic:pic>
                    </a:graphicData>
                  </a:graphic>
                </wp:inline>
              </w:drawing>
            </w:r>
          </w:p>
        </w:tc>
        <w:tc>
          <w:tcPr>
            <w:tcW w:w="0" w:type="auto"/>
          </w:tcPr>
          <w:p w14:paraId="61675285" w14:textId="77777777" w:rsidR="00392601" w:rsidRPr="00F42967" w:rsidRDefault="00392601" w:rsidP="0041177B">
            <w:pPr>
              <w:jc w:val="center"/>
              <w:rPr>
                <w:rFonts w:asciiTheme="minorHAnsi" w:hAnsiTheme="minorHAnsi" w:cstheme="minorHAnsi"/>
                <w:color w:val="000000" w:themeColor="text1"/>
              </w:rPr>
            </w:pPr>
            <w:r w:rsidRPr="00191989">
              <w:rPr>
                <w:rFonts w:cstheme="minorHAnsi"/>
                <w:noProof/>
                <w:color w:val="000000" w:themeColor="text1"/>
              </w:rPr>
              <w:drawing>
                <wp:inline distT="0" distB="0" distL="0" distR="0" wp14:anchorId="1FB7E927" wp14:editId="755F8AB1">
                  <wp:extent cx="1689140" cy="1436400"/>
                  <wp:effectExtent l="0" t="0" r="6350" b="0"/>
                  <wp:docPr id="2127573456" name="Picture 27"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73456" name="Picture 27" descr="A graph with numbers and a bar chart&#10;&#10;AI-generated content may be incorrect."/>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89140" cy="1436400"/>
                          </a:xfrm>
                          <a:prstGeom prst="rect">
                            <a:avLst/>
                          </a:prstGeom>
                          <a:noFill/>
                        </pic:spPr>
                      </pic:pic>
                    </a:graphicData>
                  </a:graphic>
                </wp:inline>
              </w:drawing>
            </w:r>
          </w:p>
        </w:tc>
      </w:tr>
    </w:tbl>
    <w:p w14:paraId="44CD6943" w14:textId="77777777" w:rsidR="00392601" w:rsidRDefault="00392601" w:rsidP="00392601">
      <w:pPr>
        <w:spacing w:after="0" w:line="240" w:lineRule="auto"/>
        <w:rPr>
          <w:rFonts w:cstheme="minorHAnsi"/>
          <w:highlight w:val="yellow"/>
        </w:rPr>
        <w:sectPr w:rsidR="00392601" w:rsidSect="002746C0">
          <w:pgSz w:w="11906" w:h="16838"/>
          <w:pgMar w:top="1440" w:right="1440" w:bottom="1440" w:left="1440" w:header="708" w:footer="708" w:gutter="0"/>
          <w:cols w:space="708"/>
          <w:docGrid w:linePitch="360"/>
        </w:sectPr>
      </w:pPr>
    </w:p>
    <w:p w14:paraId="174C05F6" w14:textId="77777777" w:rsidR="00392601" w:rsidRPr="0077726B" w:rsidRDefault="00392601" w:rsidP="00392601">
      <w:pPr>
        <w:pStyle w:val="Heading4"/>
        <w:spacing w:before="0" w:after="0" w:line="240" w:lineRule="auto"/>
      </w:pPr>
      <w:r w:rsidRPr="0077726B">
        <w:t>Trends over time</w:t>
      </w:r>
    </w:p>
    <w:p w14:paraId="5A8D60F1" w14:textId="527CD4A9" w:rsidR="00392601" w:rsidRPr="0077726B" w:rsidRDefault="00392601" w:rsidP="00392601">
      <w:pPr>
        <w:spacing w:after="0" w:line="240" w:lineRule="auto"/>
        <w:rPr>
          <w:rFonts w:cstheme="minorHAnsi"/>
        </w:rPr>
      </w:pPr>
      <w:r w:rsidRPr="0077726B">
        <w:rPr>
          <w:rFonts w:cstheme="minorHAnsi"/>
        </w:rPr>
        <w:t xml:space="preserve">Figure </w:t>
      </w:r>
      <w:r w:rsidR="00C7364C">
        <w:rPr>
          <w:rFonts w:cstheme="minorHAnsi"/>
        </w:rPr>
        <w:t>8.2</w:t>
      </w:r>
      <w:r w:rsidRPr="0077726B">
        <w:rPr>
          <w:rFonts w:cstheme="minorHAnsi"/>
        </w:rPr>
        <w:t xml:space="preserve"> shows the incidence of </w:t>
      </w:r>
      <w:r w:rsidRPr="0077726B">
        <w:t>oesophag</w:t>
      </w:r>
      <w:r>
        <w:t>eal</w:t>
      </w:r>
      <w:r w:rsidRPr="0077726B">
        <w:t xml:space="preserve"> adenocarcinoma </w:t>
      </w:r>
      <w:r w:rsidRPr="0077726B">
        <w:rPr>
          <w:rFonts w:cstheme="minorHAnsi"/>
        </w:rPr>
        <w:t xml:space="preserve">from 1994 to 2022. Incidence increased for males from 1994 to 2004 </w:t>
      </w:r>
      <w:r>
        <w:rPr>
          <w:rFonts w:cstheme="minorHAnsi"/>
        </w:rPr>
        <w:t xml:space="preserve">by </w:t>
      </w:r>
      <w:r w:rsidRPr="0077726B">
        <w:rPr>
          <w:rFonts w:cstheme="minorHAnsi"/>
        </w:rPr>
        <w:t>3.6% per year (95%CI 0.9; 6.3), before a steady period from 2004 to 2022 (0.6 % increase per year</w:t>
      </w:r>
      <w:r>
        <w:rPr>
          <w:rFonts w:cstheme="minorHAnsi"/>
        </w:rPr>
        <w:t xml:space="preserve">; </w:t>
      </w:r>
      <w:r w:rsidRPr="0077726B">
        <w:rPr>
          <w:rFonts w:cstheme="minorHAnsi"/>
        </w:rPr>
        <w:t>95%CI -0.2; 1.3). Across the period</w:t>
      </w:r>
      <w:r>
        <w:rPr>
          <w:rFonts w:cstheme="minorHAnsi"/>
        </w:rPr>
        <w:t>,</w:t>
      </w:r>
      <w:r w:rsidRPr="0077726B">
        <w:rPr>
          <w:rFonts w:cstheme="minorHAnsi"/>
        </w:rPr>
        <w:t xml:space="preserve"> rates increased steadily among </w:t>
      </w:r>
      <w:r w:rsidR="00BC7D1F">
        <w:rPr>
          <w:rFonts w:cstheme="minorHAnsi"/>
        </w:rPr>
        <w:t>females</w:t>
      </w:r>
      <w:r w:rsidRPr="0077726B">
        <w:rPr>
          <w:rFonts w:cstheme="minorHAnsi"/>
        </w:rPr>
        <w:t xml:space="preserve"> by 0.7% per year (95%CI 0.1; 1.4).</w:t>
      </w:r>
    </w:p>
    <w:p w14:paraId="7CCCEEB0" w14:textId="77777777" w:rsidR="00392601" w:rsidRPr="0077726B" w:rsidRDefault="00392601" w:rsidP="00392601">
      <w:pPr>
        <w:spacing w:after="0" w:line="240" w:lineRule="auto"/>
        <w:rPr>
          <w:rFonts w:cstheme="minorHAnsi"/>
        </w:rPr>
      </w:pPr>
      <w:r w:rsidRPr="0077726B">
        <w:rPr>
          <w:rFonts w:cstheme="minorHAnsi"/>
        </w:rPr>
        <w:t xml:space="preserve"> </w:t>
      </w:r>
    </w:p>
    <w:tbl>
      <w:tblPr>
        <w:tblStyle w:val="TableGrid"/>
        <w:tblW w:w="963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tblGrid>
      <w:tr w:rsidR="00392601" w:rsidRPr="00191989" w14:paraId="2CD52276" w14:textId="77777777" w:rsidTr="0041177B">
        <w:trPr>
          <w:trHeight w:val="113"/>
        </w:trPr>
        <w:tc>
          <w:tcPr>
            <w:tcW w:w="9634" w:type="dxa"/>
            <w:shd w:val="clear" w:color="auto" w:fill="002060"/>
            <w:vAlign w:val="center"/>
            <w:hideMark/>
          </w:tcPr>
          <w:p w14:paraId="5CEDE0C7" w14:textId="20DCCDF0" w:rsidR="00392601" w:rsidRPr="00F42967" w:rsidRDefault="00392601" w:rsidP="0041177B">
            <w:pPr>
              <w:rPr>
                <w:rFonts w:asciiTheme="minorHAnsi" w:hAnsiTheme="minorHAnsi"/>
                <w:b/>
                <w:bCs/>
              </w:rPr>
            </w:pPr>
            <w:r w:rsidRPr="00191989">
              <w:rPr>
                <w:rFonts w:asciiTheme="minorHAnsi" w:hAnsiTheme="minorHAnsi"/>
                <w:b/>
                <w:bCs/>
              </w:rPr>
              <w:t xml:space="preserve">Figure </w:t>
            </w:r>
            <w:r w:rsidR="00C7364C">
              <w:rPr>
                <w:rFonts w:asciiTheme="minorHAnsi" w:hAnsiTheme="minorHAnsi"/>
                <w:b/>
                <w:bCs/>
              </w:rPr>
              <w:t>8.2:</w:t>
            </w:r>
            <w:r w:rsidRPr="00191989">
              <w:rPr>
                <w:rFonts w:asciiTheme="minorHAnsi" w:hAnsiTheme="minorHAnsi"/>
                <w:b/>
                <w:bCs/>
              </w:rPr>
              <w:t xml:space="preserve"> Age-</w:t>
            </w:r>
            <w:r w:rsidRPr="00191989">
              <w:rPr>
                <w:rFonts w:asciiTheme="minorHAnsi" w:hAnsiTheme="minorHAnsi"/>
                <w:b/>
                <w:bCs/>
                <w:bdr w:val="single" w:sz="4" w:space="0" w:color="auto" w:frame="1"/>
              </w:rPr>
              <w:t>standardised incidence rate 1994-</w:t>
            </w:r>
            <w:r w:rsidR="00945CBB" w:rsidRPr="00191989">
              <w:rPr>
                <w:rFonts w:asciiTheme="minorHAnsi" w:hAnsiTheme="minorHAnsi"/>
                <w:b/>
                <w:bCs/>
                <w:bdr w:val="single" w:sz="4" w:space="0" w:color="auto" w:frame="1"/>
              </w:rPr>
              <w:t>2022, oesophagus</w:t>
            </w:r>
            <w:r w:rsidRPr="00191989">
              <w:rPr>
                <w:rFonts w:asciiTheme="minorHAnsi" w:hAnsiTheme="minorHAnsi"/>
                <w:b/>
                <w:bCs/>
                <w:bdr w:val="single" w:sz="4" w:space="0" w:color="auto" w:frame="1"/>
              </w:rPr>
              <w:t xml:space="preserve"> (adenocarcinoma)</w:t>
            </w:r>
          </w:p>
        </w:tc>
      </w:tr>
      <w:tr w:rsidR="00392601" w:rsidRPr="00191989" w14:paraId="686570FC" w14:textId="77777777" w:rsidTr="0041177B">
        <w:trPr>
          <w:trHeight w:val="113"/>
        </w:trPr>
        <w:tc>
          <w:tcPr>
            <w:tcW w:w="9634" w:type="dxa"/>
            <w:vAlign w:val="center"/>
          </w:tcPr>
          <w:p w14:paraId="0797DF7D" w14:textId="77777777" w:rsidR="00392601" w:rsidRPr="00F42967" w:rsidRDefault="00392601" w:rsidP="0041177B">
            <w:pPr>
              <w:jc w:val="center"/>
              <w:rPr>
                <w:rFonts w:asciiTheme="minorHAnsi" w:hAnsiTheme="minorHAnsi"/>
              </w:rPr>
            </w:pPr>
            <w:r w:rsidRPr="00191989">
              <w:rPr>
                <w:noProof/>
              </w:rPr>
              <w:drawing>
                <wp:inline distT="0" distB="0" distL="0" distR="0" wp14:anchorId="3AC32F84" wp14:editId="029337DB">
                  <wp:extent cx="5563957" cy="2916000"/>
                  <wp:effectExtent l="0" t="0" r="0" b="0"/>
                  <wp:docPr id="11441990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99005" name="Picture 14"/>
                          <pic:cNvPicPr>
                            <a:picLocks noChangeAspect="1" noChangeArrowheads="1"/>
                          </pic:cNvPicPr>
                        </pic:nvPicPr>
                        <pic:blipFill>
                          <a:blip r:embed="rId86">
                            <a:extLst>
                              <a:ext uri="{96DAC541-7B7A-43D3-8B79-37D633B846F1}">
                                <asvg:svgBlip xmlns:asvg="http://schemas.microsoft.com/office/drawing/2016/SVG/main" r:embed="rId87"/>
                              </a:ext>
                            </a:extLst>
                          </a:blip>
                          <a:stretch>
                            <a:fillRect/>
                          </a:stretch>
                        </pic:blipFill>
                        <pic:spPr bwMode="auto">
                          <a:xfrm>
                            <a:off x="0" y="0"/>
                            <a:ext cx="5563957" cy="2916000"/>
                          </a:xfrm>
                          <a:prstGeom prst="rect">
                            <a:avLst/>
                          </a:prstGeom>
                        </pic:spPr>
                      </pic:pic>
                    </a:graphicData>
                  </a:graphic>
                </wp:inline>
              </w:drawing>
            </w:r>
          </w:p>
        </w:tc>
      </w:tr>
      <w:tr w:rsidR="00392601" w:rsidRPr="00191989" w14:paraId="5FE82440" w14:textId="77777777" w:rsidTr="0041177B">
        <w:trPr>
          <w:trHeight w:val="113"/>
        </w:trPr>
        <w:tc>
          <w:tcPr>
            <w:tcW w:w="9634" w:type="dxa"/>
            <w:vAlign w:val="center"/>
          </w:tcPr>
          <w:tbl>
            <w:tblPr>
              <w:tblpPr w:leftFromText="180" w:rightFromText="180" w:bottomFromText="160" w:vertAnchor="page" w:horzAnchor="margin" w:tblpXSpec="center" w:tblpY="1"/>
              <w:tblOverlap w:val="never"/>
              <w:tblW w:w="0" w:type="auto"/>
              <w:tblLook w:val="04A0" w:firstRow="1" w:lastRow="0" w:firstColumn="1" w:lastColumn="0" w:noHBand="0" w:noVBand="1"/>
            </w:tblPr>
            <w:tblGrid>
              <w:gridCol w:w="428"/>
              <w:gridCol w:w="1037"/>
              <w:gridCol w:w="669"/>
              <w:gridCol w:w="822"/>
              <w:gridCol w:w="604"/>
              <w:gridCol w:w="530"/>
              <w:gridCol w:w="1180"/>
              <w:gridCol w:w="771"/>
              <w:gridCol w:w="856"/>
              <w:gridCol w:w="706"/>
            </w:tblGrid>
            <w:tr w:rsidR="00392601" w:rsidRPr="00D342AF" w14:paraId="0901E283" w14:textId="77777777" w:rsidTr="0041177B">
              <w:trPr>
                <w:trHeight w:val="271"/>
              </w:trPr>
              <w:tc>
                <w:tcPr>
                  <w:tcW w:w="0" w:type="auto"/>
                  <w:noWrap/>
                  <w:tcMar>
                    <w:top w:w="15" w:type="dxa"/>
                    <w:left w:w="57" w:type="dxa"/>
                    <w:bottom w:w="15" w:type="dxa"/>
                    <w:right w:w="57" w:type="dxa"/>
                  </w:tcMar>
                  <w:hideMark/>
                </w:tcPr>
                <w:p w14:paraId="16AC64B1" w14:textId="77777777" w:rsidR="00392601" w:rsidRPr="00D342A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342AF">
                    <w:rPr>
                      <w:rFonts w:eastAsia="Times New Roman" w:cs="Calibri"/>
                      <w:b/>
                      <w:bCs/>
                      <w:color w:val="000000"/>
                      <w:kern w:val="0"/>
                      <w:sz w:val="20"/>
                      <w:szCs w:val="20"/>
                      <w:u w:val="single"/>
                      <w:lang w:eastAsia="en-GB"/>
                      <w14:ligatures w14:val="none"/>
                    </w:rPr>
                    <w:t>sex</w:t>
                  </w:r>
                </w:p>
              </w:tc>
              <w:tc>
                <w:tcPr>
                  <w:tcW w:w="0" w:type="auto"/>
                  <w:noWrap/>
                  <w:tcMar>
                    <w:top w:w="15" w:type="dxa"/>
                    <w:left w:w="57" w:type="dxa"/>
                    <w:bottom w:w="15" w:type="dxa"/>
                    <w:right w:w="57" w:type="dxa"/>
                  </w:tcMar>
                  <w:hideMark/>
                </w:tcPr>
                <w:p w14:paraId="6E9F986A" w14:textId="77777777" w:rsidR="00392601" w:rsidRPr="00D342A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342AF">
                    <w:rPr>
                      <w:rFonts w:eastAsia="Times New Roman" w:cs="Calibri"/>
                      <w:b/>
                      <w:bCs/>
                      <w:color w:val="000000"/>
                      <w:kern w:val="0"/>
                      <w:sz w:val="20"/>
                      <w:szCs w:val="20"/>
                      <w:u w:val="single"/>
                      <w:lang w:eastAsia="en-GB"/>
                      <w14:ligatures w14:val="none"/>
                    </w:rPr>
                    <w:t>period</w:t>
                  </w:r>
                </w:p>
              </w:tc>
              <w:tc>
                <w:tcPr>
                  <w:tcW w:w="0" w:type="auto"/>
                  <w:noWrap/>
                  <w:tcMar>
                    <w:top w:w="15" w:type="dxa"/>
                    <w:left w:w="57" w:type="dxa"/>
                    <w:bottom w:w="15" w:type="dxa"/>
                    <w:right w:w="57" w:type="dxa"/>
                  </w:tcMar>
                  <w:hideMark/>
                </w:tcPr>
                <w:p w14:paraId="7BA70A99" w14:textId="77777777" w:rsidR="00392601" w:rsidRPr="00D342A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342AF">
                    <w:rPr>
                      <w:rFonts w:eastAsia="Times New Roman" w:cs="Calibri"/>
                      <w:b/>
                      <w:bCs/>
                      <w:color w:val="000000"/>
                      <w:kern w:val="0"/>
                      <w:sz w:val="20"/>
                      <w:szCs w:val="20"/>
                      <w:u w:val="single"/>
                      <w:lang w:eastAsia="en-GB"/>
                      <w14:ligatures w14:val="none"/>
                    </w:rPr>
                    <w:t>APC%</w:t>
                  </w:r>
                </w:p>
              </w:tc>
              <w:tc>
                <w:tcPr>
                  <w:tcW w:w="0" w:type="auto"/>
                  <w:noWrap/>
                  <w:tcMar>
                    <w:top w:w="15" w:type="dxa"/>
                    <w:left w:w="57" w:type="dxa"/>
                    <w:bottom w:w="15" w:type="dxa"/>
                    <w:right w:w="57" w:type="dxa"/>
                  </w:tcMar>
                  <w:hideMark/>
                </w:tcPr>
                <w:p w14:paraId="524E8598" w14:textId="77777777" w:rsidR="00392601" w:rsidRPr="00D342A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342AF">
                    <w:rPr>
                      <w:rFonts w:eastAsia="Times New Roman" w:cs="Calibri"/>
                      <w:b/>
                      <w:bCs/>
                      <w:color w:val="000000"/>
                      <w:kern w:val="0"/>
                      <w:sz w:val="20"/>
                      <w:szCs w:val="20"/>
                      <w:u w:val="single"/>
                      <w:lang w:eastAsia="en-GB"/>
                      <w14:ligatures w14:val="none"/>
                    </w:rPr>
                    <w:t>95%CI</w:t>
                  </w:r>
                </w:p>
              </w:tc>
              <w:tc>
                <w:tcPr>
                  <w:tcW w:w="0" w:type="auto"/>
                  <w:tcBorders>
                    <w:right w:val="single" w:sz="4" w:space="0" w:color="auto"/>
                  </w:tcBorders>
                  <w:noWrap/>
                  <w:tcMar>
                    <w:top w:w="15" w:type="dxa"/>
                    <w:left w:w="57" w:type="dxa"/>
                    <w:bottom w:w="15" w:type="dxa"/>
                    <w:right w:w="57" w:type="dxa"/>
                  </w:tcMar>
                  <w:hideMark/>
                </w:tcPr>
                <w:p w14:paraId="2967F55B" w14:textId="77777777" w:rsidR="00392601" w:rsidRPr="00D342A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342AF">
                    <w:rPr>
                      <w:rFonts w:eastAsia="Times New Roman" w:cs="Calibri"/>
                      <w:b/>
                      <w:bCs/>
                      <w:color w:val="000000"/>
                      <w:kern w:val="0"/>
                      <w:sz w:val="20"/>
                      <w:szCs w:val="20"/>
                      <w:u w:val="single"/>
                      <w:lang w:eastAsia="en-GB"/>
                      <w14:ligatures w14:val="none"/>
                    </w:rPr>
                    <w:t>trend</w:t>
                  </w:r>
                </w:p>
              </w:tc>
              <w:tc>
                <w:tcPr>
                  <w:tcW w:w="0" w:type="auto"/>
                </w:tcPr>
                <w:p w14:paraId="143C756F" w14:textId="77777777" w:rsidR="00392601" w:rsidRPr="00D342A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342AF">
                    <w:rPr>
                      <w:rFonts w:eastAsia="Times New Roman" w:cs="Calibri"/>
                      <w:b/>
                      <w:bCs/>
                      <w:color w:val="000000"/>
                      <w:kern w:val="0"/>
                      <w:sz w:val="20"/>
                      <w:szCs w:val="20"/>
                      <w:u w:val="single"/>
                      <w:lang w:eastAsia="en-GB"/>
                      <w14:ligatures w14:val="none"/>
                    </w:rPr>
                    <w:t>sex</w:t>
                  </w:r>
                </w:p>
              </w:tc>
              <w:tc>
                <w:tcPr>
                  <w:tcW w:w="0" w:type="auto"/>
                </w:tcPr>
                <w:p w14:paraId="6E71E0D6" w14:textId="77777777" w:rsidR="00392601" w:rsidRPr="00D342A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342AF">
                    <w:rPr>
                      <w:rFonts w:eastAsia="Times New Roman" w:cs="Calibri"/>
                      <w:b/>
                      <w:bCs/>
                      <w:color w:val="000000"/>
                      <w:kern w:val="0"/>
                      <w:sz w:val="20"/>
                      <w:szCs w:val="20"/>
                      <w:u w:val="single"/>
                      <w:lang w:eastAsia="en-GB"/>
                      <w14:ligatures w14:val="none"/>
                    </w:rPr>
                    <w:t>period</w:t>
                  </w:r>
                </w:p>
              </w:tc>
              <w:tc>
                <w:tcPr>
                  <w:tcW w:w="0" w:type="auto"/>
                </w:tcPr>
                <w:p w14:paraId="21CB76D1" w14:textId="77777777" w:rsidR="00392601" w:rsidRPr="00D342A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342AF">
                    <w:rPr>
                      <w:rFonts w:eastAsia="Times New Roman" w:cs="Calibri"/>
                      <w:b/>
                      <w:bCs/>
                      <w:color w:val="000000"/>
                      <w:kern w:val="0"/>
                      <w:sz w:val="20"/>
                      <w:szCs w:val="20"/>
                      <w:u w:val="single"/>
                      <w:lang w:eastAsia="en-GB"/>
                      <w14:ligatures w14:val="none"/>
                    </w:rPr>
                    <w:t>APC%</w:t>
                  </w:r>
                </w:p>
              </w:tc>
              <w:tc>
                <w:tcPr>
                  <w:tcW w:w="0" w:type="auto"/>
                </w:tcPr>
                <w:p w14:paraId="1599FA2F" w14:textId="77777777" w:rsidR="00392601" w:rsidRPr="00D342A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342AF">
                    <w:rPr>
                      <w:rFonts w:eastAsia="Times New Roman" w:cs="Calibri"/>
                      <w:b/>
                      <w:bCs/>
                      <w:color w:val="000000"/>
                      <w:kern w:val="0"/>
                      <w:sz w:val="20"/>
                      <w:szCs w:val="20"/>
                      <w:u w:val="single"/>
                      <w:lang w:eastAsia="en-GB"/>
                      <w14:ligatures w14:val="none"/>
                    </w:rPr>
                    <w:t>95%CI</w:t>
                  </w:r>
                </w:p>
              </w:tc>
              <w:tc>
                <w:tcPr>
                  <w:tcW w:w="0" w:type="auto"/>
                  <w:tcBorders>
                    <w:right w:val="single" w:sz="4" w:space="0" w:color="auto"/>
                  </w:tcBorders>
                </w:tcPr>
                <w:p w14:paraId="4F1F90C6" w14:textId="77777777" w:rsidR="00392601" w:rsidRPr="00D342A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342AF">
                    <w:rPr>
                      <w:rFonts w:eastAsia="Times New Roman" w:cs="Calibri"/>
                      <w:b/>
                      <w:bCs/>
                      <w:color w:val="000000"/>
                      <w:kern w:val="0"/>
                      <w:sz w:val="20"/>
                      <w:szCs w:val="20"/>
                      <w:u w:val="single"/>
                      <w:lang w:eastAsia="en-GB"/>
                      <w14:ligatures w14:val="none"/>
                    </w:rPr>
                    <w:t>trend</w:t>
                  </w:r>
                </w:p>
              </w:tc>
            </w:tr>
            <w:tr w:rsidR="00392601" w:rsidRPr="00D342AF" w14:paraId="018D12C9" w14:textId="77777777" w:rsidTr="0041177B">
              <w:trPr>
                <w:trHeight w:val="388"/>
              </w:trPr>
              <w:tc>
                <w:tcPr>
                  <w:tcW w:w="0" w:type="auto"/>
                  <w:noWrap/>
                  <w:tcMar>
                    <w:top w:w="15" w:type="dxa"/>
                    <w:left w:w="57" w:type="dxa"/>
                    <w:bottom w:w="15" w:type="dxa"/>
                    <w:right w:w="57" w:type="dxa"/>
                  </w:tcMar>
                  <w:hideMark/>
                </w:tcPr>
                <w:p w14:paraId="285B6241" w14:textId="77777777" w:rsidR="00392601" w:rsidRPr="00D342AF" w:rsidRDefault="00392601" w:rsidP="0041177B">
                  <w:pPr>
                    <w:spacing w:after="0" w:line="240" w:lineRule="auto"/>
                    <w:jc w:val="center"/>
                    <w:rPr>
                      <w:rFonts w:eastAsia="Times New Roman" w:cs="Calibri"/>
                      <w:color w:val="000000"/>
                      <w:kern w:val="0"/>
                      <w:sz w:val="20"/>
                      <w:szCs w:val="20"/>
                      <w:lang w:eastAsia="en-GB"/>
                      <w14:ligatures w14:val="none"/>
                    </w:rPr>
                  </w:pPr>
                  <w:r w:rsidRPr="00D342AF">
                    <w:rPr>
                      <w:rFonts w:cs="Calibri"/>
                      <w:sz w:val="20"/>
                      <w:szCs w:val="20"/>
                    </w:rPr>
                    <w:t>M </w:t>
                  </w:r>
                </w:p>
              </w:tc>
              <w:tc>
                <w:tcPr>
                  <w:tcW w:w="0" w:type="auto"/>
                  <w:noWrap/>
                  <w:tcMar>
                    <w:top w:w="15" w:type="dxa"/>
                    <w:left w:w="57" w:type="dxa"/>
                    <w:bottom w:w="15" w:type="dxa"/>
                    <w:right w:w="57" w:type="dxa"/>
                  </w:tcMar>
                  <w:hideMark/>
                </w:tcPr>
                <w:p w14:paraId="54D526F6" w14:textId="77777777" w:rsidR="00392601" w:rsidRPr="00D342AF" w:rsidRDefault="00392601" w:rsidP="0041177B">
                  <w:pPr>
                    <w:spacing w:after="0" w:line="240" w:lineRule="auto"/>
                    <w:jc w:val="center"/>
                    <w:rPr>
                      <w:rFonts w:eastAsia="Times New Roman" w:cs="Calibri"/>
                      <w:color w:val="000000"/>
                      <w:kern w:val="0"/>
                      <w:sz w:val="20"/>
                      <w:szCs w:val="20"/>
                      <w:lang w:eastAsia="en-GB"/>
                      <w14:ligatures w14:val="none"/>
                    </w:rPr>
                  </w:pPr>
                  <w:r w:rsidRPr="00D342AF">
                    <w:rPr>
                      <w:rFonts w:cs="Calibri"/>
                      <w:sz w:val="20"/>
                      <w:szCs w:val="20"/>
                    </w:rPr>
                    <w:t>1994-2004</w:t>
                  </w:r>
                </w:p>
              </w:tc>
              <w:tc>
                <w:tcPr>
                  <w:tcW w:w="0" w:type="auto"/>
                  <w:noWrap/>
                  <w:tcMar>
                    <w:top w:w="15" w:type="dxa"/>
                    <w:left w:w="57" w:type="dxa"/>
                    <w:bottom w:w="15" w:type="dxa"/>
                    <w:right w:w="57" w:type="dxa"/>
                  </w:tcMar>
                  <w:hideMark/>
                </w:tcPr>
                <w:p w14:paraId="104492EC" w14:textId="77777777" w:rsidR="00392601" w:rsidRPr="00D342AF" w:rsidRDefault="00392601" w:rsidP="0041177B">
                  <w:pPr>
                    <w:spacing w:after="0" w:line="240" w:lineRule="auto"/>
                    <w:jc w:val="center"/>
                    <w:rPr>
                      <w:rFonts w:eastAsia="Times New Roman" w:cs="Calibri"/>
                      <w:color w:val="000000"/>
                      <w:kern w:val="0"/>
                      <w:sz w:val="20"/>
                      <w:szCs w:val="20"/>
                      <w:lang w:eastAsia="en-GB"/>
                      <w14:ligatures w14:val="none"/>
                    </w:rPr>
                  </w:pPr>
                  <w:r w:rsidRPr="00D342AF">
                    <w:rPr>
                      <w:rFonts w:cs="Calibri"/>
                      <w:sz w:val="20"/>
                      <w:szCs w:val="20"/>
                    </w:rPr>
                    <w:t>3.6</w:t>
                  </w:r>
                </w:p>
              </w:tc>
              <w:tc>
                <w:tcPr>
                  <w:tcW w:w="0" w:type="auto"/>
                  <w:noWrap/>
                  <w:tcMar>
                    <w:top w:w="15" w:type="dxa"/>
                    <w:left w:w="57" w:type="dxa"/>
                    <w:bottom w:w="15" w:type="dxa"/>
                    <w:right w:w="57" w:type="dxa"/>
                  </w:tcMar>
                  <w:hideMark/>
                </w:tcPr>
                <w:p w14:paraId="31C51C43" w14:textId="77777777" w:rsidR="00392601" w:rsidRPr="00D342AF" w:rsidRDefault="00392601" w:rsidP="0041177B">
                  <w:pPr>
                    <w:spacing w:after="0" w:line="240" w:lineRule="auto"/>
                    <w:jc w:val="center"/>
                    <w:rPr>
                      <w:rFonts w:eastAsia="Times New Roman" w:cs="Calibri"/>
                      <w:color w:val="000000"/>
                      <w:kern w:val="0"/>
                      <w:sz w:val="20"/>
                      <w:szCs w:val="20"/>
                      <w:lang w:eastAsia="en-GB"/>
                      <w14:ligatures w14:val="none"/>
                    </w:rPr>
                  </w:pPr>
                  <w:r w:rsidRPr="00D342AF">
                    <w:rPr>
                      <w:rFonts w:cs="Calibri"/>
                      <w:sz w:val="20"/>
                      <w:szCs w:val="20"/>
                    </w:rPr>
                    <w:t>0.9, 6.3</w:t>
                  </w:r>
                </w:p>
              </w:tc>
              <w:tc>
                <w:tcPr>
                  <w:tcW w:w="0" w:type="auto"/>
                  <w:tcBorders>
                    <w:right w:val="single" w:sz="4" w:space="0" w:color="auto"/>
                  </w:tcBorders>
                  <w:noWrap/>
                  <w:tcMar>
                    <w:top w:w="15" w:type="dxa"/>
                    <w:left w:w="57" w:type="dxa"/>
                    <w:bottom w:w="15" w:type="dxa"/>
                    <w:right w:w="57" w:type="dxa"/>
                  </w:tcMar>
                  <w:hideMark/>
                </w:tcPr>
                <w:p w14:paraId="71D9F67A" w14:textId="77777777" w:rsidR="00392601" w:rsidRPr="00D342AF" w:rsidRDefault="00392601" w:rsidP="0041177B">
                  <w:pPr>
                    <w:spacing w:after="0" w:line="240" w:lineRule="auto"/>
                    <w:jc w:val="center"/>
                    <w:rPr>
                      <w:rFonts w:eastAsia="Times New Roman" w:cs="Calibri"/>
                      <w:color w:val="000000"/>
                      <w:kern w:val="0"/>
                      <w:sz w:val="20"/>
                      <w:szCs w:val="20"/>
                      <w:lang w:eastAsia="en-GB"/>
                      <w14:ligatures w14:val="none"/>
                    </w:rPr>
                  </w:pPr>
                  <w:r w:rsidRPr="00D342AF">
                    <w:rPr>
                      <w:rFonts w:cs="Calibri"/>
                      <w:sz w:val="20"/>
                      <w:szCs w:val="20"/>
                    </w:rPr>
                    <w:t>up </w:t>
                  </w:r>
                </w:p>
              </w:tc>
              <w:tc>
                <w:tcPr>
                  <w:tcW w:w="0" w:type="auto"/>
                  <w:tcBorders>
                    <w:left w:val="single" w:sz="4" w:space="0" w:color="auto"/>
                  </w:tcBorders>
                </w:tcPr>
                <w:p w14:paraId="51D192BE" w14:textId="77777777" w:rsidR="00392601" w:rsidRPr="00D342AF" w:rsidRDefault="00392601" w:rsidP="0041177B">
                  <w:pPr>
                    <w:spacing w:after="0" w:line="240" w:lineRule="auto"/>
                    <w:jc w:val="center"/>
                    <w:rPr>
                      <w:rFonts w:cs="Calibri"/>
                      <w:sz w:val="20"/>
                      <w:szCs w:val="20"/>
                    </w:rPr>
                  </w:pPr>
                  <w:r w:rsidRPr="00D342AF">
                    <w:rPr>
                      <w:rFonts w:cs="Calibri"/>
                      <w:sz w:val="20"/>
                      <w:szCs w:val="20"/>
                    </w:rPr>
                    <w:t>F </w:t>
                  </w:r>
                </w:p>
              </w:tc>
              <w:tc>
                <w:tcPr>
                  <w:tcW w:w="0" w:type="auto"/>
                </w:tcPr>
                <w:p w14:paraId="6FF75691" w14:textId="77777777" w:rsidR="00392601" w:rsidRPr="00D342AF" w:rsidRDefault="00392601" w:rsidP="0041177B">
                  <w:pPr>
                    <w:spacing w:after="0" w:line="240" w:lineRule="auto"/>
                    <w:jc w:val="center"/>
                    <w:rPr>
                      <w:rFonts w:cs="Calibri"/>
                      <w:sz w:val="20"/>
                      <w:szCs w:val="20"/>
                    </w:rPr>
                  </w:pPr>
                  <w:r w:rsidRPr="00D342AF">
                    <w:rPr>
                      <w:rFonts w:cs="Calibri"/>
                      <w:sz w:val="20"/>
                      <w:szCs w:val="20"/>
                    </w:rPr>
                    <w:t>1994-2022 </w:t>
                  </w:r>
                </w:p>
              </w:tc>
              <w:tc>
                <w:tcPr>
                  <w:tcW w:w="0" w:type="auto"/>
                </w:tcPr>
                <w:p w14:paraId="7EC0E6D1" w14:textId="77777777" w:rsidR="00392601" w:rsidRPr="00D342AF" w:rsidRDefault="00392601" w:rsidP="0041177B">
                  <w:pPr>
                    <w:spacing w:after="0" w:line="240" w:lineRule="auto"/>
                    <w:jc w:val="center"/>
                    <w:rPr>
                      <w:rFonts w:cs="Calibri"/>
                      <w:sz w:val="20"/>
                      <w:szCs w:val="20"/>
                    </w:rPr>
                  </w:pPr>
                  <w:r w:rsidRPr="00D342AF">
                    <w:rPr>
                      <w:rFonts w:cs="Calibri"/>
                      <w:sz w:val="20"/>
                      <w:szCs w:val="20"/>
                    </w:rPr>
                    <w:t>0.7</w:t>
                  </w:r>
                </w:p>
              </w:tc>
              <w:tc>
                <w:tcPr>
                  <w:tcW w:w="0" w:type="auto"/>
                </w:tcPr>
                <w:p w14:paraId="4963E0BA" w14:textId="77777777" w:rsidR="00392601" w:rsidRPr="00D342AF" w:rsidRDefault="00392601" w:rsidP="0041177B">
                  <w:pPr>
                    <w:spacing w:after="0" w:line="240" w:lineRule="auto"/>
                    <w:jc w:val="center"/>
                    <w:rPr>
                      <w:rFonts w:cs="Calibri"/>
                      <w:sz w:val="20"/>
                      <w:szCs w:val="20"/>
                    </w:rPr>
                  </w:pPr>
                  <w:r w:rsidRPr="00D342AF">
                    <w:rPr>
                      <w:rFonts w:cs="Calibri"/>
                      <w:sz w:val="20"/>
                      <w:szCs w:val="20"/>
                    </w:rPr>
                    <w:t>0.1, 1.4</w:t>
                  </w:r>
                </w:p>
              </w:tc>
              <w:tc>
                <w:tcPr>
                  <w:tcW w:w="0" w:type="auto"/>
                </w:tcPr>
                <w:p w14:paraId="17B122B4" w14:textId="77777777" w:rsidR="00392601" w:rsidRPr="00D342AF" w:rsidRDefault="00392601" w:rsidP="0041177B">
                  <w:pPr>
                    <w:spacing w:after="0" w:line="240" w:lineRule="auto"/>
                    <w:jc w:val="center"/>
                    <w:rPr>
                      <w:rFonts w:cs="Calibri"/>
                      <w:sz w:val="20"/>
                      <w:szCs w:val="20"/>
                    </w:rPr>
                  </w:pPr>
                  <w:r w:rsidRPr="00D342AF">
                    <w:rPr>
                      <w:rFonts w:cs="Calibri"/>
                      <w:sz w:val="20"/>
                      <w:szCs w:val="20"/>
                    </w:rPr>
                    <w:t>up </w:t>
                  </w:r>
                </w:p>
              </w:tc>
            </w:tr>
            <w:tr w:rsidR="00392601" w:rsidRPr="00D342AF" w14:paraId="07D4782D" w14:textId="77777777" w:rsidTr="0041177B">
              <w:trPr>
                <w:trHeight w:val="395"/>
              </w:trPr>
              <w:tc>
                <w:tcPr>
                  <w:tcW w:w="0" w:type="auto"/>
                  <w:noWrap/>
                  <w:tcMar>
                    <w:top w:w="15" w:type="dxa"/>
                    <w:left w:w="57" w:type="dxa"/>
                    <w:bottom w:w="15" w:type="dxa"/>
                    <w:right w:w="57" w:type="dxa"/>
                  </w:tcMar>
                </w:tcPr>
                <w:p w14:paraId="1C164FC3" w14:textId="77777777" w:rsidR="00392601" w:rsidRPr="00D342AF" w:rsidRDefault="00392601" w:rsidP="0041177B">
                  <w:pPr>
                    <w:spacing w:after="0" w:line="240" w:lineRule="auto"/>
                    <w:jc w:val="center"/>
                    <w:rPr>
                      <w:rFonts w:eastAsia="Times New Roman" w:cs="Calibri"/>
                      <w:color w:val="000000"/>
                      <w:kern w:val="0"/>
                      <w:sz w:val="20"/>
                      <w:szCs w:val="20"/>
                      <w:lang w:eastAsia="en-GB"/>
                      <w14:ligatures w14:val="none"/>
                    </w:rPr>
                  </w:pPr>
                </w:p>
              </w:tc>
              <w:tc>
                <w:tcPr>
                  <w:tcW w:w="0" w:type="auto"/>
                  <w:noWrap/>
                  <w:tcMar>
                    <w:top w:w="15" w:type="dxa"/>
                    <w:left w:w="57" w:type="dxa"/>
                    <w:bottom w:w="15" w:type="dxa"/>
                    <w:right w:w="57" w:type="dxa"/>
                  </w:tcMar>
                </w:tcPr>
                <w:p w14:paraId="1EFE9BCC" w14:textId="77777777" w:rsidR="00392601" w:rsidRPr="00D342AF" w:rsidRDefault="00392601" w:rsidP="0041177B">
                  <w:pPr>
                    <w:spacing w:after="0" w:line="240" w:lineRule="auto"/>
                    <w:jc w:val="center"/>
                    <w:rPr>
                      <w:rFonts w:eastAsia="Times New Roman" w:cs="Calibri"/>
                      <w:color w:val="000000"/>
                      <w:kern w:val="0"/>
                      <w:sz w:val="20"/>
                      <w:szCs w:val="20"/>
                      <w:lang w:eastAsia="en-GB"/>
                      <w14:ligatures w14:val="none"/>
                    </w:rPr>
                  </w:pPr>
                  <w:r w:rsidRPr="00D342AF">
                    <w:rPr>
                      <w:rFonts w:cs="Calibri"/>
                      <w:sz w:val="20"/>
                      <w:szCs w:val="20"/>
                    </w:rPr>
                    <w:t>2004-2022</w:t>
                  </w:r>
                </w:p>
              </w:tc>
              <w:tc>
                <w:tcPr>
                  <w:tcW w:w="0" w:type="auto"/>
                  <w:noWrap/>
                  <w:tcMar>
                    <w:top w:w="15" w:type="dxa"/>
                    <w:left w:w="57" w:type="dxa"/>
                    <w:bottom w:w="15" w:type="dxa"/>
                    <w:right w:w="57" w:type="dxa"/>
                  </w:tcMar>
                </w:tcPr>
                <w:p w14:paraId="28ABA9AE" w14:textId="77777777" w:rsidR="00392601" w:rsidRPr="00D342AF" w:rsidRDefault="00392601" w:rsidP="0041177B">
                  <w:pPr>
                    <w:spacing w:after="0" w:line="240" w:lineRule="auto"/>
                    <w:jc w:val="center"/>
                    <w:rPr>
                      <w:rFonts w:eastAsia="Times New Roman" w:cs="Calibri"/>
                      <w:color w:val="000000"/>
                      <w:kern w:val="0"/>
                      <w:sz w:val="20"/>
                      <w:szCs w:val="20"/>
                      <w:lang w:eastAsia="en-GB"/>
                      <w14:ligatures w14:val="none"/>
                    </w:rPr>
                  </w:pPr>
                  <w:r w:rsidRPr="00D342AF">
                    <w:rPr>
                      <w:rFonts w:cs="Calibri"/>
                      <w:sz w:val="20"/>
                      <w:szCs w:val="20"/>
                    </w:rPr>
                    <w:t>0.6</w:t>
                  </w:r>
                </w:p>
              </w:tc>
              <w:tc>
                <w:tcPr>
                  <w:tcW w:w="0" w:type="auto"/>
                  <w:noWrap/>
                  <w:tcMar>
                    <w:top w:w="15" w:type="dxa"/>
                    <w:left w:w="57" w:type="dxa"/>
                    <w:bottom w:w="15" w:type="dxa"/>
                    <w:right w:w="57" w:type="dxa"/>
                  </w:tcMar>
                </w:tcPr>
                <w:p w14:paraId="5C993BC2" w14:textId="77777777" w:rsidR="00392601" w:rsidRPr="00D342AF" w:rsidRDefault="00392601" w:rsidP="0041177B">
                  <w:pPr>
                    <w:spacing w:after="0" w:line="240" w:lineRule="auto"/>
                    <w:jc w:val="center"/>
                    <w:rPr>
                      <w:rFonts w:eastAsia="Times New Roman" w:cs="Calibri"/>
                      <w:color w:val="000000"/>
                      <w:kern w:val="0"/>
                      <w:sz w:val="20"/>
                      <w:szCs w:val="20"/>
                      <w:lang w:eastAsia="en-GB"/>
                      <w14:ligatures w14:val="none"/>
                    </w:rPr>
                  </w:pPr>
                  <w:r w:rsidRPr="00D342AF">
                    <w:rPr>
                      <w:rFonts w:cs="Calibri"/>
                      <w:sz w:val="20"/>
                      <w:szCs w:val="20"/>
                    </w:rPr>
                    <w:t>-0.2, 1.3</w:t>
                  </w:r>
                </w:p>
              </w:tc>
              <w:tc>
                <w:tcPr>
                  <w:tcW w:w="0" w:type="auto"/>
                  <w:tcBorders>
                    <w:right w:val="single" w:sz="4" w:space="0" w:color="auto"/>
                  </w:tcBorders>
                  <w:noWrap/>
                  <w:tcMar>
                    <w:top w:w="15" w:type="dxa"/>
                    <w:left w:w="57" w:type="dxa"/>
                    <w:bottom w:w="15" w:type="dxa"/>
                    <w:right w:w="57" w:type="dxa"/>
                  </w:tcMar>
                </w:tcPr>
                <w:p w14:paraId="7D9664DE" w14:textId="77777777" w:rsidR="00392601" w:rsidRPr="00D342AF" w:rsidRDefault="00392601" w:rsidP="0041177B">
                  <w:pPr>
                    <w:spacing w:after="0" w:line="240" w:lineRule="auto"/>
                    <w:jc w:val="center"/>
                    <w:rPr>
                      <w:rFonts w:eastAsia="Times New Roman" w:cs="Calibri"/>
                      <w:color w:val="000000"/>
                      <w:kern w:val="0"/>
                      <w:sz w:val="20"/>
                      <w:szCs w:val="20"/>
                      <w:lang w:eastAsia="en-GB"/>
                      <w14:ligatures w14:val="none"/>
                    </w:rPr>
                  </w:pPr>
                  <w:r w:rsidRPr="00D342AF">
                    <w:rPr>
                      <w:rFonts w:cs="Calibri"/>
                      <w:sz w:val="20"/>
                      <w:szCs w:val="20"/>
                    </w:rPr>
                    <w:t>flat</w:t>
                  </w:r>
                </w:p>
              </w:tc>
              <w:tc>
                <w:tcPr>
                  <w:tcW w:w="0" w:type="auto"/>
                  <w:tcBorders>
                    <w:left w:val="single" w:sz="4" w:space="0" w:color="auto"/>
                  </w:tcBorders>
                </w:tcPr>
                <w:p w14:paraId="0DA883A6" w14:textId="77777777" w:rsidR="00392601" w:rsidRPr="00D342AF" w:rsidRDefault="00392601" w:rsidP="0041177B">
                  <w:pPr>
                    <w:spacing w:after="0" w:line="240" w:lineRule="auto"/>
                    <w:jc w:val="center"/>
                    <w:rPr>
                      <w:rFonts w:cs="Calibri"/>
                      <w:sz w:val="20"/>
                      <w:szCs w:val="20"/>
                    </w:rPr>
                  </w:pPr>
                </w:p>
              </w:tc>
              <w:tc>
                <w:tcPr>
                  <w:tcW w:w="0" w:type="auto"/>
                </w:tcPr>
                <w:p w14:paraId="14CF3978" w14:textId="77777777" w:rsidR="00392601" w:rsidRPr="00D342AF" w:rsidRDefault="00392601" w:rsidP="0041177B">
                  <w:pPr>
                    <w:spacing w:after="0" w:line="240" w:lineRule="auto"/>
                    <w:jc w:val="center"/>
                    <w:rPr>
                      <w:rFonts w:cs="Calibri"/>
                      <w:sz w:val="20"/>
                      <w:szCs w:val="20"/>
                    </w:rPr>
                  </w:pPr>
                </w:p>
              </w:tc>
              <w:tc>
                <w:tcPr>
                  <w:tcW w:w="0" w:type="auto"/>
                </w:tcPr>
                <w:p w14:paraId="6CDC72FA" w14:textId="77777777" w:rsidR="00392601" w:rsidRPr="00D342AF" w:rsidRDefault="00392601" w:rsidP="0041177B">
                  <w:pPr>
                    <w:spacing w:after="0" w:line="240" w:lineRule="auto"/>
                    <w:jc w:val="center"/>
                    <w:rPr>
                      <w:rFonts w:cs="Calibri"/>
                      <w:sz w:val="20"/>
                      <w:szCs w:val="20"/>
                    </w:rPr>
                  </w:pPr>
                </w:p>
              </w:tc>
              <w:tc>
                <w:tcPr>
                  <w:tcW w:w="0" w:type="auto"/>
                </w:tcPr>
                <w:p w14:paraId="6033DE79" w14:textId="77777777" w:rsidR="00392601" w:rsidRPr="00D342AF" w:rsidRDefault="00392601" w:rsidP="0041177B">
                  <w:pPr>
                    <w:spacing w:after="0" w:line="240" w:lineRule="auto"/>
                    <w:jc w:val="center"/>
                    <w:rPr>
                      <w:rFonts w:cs="Calibri"/>
                      <w:sz w:val="20"/>
                      <w:szCs w:val="20"/>
                    </w:rPr>
                  </w:pPr>
                </w:p>
              </w:tc>
              <w:tc>
                <w:tcPr>
                  <w:tcW w:w="0" w:type="auto"/>
                </w:tcPr>
                <w:p w14:paraId="40EAB953" w14:textId="77777777" w:rsidR="00392601" w:rsidRPr="00D342AF" w:rsidRDefault="00392601" w:rsidP="0041177B">
                  <w:pPr>
                    <w:spacing w:after="0" w:line="240" w:lineRule="auto"/>
                    <w:jc w:val="center"/>
                    <w:rPr>
                      <w:rFonts w:cs="Calibri"/>
                      <w:sz w:val="20"/>
                      <w:szCs w:val="20"/>
                    </w:rPr>
                  </w:pPr>
                </w:p>
              </w:tc>
            </w:tr>
          </w:tbl>
          <w:p w14:paraId="7D1313B6" w14:textId="77777777" w:rsidR="00392601" w:rsidRPr="00F42967" w:rsidRDefault="00392601" w:rsidP="0041177B">
            <w:pPr>
              <w:jc w:val="center"/>
              <w:rPr>
                <w:rFonts w:eastAsia="Times New Roman" w:cs="Calibri"/>
                <w:b/>
                <w:bCs/>
                <w:color w:val="000000"/>
                <w:sz w:val="16"/>
                <w:szCs w:val="16"/>
                <w:u w:val="single"/>
                <w:lang w:eastAsia="en-GB"/>
              </w:rPr>
            </w:pPr>
          </w:p>
        </w:tc>
      </w:tr>
      <w:tr w:rsidR="00392601" w:rsidRPr="00191989" w14:paraId="192F1973" w14:textId="77777777" w:rsidTr="0041177B">
        <w:trPr>
          <w:trHeight w:val="113"/>
        </w:trPr>
        <w:tc>
          <w:tcPr>
            <w:tcW w:w="9634" w:type="dxa"/>
            <w:vAlign w:val="center"/>
          </w:tcPr>
          <w:p w14:paraId="67C3A442" w14:textId="77777777" w:rsidR="00392601" w:rsidRPr="00F42967" w:rsidRDefault="00392601" w:rsidP="0041177B">
            <w:pPr>
              <w:pBdr>
                <w:bottom w:val="single" w:sz="4" w:space="1" w:color="auto"/>
              </w:pBdr>
              <w:rPr>
                <w:rFonts w:asciiTheme="minorHAnsi" w:hAnsiTheme="minorHAnsi"/>
                <w:bCs/>
                <w:sz w:val="18"/>
                <w:szCs w:val="16"/>
              </w:rPr>
            </w:pPr>
            <w:r w:rsidRPr="00191989">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57815F3A" w14:textId="77777777" w:rsidR="00392601" w:rsidRPr="00F42967" w:rsidRDefault="00392601" w:rsidP="0041177B">
            <w:pPr>
              <w:rPr>
                <w:rFonts w:asciiTheme="minorHAnsi" w:hAnsiTheme="minorHAnsi"/>
                <w:b/>
                <w:bCs/>
                <w:noProof/>
                <w:sz w:val="14"/>
                <w:szCs w:val="14"/>
                <w:u w:val="single"/>
              </w:rPr>
            </w:pPr>
          </w:p>
        </w:tc>
      </w:tr>
    </w:tbl>
    <w:p w14:paraId="3EF02167" w14:textId="77777777" w:rsidR="00392601" w:rsidRPr="0077726B" w:rsidRDefault="00392601" w:rsidP="00392601">
      <w:pPr>
        <w:spacing w:after="0" w:line="240" w:lineRule="auto"/>
      </w:pPr>
    </w:p>
    <w:p w14:paraId="1D3E30FB" w14:textId="77777777" w:rsidR="00392601" w:rsidRPr="0077726B" w:rsidRDefault="00392601" w:rsidP="00392601">
      <w:pPr>
        <w:spacing w:after="0" w:line="240" w:lineRule="auto"/>
        <w:sectPr w:rsidR="00392601" w:rsidRPr="0077726B" w:rsidSect="002746C0">
          <w:pgSz w:w="11906" w:h="16838"/>
          <w:pgMar w:top="1440" w:right="1440" w:bottom="1440" w:left="1440" w:header="708" w:footer="708" w:gutter="0"/>
          <w:cols w:space="708"/>
          <w:docGrid w:linePitch="360"/>
        </w:sectPr>
      </w:pPr>
    </w:p>
    <w:p w14:paraId="75E9C860" w14:textId="77777777" w:rsidR="00392601" w:rsidRPr="0077726B" w:rsidRDefault="00392601" w:rsidP="00392601">
      <w:pPr>
        <w:pStyle w:val="Heading4"/>
        <w:spacing w:before="0" w:after="0" w:line="240" w:lineRule="auto"/>
      </w:pPr>
      <w:r w:rsidRPr="0077726B">
        <w:t>Variation by deprivation quintile</w:t>
      </w:r>
    </w:p>
    <w:p w14:paraId="24B8F7BF" w14:textId="65590178" w:rsidR="00392601" w:rsidRDefault="00392601" w:rsidP="00392601">
      <w:pPr>
        <w:spacing w:after="0" w:line="240" w:lineRule="auto"/>
        <w:rPr>
          <w:rFonts w:cstheme="minorHAnsi"/>
          <w:color w:val="000000" w:themeColor="text1"/>
        </w:rPr>
      </w:pPr>
      <w:r w:rsidRPr="0077726B">
        <w:rPr>
          <w:rFonts w:cstheme="minorHAnsi"/>
          <w:color w:val="000000" w:themeColor="text1"/>
        </w:rPr>
        <w:t xml:space="preserve">Age-standardised incidence rates of </w:t>
      </w:r>
      <w:r w:rsidRPr="0077726B">
        <w:t>oesophag</w:t>
      </w:r>
      <w:r>
        <w:t>eal</w:t>
      </w:r>
      <w:r w:rsidRPr="0077726B">
        <w:t xml:space="preserve"> adenocarcinoma </w:t>
      </w:r>
      <w:r w:rsidRPr="0077726B">
        <w:rPr>
          <w:rFonts w:cstheme="minorHAnsi"/>
          <w:color w:val="000000" w:themeColor="text1"/>
        </w:rPr>
        <w:t>in 2014-2018 ranged</w:t>
      </w:r>
      <w:r>
        <w:rPr>
          <w:rFonts w:cstheme="minorHAnsi"/>
          <w:color w:val="000000" w:themeColor="text1"/>
        </w:rPr>
        <w:t xml:space="preserve"> from</w:t>
      </w:r>
      <w:r w:rsidRPr="0077726B">
        <w:rPr>
          <w:rFonts w:cstheme="minorHAnsi"/>
          <w:color w:val="000000" w:themeColor="text1"/>
        </w:rPr>
        <w:t xml:space="preserve"> 5.</w:t>
      </w:r>
      <w:r>
        <w:rPr>
          <w:rFonts w:cstheme="minorHAnsi"/>
          <w:color w:val="000000" w:themeColor="text1"/>
        </w:rPr>
        <w:t xml:space="preserve">6 to </w:t>
      </w:r>
      <w:r w:rsidRPr="0077726B">
        <w:rPr>
          <w:rFonts w:cstheme="minorHAnsi"/>
          <w:color w:val="000000" w:themeColor="text1"/>
        </w:rPr>
        <w:t xml:space="preserve">7.2 cases per 100,000 </w:t>
      </w:r>
      <w:r>
        <w:rPr>
          <w:rFonts w:cstheme="minorHAnsi"/>
          <w:color w:val="000000" w:themeColor="text1"/>
        </w:rPr>
        <w:t xml:space="preserve">in </w:t>
      </w:r>
      <w:r w:rsidRPr="0077726B">
        <w:rPr>
          <w:rFonts w:cstheme="minorHAnsi"/>
          <w:color w:val="000000" w:themeColor="text1"/>
        </w:rPr>
        <w:t xml:space="preserve">the least to the most deprived quintiles (Figure </w:t>
      </w:r>
      <w:r w:rsidR="00945CBB">
        <w:rPr>
          <w:rFonts w:cstheme="minorHAnsi"/>
          <w:color w:val="000000" w:themeColor="text1"/>
        </w:rPr>
        <w:t>8.3</w:t>
      </w:r>
      <w:r w:rsidRPr="0077726B">
        <w:rPr>
          <w:rFonts w:cstheme="minorHAnsi"/>
          <w:color w:val="000000" w:themeColor="text1"/>
        </w:rPr>
        <w:t>).</w:t>
      </w:r>
      <w:r>
        <w:rPr>
          <w:rFonts w:cstheme="minorHAnsi"/>
          <w:color w:val="000000" w:themeColor="text1"/>
        </w:rPr>
        <w:t xml:space="preserve"> L</w:t>
      </w:r>
      <w:r w:rsidRPr="0077726B">
        <w:rPr>
          <w:rFonts w:cstheme="minorHAnsi"/>
          <w:color w:val="000000" w:themeColor="text1"/>
        </w:rPr>
        <w:t xml:space="preserve">ittle difference was </w:t>
      </w:r>
      <w:r>
        <w:rPr>
          <w:rFonts w:cstheme="minorHAnsi"/>
          <w:color w:val="000000" w:themeColor="text1"/>
        </w:rPr>
        <w:t>observed</w:t>
      </w:r>
      <w:r w:rsidRPr="0077726B">
        <w:rPr>
          <w:rFonts w:cstheme="minorHAnsi"/>
          <w:color w:val="000000" w:themeColor="text1"/>
        </w:rPr>
        <w:t xml:space="preserve"> in rates of </w:t>
      </w:r>
      <w:r w:rsidRPr="0077726B">
        <w:t>oesophag</w:t>
      </w:r>
      <w:r>
        <w:t>eal</w:t>
      </w:r>
      <w:r w:rsidRPr="0077726B">
        <w:t xml:space="preserve"> adenocarcinoma</w:t>
      </w:r>
      <w:r>
        <w:t xml:space="preserve"> </w:t>
      </w:r>
      <w:r w:rsidRPr="0077726B">
        <w:rPr>
          <w:rFonts w:cstheme="minorHAnsi"/>
          <w:color w:val="000000" w:themeColor="text1"/>
        </w:rPr>
        <w:t>between the most and least deprived quintiles for males (10.</w:t>
      </w:r>
      <w:r>
        <w:rPr>
          <w:rFonts w:cstheme="minorHAnsi"/>
          <w:color w:val="000000" w:themeColor="text1"/>
        </w:rPr>
        <w:t>0</w:t>
      </w:r>
      <w:r w:rsidRPr="0077726B">
        <w:rPr>
          <w:rFonts w:cstheme="minorHAnsi"/>
          <w:color w:val="000000" w:themeColor="text1"/>
        </w:rPr>
        <w:t xml:space="preserve"> for least deprived and 11.5 for most deprived). </w:t>
      </w:r>
      <w:r>
        <w:rPr>
          <w:rFonts w:cstheme="minorHAnsi"/>
          <w:color w:val="000000" w:themeColor="text1"/>
        </w:rPr>
        <w:t xml:space="preserve">There was also </w:t>
      </w:r>
      <w:r w:rsidRPr="0077726B">
        <w:rPr>
          <w:rFonts w:cstheme="minorHAnsi"/>
          <w:color w:val="000000" w:themeColor="text1"/>
        </w:rPr>
        <w:t xml:space="preserve">little </w:t>
      </w:r>
      <w:r>
        <w:rPr>
          <w:rFonts w:cstheme="minorHAnsi"/>
          <w:color w:val="000000" w:themeColor="text1"/>
        </w:rPr>
        <w:t xml:space="preserve">observed </w:t>
      </w:r>
      <w:r w:rsidRPr="0077726B">
        <w:rPr>
          <w:rFonts w:cstheme="minorHAnsi"/>
          <w:color w:val="000000" w:themeColor="text1"/>
        </w:rPr>
        <w:t xml:space="preserve">difference </w:t>
      </w:r>
      <w:r>
        <w:rPr>
          <w:rFonts w:cstheme="minorHAnsi"/>
          <w:color w:val="000000" w:themeColor="text1"/>
        </w:rPr>
        <w:t xml:space="preserve">in incidence </w:t>
      </w:r>
      <w:r w:rsidRPr="0077726B">
        <w:rPr>
          <w:rFonts w:cstheme="minorHAnsi"/>
          <w:color w:val="000000" w:themeColor="text1"/>
        </w:rPr>
        <w:t>between the most and least deprived quintiles in females (2.</w:t>
      </w:r>
      <w:r>
        <w:rPr>
          <w:rFonts w:cstheme="minorHAnsi"/>
          <w:color w:val="000000" w:themeColor="text1"/>
        </w:rPr>
        <w:t>3</w:t>
      </w:r>
      <w:r w:rsidRPr="0077726B">
        <w:rPr>
          <w:rFonts w:cstheme="minorHAnsi"/>
          <w:color w:val="000000" w:themeColor="text1"/>
        </w:rPr>
        <w:t xml:space="preserve"> for least deprived and 3.5 for most deprived).</w:t>
      </w:r>
    </w:p>
    <w:p w14:paraId="67053160" w14:textId="77777777" w:rsidR="00392601" w:rsidRPr="0077726B" w:rsidRDefault="00392601" w:rsidP="00392601">
      <w:pPr>
        <w:spacing w:after="0" w:line="240" w:lineRule="auto"/>
        <w:rPr>
          <w:rFonts w:cstheme="minorHAnsi"/>
          <w:color w:val="000000" w:themeColor="text1"/>
        </w:rPr>
      </w:pPr>
    </w:p>
    <w:tbl>
      <w:tblPr>
        <w:tblStyle w:val="TableGrid"/>
        <w:tblW w:w="976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3259"/>
        <w:gridCol w:w="3259"/>
      </w:tblGrid>
      <w:tr w:rsidR="00392601" w:rsidRPr="00861F2F" w14:paraId="4B4BA891" w14:textId="77777777" w:rsidTr="0041177B">
        <w:trPr>
          <w:trHeight w:val="113"/>
        </w:trPr>
        <w:tc>
          <w:tcPr>
            <w:tcW w:w="9768" w:type="dxa"/>
            <w:gridSpan w:val="3"/>
            <w:shd w:val="clear" w:color="auto" w:fill="002060"/>
            <w:hideMark/>
          </w:tcPr>
          <w:p w14:paraId="4D442BA8" w14:textId="4B98D431" w:rsidR="00392601" w:rsidRPr="00945CBB" w:rsidRDefault="00392601" w:rsidP="0041177B">
            <w:pPr>
              <w:rPr>
                <w:rFonts w:asciiTheme="minorHAnsi" w:hAnsiTheme="minorHAnsi" w:cstheme="minorHAnsi"/>
                <w:b/>
                <w:bCs/>
                <w:color w:val="FFFFFF" w:themeColor="background1"/>
              </w:rPr>
            </w:pPr>
            <w:r w:rsidRPr="00945CBB">
              <w:rPr>
                <w:rFonts w:asciiTheme="minorHAnsi" w:hAnsiTheme="minorHAnsi" w:cstheme="minorHAnsi"/>
                <w:b/>
                <w:bCs/>
                <w:color w:val="FFFFFF" w:themeColor="background1"/>
              </w:rPr>
              <w:t xml:space="preserve">Figure </w:t>
            </w:r>
            <w:r w:rsidR="00945CBB" w:rsidRPr="00945CBB">
              <w:rPr>
                <w:rFonts w:asciiTheme="minorHAnsi" w:hAnsiTheme="minorHAnsi" w:cstheme="minorHAnsi"/>
                <w:b/>
                <w:bCs/>
                <w:color w:val="FFFFFF" w:themeColor="background1"/>
              </w:rPr>
              <w:t>8.3:</w:t>
            </w:r>
            <w:r w:rsidRPr="00945CBB">
              <w:rPr>
                <w:rFonts w:asciiTheme="minorHAnsi" w:hAnsiTheme="minorHAnsi" w:cstheme="minorHAnsi"/>
                <w:b/>
                <w:bCs/>
                <w:color w:val="FFFFFF" w:themeColor="background1"/>
              </w:rPr>
              <w:t xml:space="preserve"> Incidence rate (per 100,000) for oesophag</w:t>
            </w:r>
            <w:r w:rsidR="002C41FA">
              <w:rPr>
                <w:rFonts w:asciiTheme="minorHAnsi" w:hAnsiTheme="minorHAnsi" w:cstheme="minorHAnsi"/>
                <w:b/>
                <w:bCs/>
                <w:color w:val="FFFFFF" w:themeColor="background1"/>
              </w:rPr>
              <w:t>eal</w:t>
            </w:r>
            <w:r w:rsidRPr="00945CBB">
              <w:rPr>
                <w:rFonts w:asciiTheme="minorHAnsi" w:hAnsiTheme="minorHAnsi" w:cstheme="minorHAnsi"/>
                <w:b/>
                <w:bCs/>
                <w:color w:val="FFFFFF" w:themeColor="background1"/>
              </w:rPr>
              <w:t xml:space="preserve"> (adenocarcinoma) cancer by deprivation quintile, 2014-2018</w:t>
            </w:r>
          </w:p>
        </w:tc>
      </w:tr>
      <w:tr w:rsidR="00392601" w:rsidRPr="00563005" w14:paraId="0AD1BC0B" w14:textId="77777777" w:rsidTr="0041177B">
        <w:trPr>
          <w:trHeight w:val="113"/>
        </w:trPr>
        <w:tc>
          <w:tcPr>
            <w:tcW w:w="3256" w:type="dxa"/>
            <w:hideMark/>
          </w:tcPr>
          <w:p w14:paraId="308EA907" w14:textId="77777777" w:rsidR="00392601" w:rsidRPr="00563005" w:rsidRDefault="00392601" w:rsidP="0041177B">
            <w:pPr>
              <w:jc w:val="center"/>
              <w:rPr>
                <w:rFonts w:asciiTheme="minorHAnsi" w:hAnsiTheme="minorHAnsi" w:cstheme="minorHAnsi"/>
                <w:color w:val="000000" w:themeColor="text1"/>
              </w:rPr>
            </w:pPr>
            <w:r w:rsidRPr="00563005">
              <w:rPr>
                <w:rFonts w:asciiTheme="minorHAnsi" w:hAnsiTheme="minorHAnsi" w:cstheme="minorHAnsi"/>
                <w:color w:val="000000" w:themeColor="text1"/>
              </w:rPr>
              <w:t>Total</w:t>
            </w:r>
          </w:p>
        </w:tc>
        <w:tc>
          <w:tcPr>
            <w:tcW w:w="3256" w:type="dxa"/>
          </w:tcPr>
          <w:p w14:paraId="6BF75006" w14:textId="77777777" w:rsidR="00392601" w:rsidRPr="00563005" w:rsidRDefault="00392601" w:rsidP="0041177B">
            <w:pPr>
              <w:jc w:val="center"/>
              <w:rPr>
                <w:rFonts w:asciiTheme="minorHAnsi" w:hAnsiTheme="minorHAnsi" w:cstheme="minorHAnsi"/>
                <w:color w:val="000000" w:themeColor="text1"/>
              </w:rPr>
            </w:pPr>
            <w:r w:rsidRPr="00563005">
              <w:rPr>
                <w:rFonts w:asciiTheme="minorHAnsi" w:hAnsiTheme="minorHAnsi" w:cstheme="minorHAnsi"/>
                <w:color w:val="000000" w:themeColor="text1"/>
              </w:rPr>
              <w:t>Males</w:t>
            </w:r>
          </w:p>
        </w:tc>
        <w:tc>
          <w:tcPr>
            <w:tcW w:w="3256" w:type="dxa"/>
          </w:tcPr>
          <w:p w14:paraId="09C5F842" w14:textId="77777777" w:rsidR="00392601" w:rsidRPr="00F42967" w:rsidRDefault="00392601" w:rsidP="0041177B">
            <w:pPr>
              <w:jc w:val="center"/>
              <w:rPr>
                <w:rFonts w:asciiTheme="minorHAnsi" w:hAnsiTheme="minorHAnsi" w:cstheme="minorHAnsi"/>
                <w:color w:val="000000" w:themeColor="text1"/>
              </w:rPr>
            </w:pPr>
            <w:r w:rsidRPr="00563005">
              <w:rPr>
                <w:rFonts w:asciiTheme="minorHAnsi" w:hAnsiTheme="minorHAnsi" w:cstheme="minorHAnsi"/>
                <w:color w:val="000000" w:themeColor="text1"/>
              </w:rPr>
              <w:t>Females</w:t>
            </w:r>
          </w:p>
        </w:tc>
      </w:tr>
      <w:tr w:rsidR="00392601" w:rsidRPr="00861F2F" w14:paraId="35298E65" w14:textId="77777777" w:rsidTr="0041177B">
        <w:trPr>
          <w:trHeight w:val="113"/>
        </w:trPr>
        <w:tc>
          <w:tcPr>
            <w:tcW w:w="3256" w:type="dxa"/>
          </w:tcPr>
          <w:p w14:paraId="2B27B116" w14:textId="77777777" w:rsidR="00392601" w:rsidRPr="00861F2F" w:rsidRDefault="00392601" w:rsidP="0041177B">
            <w:pPr>
              <w:jc w:val="center"/>
              <w:rPr>
                <w:rFonts w:asciiTheme="minorHAnsi" w:hAnsiTheme="minorHAnsi" w:cstheme="minorHAnsi"/>
                <w:color w:val="000000" w:themeColor="text1"/>
              </w:rPr>
            </w:pPr>
            <w:r w:rsidRPr="00A07714">
              <w:rPr>
                <w:rFonts w:eastAsia="Times New Roman" w:cs="Times New Roman"/>
                <w:noProof/>
                <w:lang w:eastAsia="en-GB"/>
              </w:rPr>
              <w:drawing>
                <wp:inline distT="0" distB="0" distL="0" distR="0" wp14:anchorId="182FCBD7" wp14:editId="7CABB345">
                  <wp:extent cx="1933958" cy="1507349"/>
                  <wp:effectExtent l="0" t="0" r="0" b="0"/>
                  <wp:docPr id="55805251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52511" name="Picture 28"/>
                          <pic:cNvPicPr>
                            <a:picLocks noChangeAspect="1" noChangeArrowheads="1"/>
                          </pic:cNvPicPr>
                        </pic:nvPicPr>
                        <pic:blipFill>
                          <a:blip r:embed="rId88">
                            <a:extLst>
                              <a:ext uri="{96DAC541-7B7A-43D3-8B79-37D633B846F1}">
                                <asvg:svgBlip xmlns:asvg="http://schemas.microsoft.com/office/drawing/2016/SVG/main" r:embed="rId89"/>
                              </a:ext>
                            </a:extLst>
                          </a:blip>
                          <a:stretch>
                            <a:fillRect/>
                          </a:stretch>
                        </pic:blipFill>
                        <pic:spPr bwMode="auto">
                          <a:xfrm>
                            <a:off x="0" y="0"/>
                            <a:ext cx="1933958" cy="1507349"/>
                          </a:xfrm>
                          <a:prstGeom prst="rect">
                            <a:avLst/>
                          </a:prstGeom>
                        </pic:spPr>
                      </pic:pic>
                    </a:graphicData>
                  </a:graphic>
                </wp:inline>
              </w:drawing>
            </w:r>
          </w:p>
        </w:tc>
        <w:tc>
          <w:tcPr>
            <w:tcW w:w="3256" w:type="dxa"/>
          </w:tcPr>
          <w:p w14:paraId="2CC17096" w14:textId="77777777" w:rsidR="00392601" w:rsidRPr="00861F2F" w:rsidRDefault="00392601" w:rsidP="0041177B">
            <w:pPr>
              <w:jc w:val="center"/>
              <w:rPr>
                <w:rFonts w:asciiTheme="minorHAnsi" w:hAnsiTheme="minorHAnsi" w:cstheme="minorHAnsi"/>
                <w:color w:val="000000" w:themeColor="text1"/>
              </w:rPr>
            </w:pPr>
            <w:r w:rsidRPr="00A07714">
              <w:rPr>
                <w:rFonts w:eastAsia="Times New Roman" w:cs="Times New Roman"/>
                <w:noProof/>
                <w:lang w:eastAsia="en-GB"/>
              </w:rPr>
              <w:drawing>
                <wp:inline distT="0" distB="0" distL="0" distR="0" wp14:anchorId="620958CC" wp14:editId="1BA07855">
                  <wp:extent cx="1933958" cy="1507349"/>
                  <wp:effectExtent l="0" t="0" r="0" b="0"/>
                  <wp:docPr id="183634172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41726" name="Picture 29"/>
                          <pic:cNvPicPr>
                            <a:picLocks noChangeAspect="1" noChangeArrowheads="1"/>
                          </pic:cNvPicPr>
                        </pic:nvPicPr>
                        <pic:blipFill>
                          <a:blip r:embed="rId90">
                            <a:extLst>
                              <a:ext uri="{96DAC541-7B7A-43D3-8B79-37D633B846F1}">
                                <asvg:svgBlip xmlns:asvg="http://schemas.microsoft.com/office/drawing/2016/SVG/main" r:embed="rId91"/>
                              </a:ext>
                            </a:extLst>
                          </a:blip>
                          <a:stretch>
                            <a:fillRect/>
                          </a:stretch>
                        </pic:blipFill>
                        <pic:spPr bwMode="auto">
                          <a:xfrm>
                            <a:off x="0" y="0"/>
                            <a:ext cx="1933958" cy="1507349"/>
                          </a:xfrm>
                          <a:prstGeom prst="rect">
                            <a:avLst/>
                          </a:prstGeom>
                        </pic:spPr>
                      </pic:pic>
                    </a:graphicData>
                  </a:graphic>
                </wp:inline>
              </w:drawing>
            </w:r>
          </w:p>
        </w:tc>
        <w:tc>
          <w:tcPr>
            <w:tcW w:w="3256" w:type="dxa"/>
          </w:tcPr>
          <w:p w14:paraId="1408EAEF" w14:textId="77777777" w:rsidR="00392601" w:rsidRPr="00F42967" w:rsidRDefault="00392601" w:rsidP="0041177B">
            <w:pPr>
              <w:jc w:val="center"/>
              <w:rPr>
                <w:rFonts w:asciiTheme="minorHAnsi" w:hAnsiTheme="minorHAnsi" w:cstheme="minorHAnsi"/>
                <w:color w:val="000000" w:themeColor="text1"/>
              </w:rPr>
            </w:pPr>
            <w:r w:rsidRPr="00A07714">
              <w:rPr>
                <w:rFonts w:cstheme="minorHAnsi"/>
                <w:noProof/>
                <w:color w:val="000000" w:themeColor="text1"/>
              </w:rPr>
              <w:drawing>
                <wp:inline distT="0" distB="0" distL="0" distR="0" wp14:anchorId="76350FC5" wp14:editId="6CAAEFED">
                  <wp:extent cx="1933958" cy="1507349"/>
                  <wp:effectExtent l="0" t="0" r="0" b="0"/>
                  <wp:docPr id="72032969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29696" name="Picture 30"/>
                          <pic:cNvPicPr>
                            <a:picLocks noChangeAspect="1" noChangeArrowheads="1"/>
                          </pic:cNvPicPr>
                        </pic:nvPicPr>
                        <pic:blipFill>
                          <a:blip r:embed="rId92">
                            <a:extLst>
                              <a:ext uri="{96DAC541-7B7A-43D3-8B79-37D633B846F1}">
                                <asvg:svgBlip xmlns:asvg="http://schemas.microsoft.com/office/drawing/2016/SVG/main" r:embed="rId93"/>
                              </a:ext>
                            </a:extLst>
                          </a:blip>
                          <a:stretch>
                            <a:fillRect/>
                          </a:stretch>
                        </pic:blipFill>
                        <pic:spPr bwMode="auto">
                          <a:xfrm>
                            <a:off x="0" y="0"/>
                            <a:ext cx="1933958" cy="1507349"/>
                          </a:xfrm>
                          <a:prstGeom prst="rect">
                            <a:avLst/>
                          </a:prstGeom>
                        </pic:spPr>
                      </pic:pic>
                    </a:graphicData>
                  </a:graphic>
                </wp:inline>
              </w:drawing>
            </w:r>
          </w:p>
        </w:tc>
      </w:tr>
    </w:tbl>
    <w:p w14:paraId="16487BAE" w14:textId="77777777" w:rsidR="00392601" w:rsidRPr="0077726B" w:rsidRDefault="00392601" w:rsidP="00392601">
      <w:pPr>
        <w:spacing w:after="0" w:line="240" w:lineRule="auto"/>
        <w:rPr>
          <w:rFonts w:cstheme="minorHAnsi"/>
          <w:color w:val="000000" w:themeColor="text1"/>
          <w:highlight w:val="yellow"/>
        </w:rPr>
      </w:pPr>
    </w:p>
    <w:p w14:paraId="75BD8485" w14:textId="77777777" w:rsidR="00392601" w:rsidRDefault="00392601" w:rsidP="00392601">
      <w:pPr>
        <w:pStyle w:val="Heading3"/>
        <w:spacing w:before="0" w:after="0" w:line="240" w:lineRule="auto"/>
      </w:pPr>
      <w:bookmarkStart w:id="135" w:name="_Toc197557072"/>
      <w:bookmarkStart w:id="136" w:name="_Toc201512466"/>
      <w:r>
        <w:t>Mortality</w:t>
      </w:r>
      <w:bookmarkEnd w:id="135"/>
      <w:bookmarkEnd w:id="136"/>
    </w:p>
    <w:p w14:paraId="303ECA6A" w14:textId="576E475D" w:rsidR="00392601" w:rsidRDefault="007A1D5E" w:rsidP="00392601">
      <w:pPr>
        <w:spacing w:after="0" w:line="240" w:lineRule="auto"/>
      </w:pPr>
      <w:r w:rsidRPr="004C7861">
        <w:t>CSO mortality data does not provide mortality figures at the tumour morphological level</w:t>
      </w:r>
      <w:r>
        <w:t xml:space="preserve"> therefore mortality trends are not presented.</w:t>
      </w:r>
    </w:p>
    <w:p w14:paraId="0869D1B4" w14:textId="77777777" w:rsidR="00E80E07" w:rsidRPr="0077726B" w:rsidRDefault="00E80E07" w:rsidP="00392601">
      <w:pPr>
        <w:spacing w:after="0" w:line="240" w:lineRule="auto"/>
      </w:pPr>
    </w:p>
    <w:p w14:paraId="73E8102F" w14:textId="77777777" w:rsidR="00392601" w:rsidRDefault="00392601" w:rsidP="00392601">
      <w:pPr>
        <w:pStyle w:val="Heading3"/>
        <w:spacing w:before="0" w:after="0" w:line="240" w:lineRule="auto"/>
      </w:pPr>
      <w:bookmarkStart w:id="137" w:name="_Toc197557073"/>
      <w:bookmarkStart w:id="138" w:name="_Toc201512467"/>
      <w:r>
        <w:t>Survival</w:t>
      </w:r>
      <w:bookmarkEnd w:id="137"/>
      <w:bookmarkEnd w:id="138"/>
      <w:r>
        <w:t xml:space="preserve"> </w:t>
      </w:r>
    </w:p>
    <w:p w14:paraId="28C1DD74" w14:textId="6A1F9FA0" w:rsidR="00392601" w:rsidRDefault="00392601" w:rsidP="00392601">
      <w:pPr>
        <w:spacing w:after="0" w:line="240" w:lineRule="auto"/>
        <w:rPr>
          <w:rFonts w:cstheme="minorHAnsi"/>
        </w:rPr>
      </w:pPr>
      <w:r w:rsidRPr="00E87ECA">
        <w:rPr>
          <w:rFonts w:cstheme="minorHAnsi"/>
        </w:rPr>
        <w:t>For oesophag</w:t>
      </w:r>
      <w:r w:rsidR="002C41FA">
        <w:rPr>
          <w:rFonts w:cstheme="minorHAnsi"/>
        </w:rPr>
        <w:t>eal</w:t>
      </w:r>
      <w:r w:rsidR="00EF57E1">
        <w:rPr>
          <w:rFonts w:cstheme="minorHAnsi"/>
        </w:rPr>
        <w:t xml:space="preserve"> </w:t>
      </w:r>
      <w:r w:rsidRPr="00E87ECA">
        <w:rPr>
          <w:rFonts w:cstheme="minorHAnsi"/>
        </w:rPr>
        <w:t xml:space="preserve">adenocarcinoma cancer in Ireland overall 5-year net survival was 25% for cases diagnosed during 2019-2022 (Figure </w:t>
      </w:r>
      <w:r w:rsidR="00945CBB">
        <w:rPr>
          <w:rFonts w:cstheme="minorHAnsi"/>
        </w:rPr>
        <w:t>8.4</w:t>
      </w:r>
      <w:r w:rsidRPr="00E87ECA">
        <w:rPr>
          <w:rFonts w:cstheme="minorHAnsi"/>
        </w:rPr>
        <w:t xml:space="preserve">). </w:t>
      </w:r>
      <w:r>
        <w:rPr>
          <w:rFonts w:cstheme="minorHAnsi"/>
        </w:rPr>
        <w:t>Five</w:t>
      </w:r>
      <w:r w:rsidRPr="00E87ECA">
        <w:rPr>
          <w:rFonts w:cstheme="minorHAnsi"/>
        </w:rPr>
        <w:t>-year net survival for 2019-202</w:t>
      </w:r>
      <w:r>
        <w:rPr>
          <w:rFonts w:cstheme="minorHAnsi"/>
        </w:rPr>
        <w:t>2</w:t>
      </w:r>
    </w:p>
    <w:p w14:paraId="305960B7" w14:textId="2F6476B4" w:rsidR="00392601" w:rsidRDefault="00392601" w:rsidP="00392601">
      <w:pPr>
        <w:spacing w:after="0" w:line="240" w:lineRule="auto"/>
        <w:rPr>
          <w:rFonts w:cstheme="minorHAnsi"/>
        </w:rPr>
      </w:pPr>
      <w:r w:rsidRPr="00E87ECA">
        <w:rPr>
          <w:rFonts w:cstheme="minorHAnsi"/>
        </w:rPr>
        <w:t xml:space="preserve">was higher for females </w:t>
      </w:r>
      <w:r w:rsidR="00E80E07">
        <w:rPr>
          <w:rFonts w:cstheme="minorHAnsi"/>
        </w:rPr>
        <w:t>(</w:t>
      </w:r>
      <w:r w:rsidRPr="00E87ECA">
        <w:rPr>
          <w:rFonts w:cstheme="minorHAnsi"/>
        </w:rPr>
        <w:t>32%) than for males (24%).</w:t>
      </w:r>
    </w:p>
    <w:p w14:paraId="6FE02172" w14:textId="77777777" w:rsidR="00392601" w:rsidRPr="005648D7" w:rsidRDefault="00392601" w:rsidP="00392601">
      <w:pPr>
        <w:spacing w:after="0" w:line="240" w:lineRule="auto"/>
        <w:rPr>
          <w:rFonts w:cstheme="minorHAnsi"/>
          <w:highlight w:val="yellow"/>
        </w:rPr>
      </w:pPr>
    </w:p>
    <w:tbl>
      <w:tblPr>
        <w:tblStyle w:val="TableGrid"/>
        <w:tblW w:w="977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274"/>
        <w:gridCol w:w="3252"/>
      </w:tblGrid>
      <w:tr w:rsidR="00392601" w:rsidRPr="00927C7F" w14:paraId="5A6A4A70" w14:textId="77777777" w:rsidTr="0041177B">
        <w:trPr>
          <w:trHeight w:val="113"/>
        </w:trPr>
        <w:tc>
          <w:tcPr>
            <w:tcW w:w="9778" w:type="dxa"/>
            <w:gridSpan w:val="3"/>
            <w:shd w:val="clear" w:color="auto" w:fill="002060"/>
            <w:hideMark/>
          </w:tcPr>
          <w:p w14:paraId="047011DF" w14:textId="4FFD55C1" w:rsidR="00392601" w:rsidRPr="00945CBB" w:rsidRDefault="00392601" w:rsidP="0041177B">
            <w:pPr>
              <w:rPr>
                <w:rFonts w:asciiTheme="minorHAnsi" w:hAnsiTheme="minorHAnsi" w:cstheme="minorHAnsi"/>
                <w:b/>
                <w:bCs/>
              </w:rPr>
            </w:pPr>
            <w:r w:rsidRPr="00945CBB">
              <w:rPr>
                <w:rFonts w:asciiTheme="minorHAnsi" w:hAnsiTheme="minorHAnsi" w:cstheme="minorHAnsi"/>
                <w:b/>
                <w:bCs/>
              </w:rPr>
              <w:t xml:space="preserve">Figure </w:t>
            </w:r>
            <w:r w:rsidR="00945CBB">
              <w:rPr>
                <w:rFonts w:asciiTheme="minorHAnsi" w:hAnsiTheme="minorHAnsi" w:cstheme="minorHAnsi"/>
                <w:b/>
                <w:bCs/>
              </w:rPr>
              <w:t xml:space="preserve">8.4: </w:t>
            </w:r>
            <w:r w:rsidRPr="00945CBB">
              <w:rPr>
                <w:rFonts w:asciiTheme="minorHAnsi" w:hAnsiTheme="minorHAnsi" w:cstheme="minorHAnsi"/>
                <w:b/>
                <w:bCs/>
              </w:rPr>
              <w:t>Age-standardised 5-year net survival (%) for oesophageal adenocarcinoma over six consecutive diagnosis periods</w:t>
            </w:r>
          </w:p>
        </w:tc>
      </w:tr>
      <w:tr w:rsidR="00392601" w:rsidRPr="00927C7F" w14:paraId="3ECF7395" w14:textId="77777777" w:rsidTr="0041177B">
        <w:trPr>
          <w:trHeight w:val="113"/>
        </w:trPr>
        <w:tc>
          <w:tcPr>
            <w:tcW w:w="3267" w:type="dxa"/>
            <w:hideMark/>
          </w:tcPr>
          <w:p w14:paraId="3AB68DE5" w14:textId="77777777" w:rsidR="00392601" w:rsidRPr="00927C7F" w:rsidRDefault="00392601" w:rsidP="0041177B">
            <w:pPr>
              <w:jc w:val="center"/>
              <w:rPr>
                <w:rFonts w:asciiTheme="minorHAnsi" w:hAnsiTheme="minorHAnsi" w:cstheme="minorHAnsi"/>
                <w:color w:val="000000" w:themeColor="text1"/>
              </w:rPr>
            </w:pPr>
            <w:r w:rsidRPr="00927C7F">
              <w:rPr>
                <w:rFonts w:asciiTheme="minorHAnsi" w:hAnsiTheme="minorHAnsi" w:cstheme="minorHAnsi"/>
                <w:color w:val="000000" w:themeColor="text1"/>
              </w:rPr>
              <w:t>Total</w:t>
            </w:r>
          </w:p>
        </w:tc>
        <w:tc>
          <w:tcPr>
            <w:tcW w:w="3267" w:type="dxa"/>
          </w:tcPr>
          <w:p w14:paraId="086E508E" w14:textId="77777777" w:rsidR="00392601" w:rsidRPr="00927C7F" w:rsidRDefault="00392601" w:rsidP="0041177B">
            <w:pPr>
              <w:jc w:val="center"/>
              <w:rPr>
                <w:rFonts w:asciiTheme="minorHAnsi" w:hAnsiTheme="minorHAnsi" w:cstheme="minorHAnsi"/>
                <w:color w:val="000000" w:themeColor="text1"/>
              </w:rPr>
            </w:pPr>
            <w:r w:rsidRPr="00927C7F">
              <w:rPr>
                <w:rFonts w:asciiTheme="minorHAnsi" w:hAnsiTheme="minorHAnsi" w:cstheme="minorHAnsi"/>
                <w:color w:val="000000" w:themeColor="text1"/>
              </w:rPr>
              <w:t>Males</w:t>
            </w:r>
          </w:p>
        </w:tc>
        <w:tc>
          <w:tcPr>
            <w:tcW w:w="3244" w:type="dxa"/>
          </w:tcPr>
          <w:p w14:paraId="0B14FA35" w14:textId="77777777" w:rsidR="00392601" w:rsidRPr="00F42967" w:rsidRDefault="00392601" w:rsidP="0041177B">
            <w:pPr>
              <w:jc w:val="center"/>
              <w:rPr>
                <w:rFonts w:asciiTheme="minorHAnsi" w:hAnsiTheme="minorHAnsi" w:cstheme="minorHAnsi"/>
                <w:color w:val="000000" w:themeColor="text1"/>
              </w:rPr>
            </w:pPr>
            <w:r w:rsidRPr="00927C7F">
              <w:rPr>
                <w:rFonts w:asciiTheme="minorHAnsi" w:hAnsiTheme="minorHAnsi" w:cstheme="minorHAnsi"/>
                <w:color w:val="000000" w:themeColor="text1"/>
              </w:rPr>
              <w:t>Females</w:t>
            </w:r>
          </w:p>
        </w:tc>
      </w:tr>
      <w:tr w:rsidR="00392601" w:rsidRPr="00927C7F" w14:paraId="2BF6F9CC" w14:textId="77777777" w:rsidTr="0041177B">
        <w:trPr>
          <w:trHeight w:val="113"/>
        </w:trPr>
        <w:tc>
          <w:tcPr>
            <w:tcW w:w="3267" w:type="dxa"/>
          </w:tcPr>
          <w:p w14:paraId="3791FB0A" w14:textId="77777777" w:rsidR="00392601" w:rsidRPr="00F42967" w:rsidRDefault="00392601" w:rsidP="0041177B">
            <w:pPr>
              <w:jc w:val="center"/>
              <w:rPr>
                <w:rFonts w:asciiTheme="minorHAnsi" w:eastAsia="Times New Roman" w:hAnsiTheme="minorHAnsi" w:cs="Times New Roman"/>
                <w:lang w:eastAsia="en-GB"/>
              </w:rPr>
            </w:pPr>
            <w:r w:rsidRPr="00927C7F">
              <w:rPr>
                <w:rFonts w:eastAsia="Times New Roman" w:cs="Times New Roman"/>
                <w:noProof/>
                <w:lang w:eastAsia="en-GB"/>
              </w:rPr>
              <w:drawing>
                <wp:inline distT="0" distB="0" distL="0" distR="0" wp14:anchorId="74C33E92" wp14:editId="664BD952">
                  <wp:extent cx="2042660" cy="1692000"/>
                  <wp:effectExtent l="0" t="0" r="0" b="3810"/>
                  <wp:docPr id="184178571" name="Picture 31" descr="A graph of numbers and a number of y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8571" name="Picture 31" descr="A graph of numbers and a number of years&#10;&#10;AI-generated content may be incorrec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42660" cy="1692000"/>
                          </a:xfrm>
                          <a:prstGeom prst="rect">
                            <a:avLst/>
                          </a:prstGeom>
                          <a:noFill/>
                        </pic:spPr>
                      </pic:pic>
                    </a:graphicData>
                  </a:graphic>
                </wp:inline>
              </w:drawing>
            </w:r>
          </w:p>
        </w:tc>
        <w:tc>
          <w:tcPr>
            <w:tcW w:w="3267" w:type="dxa"/>
          </w:tcPr>
          <w:p w14:paraId="7658754A" w14:textId="77777777" w:rsidR="00392601" w:rsidRPr="00F42967" w:rsidRDefault="00392601" w:rsidP="0041177B">
            <w:pPr>
              <w:jc w:val="center"/>
              <w:rPr>
                <w:rFonts w:asciiTheme="minorHAnsi" w:hAnsiTheme="minorHAnsi" w:cstheme="minorHAnsi"/>
                <w:color w:val="000000" w:themeColor="text1"/>
              </w:rPr>
            </w:pPr>
            <w:r w:rsidRPr="00927C7F">
              <w:rPr>
                <w:rFonts w:eastAsia="Times New Roman" w:cs="Times New Roman"/>
                <w:noProof/>
                <w:lang w:eastAsia="en-GB"/>
              </w:rPr>
              <w:drawing>
                <wp:inline distT="0" distB="0" distL="0" distR="0" wp14:anchorId="3759515C" wp14:editId="50AE7005">
                  <wp:extent cx="2053051" cy="1692000"/>
                  <wp:effectExtent l="0" t="0" r="4445" b="3810"/>
                  <wp:docPr id="1403619914" name="Picture 32" descr="A graph of numbers and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19914" name="Picture 32" descr="A graph of numbers and a number of people&#10;&#10;AI-generated content may be incorrec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53051" cy="1692000"/>
                          </a:xfrm>
                          <a:prstGeom prst="rect">
                            <a:avLst/>
                          </a:prstGeom>
                          <a:noFill/>
                        </pic:spPr>
                      </pic:pic>
                    </a:graphicData>
                  </a:graphic>
                </wp:inline>
              </w:drawing>
            </w:r>
          </w:p>
          <w:p w14:paraId="3A987CBD" w14:textId="77777777" w:rsidR="00392601" w:rsidRPr="00927C7F" w:rsidRDefault="00392601" w:rsidP="0041177B">
            <w:pPr>
              <w:jc w:val="center"/>
              <w:rPr>
                <w:rFonts w:asciiTheme="minorHAnsi" w:hAnsiTheme="minorHAnsi" w:cstheme="minorHAnsi"/>
                <w:color w:val="000000" w:themeColor="text1"/>
              </w:rPr>
            </w:pPr>
          </w:p>
        </w:tc>
        <w:tc>
          <w:tcPr>
            <w:tcW w:w="3244" w:type="dxa"/>
          </w:tcPr>
          <w:p w14:paraId="06F62506" w14:textId="77777777" w:rsidR="00392601" w:rsidRPr="00F42967" w:rsidRDefault="00392601" w:rsidP="0041177B">
            <w:pPr>
              <w:jc w:val="center"/>
              <w:rPr>
                <w:rFonts w:asciiTheme="minorHAnsi" w:hAnsiTheme="minorHAnsi" w:cstheme="minorHAnsi"/>
                <w:color w:val="000000" w:themeColor="text1"/>
              </w:rPr>
            </w:pPr>
            <w:r w:rsidRPr="00927C7F">
              <w:rPr>
                <w:rFonts w:cstheme="minorHAnsi"/>
                <w:noProof/>
                <w:color w:val="000000" w:themeColor="text1"/>
              </w:rPr>
              <w:drawing>
                <wp:inline distT="0" distB="0" distL="0" distR="0" wp14:anchorId="3A4BB55A" wp14:editId="4F0C453C">
                  <wp:extent cx="2042660" cy="1692000"/>
                  <wp:effectExtent l="0" t="0" r="0" b="3810"/>
                  <wp:docPr id="583545256" name="Picture 33" descr="A graph of numbers and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45256" name="Picture 33" descr="A graph of numbers and a number of objects&#10;&#10;AI-generated content may be incorrec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42660" cy="1692000"/>
                          </a:xfrm>
                          <a:prstGeom prst="rect">
                            <a:avLst/>
                          </a:prstGeom>
                          <a:noFill/>
                        </pic:spPr>
                      </pic:pic>
                    </a:graphicData>
                  </a:graphic>
                </wp:inline>
              </w:drawing>
            </w:r>
          </w:p>
        </w:tc>
      </w:tr>
    </w:tbl>
    <w:p w14:paraId="3CD9DDCD" w14:textId="77777777" w:rsidR="00392601" w:rsidRDefault="00392601" w:rsidP="00392601">
      <w:pPr>
        <w:pStyle w:val="Heading3"/>
        <w:spacing w:before="0" w:after="0" w:line="240" w:lineRule="auto"/>
        <w:sectPr w:rsidR="00392601" w:rsidSect="002746C0">
          <w:pgSz w:w="11906" w:h="16838"/>
          <w:pgMar w:top="1440" w:right="1440" w:bottom="1440" w:left="1440" w:header="708" w:footer="708" w:gutter="0"/>
          <w:cols w:space="708"/>
          <w:docGrid w:linePitch="360"/>
        </w:sectPr>
      </w:pPr>
    </w:p>
    <w:p w14:paraId="0D1EE162" w14:textId="77777777" w:rsidR="00392601" w:rsidRDefault="00392601" w:rsidP="00392601">
      <w:pPr>
        <w:pStyle w:val="Heading3"/>
        <w:spacing w:before="0" w:after="0" w:line="240" w:lineRule="auto"/>
      </w:pPr>
      <w:bookmarkStart w:id="139" w:name="_Toc197557074"/>
      <w:bookmarkStart w:id="140" w:name="_Toc201512468"/>
      <w:r>
        <w:t>Population Attributable Fraction</w:t>
      </w:r>
      <w:bookmarkEnd w:id="139"/>
      <w:bookmarkEnd w:id="140"/>
    </w:p>
    <w:p w14:paraId="74B93342" w14:textId="6E6467D5" w:rsidR="00392601" w:rsidRDefault="00392601" w:rsidP="00392601">
      <w:pPr>
        <w:spacing w:after="0" w:line="240" w:lineRule="auto"/>
        <w:rPr>
          <w:rFonts w:cstheme="minorHAnsi"/>
        </w:rPr>
      </w:pPr>
      <w:r w:rsidRPr="00810294">
        <w:rPr>
          <w:rFonts w:cstheme="minorHAnsi"/>
        </w:rPr>
        <w:t xml:space="preserve">In 2022, 319 cases of </w:t>
      </w:r>
      <w:r w:rsidRPr="0077726B">
        <w:t>oesophag</w:t>
      </w:r>
      <w:r>
        <w:t>eal</w:t>
      </w:r>
      <w:r w:rsidRPr="0077726B">
        <w:t xml:space="preserve"> adenocarcinoma </w:t>
      </w:r>
      <w:r w:rsidRPr="00810294">
        <w:rPr>
          <w:rFonts w:cstheme="minorHAnsi"/>
        </w:rPr>
        <w:t>were re</w:t>
      </w:r>
      <w:r>
        <w:rPr>
          <w:rFonts w:cstheme="minorHAnsi"/>
        </w:rPr>
        <w:t>corded</w:t>
      </w:r>
      <w:r w:rsidRPr="00810294">
        <w:rPr>
          <w:rFonts w:cstheme="minorHAnsi"/>
        </w:rPr>
        <w:t xml:space="preserve"> (262 males, 57 females).</w:t>
      </w:r>
      <w:r>
        <w:rPr>
          <w:rFonts w:cstheme="minorHAnsi"/>
        </w:rPr>
        <w:t xml:space="preserve"> </w:t>
      </w:r>
      <w:r w:rsidRPr="00810294">
        <w:rPr>
          <w:rFonts w:cstheme="minorHAnsi"/>
        </w:rPr>
        <w:t xml:space="preserve">The estimated total number of </w:t>
      </w:r>
      <w:r>
        <w:rPr>
          <w:rFonts w:cstheme="minorHAnsi"/>
        </w:rPr>
        <w:t xml:space="preserve">cases of </w:t>
      </w:r>
      <w:r w:rsidRPr="0077726B">
        <w:t>oesophag</w:t>
      </w:r>
      <w:r>
        <w:t>eal</w:t>
      </w:r>
      <w:r w:rsidRPr="0077726B">
        <w:t xml:space="preserve"> adenocarcinoma </w:t>
      </w:r>
      <w:r w:rsidRPr="00810294">
        <w:rPr>
          <w:rFonts w:cstheme="minorHAnsi"/>
        </w:rPr>
        <w:t>attributable to smoking in Ireland in 2022 was 123 (PAF 38.6%). Table</w:t>
      </w:r>
      <w:r w:rsidR="00945CBB">
        <w:rPr>
          <w:rFonts w:cstheme="minorHAnsi"/>
        </w:rPr>
        <w:t xml:space="preserve"> 8.1</w:t>
      </w:r>
      <w:r w:rsidRPr="00810294">
        <w:rPr>
          <w:rFonts w:cstheme="minorHAnsi"/>
        </w:rPr>
        <w:t xml:space="preserve"> presents the difference between male and female </w:t>
      </w:r>
      <w:r w:rsidRPr="0077726B">
        <w:t>oesophag</w:t>
      </w:r>
      <w:r>
        <w:t>eal</w:t>
      </w:r>
      <w:r w:rsidRPr="0077726B">
        <w:t xml:space="preserve"> adenocarcinoma </w:t>
      </w:r>
      <w:r w:rsidRPr="00810294">
        <w:rPr>
          <w:rFonts w:cstheme="minorHAnsi"/>
        </w:rPr>
        <w:t>incidence related to smoking. Males had a higher PAF than females, 39.8% vs 32.8%.</w:t>
      </w:r>
    </w:p>
    <w:p w14:paraId="7FF04FD4" w14:textId="77777777" w:rsidR="00392601" w:rsidRDefault="00392601" w:rsidP="00392601">
      <w:pPr>
        <w:spacing w:after="0" w:line="240" w:lineRule="auto"/>
        <w:rPr>
          <w:rFonts w:cstheme="minorHAnsi"/>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25"/>
        <w:gridCol w:w="2293"/>
        <w:gridCol w:w="2428"/>
        <w:gridCol w:w="2264"/>
      </w:tblGrid>
      <w:tr w:rsidR="00392601" w:rsidRPr="00810294" w14:paraId="6BAC6FB7" w14:textId="77777777" w:rsidTr="0041177B">
        <w:trPr>
          <w:trHeight w:val="300"/>
        </w:trPr>
        <w:tc>
          <w:tcPr>
            <w:tcW w:w="9010" w:type="dxa"/>
            <w:gridSpan w:val="4"/>
            <w:tcBorders>
              <w:top w:val="single" w:sz="6" w:space="0" w:color="auto"/>
              <w:left w:val="single" w:sz="6" w:space="0" w:color="auto"/>
              <w:bottom w:val="single" w:sz="6" w:space="0" w:color="auto"/>
              <w:right w:val="single" w:sz="6" w:space="0" w:color="auto"/>
            </w:tcBorders>
            <w:shd w:val="clear" w:color="auto" w:fill="002060"/>
            <w:hideMark/>
          </w:tcPr>
          <w:p w14:paraId="413364BD" w14:textId="51743C29" w:rsidR="00392601" w:rsidRPr="00810294" w:rsidRDefault="00392601" w:rsidP="0041177B">
            <w:pPr>
              <w:spacing w:after="0" w:line="240" w:lineRule="auto"/>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color w:val="FFFFFF"/>
                <w:kern w:val="0"/>
                <w:lang w:eastAsia="en-GB"/>
                <w14:ligatures w14:val="none"/>
              </w:rPr>
              <w:t xml:space="preserve">Table </w:t>
            </w:r>
            <w:r w:rsidR="00945CBB">
              <w:rPr>
                <w:rFonts w:ascii="Aptos" w:eastAsia="Times New Roman" w:hAnsi="Aptos" w:cs="Segoe UI"/>
                <w:color w:val="FFFFFF"/>
                <w:kern w:val="0"/>
                <w:lang w:eastAsia="en-GB"/>
                <w14:ligatures w14:val="none"/>
              </w:rPr>
              <w:t>8.1</w:t>
            </w:r>
            <w:r w:rsidRPr="00810294">
              <w:rPr>
                <w:rFonts w:ascii="Aptos" w:eastAsia="Times New Roman" w:hAnsi="Aptos" w:cs="Segoe UI"/>
                <w:color w:val="FFFFFF"/>
                <w:kern w:val="0"/>
                <w:lang w:eastAsia="en-GB"/>
                <w14:ligatures w14:val="none"/>
              </w:rPr>
              <w:t>: Population attributable fraction and attributable cases of oesophag</w:t>
            </w:r>
            <w:r>
              <w:rPr>
                <w:rFonts w:ascii="Aptos" w:eastAsia="Times New Roman" w:hAnsi="Aptos" w:cs="Segoe UI"/>
                <w:color w:val="FFFFFF"/>
                <w:kern w:val="0"/>
                <w:lang w:eastAsia="en-GB"/>
                <w14:ligatures w14:val="none"/>
              </w:rPr>
              <w:t>eal</w:t>
            </w:r>
            <w:r w:rsidRPr="00810294">
              <w:rPr>
                <w:rFonts w:ascii="Aptos" w:eastAsia="Times New Roman" w:hAnsi="Aptos" w:cs="Segoe UI"/>
                <w:color w:val="FFFFFF"/>
                <w:kern w:val="0"/>
                <w:lang w:eastAsia="en-GB"/>
                <w14:ligatures w14:val="none"/>
              </w:rPr>
              <w:t xml:space="preserve"> adenocarcinoma in 2022 </w:t>
            </w:r>
          </w:p>
        </w:tc>
      </w:tr>
      <w:tr w:rsidR="00392601" w:rsidRPr="00810294" w14:paraId="3E8B00DE" w14:textId="77777777" w:rsidTr="0041177B">
        <w:trPr>
          <w:trHeight w:val="300"/>
        </w:trPr>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51469D24" w14:textId="77777777" w:rsidR="00392601" w:rsidRPr="00810294" w:rsidRDefault="00392601" w:rsidP="0041177B">
            <w:pPr>
              <w:spacing w:after="0" w:line="240" w:lineRule="auto"/>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1D074A05"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Total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3BAF506C"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Males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4FAD1853"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Females </w:t>
            </w:r>
          </w:p>
        </w:tc>
      </w:tr>
      <w:tr w:rsidR="00392601" w:rsidRPr="00810294" w14:paraId="50B63D57" w14:textId="77777777" w:rsidTr="0041177B">
        <w:trPr>
          <w:trHeight w:val="300"/>
        </w:trPr>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5AD20E2" w14:textId="77777777" w:rsidR="00392601" w:rsidRPr="00810294" w:rsidRDefault="00392601" w:rsidP="0041177B">
            <w:pPr>
              <w:spacing w:after="0" w:line="240" w:lineRule="auto"/>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PAF (%)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0DD36EF2"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38.6 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035402AC"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39.8 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48F74245"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32.8 </w:t>
            </w:r>
          </w:p>
        </w:tc>
      </w:tr>
      <w:tr w:rsidR="006E176E" w:rsidRPr="00810294" w14:paraId="12A842E6" w14:textId="77777777" w:rsidTr="0041177B">
        <w:trPr>
          <w:trHeight w:val="300"/>
        </w:trPr>
        <w:tc>
          <w:tcPr>
            <w:tcW w:w="2025" w:type="dxa"/>
            <w:tcBorders>
              <w:top w:val="single" w:sz="6" w:space="0" w:color="auto"/>
              <w:left w:val="single" w:sz="6" w:space="0" w:color="auto"/>
              <w:bottom w:val="single" w:sz="6" w:space="0" w:color="auto"/>
              <w:right w:val="single" w:sz="6" w:space="0" w:color="auto"/>
            </w:tcBorders>
            <w:shd w:val="clear" w:color="auto" w:fill="auto"/>
          </w:tcPr>
          <w:p w14:paraId="36777CF5" w14:textId="1AE9ED0E" w:rsidR="006E176E" w:rsidRPr="00810294" w:rsidRDefault="006E176E" w:rsidP="0041177B">
            <w:pPr>
              <w:spacing w:after="0" w:line="240" w:lineRule="auto"/>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Total cases</w:t>
            </w:r>
          </w:p>
        </w:tc>
        <w:tc>
          <w:tcPr>
            <w:tcW w:w="2293" w:type="dxa"/>
            <w:tcBorders>
              <w:top w:val="single" w:sz="6" w:space="0" w:color="auto"/>
              <w:left w:val="single" w:sz="6" w:space="0" w:color="auto"/>
              <w:bottom w:val="single" w:sz="6" w:space="0" w:color="auto"/>
              <w:right w:val="single" w:sz="6" w:space="0" w:color="auto"/>
            </w:tcBorders>
            <w:shd w:val="clear" w:color="auto" w:fill="auto"/>
          </w:tcPr>
          <w:p w14:paraId="2101998C" w14:textId="72BD9E29" w:rsidR="006E176E" w:rsidRPr="00810294" w:rsidRDefault="006E176E"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319</w:t>
            </w:r>
          </w:p>
        </w:tc>
        <w:tc>
          <w:tcPr>
            <w:tcW w:w="2428" w:type="dxa"/>
            <w:tcBorders>
              <w:top w:val="single" w:sz="6" w:space="0" w:color="auto"/>
              <w:left w:val="single" w:sz="6" w:space="0" w:color="auto"/>
              <w:bottom w:val="single" w:sz="6" w:space="0" w:color="auto"/>
              <w:right w:val="single" w:sz="6" w:space="0" w:color="auto"/>
            </w:tcBorders>
            <w:shd w:val="clear" w:color="auto" w:fill="auto"/>
          </w:tcPr>
          <w:p w14:paraId="556C61D4" w14:textId="5E44C0F0" w:rsidR="006E176E" w:rsidRPr="00810294" w:rsidRDefault="0051660E"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262</w:t>
            </w:r>
          </w:p>
        </w:tc>
        <w:tc>
          <w:tcPr>
            <w:tcW w:w="2264" w:type="dxa"/>
            <w:tcBorders>
              <w:top w:val="single" w:sz="6" w:space="0" w:color="auto"/>
              <w:left w:val="single" w:sz="6" w:space="0" w:color="auto"/>
              <w:bottom w:val="single" w:sz="6" w:space="0" w:color="auto"/>
              <w:right w:val="single" w:sz="6" w:space="0" w:color="auto"/>
            </w:tcBorders>
            <w:shd w:val="clear" w:color="auto" w:fill="auto"/>
          </w:tcPr>
          <w:p w14:paraId="39F1F747" w14:textId="4AC543F0" w:rsidR="006E176E" w:rsidRPr="00810294" w:rsidRDefault="0051660E"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57</w:t>
            </w:r>
          </w:p>
        </w:tc>
      </w:tr>
      <w:tr w:rsidR="00392601" w:rsidRPr="00810294" w14:paraId="50E772D5" w14:textId="77777777" w:rsidTr="0041177B">
        <w:trPr>
          <w:trHeight w:val="300"/>
        </w:trPr>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A5C0F24" w14:textId="77777777" w:rsidR="00392601" w:rsidRPr="00810294" w:rsidRDefault="00392601" w:rsidP="0041177B">
            <w:pPr>
              <w:spacing w:after="0" w:line="240" w:lineRule="auto"/>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Attributable cases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38BDBE6E"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123 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623F6098"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104 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346990DE"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19 </w:t>
            </w:r>
          </w:p>
        </w:tc>
      </w:tr>
    </w:tbl>
    <w:p w14:paraId="5A2D3B94" w14:textId="77777777" w:rsidR="00392601" w:rsidRPr="005648D7" w:rsidRDefault="00392601" w:rsidP="00392601">
      <w:pPr>
        <w:spacing w:after="0" w:line="240" w:lineRule="auto"/>
        <w:rPr>
          <w:rFonts w:cstheme="minorHAnsi"/>
          <w:highlight w:val="yellow"/>
        </w:rPr>
      </w:pPr>
    </w:p>
    <w:p w14:paraId="145393AE" w14:textId="77777777" w:rsidR="00392601" w:rsidRDefault="00392601" w:rsidP="00392601">
      <w:pPr>
        <w:spacing w:after="0" w:line="240" w:lineRule="auto"/>
        <w:rPr>
          <w:rFonts w:cstheme="minorHAnsi"/>
          <w:b/>
          <w:bCs/>
          <w:highlight w:val="yellow"/>
        </w:rPr>
        <w:sectPr w:rsidR="00392601" w:rsidSect="002746C0">
          <w:pgSz w:w="11906" w:h="16838"/>
          <w:pgMar w:top="1440" w:right="1440" w:bottom="1440" w:left="1440" w:header="708" w:footer="708" w:gutter="0"/>
          <w:cols w:space="708"/>
          <w:docGrid w:linePitch="360"/>
        </w:sectPr>
      </w:pPr>
    </w:p>
    <w:p w14:paraId="655537CD" w14:textId="6E814900" w:rsidR="00392601" w:rsidRDefault="00392601" w:rsidP="00392601">
      <w:pPr>
        <w:pStyle w:val="Heading2"/>
        <w:spacing w:before="0" w:after="0" w:line="240" w:lineRule="auto"/>
      </w:pPr>
      <w:bookmarkStart w:id="141" w:name="_Toc201512469"/>
      <w:bookmarkStart w:id="142" w:name="_Toc197557075"/>
      <w:r>
        <w:t>Oesophagus (squamous cell)</w:t>
      </w:r>
      <w:bookmarkEnd w:id="141"/>
      <w:r>
        <w:tab/>
      </w:r>
      <w:bookmarkEnd w:id="142"/>
    </w:p>
    <w:p w14:paraId="114A9927" w14:textId="77777777" w:rsidR="00392601" w:rsidRPr="00576F9E" w:rsidRDefault="00392601" w:rsidP="00286FD6">
      <w:pPr>
        <w:pStyle w:val="Subtitle"/>
        <w:spacing w:after="0" w:line="240" w:lineRule="auto"/>
        <w:rPr>
          <w:rStyle w:val="Emphasis"/>
          <w:rFonts w:cstheme="minorHAnsi"/>
          <w:sz w:val="24"/>
          <w:szCs w:val="24"/>
        </w:rPr>
      </w:pPr>
      <w:r w:rsidRPr="00576F9E">
        <w:rPr>
          <w:rStyle w:val="Emphasis"/>
          <w:rFonts w:cstheme="minorHAnsi"/>
          <w:sz w:val="24"/>
          <w:szCs w:val="24"/>
        </w:rPr>
        <w:t>Incidence</w:t>
      </w:r>
    </w:p>
    <w:p w14:paraId="01D6EB6A" w14:textId="64A35033" w:rsidR="00392601" w:rsidRDefault="00392601" w:rsidP="00286FD6">
      <w:pPr>
        <w:pStyle w:val="ListParagraph"/>
        <w:numPr>
          <w:ilvl w:val="0"/>
          <w:numId w:val="20"/>
        </w:numPr>
        <w:spacing w:after="0" w:line="240" w:lineRule="auto"/>
        <w:jc w:val="both"/>
        <w:rPr>
          <w:rStyle w:val="Emphasis"/>
          <w:rFonts w:cstheme="minorHAnsi"/>
          <w:i w:val="0"/>
          <w:iCs w:val="0"/>
        </w:rPr>
      </w:pPr>
      <w:r w:rsidRPr="00576F9E">
        <w:rPr>
          <w:rStyle w:val="Emphasis"/>
          <w:rFonts w:cstheme="minorHAnsi"/>
          <w:i w:val="0"/>
          <w:iCs w:val="0"/>
        </w:rPr>
        <w:t xml:space="preserve">Across the period </w:t>
      </w:r>
      <w:r w:rsidR="00286FD6">
        <w:rPr>
          <w:rStyle w:val="Emphasis"/>
          <w:rFonts w:cstheme="minorHAnsi"/>
          <w:i w:val="0"/>
          <w:iCs w:val="0"/>
        </w:rPr>
        <w:t xml:space="preserve">1994-2022 </w:t>
      </w:r>
      <w:r>
        <w:rPr>
          <w:rStyle w:val="Emphasis"/>
          <w:rFonts w:cstheme="minorHAnsi"/>
          <w:i w:val="0"/>
          <w:iCs w:val="0"/>
        </w:rPr>
        <w:t xml:space="preserve">there was no </w:t>
      </w:r>
      <w:r w:rsidR="00286FD6">
        <w:rPr>
          <w:rStyle w:val="Emphasis"/>
          <w:rFonts w:cstheme="minorHAnsi"/>
          <w:i w:val="0"/>
          <w:iCs w:val="0"/>
        </w:rPr>
        <w:t>significant</w:t>
      </w:r>
      <w:r>
        <w:rPr>
          <w:rStyle w:val="Emphasis"/>
          <w:rFonts w:cstheme="minorHAnsi"/>
          <w:i w:val="0"/>
          <w:iCs w:val="0"/>
        </w:rPr>
        <w:t xml:space="preserve"> change in incidence </w:t>
      </w:r>
      <w:r w:rsidR="00286FD6">
        <w:rPr>
          <w:rStyle w:val="Emphasis"/>
          <w:rFonts w:cstheme="minorHAnsi"/>
          <w:i w:val="0"/>
          <w:iCs w:val="0"/>
        </w:rPr>
        <w:t xml:space="preserve">rates </w:t>
      </w:r>
      <w:r>
        <w:rPr>
          <w:rStyle w:val="Emphasis"/>
          <w:rFonts w:cstheme="minorHAnsi"/>
          <w:i w:val="0"/>
          <w:iCs w:val="0"/>
        </w:rPr>
        <w:t>in males.</w:t>
      </w:r>
    </w:p>
    <w:p w14:paraId="2D11FE47" w14:textId="4B24BFE8" w:rsidR="00392601" w:rsidRDefault="00392601" w:rsidP="00286FD6">
      <w:pPr>
        <w:pStyle w:val="ListParagraph"/>
        <w:numPr>
          <w:ilvl w:val="0"/>
          <w:numId w:val="20"/>
        </w:numPr>
        <w:spacing w:after="0" w:line="240" w:lineRule="auto"/>
        <w:jc w:val="both"/>
        <w:rPr>
          <w:rStyle w:val="Emphasis"/>
          <w:rFonts w:cstheme="minorHAnsi"/>
          <w:i w:val="0"/>
          <w:iCs w:val="0"/>
        </w:rPr>
      </w:pPr>
      <w:r w:rsidRPr="00576F9E">
        <w:rPr>
          <w:rStyle w:val="Emphasis"/>
          <w:rFonts w:cstheme="minorHAnsi"/>
          <w:i w:val="0"/>
          <w:iCs w:val="0"/>
        </w:rPr>
        <w:t>Across the period</w:t>
      </w:r>
      <w:r w:rsidR="00286FD6">
        <w:rPr>
          <w:rStyle w:val="Emphasis"/>
          <w:rFonts w:cstheme="minorHAnsi"/>
          <w:i w:val="0"/>
          <w:iCs w:val="0"/>
        </w:rPr>
        <w:t xml:space="preserve"> 1994-2022, incidence</w:t>
      </w:r>
      <w:r w:rsidRPr="00576F9E">
        <w:rPr>
          <w:rStyle w:val="Emphasis"/>
          <w:rFonts w:cstheme="minorHAnsi"/>
          <w:i w:val="0"/>
          <w:iCs w:val="0"/>
        </w:rPr>
        <w:t xml:space="preserve"> rates </w:t>
      </w:r>
      <w:r w:rsidR="00286FD6">
        <w:rPr>
          <w:rStyle w:val="Emphasis"/>
          <w:rFonts w:cstheme="minorHAnsi"/>
          <w:i w:val="0"/>
          <w:iCs w:val="0"/>
        </w:rPr>
        <w:t>de</w:t>
      </w:r>
      <w:r w:rsidRPr="00576F9E">
        <w:rPr>
          <w:rStyle w:val="Emphasis"/>
          <w:rFonts w:cstheme="minorHAnsi"/>
          <w:i w:val="0"/>
          <w:iCs w:val="0"/>
        </w:rPr>
        <w:t>creased steadily</w:t>
      </w:r>
      <w:r w:rsidR="00861FA5">
        <w:rPr>
          <w:rStyle w:val="Emphasis"/>
          <w:rFonts w:cstheme="minorHAnsi"/>
          <w:i w:val="0"/>
          <w:iCs w:val="0"/>
        </w:rPr>
        <w:t xml:space="preserve"> </w:t>
      </w:r>
      <w:r w:rsidRPr="00576F9E">
        <w:rPr>
          <w:rStyle w:val="Emphasis"/>
          <w:rFonts w:cstheme="minorHAnsi"/>
          <w:i w:val="0"/>
          <w:iCs w:val="0"/>
        </w:rPr>
        <w:t xml:space="preserve">by </w:t>
      </w:r>
      <w:r w:rsidR="00286FD6">
        <w:rPr>
          <w:rFonts w:cstheme="minorHAnsi"/>
        </w:rPr>
        <w:t>-</w:t>
      </w:r>
      <w:r w:rsidR="00286FD6" w:rsidRPr="00DF0207">
        <w:rPr>
          <w:rFonts w:cstheme="minorHAnsi"/>
        </w:rPr>
        <w:t>0.8% per year (95%CI -1.3; -0.4)</w:t>
      </w:r>
      <w:r w:rsidR="00286FD6">
        <w:rPr>
          <w:rFonts w:cstheme="minorHAnsi"/>
        </w:rPr>
        <w:t xml:space="preserve"> </w:t>
      </w:r>
      <w:r>
        <w:rPr>
          <w:rStyle w:val="Emphasis"/>
          <w:rFonts w:cstheme="minorHAnsi"/>
          <w:i w:val="0"/>
          <w:iCs w:val="0"/>
        </w:rPr>
        <w:t xml:space="preserve">in </w:t>
      </w:r>
      <w:r w:rsidR="00286FD6">
        <w:rPr>
          <w:rStyle w:val="Emphasis"/>
          <w:rFonts w:cstheme="minorHAnsi"/>
          <w:i w:val="0"/>
          <w:iCs w:val="0"/>
        </w:rPr>
        <w:t>females.</w:t>
      </w:r>
    </w:p>
    <w:p w14:paraId="76A7A55D" w14:textId="77777777" w:rsidR="008D1012" w:rsidRPr="008D1012" w:rsidRDefault="008D1012" w:rsidP="00286FD6">
      <w:pPr>
        <w:pStyle w:val="ListParagraph"/>
        <w:numPr>
          <w:ilvl w:val="0"/>
          <w:numId w:val="20"/>
        </w:numPr>
        <w:spacing w:after="0" w:line="240" w:lineRule="auto"/>
        <w:rPr>
          <w:rStyle w:val="Emphasis"/>
          <w:rFonts w:cstheme="minorHAnsi"/>
          <w:i w:val="0"/>
          <w:iCs w:val="0"/>
        </w:rPr>
      </w:pPr>
      <w:r w:rsidRPr="008D1012">
        <w:rPr>
          <w:rStyle w:val="Emphasis"/>
          <w:rFonts w:cstheme="minorHAnsi"/>
          <w:i w:val="0"/>
          <w:iCs w:val="0"/>
        </w:rPr>
        <w:t>Incidence rates in the diagnosis period 2014-2018 were similar across deprivation quintiles.</w:t>
      </w:r>
    </w:p>
    <w:p w14:paraId="18EB542E" w14:textId="77777777" w:rsidR="00392601" w:rsidRDefault="00392601" w:rsidP="00286FD6">
      <w:pPr>
        <w:pStyle w:val="Subtitle"/>
        <w:spacing w:after="0" w:line="240" w:lineRule="auto"/>
        <w:rPr>
          <w:rStyle w:val="Emphasis"/>
          <w:rFonts w:cstheme="minorHAnsi"/>
          <w:sz w:val="24"/>
          <w:szCs w:val="24"/>
        </w:rPr>
      </w:pPr>
      <w:r w:rsidRPr="00576F9E">
        <w:rPr>
          <w:rStyle w:val="Emphasis"/>
          <w:rFonts w:cstheme="minorHAnsi"/>
          <w:sz w:val="24"/>
          <w:szCs w:val="24"/>
        </w:rPr>
        <w:t>Survival</w:t>
      </w:r>
    </w:p>
    <w:p w14:paraId="170935F7" w14:textId="4C2BFD39" w:rsidR="00392601" w:rsidRDefault="00392601" w:rsidP="00286FD6">
      <w:pPr>
        <w:pStyle w:val="ListParagraph"/>
        <w:numPr>
          <w:ilvl w:val="0"/>
          <w:numId w:val="21"/>
        </w:numPr>
        <w:spacing w:after="0" w:line="240" w:lineRule="auto"/>
      </w:pPr>
      <w:r w:rsidRPr="00576F9E">
        <w:t>5-year net survival</w:t>
      </w:r>
      <w:r>
        <w:t xml:space="preserve"> </w:t>
      </w:r>
      <w:r w:rsidRPr="00576F9E">
        <w:t>was 22% for cases diagnosed during 2019-2022.</w:t>
      </w:r>
    </w:p>
    <w:p w14:paraId="5768029F" w14:textId="77777777" w:rsidR="00392601" w:rsidRDefault="00392601" w:rsidP="00286FD6">
      <w:pPr>
        <w:pStyle w:val="Subtitle"/>
        <w:numPr>
          <w:ilvl w:val="0"/>
          <w:numId w:val="0"/>
        </w:numPr>
        <w:spacing w:after="0" w:line="240" w:lineRule="auto"/>
      </w:pPr>
      <w:r>
        <w:rPr>
          <w:rStyle w:val="Emphasis"/>
          <w:rFonts w:cstheme="minorHAnsi"/>
          <w:sz w:val="24"/>
          <w:szCs w:val="24"/>
        </w:rPr>
        <w:t xml:space="preserve">Mortality </w:t>
      </w:r>
    </w:p>
    <w:p w14:paraId="3849F109" w14:textId="77777777" w:rsidR="00F52D16" w:rsidRDefault="007A1D5E" w:rsidP="00286FD6">
      <w:pPr>
        <w:pStyle w:val="Subtitle"/>
        <w:numPr>
          <w:ilvl w:val="0"/>
          <w:numId w:val="21"/>
        </w:numPr>
        <w:spacing w:after="0" w:line="240" w:lineRule="auto"/>
        <w:rPr>
          <w:rFonts w:eastAsia="Calibri" w:cstheme="minorHAnsi"/>
          <w:color w:val="000000" w:themeColor="text1"/>
        </w:rPr>
      </w:pPr>
      <w:r w:rsidRPr="00F52D16">
        <w:rPr>
          <w:rFonts w:eastAsiaTheme="minorHAnsi" w:cstheme="minorBidi"/>
          <w:color w:val="auto"/>
          <w:spacing w:val="0"/>
          <w:sz w:val="24"/>
          <w:szCs w:val="24"/>
        </w:rPr>
        <w:t>CSO mortality data does not provide mortality figures at the tumour morphological level therefore mortality trends are not presented</w:t>
      </w:r>
      <w:r>
        <w:rPr>
          <w:rFonts w:eastAsia="Calibri" w:cstheme="minorHAnsi"/>
          <w:color w:val="000000" w:themeColor="text1"/>
        </w:rPr>
        <w:t xml:space="preserve">. </w:t>
      </w:r>
    </w:p>
    <w:p w14:paraId="517C0E4A" w14:textId="0836C5AB" w:rsidR="00392601" w:rsidRPr="00576F9E" w:rsidRDefault="00392601" w:rsidP="00286FD6">
      <w:pPr>
        <w:pStyle w:val="Subtitle"/>
        <w:spacing w:after="0" w:line="240" w:lineRule="auto"/>
        <w:rPr>
          <w:rStyle w:val="Emphasis"/>
          <w:rFonts w:eastAsiaTheme="minorHAnsi" w:cstheme="minorHAnsi"/>
          <w:color w:val="auto"/>
          <w:spacing w:val="0"/>
          <w:sz w:val="24"/>
          <w:szCs w:val="24"/>
        </w:rPr>
      </w:pPr>
      <w:r w:rsidRPr="00576F9E">
        <w:rPr>
          <w:rStyle w:val="Emphasis"/>
          <w:rFonts w:cstheme="minorHAnsi"/>
          <w:sz w:val="24"/>
          <w:szCs w:val="24"/>
        </w:rPr>
        <w:t>Population attributable fraction</w:t>
      </w:r>
    </w:p>
    <w:p w14:paraId="1F3D08D2" w14:textId="77777777" w:rsidR="00392601" w:rsidRDefault="00392601" w:rsidP="00286FD6">
      <w:pPr>
        <w:pStyle w:val="ListParagraph"/>
        <w:numPr>
          <w:ilvl w:val="0"/>
          <w:numId w:val="21"/>
        </w:numPr>
        <w:spacing w:after="0" w:line="240" w:lineRule="auto"/>
      </w:pPr>
      <w:r w:rsidRPr="00576F9E">
        <w:t xml:space="preserve">The estimated total number of </w:t>
      </w:r>
      <w:r>
        <w:t xml:space="preserve">cases of </w:t>
      </w:r>
      <w:r w:rsidRPr="00576F9E">
        <w:rPr>
          <w:rStyle w:val="Emphasis"/>
          <w:rFonts w:cstheme="minorHAnsi"/>
          <w:i w:val="0"/>
          <w:iCs w:val="0"/>
        </w:rPr>
        <w:t>oesophag</w:t>
      </w:r>
      <w:r>
        <w:rPr>
          <w:rStyle w:val="Emphasis"/>
          <w:rFonts w:cstheme="minorHAnsi"/>
          <w:i w:val="0"/>
          <w:iCs w:val="0"/>
        </w:rPr>
        <w:t>eal</w:t>
      </w:r>
      <w:r w:rsidRPr="00576F9E">
        <w:rPr>
          <w:rStyle w:val="Emphasis"/>
          <w:rFonts w:cstheme="minorHAnsi"/>
          <w:i w:val="0"/>
          <w:iCs w:val="0"/>
        </w:rPr>
        <w:t xml:space="preserve"> squamous cell carcinoma </w:t>
      </w:r>
      <w:r w:rsidRPr="00576F9E">
        <w:t>attributable to smoking in Ireland in 2022 was 75 (PAF 38%).</w:t>
      </w:r>
    </w:p>
    <w:p w14:paraId="1B6FFE12" w14:textId="77777777" w:rsidR="00392601" w:rsidRDefault="00392601" w:rsidP="006C1190">
      <w:pPr>
        <w:pStyle w:val="ListParagraph"/>
        <w:numPr>
          <w:ilvl w:val="0"/>
          <w:numId w:val="21"/>
        </w:numPr>
        <w:spacing w:after="0" w:line="240" w:lineRule="auto"/>
        <w:sectPr w:rsidR="00392601" w:rsidSect="002746C0">
          <w:pgSz w:w="11906" w:h="16838"/>
          <w:pgMar w:top="1440" w:right="1440" w:bottom="1440" w:left="1440" w:header="708" w:footer="708" w:gutter="0"/>
          <w:cols w:space="708"/>
          <w:docGrid w:linePitch="360"/>
        </w:sectPr>
      </w:pPr>
    </w:p>
    <w:p w14:paraId="3272AAE4" w14:textId="77777777" w:rsidR="00392601" w:rsidRDefault="00392601" w:rsidP="00392601">
      <w:pPr>
        <w:pStyle w:val="Heading3"/>
        <w:spacing w:before="0" w:after="0" w:line="240" w:lineRule="auto"/>
      </w:pPr>
      <w:bookmarkStart w:id="143" w:name="_Toc197557076"/>
      <w:bookmarkStart w:id="144" w:name="_Toc201512470"/>
      <w:r>
        <w:t>Incidence</w:t>
      </w:r>
      <w:bookmarkEnd w:id="143"/>
      <w:bookmarkEnd w:id="144"/>
    </w:p>
    <w:p w14:paraId="7412C910" w14:textId="07A84092" w:rsidR="00392601" w:rsidRDefault="00392601" w:rsidP="00392601">
      <w:pPr>
        <w:spacing w:after="0" w:line="240" w:lineRule="auto"/>
        <w:rPr>
          <w:rFonts w:cstheme="minorHAnsi"/>
        </w:rPr>
      </w:pPr>
      <w:r>
        <w:t>Between</w:t>
      </w:r>
      <w:r w:rsidRPr="00C25AB5">
        <w:t xml:space="preserve"> 1994-2022, 4,467 cases of </w:t>
      </w:r>
      <w:r w:rsidRPr="00576F9E">
        <w:rPr>
          <w:rStyle w:val="Emphasis"/>
          <w:rFonts w:cstheme="minorHAnsi"/>
          <w:i w:val="0"/>
          <w:iCs w:val="0"/>
        </w:rPr>
        <w:t>oesophag</w:t>
      </w:r>
      <w:r>
        <w:rPr>
          <w:rStyle w:val="Emphasis"/>
          <w:rFonts w:cstheme="minorHAnsi"/>
          <w:i w:val="0"/>
          <w:iCs w:val="0"/>
        </w:rPr>
        <w:t>eal</w:t>
      </w:r>
      <w:r w:rsidRPr="00576F9E">
        <w:rPr>
          <w:rStyle w:val="Emphasis"/>
          <w:rFonts w:cstheme="minorHAnsi"/>
          <w:i w:val="0"/>
          <w:iCs w:val="0"/>
        </w:rPr>
        <w:t xml:space="preserve"> squamous cell carcinoma </w:t>
      </w:r>
      <w:r>
        <w:t xml:space="preserve">were </w:t>
      </w:r>
      <w:r w:rsidRPr="00C25AB5">
        <w:t xml:space="preserve">reported (2,227 </w:t>
      </w:r>
      <w:r>
        <w:t>m</w:t>
      </w:r>
      <w:r w:rsidRPr="00C25AB5">
        <w:t xml:space="preserve">ales, 2,240 </w:t>
      </w:r>
      <w:r>
        <w:t>f</w:t>
      </w:r>
      <w:r w:rsidRPr="00C25AB5">
        <w:t>emales). The median age at diagnosis was 69 years (</w:t>
      </w:r>
      <w:r>
        <w:t xml:space="preserve">IQR: </w:t>
      </w:r>
      <w:r w:rsidRPr="00C25AB5">
        <w:t xml:space="preserve">61-76) for males and 74 </w:t>
      </w:r>
      <w:r>
        <w:t xml:space="preserve">years </w:t>
      </w:r>
      <w:r w:rsidRPr="00C25AB5">
        <w:t>(</w:t>
      </w:r>
      <w:r>
        <w:t xml:space="preserve">IQR: </w:t>
      </w:r>
      <w:r w:rsidRPr="00C25AB5">
        <w:t>64-81) for females.</w:t>
      </w:r>
      <w:r>
        <w:t xml:space="preserve"> </w:t>
      </w:r>
      <w:r w:rsidRPr="00C25AB5">
        <w:rPr>
          <w:rFonts w:cstheme="minorHAnsi"/>
        </w:rPr>
        <w:t xml:space="preserve">Age-standardised incidence rates of </w:t>
      </w:r>
      <w:r w:rsidRPr="00DF0207">
        <w:rPr>
          <w:rFonts w:cstheme="minorHAnsi"/>
        </w:rPr>
        <w:t>oesophag</w:t>
      </w:r>
      <w:r>
        <w:rPr>
          <w:rFonts w:cstheme="minorHAnsi"/>
        </w:rPr>
        <w:t>eal</w:t>
      </w:r>
      <w:r w:rsidRPr="00DF0207">
        <w:rPr>
          <w:rFonts w:cstheme="minorHAnsi"/>
        </w:rPr>
        <w:t xml:space="preserve"> squamous cell carcinoma </w:t>
      </w:r>
      <w:r w:rsidR="00286FD6">
        <w:rPr>
          <w:rFonts w:cstheme="minorHAnsi"/>
        </w:rPr>
        <w:t>during the period</w:t>
      </w:r>
      <w:r w:rsidRPr="00C25AB5">
        <w:rPr>
          <w:rFonts w:cstheme="minorHAnsi"/>
        </w:rPr>
        <w:t xml:space="preserve"> 1994-2022 were 5.7 cases per 100,000 males and 5.0 cases per 100,000 females per year. Figure </w:t>
      </w:r>
      <w:r w:rsidR="008D2536">
        <w:rPr>
          <w:rFonts w:cstheme="minorHAnsi"/>
        </w:rPr>
        <w:t>8.5</w:t>
      </w:r>
      <w:r w:rsidRPr="00C25AB5">
        <w:rPr>
          <w:rFonts w:cstheme="minorHAnsi"/>
        </w:rPr>
        <w:t xml:space="preserve"> breaks this down further by sex and age group.</w:t>
      </w:r>
    </w:p>
    <w:p w14:paraId="0FB85BA8" w14:textId="77777777" w:rsidR="00392601" w:rsidRPr="00C25AB5" w:rsidRDefault="00392601" w:rsidP="00392601">
      <w:pPr>
        <w:spacing w:after="0" w:line="240" w:lineRule="auto"/>
        <w:rPr>
          <w:rFonts w:cstheme="minorHAnsi"/>
        </w:rPr>
      </w:pPr>
    </w:p>
    <w:tbl>
      <w:tblPr>
        <w:tblStyle w:val="TableGrid"/>
        <w:tblW w:w="9782" w:type="dxa"/>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4"/>
        <w:gridCol w:w="3259"/>
        <w:gridCol w:w="3589"/>
      </w:tblGrid>
      <w:tr w:rsidR="00392601" w:rsidRPr="00191989" w14:paraId="72417B2B" w14:textId="77777777" w:rsidTr="0041177B">
        <w:trPr>
          <w:trHeight w:val="113"/>
        </w:trPr>
        <w:tc>
          <w:tcPr>
            <w:tcW w:w="9782" w:type="dxa"/>
            <w:gridSpan w:val="3"/>
            <w:shd w:val="clear" w:color="auto" w:fill="002060"/>
            <w:hideMark/>
          </w:tcPr>
          <w:p w14:paraId="2EA104CA" w14:textId="4C3823D2" w:rsidR="00392601" w:rsidRPr="008D2536" w:rsidRDefault="00392601" w:rsidP="0041177B">
            <w:pPr>
              <w:rPr>
                <w:rFonts w:asciiTheme="minorHAnsi" w:hAnsiTheme="minorHAnsi" w:cstheme="minorHAnsi"/>
                <w:b/>
                <w:bCs/>
                <w:color w:val="FFFFFF" w:themeColor="background1"/>
              </w:rPr>
            </w:pPr>
            <w:r w:rsidRPr="008D2536">
              <w:rPr>
                <w:rFonts w:asciiTheme="minorHAnsi" w:hAnsiTheme="minorHAnsi" w:cstheme="minorHAnsi"/>
                <w:b/>
                <w:bCs/>
                <w:color w:val="FFFFFF" w:themeColor="background1"/>
              </w:rPr>
              <w:t xml:space="preserve">Figure </w:t>
            </w:r>
            <w:r w:rsidR="008D2536" w:rsidRPr="008D2536">
              <w:rPr>
                <w:rFonts w:asciiTheme="minorHAnsi" w:hAnsiTheme="minorHAnsi" w:cstheme="minorHAnsi"/>
                <w:b/>
                <w:bCs/>
                <w:color w:val="FFFFFF" w:themeColor="background1"/>
              </w:rPr>
              <w:t>8.5</w:t>
            </w:r>
            <w:r w:rsidR="008D2536">
              <w:rPr>
                <w:rFonts w:asciiTheme="minorHAnsi" w:hAnsiTheme="minorHAnsi" w:cstheme="minorHAnsi"/>
                <w:b/>
                <w:bCs/>
                <w:color w:val="FFFFFF" w:themeColor="background1"/>
              </w:rPr>
              <w:t xml:space="preserve">: </w:t>
            </w:r>
            <w:r w:rsidRPr="008D2536">
              <w:rPr>
                <w:rFonts w:asciiTheme="minorHAnsi" w:hAnsiTheme="minorHAnsi" w:cstheme="minorHAnsi"/>
                <w:b/>
                <w:bCs/>
                <w:color w:val="FFFFFF" w:themeColor="background1"/>
              </w:rPr>
              <w:t xml:space="preserve">Incidence rate (per 100,000) for </w:t>
            </w:r>
            <w:r w:rsidRPr="008D2536">
              <w:rPr>
                <w:rStyle w:val="Emphasis"/>
                <w:rFonts w:asciiTheme="minorHAnsi" w:hAnsiTheme="minorHAnsi" w:cstheme="minorHAnsi"/>
                <w:b/>
                <w:bCs/>
                <w:i w:val="0"/>
                <w:iCs w:val="0"/>
              </w:rPr>
              <w:t xml:space="preserve">oesophageal squamous cell carcinoma </w:t>
            </w:r>
            <w:r w:rsidRPr="008D2536">
              <w:rPr>
                <w:rFonts w:asciiTheme="minorHAnsi" w:hAnsiTheme="minorHAnsi" w:cstheme="minorHAnsi"/>
                <w:b/>
                <w:bCs/>
                <w:color w:val="FFFFFF" w:themeColor="background1"/>
              </w:rPr>
              <w:t xml:space="preserve">by </w:t>
            </w:r>
            <w:r w:rsidR="00366242">
              <w:rPr>
                <w:rFonts w:asciiTheme="minorHAnsi" w:hAnsiTheme="minorHAnsi" w:cstheme="minorHAnsi"/>
                <w:b/>
                <w:bCs/>
                <w:color w:val="FFFFFF" w:themeColor="background1"/>
              </w:rPr>
              <w:t>age group</w:t>
            </w:r>
            <w:r w:rsidRPr="008D2536">
              <w:rPr>
                <w:rFonts w:asciiTheme="minorHAnsi" w:hAnsiTheme="minorHAnsi" w:cstheme="minorHAnsi"/>
                <w:b/>
                <w:bCs/>
                <w:color w:val="FFFFFF" w:themeColor="background1"/>
              </w:rPr>
              <w:t>,1994-2022</w:t>
            </w:r>
          </w:p>
        </w:tc>
      </w:tr>
      <w:tr w:rsidR="00392601" w:rsidRPr="00191989" w14:paraId="4451CBAD" w14:textId="77777777" w:rsidTr="0041177B">
        <w:trPr>
          <w:trHeight w:val="113"/>
        </w:trPr>
        <w:tc>
          <w:tcPr>
            <w:tcW w:w="2934" w:type="dxa"/>
            <w:hideMark/>
          </w:tcPr>
          <w:p w14:paraId="551F0CE4" w14:textId="77777777" w:rsidR="00392601" w:rsidRPr="00191989" w:rsidRDefault="00392601" w:rsidP="0041177B">
            <w:pPr>
              <w:jc w:val="center"/>
              <w:rPr>
                <w:rFonts w:asciiTheme="minorHAnsi" w:hAnsiTheme="minorHAnsi" w:cstheme="minorHAnsi"/>
                <w:color w:val="000000" w:themeColor="text1"/>
              </w:rPr>
            </w:pPr>
            <w:r w:rsidRPr="00191989">
              <w:rPr>
                <w:rFonts w:asciiTheme="minorHAnsi" w:hAnsiTheme="minorHAnsi" w:cstheme="minorHAnsi"/>
                <w:color w:val="000000" w:themeColor="text1"/>
              </w:rPr>
              <w:t>Total</w:t>
            </w:r>
          </w:p>
        </w:tc>
        <w:tc>
          <w:tcPr>
            <w:tcW w:w="3259" w:type="dxa"/>
          </w:tcPr>
          <w:p w14:paraId="233E72CD" w14:textId="77777777" w:rsidR="00392601" w:rsidRPr="00191989" w:rsidRDefault="00392601" w:rsidP="0041177B">
            <w:pPr>
              <w:jc w:val="center"/>
              <w:rPr>
                <w:rFonts w:asciiTheme="minorHAnsi" w:hAnsiTheme="minorHAnsi" w:cstheme="minorHAnsi"/>
                <w:color w:val="000000" w:themeColor="text1"/>
              </w:rPr>
            </w:pPr>
            <w:r w:rsidRPr="00191989">
              <w:rPr>
                <w:rFonts w:asciiTheme="minorHAnsi" w:hAnsiTheme="minorHAnsi" w:cstheme="minorHAnsi"/>
                <w:color w:val="000000" w:themeColor="text1"/>
              </w:rPr>
              <w:t>Males</w:t>
            </w:r>
          </w:p>
        </w:tc>
        <w:tc>
          <w:tcPr>
            <w:tcW w:w="3589" w:type="dxa"/>
          </w:tcPr>
          <w:p w14:paraId="2DC6F27F" w14:textId="77777777" w:rsidR="00392601" w:rsidRPr="00F42967" w:rsidRDefault="00392601" w:rsidP="0041177B">
            <w:pPr>
              <w:jc w:val="center"/>
              <w:rPr>
                <w:rFonts w:asciiTheme="minorHAnsi" w:hAnsiTheme="minorHAnsi" w:cstheme="minorHAnsi"/>
                <w:color w:val="000000" w:themeColor="text1"/>
              </w:rPr>
            </w:pPr>
            <w:r w:rsidRPr="00191989">
              <w:rPr>
                <w:rFonts w:asciiTheme="minorHAnsi" w:hAnsiTheme="minorHAnsi" w:cstheme="minorHAnsi"/>
                <w:color w:val="000000" w:themeColor="text1"/>
              </w:rPr>
              <w:t>Females</w:t>
            </w:r>
          </w:p>
        </w:tc>
      </w:tr>
      <w:tr w:rsidR="00392601" w:rsidRPr="00191989" w14:paraId="21EA0E53" w14:textId="77777777" w:rsidTr="0041177B">
        <w:trPr>
          <w:trHeight w:val="113"/>
        </w:trPr>
        <w:tc>
          <w:tcPr>
            <w:tcW w:w="2934" w:type="dxa"/>
            <w:vAlign w:val="center"/>
          </w:tcPr>
          <w:p w14:paraId="10FF8803" w14:textId="77777777" w:rsidR="00392601" w:rsidRPr="00191989" w:rsidRDefault="00392601" w:rsidP="0041177B">
            <w:pPr>
              <w:jc w:val="center"/>
              <w:rPr>
                <w:rFonts w:asciiTheme="minorHAnsi" w:hAnsiTheme="minorHAnsi" w:cstheme="minorHAnsi"/>
                <w:color w:val="000000" w:themeColor="text1"/>
              </w:rPr>
            </w:pPr>
            <w:r w:rsidRPr="00191989">
              <w:rPr>
                <w:rFonts w:eastAsia="Times New Roman" w:cs="Times New Roman"/>
                <w:noProof/>
                <w:lang w:eastAsia="en-GB"/>
              </w:rPr>
              <w:drawing>
                <wp:inline distT="0" distB="0" distL="0" distR="0" wp14:anchorId="0F32CF58" wp14:editId="24C8EB56">
                  <wp:extent cx="1695990" cy="1436400"/>
                  <wp:effectExtent l="0" t="0" r="0" b="0"/>
                  <wp:docPr id="160935238" name="Picture 34"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35238" name="Picture 34" descr="A graph with numbers and a bar&#10;&#10;AI-generated content may be incorrect."/>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695990" cy="1436400"/>
                          </a:xfrm>
                          <a:prstGeom prst="rect">
                            <a:avLst/>
                          </a:prstGeom>
                          <a:noFill/>
                        </pic:spPr>
                      </pic:pic>
                    </a:graphicData>
                  </a:graphic>
                </wp:inline>
              </w:drawing>
            </w:r>
          </w:p>
        </w:tc>
        <w:tc>
          <w:tcPr>
            <w:tcW w:w="3259" w:type="dxa"/>
            <w:vAlign w:val="center"/>
          </w:tcPr>
          <w:p w14:paraId="36119E9A" w14:textId="77777777" w:rsidR="00392601" w:rsidRPr="00191989" w:rsidRDefault="00392601" w:rsidP="0041177B">
            <w:pPr>
              <w:jc w:val="center"/>
              <w:rPr>
                <w:rFonts w:asciiTheme="minorHAnsi" w:hAnsiTheme="minorHAnsi" w:cstheme="minorHAnsi"/>
                <w:color w:val="000000" w:themeColor="text1"/>
              </w:rPr>
            </w:pPr>
            <w:r w:rsidRPr="00191989">
              <w:rPr>
                <w:rFonts w:eastAsia="Times New Roman" w:cs="Times New Roman"/>
                <w:noProof/>
                <w:lang w:eastAsia="en-GB"/>
              </w:rPr>
              <w:drawing>
                <wp:inline distT="0" distB="0" distL="0" distR="0" wp14:anchorId="2FD78F1A" wp14:editId="58E9E102">
                  <wp:extent cx="1741058" cy="1436400"/>
                  <wp:effectExtent l="0" t="0" r="0" b="0"/>
                  <wp:docPr id="1220619331" name="Picture 35"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619331" name="Picture 35" descr="A graph with numbers and a bar&#10;&#10;AI-generated content may be incorrect."/>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41058" cy="1436400"/>
                          </a:xfrm>
                          <a:prstGeom prst="rect">
                            <a:avLst/>
                          </a:prstGeom>
                          <a:noFill/>
                        </pic:spPr>
                      </pic:pic>
                    </a:graphicData>
                  </a:graphic>
                </wp:inline>
              </w:drawing>
            </w:r>
          </w:p>
        </w:tc>
        <w:tc>
          <w:tcPr>
            <w:tcW w:w="3589" w:type="dxa"/>
          </w:tcPr>
          <w:p w14:paraId="5CFE46AC" w14:textId="77777777" w:rsidR="00392601" w:rsidRPr="00F42967" w:rsidRDefault="00392601" w:rsidP="0041177B">
            <w:pPr>
              <w:jc w:val="center"/>
              <w:rPr>
                <w:rFonts w:asciiTheme="minorHAnsi" w:hAnsiTheme="minorHAnsi" w:cstheme="minorHAnsi"/>
                <w:color w:val="000000" w:themeColor="text1"/>
              </w:rPr>
            </w:pPr>
            <w:r w:rsidRPr="00191989">
              <w:rPr>
                <w:rFonts w:cstheme="minorHAnsi"/>
                <w:noProof/>
                <w:color w:val="000000" w:themeColor="text1"/>
              </w:rPr>
              <w:drawing>
                <wp:inline distT="0" distB="0" distL="0" distR="0" wp14:anchorId="50C6FE4C" wp14:editId="3D827562">
                  <wp:extent cx="1744663" cy="1436400"/>
                  <wp:effectExtent l="0" t="0" r="8255" b="0"/>
                  <wp:docPr id="354134044" name="Picture 36"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34044" name="Picture 36" descr="A graph with numbers and a bar&#10;&#10;AI-generated content may be incorrect."/>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44663" cy="1436400"/>
                          </a:xfrm>
                          <a:prstGeom prst="rect">
                            <a:avLst/>
                          </a:prstGeom>
                          <a:noFill/>
                        </pic:spPr>
                      </pic:pic>
                    </a:graphicData>
                  </a:graphic>
                </wp:inline>
              </w:drawing>
            </w:r>
          </w:p>
        </w:tc>
      </w:tr>
    </w:tbl>
    <w:p w14:paraId="2B3457D3" w14:textId="77777777" w:rsidR="00CC3B9A" w:rsidRPr="00CC3B9A" w:rsidRDefault="00CC3B9A" w:rsidP="00286FD6">
      <w:pPr>
        <w:spacing w:after="0"/>
      </w:pPr>
    </w:p>
    <w:p w14:paraId="121A130C" w14:textId="77777777" w:rsidR="00392601" w:rsidRDefault="00392601" w:rsidP="00286FD6">
      <w:pPr>
        <w:pStyle w:val="Heading4"/>
        <w:spacing w:before="0" w:after="0" w:line="240" w:lineRule="auto"/>
      </w:pPr>
      <w:r w:rsidRPr="00B06BFF">
        <w:t>Trends over</w:t>
      </w:r>
      <w:r>
        <w:t xml:space="preserve"> </w:t>
      </w:r>
      <w:r w:rsidRPr="00B06BFF">
        <w:t>time</w:t>
      </w:r>
    </w:p>
    <w:p w14:paraId="0D595B3A" w14:textId="19EC2FE8" w:rsidR="00392601" w:rsidRPr="00DF0207" w:rsidRDefault="00392601" w:rsidP="00286FD6">
      <w:pPr>
        <w:spacing w:after="0" w:line="240" w:lineRule="auto"/>
        <w:rPr>
          <w:rFonts w:cstheme="minorHAnsi"/>
        </w:rPr>
      </w:pPr>
      <w:r w:rsidRPr="00DF0207">
        <w:rPr>
          <w:rFonts w:cstheme="minorHAnsi"/>
        </w:rPr>
        <w:t xml:space="preserve">Figure </w:t>
      </w:r>
      <w:r w:rsidR="008D2536">
        <w:rPr>
          <w:rFonts w:cstheme="minorHAnsi"/>
        </w:rPr>
        <w:t>8.6</w:t>
      </w:r>
      <w:r w:rsidRPr="00DF0207">
        <w:rPr>
          <w:rFonts w:cstheme="minorHAnsi"/>
        </w:rPr>
        <w:t xml:space="preserve"> shows the incidence of </w:t>
      </w:r>
      <w:r w:rsidRPr="00576F9E">
        <w:rPr>
          <w:rStyle w:val="Emphasis"/>
          <w:rFonts w:cstheme="minorHAnsi"/>
          <w:i w:val="0"/>
          <w:iCs w:val="0"/>
        </w:rPr>
        <w:t>oesophag</w:t>
      </w:r>
      <w:r>
        <w:rPr>
          <w:rStyle w:val="Emphasis"/>
          <w:rFonts w:cstheme="minorHAnsi"/>
          <w:i w:val="0"/>
          <w:iCs w:val="0"/>
        </w:rPr>
        <w:t>eal</w:t>
      </w:r>
      <w:r w:rsidRPr="00576F9E">
        <w:rPr>
          <w:rStyle w:val="Emphasis"/>
          <w:rFonts w:cstheme="minorHAnsi"/>
          <w:i w:val="0"/>
          <w:iCs w:val="0"/>
        </w:rPr>
        <w:t xml:space="preserve"> squamous cell carcinoma </w:t>
      </w:r>
      <w:r w:rsidRPr="00DF0207">
        <w:rPr>
          <w:rFonts w:cstheme="minorHAnsi"/>
        </w:rPr>
        <w:t>from 1994 to 2022. Across the period</w:t>
      </w:r>
      <w:r>
        <w:rPr>
          <w:rFonts w:cstheme="minorHAnsi"/>
        </w:rPr>
        <w:t>,</w:t>
      </w:r>
      <w:r w:rsidRPr="00DF0207">
        <w:rPr>
          <w:rFonts w:cstheme="minorHAnsi"/>
        </w:rPr>
        <w:t xml:space="preserve"> </w:t>
      </w:r>
      <w:r>
        <w:rPr>
          <w:rFonts w:cstheme="minorHAnsi"/>
        </w:rPr>
        <w:t xml:space="preserve">no significant decrease in </w:t>
      </w:r>
      <w:r w:rsidRPr="00DF0207">
        <w:rPr>
          <w:rFonts w:cstheme="minorHAnsi"/>
        </w:rPr>
        <w:t xml:space="preserve">rates </w:t>
      </w:r>
      <w:r>
        <w:rPr>
          <w:rFonts w:cstheme="minorHAnsi"/>
        </w:rPr>
        <w:t>for males was observed. R</w:t>
      </w:r>
      <w:r w:rsidRPr="00DF0207">
        <w:rPr>
          <w:rFonts w:cstheme="minorHAnsi"/>
        </w:rPr>
        <w:t xml:space="preserve">ates </w:t>
      </w:r>
      <w:r w:rsidR="006C4484">
        <w:rPr>
          <w:rFonts w:cstheme="minorHAnsi"/>
        </w:rPr>
        <w:t>de</w:t>
      </w:r>
      <w:r w:rsidRPr="00DF0207">
        <w:rPr>
          <w:rFonts w:cstheme="minorHAnsi"/>
        </w:rPr>
        <w:t xml:space="preserve">creased steadily among </w:t>
      </w:r>
      <w:r w:rsidR="006C4484">
        <w:rPr>
          <w:rFonts w:cstheme="minorHAnsi"/>
        </w:rPr>
        <w:t>females</w:t>
      </w:r>
      <w:r w:rsidR="006C4484" w:rsidRPr="00DF0207">
        <w:rPr>
          <w:rFonts w:cstheme="minorHAnsi"/>
        </w:rPr>
        <w:t xml:space="preserve"> </w:t>
      </w:r>
      <w:r w:rsidRPr="00DF0207">
        <w:rPr>
          <w:rFonts w:cstheme="minorHAnsi"/>
        </w:rPr>
        <w:t xml:space="preserve">by </w:t>
      </w:r>
      <w:r w:rsidR="006C4484">
        <w:rPr>
          <w:rFonts w:cstheme="minorHAnsi"/>
        </w:rPr>
        <w:t>-</w:t>
      </w:r>
      <w:r w:rsidRPr="00DF0207">
        <w:rPr>
          <w:rFonts w:cstheme="minorHAnsi"/>
        </w:rPr>
        <w:t>0.8% per year (95%CI -1.3; -0.4).</w:t>
      </w:r>
    </w:p>
    <w:p w14:paraId="380D6576" w14:textId="77777777" w:rsidR="00392601" w:rsidRPr="00DF0207" w:rsidRDefault="00392601" w:rsidP="00286FD6">
      <w:pPr>
        <w:spacing w:after="0" w:line="240" w:lineRule="auto"/>
        <w:rPr>
          <w:rFonts w:cstheme="minorHAnsi"/>
        </w:rPr>
      </w:pPr>
      <w:r w:rsidRPr="00DF0207">
        <w:rPr>
          <w:rFonts w:cstheme="minorHAnsi"/>
        </w:rPr>
        <w:t xml:space="preserve"> </w:t>
      </w:r>
    </w:p>
    <w:tbl>
      <w:tblPr>
        <w:tblStyle w:val="TableGrid"/>
        <w:tblW w:w="9849"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9"/>
      </w:tblGrid>
      <w:tr w:rsidR="00392601" w:rsidRPr="00191989" w14:paraId="3C70DE5A" w14:textId="77777777" w:rsidTr="0041177B">
        <w:trPr>
          <w:trHeight w:val="113"/>
        </w:trPr>
        <w:tc>
          <w:tcPr>
            <w:tcW w:w="9849" w:type="dxa"/>
            <w:shd w:val="clear" w:color="auto" w:fill="002060"/>
            <w:vAlign w:val="center"/>
            <w:hideMark/>
          </w:tcPr>
          <w:p w14:paraId="74FA2BD7" w14:textId="387E363A" w:rsidR="00392601" w:rsidRPr="00F42967" w:rsidRDefault="00392601" w:rsidP="00286FD6">
            <w:pPr>
              <w:rPr>
                <w:rFonts w:asciiTheme="minorHAnsi" w:hAnsiTheme="minorHAnsi"/>
                <w:b/>
                <w:bCs/>
              </w:rPr>
            </w:pPr>
            <w:r w:rsidRPr="00191989">
              <w:rPr>
                <w:rFonts w:asciiTheme="minorHAnsi" w:hAnsiTheme="minorHAnsi"/>
                <w:b/>
                <w:bCs/>
              </w:rPr>
              <w:t xml:space="preserve">Figure </w:t>
            </w:r>
            <w:r w:rsidR="008D2536">
              <w:rPr>
                <w:rFonts w:asciiTheme="minorHAnsi" w:hAnsiTheme="minorHAnsi"/>
                <w:b/>
                <w:bCs/>
              </w:rPr>
              <w:t>8.6:</w:t>
            </w:r>
            <w:r w:rsidRPr="00191989">
              <w:rPr>
                <w:rFonts w:asciiTheme="minorHAnsi" w:hAnsiTheme="minorHAnsi"/>
                <w:b/>
                <w:bCs/>
              </w:rPr>
              <w:t xml:space="preserve"> Age-</w:t>
            </w:r>
            <w:r w:rsidRPr="00191989">
              <w:rPr>
                <w:rFonts w:asciiTheme="minorHAnsi" w:hAnsiTheme="minorHAnsi"/>
                <w:b/>
                <w:bCs/>
                <w:bdr w:val="single" w:sz="4" w:space="0" w:color="auto" w:frame="1"/>
              </w:rPr>
              <w:t>standardised incidence rate 1994-2022, oesophag</w:t>
            </w:r>
            <w:r w:rsidR="002C41FA">
              <w:rPr>
                <w:rFonts w:asciiTheme="minorHAnsi" w:hAnsiTheme="minorHAnsi"/>
                <w:b/>
                <w:bCs/>
                <w:bdr w:val="single" w:sz="4" w:space="0" w:color="auto" w:frame="1"/>
              </w:rPr>
              <w:t>eal</w:t>
            </w:r>
            <w:r w:rsidRPr="00191989" w:rsidDel="002C41FA">
              <w:rPr>
                <w:rFonts w:asciiTheme="minorHAnsi" w:hAnsiTheme="minorHAnsi"/>
                <w:b/>
                <w:bCs/>
                <w:bdr w:val="single" w:sz="4" w:space="0" w:color="auto" w:frame="1"/>
              </w:rPr>
              <w:t xml:space="preserve"> </w:t>
            </w:r>
            <w:r w:rsidRPr="00191989">
              <w:rPr>
                <w:rFonts w:asciiTheme="minorHAnsi" w:hAnsiTheme="minorHAnsi"/>
                <w:b/>
                <w:bCs/>
                <w:bdr w:val="single" w:sz="4" w:space="0" w:color="auto" w:frame="1"/>
              </w:rPr>
              <w:t>squamous cell carcinoma</w:t>
            </w:r>
          </w:p>
        </w:tc>
      </w:tr>
      <w:tr w:rsidR="00392601" w:rsidRPr="00191989" w14:paraId="4631AE7E" w14:textId="77777777" w:rsidTr="0041177B">
        <w:trPr>
          <w:trHeight w:val="113"/>
        </w:trPr>
        <w:tc>
          <w:tcPr>
            <w:tcW w:w="9849" w:type="dxa"/>
            <w:vAlign w:val="center"/>
          </w:tcPr>
          <w:p w14:paraId="510EF74A" w14:textId="77777777" w:rsidR="00392601" w:rsidRPr="00F42967" w:rsidRDefault="00392601" w:rsidP="0041177B">
            <w:pPr>
              <w:jc w:val="center"/>
              <w:rPr>
                <w:rFonts w:asciiTheme="minorHAnsi" w:hAnsiTheme="minorHAnsi"/>
              </w:rPr>
            </w:pPr>
            <w:r w:rsidRPr="00191989">
              <w:rPr>
                <w:noProof/>
              </w:rPr>
              <w:drawing>
                <wp:inline distT="0" distB="0" distL="0" distR="0" wp14:anchorId="63EBA261" wp14:editId="61C14791">
                  <wp:extent cx="5756291" cy="3016800"/>
                  <wp:effectExtent l="0" t="0" r="0" b="0"/>
                  <wp:docPr id="770177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17726" name="Picture 15"/>
                          <pic:cNvPicPr>
                            <a:picLocks noChangeAspect="1" noChangeArrowheads="1"/>
                          </pic:cNvPicPr>
                        </pic:nvPicPr>
                        <pic:blipFill>
                          <a:blip r:embed="rId100">
                            <a:extLst>
                              <a:ext uri="{96DAC541-7B7A-43D3-8B79-37D633B846F1}">
                                <asvg:svgBlip xmlns:asvg="http://schemas.microsoft.com/office/drawing/2016/SVG/main" r:embed="rId101"/>
                              </a:ext>
                            </a:extLst>
                          </a:blip>
                          <a:stretch>
                            <a:fillRect/>
                          </a:stretch>
                        </pic:blipFill>
                        <pic:spPr bwMode="auto">
                          <a:xfrm>
                            <a:off x="0" y="0"/>
                            <a:ext cx="5756291" cy="3016800"/>
                          </a:xfrm>
                          <a:prstGeom prst="rect">
                            <a:avLst/>
                          </a:prstGeom>
                        </pic:spPr>
                      </pic:pic>
                    </a:graphicData>
                  </a:graphic>
                </wp:inline>
              </w:drawing>
            </w:r>
          </w:p>
        </w:tc>
      </w:tr>
      <w:tr w:rsidR="00392601" w:rsidRPr="00191989" w14:paraId="0F662A62" w14:textId="77777777" w:rsidTr="0041177B">
        <w:trPr>
          <w:trHeight w:val="607"/>
        </w:trPr>
        <w:tc>
          <w:tcPr>
            <w:tcW w:w="9849" w:type="dxa"/>
            <w:vAlign w:val="center"/>
          </w:tcPr>
          <w:tbl>
            <w:tblPr>
              <w:tblpPr w:leftFromText="180" w:rightFromText="180" w:bottomFromText="160" w:vertAnchor="page" w:horzAnchor="margin" w:tblpXSpec="center" w:tblpY="1"/>
              <w:tblOverlap w:val="never"/>
              <w:tblW w:w="0" w:type="auto"/>
              <w:tblLook w:val="04A0" w:firstRow="1" w:lastRow="0" w:firstColumn="1" w:lastColumn="0" w:noHBand="0" w:noVBand="1"/>
            </w:tblPr>
            <w:tblGrid>
              <w:gridCol w:w="530"/>
              <w:gridCol w:w="1180"/>
              <w:gridCol w:w="771"/>
              <w:gridCol w:w="909"/>
              <w:gridCol w:w="706"/>
              <w:gridCol w:w="530"/>
              <w:gridCol w:w="1180"/>
              <w:gridCol w:w="771"/>
              <w:gridCol w:w="977"/>
              <w:gridCol w:w="706"/>
            </w:tblGrid>
            <w:tr w:rsidR="00392601" w:rsidRPr="00D342AF" w14:paraId="730D9C6C" w14:textId="77777777" w:rsidTr="0041177B">
              <w:trPr>
                <w:trHeight w:val="113"/>
              </w:trPr>
              <w:tc>
                <w:tcPr>
                  <w:tcW w:w="0" w:type="auto"/>
                  <w:noWrap/>
                  <w:tcMar>
                    <w:top w:w="15" w:type="dxa"/>
                    <w:left w:w="108" w:type="dxa"/>
                    <w:bottom w:w="15" w:type="dxa"/>
                    <w:right w:w="108" w:type="dxa"/>
                  </w:tcMar>
                  <w:vAlign w:val="center"/>
                  <w:hideMark/>
                </w:tcPr>
                <w:p w14:paraId="7B000517" w14:textId="77777777" w:rsidR="00392601" w:rsidRPr="00D342A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342AF">
                    <w:rPr>
                      <w:rFonts w:eastAsia="Times New Roman" w:cs="Calibri"/>
                      <w:b/>
                      <w:bCs/>
                      <w:color w:val="000000"/>
                      <w:kern w:val="0"/>
                      <w:sz w:val="20"/>
                      <w:szCs w:val="20"/>
                      <w:u w:val="single"/>
                      <w:lang w:eastAsia="en-GB"/>
                      <w14:ligatures w14:val="none"/>
                    </w:rPr>
                    <w:t>sex</w:t>
                  </w:r>
                </w:p>
              </w:tc>
              <w:tc>
                <w:tcPr>
                  <w:tcW w:w="0" w:type="auto"/>
                  <w:noWrap/>
                  <w:tcMar>
                    <w:top w:w="15" w:type="dxa"/>
                    <w:left w:w="108" w:type="dxa"/>
                    <w:bottom w:w="15" w:type="dxa"/>
                    <w:right w:w="108" w:type="dxa"/>
                  </w:tcMar>
                  <w:vAlign w:val="center"/>
                  <w:hideMark/>
                </w:tcPr>
                <w:p w14:paraId="4AD04415" w14:textId="77777777" w:rsidR="00392601" w:rsidRPr="00D342A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342AF">
                    <w:rPr>
                      <w:rFonts w:eastAsia="Times New Roman" w:cs="Calibri"/>
                      <w:b/>
                      <w:bCs/>
                      <w:color w:val="000000"/>
                      <w:kern w:val="0"/>
                      <w:sz w:val="20"/>
                      <w:szCs w:val="20"/>
                      <w:u w:val="single"/>
                      <w:lang w:eastAsia="en-GB"/>
                      <w14:ligatures w14:val="none"/>
                    </w:rPr>
                    <w:t>period</w:t>
                  </w:r>
                </w:p>
              </w:tc>
              <w:tc>
                <w:tcPr>
                  <w:tcW w:w="0" w:type="auto"/>
                  <w:noWrap/>
                  <w:tcMar>
                    <w:top w:w="15" w:type="dxa"/>
                    <w:left w:w="108" w:type="dxa"/>
                    <w:bottom w:w="15" w:type="dxa"/>
                    <w:right w:w="108" w:type="dxa"/>
                  </w:tcMar>
                  <w:vAlign w:val="center"/>
                  <w:hideMark/>
                </w:tcPr>
                <w:p w14:paraId="32D0B5DE" w14:textId="77777777" w:rsidR="00392601" w:rsidRPr="00D342A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342AF">
                    <w:rPr>
                      <w:rFonts w:eastAsia="Times New Roman" w:cs="Calibri"/>
                      <w:b/>
                      <w:bCs/>
                      <w:color w:val="000000"/>
                      <w:kern w:val="0"/>
                      <w:sz w:val="20"/>
                      <w:szCs w:val="20"/>
                      <w:u w:val="single"/>
                      <w:lang w:eastAsia="en-GB"/>
                      <w14:ligatures w14:val="none"/>
                    </w:rPr>
                    <w:t>APC%</w:t>
                  </w:r>
                </w:p>
              </w:tc>
              <w:tc>
                <w:tcPr>
                  <w:tcW w:w="0" w:type="auto"/>
                  <w:noWrap/>
                  <w:tcMar>
                    <w:top w:w="15" w:type="dxa"/>
                    <w:left w:w="108" w:type="dxa"/>
                    <w:bottom w:w="15" w:type="dxa"/>
                    <w:right w:w="108" w:type="dxa"/>
                  </w:tcMar>
                  <w:vAlign w:val="center"/>
                  <w:hideMark/>
                </w:tcPr>
                <w:p w14:paraId="0BDDD021" w14:textId="77777777" w:rsidR="00392601" w:rsidRPr="00D342A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342AF">
                    <w:rPr>
                      <w:rFonts w:eastAsia="Times New Roman" w:cs="Calibri"/>
                      <w:b/>
                      <w:bCs/>
                      <w:color w:val="000000"/>
                      <w:kern w:val="0"/>
                      <w:sz w:val="20"/>
                      <w:szCs w:val="20"/>
                      <w:u w:val="single"/>
                      <w:lang w:eastAsia="en-GB"/>
                      <w14:ligatures w14:val="none"/>
                    </w:rPr>
                    <w:t>95%CI</w:t>
                  </w:r>
                </w:p>
              </w:tc>
              <w:tc>
                <w:tcPr>
                  <w:tcW w:w="0" w:type="auto"/>
                  <w:tcBorders>
                    <w:right w:val="single" w:sz="4" w:space="0" w:color="auto"/>
                  </w:tcBorders>
                  <w:noWrap/>
                  <w:tcMar>
                    <w:top w:w="15" w:type="dxa"/>
                    <w:left w:w="108" w:type="dxa"/>
                    <w:bottom w:w="15" w:type="dxa"/>
                    <w:right w:w="108" w:type="dxa"/>
                  </w:tcMar>
                  <w:vAlign w:val="center"/>
                  <w:hideMark/>
                </w:tcPr>
                <w:p w14:paraId="57864A98" w14:textId="77777777" w:rsidR="00392601" w:rsidRPr="00D342A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342AF">
                    <w:rPr>
                      <w:rFonts w:eastAsia="Times New Roman" w:cs="Calibri"/>
                      <w:b/>
                      <w:bCs/>
                      <w:color w:val="000000"/>
                      <w:kern w:val="0"/>
                      <w:sz w:val="20"/>
                      <w:szCs w:val="20"/>
                      <w:u w:val="single"/>
                      <w:lang w:eastAsia="en-GB"/>
                      <w14:ligatures w14:val="none"/>
                    </w:rPr>
                    <w:t>trend</w:t>
                  </w:r>
                </w:p>
              </w:tc>
              <w:tc>
                <w:tcPr>
                  <w:tcW w:w="0" w:type="auto"/>
                  <w:tcBorders>
                    <w:left w:val="single" w:sz="4" w:space="0" w:color="auto"/>
                  </w:tcBorders>
                  <w:vAlign w:val="center"/>
                </w:tcPr>
                <w:p w14:paraId="55E8836E" w14:textId="77777777" w:rsidR="00392601" w:rsidRPr="00D342A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342AF">
                    <w:rPr>
                      <w:rFonts w:eastAsia="Times New Roman" w:cs="Calibri"/>
                      <w:b/>
                      <w:bCs/>
                      <w:color w:val="000000"/>
                      <w:kern w:val="0"/>
                      <w:sz w:val="20"/>
                      <w:szCs w:val="20"/>
                      <w:u w:val="single"/>
                      <w:lang w:eastAsia="en-GB"/>
                      <w14:ligatures w14:val="none"/>
                    </w:rPr>
                    <w:t>sex</w:t>
                  </w:r>
                </w:p>
              </w:tc>
              <w:tc>
                <w:tcPr>
                  <w:tcW w:w="0" w:type="auto"/>
                  <w:vAlign w:val="center"/>
                </w:tcPr>
                <w:p w14:paraId="54070779" w14:textId="4769B30D" w:rsidR="00392601" w:rsidRPr="00D342AF" w:rsidRDefault="00A414D9" w:rsidP="0041177B">
                  <w:pPr>
                    <w:spacing w:after="0" w:line="240" w:lineRule="auto"/>
                    <w:jc w:val="center"/>
                    <w:rPr>
                      <w:rFonts w:eastAsia="Times New Roman" w:cs="Calibri"/>
                      <w:b/>
                      <w:bCs/>
                      <w:color w:val="000000"/>
                      <w:kern w:val="0"/>
                      <w:sz w:val="20"/>
                      <w:szCs w:val="20"/>
                      <w:u w:val="single"/>
                      <w:lang w:eastAsia="en-GB"/>
                      <w14:ligatures w14:val="none"/>
                    </w:rPr>
                  </w:pPr>
                  <w:r w:rsidRPr="00D342AF">
                    <w:rPr>
                      <w:rFonts w:eastAsia="Times New Roman" w:cs="Calibri"/>
                      <w:b/>
                      <w:bCs/>
                      <w:color w:val="000000"/>
                      <w:kern w:val="0"/>
                      <w:sz w:val="20"/>
                      <w:szCs w:val="20"/>
                      <w:u w:val="single"/>
                      <w:lang w:eastAsia="en-GB"/>
                      <w14:ligatures w14:val="none"/>
                    </w:rPr>
                    <w:t>P</w:t>
                  </w:r>
                  <w:r w:rsidR="00392601" w:rsidRPr="00D342AF">
                    <w:rPr>
                      <w:rFonts w:eastAsia="Times New Roman" w:cs="Calibri"/>
                      <w:b/>
                      <w:bCs/>
                      <w:color w:val="000000"/>
                      <w:kern w:val="0"/>
                      <w:sz w:val="20"/>
                      <w:szCs w:val="20"/>
                      <w:u w:val="single"/>
                      <w:lang w:eastAsia="en-GB"/>
                      <w14:ligatures w14:val="none"/>
                    </w:rPr>
                    <w:t>eriod</w:t>
                  </w:r>
                </w:p>
              </w:tc>
              <w:tc>
                <w:tcPr>
                  <w:tcW w:w="0" w:type="auto"/>
                  <w:vAlign w:val="center"/>
                </w:tcPr>
                <w:p w14:paraId="2CB6981B" w14:textId="77777777" w:rsidR="00392601" w:rsidRPr="00D342A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342AF">
                    <w:rPr>
                      <w:rFonts w:eastAsia="Times New Roman" w:cs="Calibri"/>
                      <w:b/>
                      <w:bCs/>
                      <w:color w:val="000000"/>
                      <w:kern w:val="0"/>
                      <w:sz w:val="20"/>
                      <w:szCs w:val="20"/>
                      <w:u w:val="single"/>
                      <w:lang w:eastAsia="en-GB"/>
                      <w14:ligatures w14:val="none"/>
                    </w:rPr>
                    <w:t>APC%</w:t>
                  </w:r>
                </w:p>
              </w:tc>
              <w:tc>
                <w:tcPr>
                  <w:tcW w:w="0" w:type="auto"/>
                  <w:vAlign w:val="center"/>
                </w:tcPr>
                <w:p w14:paraId="73F613E7" w14:textId="77777777" w:rsidR="00392601" w:rsidRPr="00D342A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342AF">
                    <w:rPr>
                      <w:rFonts w:eastAsia="Times New Roman" w:cs="Calibri"/>
                      <w:b/>
                      <w:bCs/>
                      <w:color w:val="000000"/>
                      <w:kern w:val="0"/>
                      <w:sz w:val="20"/>
                      <w:szCs w:val="20"/>
                      <w:u w:val="single"/>
                      <w:lang w:eastAsia="en-GB"/>
                      <w14:ligatures w14:val="none"/>
                    </w:rPr>
                    <w:t>95%CI</w:t>
                  </w:r>
                </w:p>
              </w:tc>
              <w:tc>
                <w:tcPr>
                  <w:tcW w:w="0" w:type="auto"/>
                  <w:vAlign w:val="center"/>
                </w:tcPr>
                <w:p w14:paraId="42668BCA" w14:textId="77777777" w:rsidR="00392601" w:rsidRPr="00D342A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342AF">
                    <w:rPr>
                      <w:rFonts w:eastAsia="Times New Roman" w:cs="Calibri"/>
                      <w:b/>
                      <w:bCs/>
                      <w:color w:val="000000"/>
                      <w:kern w:val="0"/>
                      <w:sz w:val="20"/>
                      <w:szCs w:val="20"/>
                      <w:u w:val="single"/>
                      <w:lang w:eastAsia="en-GB"/>
                      <w14:ligatures w14:val="none"/>
                    </w:rPr>
                    <w:t>trend</w:t>
                  </w:r>
                </w:p>
              </w:tc>
            </w:tr>
            <w:tr w:rsidR="00392601" w:rsidRPr="00D342AF" w14:paraId="174A0251" w14:textId="77777777" w:rsidTr="0041177B">
              <w:trPr>
                <w:trHeight w:val="113"/>
              </w:trPr>
              <w:tc>
                <w:tcPr>
                  <w:tcW w:w="0" w:type="auto"/>
                  <w:noWrap/>
                  <w:tcMar>
                    <w:top w:w="15" w:type="dxa"/>
                    <w:left w:w="108" w:type="dxa"/>
                    <w:bottom w:w="15" w:type="dxa"/>
                    <w:right w:w="108" w:type="dxa"/>
                  </w:tcMar>
                  <w:hideMark/>
                </w:tcPr>
                <w:p w14:paraId="6C36C57B" w14:textId="77777777" w:rsidR="00392601" w:rsidRPr="00D342AF" w:rsidRDefault="00392601" w:rsidP="0041177B">
                  <w:pPr>
                    <w:spacing w:after="0" w:line="240" w:lineRule="auto"/>
                    <w:jc w:val="center"/>
                    <w:rPr>
                      <w:rFonts w:eastAsia="Times New Roman" w:cs="Calibri"/>
                      <w:color w:val="000000"/>
                      <w:kern w:val="0"/>
                      <w:sz w:val="20"/>
                      <w:szCs w:val="20"/>
                      <w:lang w:eastAsia="en-GB"/>
                      <w14:ligatures w14:val="none"/>
                    </w:rPr>
                  </w:pPr>
                  <w:r w:rsidRPr="00D342AF">
                    <w:rPr>
                      <w:rFonts w:cs="Calibri"/>
                      <w:sz w:val="20"/>
                      <w:szCs w:val="20"/>
                    </w:rPr>
                    <w:t>M </w:t>
                  </w:r>
                </w:p>
              </w:tc>
              <w:tc>
                <w:tcPr>
                  <w:tcW w:w="0" w:type="auto"/>
                  <w:noWrap/>
                  <w:tcMar>
                    <w:top w:w="15" w:type="dxa"/>
                    <w:left w:w="108" w:type="dxa"/>
                    <w:bottom w:w="15" w:type="dxa"/>
                    <w:right w:w="108" w:type="dxa"/>
                  </w:tcMar>
                  <w:hideMark/>
                </w:tcPr>
                <w:p w14:paraId="0C42EF68" w14:textId="77777777" w:rsidR="00392601" w:rsidRPr="00D342AF" w:rsidRDefault="00392601" w:rsidP="0041177B">
                  <w:pPr>
                    <w:spacing w:after="0" w:line="240" w:lineRule="auto"/>
                    <w:jc w:val="center"/>
                    <w:rPr>
                      <w:rFonts w:eastAsia="Times New Roman" w:cs="Calibri"/>
                      <w:color w:val="000000"/>
                      <w:kern w:val="0"/>
                      <w:sz w:val="20"/>
                      <w:szCs w:val="20"/>
                      <w:lang w:eastAsia="en-GB"/>
                      <w14:ligatures w14:val="none"/>
                    </w:rPr>
                  </w:pPr>
                  <w:r w:rsidRPr="00D342AF">
                    <w:rPr>
                      <w:rFonts w:cs="Calibri"/>
                      <w:sz w:val="20"/>
                      <w:szCs w:val="20"/>
                    </w:rPr>
                    <w:t>1994-2022 </w:t>
                  </w:r>
                </w:p>
              </w:tc>
              <w:tc>
                <w:tcPr>
                  <w:tcW w:w="0" w:type="auto"/>
                  <w:noWrap/>
                  <w:tcMar>
                    <w:top w:w="15" w:type="dxa"/>
                    <w:left w:w="108" w:type="dxa"/>
                    <w:bottom w:w="15" w:type="dxa"/>
                    <w:right w:w="108" w:type="dxa"/>
                  </w:tcMar>
                  <w:hideMark/>
                </w:tcPr>
                <w:p w14:paraId="7EE715A9" w14:textId="77777777" w:rsidR="00392601" w:rsidRPr="00D342AF" w:rsidRDefault="00392601" w:rsidP="0041177B">
                  <w:pPr>
                    <w:spacing w:after="0" w:line="240" w:lineRule="auto"/>
                    <w:jc w:val="center"/>
                    <w:rPr>
                      <w:rFonts w:eastAsia="Times New Roman" w:cs="Calibri"/>
                      <w:color w:val="000000"/>
                      <w:kern w:val="0"/>
                      <w:sz w:val="20"/>
                      <w:szCs w:val="20"/>
                      <w:lang w:eastAsia="en-GB"/>
                      <w14:ligatures w14:val="none"/>
                    </w:rPr>
                  </w:pPr>
                  <w:r w:rsidRPr="00D342AF">
                    <w:rPr>
                      <w:rFonts w:cs="Calibri"/>
                      <w:sz w:val="20"/>
                      <w:szCs w:val="20"/>
                    </w:rPr>
                    <w:t>-0.5</w:t>
                  </w:r>
                </w:p>
              </w:tc>
              <w:tc>
                <w:tcPr>
                  <w:tcW w:w="0" w:type="auto"/>
                  <w:noWrap/>
                  <w:tcMar>
                    <w:top w:w="15" w:type="dxa"/>
                    <w:left w:w="108" w:type="dxa"/>
                    <w:bottom w:w="15" w:type="dxa"/>
                    <w:right w:w="108" w:type="dxa"/>
                  </w:tcMar>
                  <w:hideMark/>
                </w:tcPr>
                <w:p w14:paraId="0236ED08" w14:textId="77777777" w:rsidR="00392601" w:rsidRPr="00D342AF" w:rsidRDefault="00392601" w:rsidP="0041177B">
                  <w:pPr>
                    <w:spacing w:after="0" w:line="240" w:lineRule="auto"/>
                    <w:jc w:val="center"/>
                    <w:rPr>
                      <w:rFonts w:eastAsia="Times New Roman" w:cs="Calibri"/>
                      <w:color w:val="000000"/>
                      <w:kern w:val="0"/>
                      <w:sz w:val="20"/>
                      <w:szCs w:val="20"/>
                      <w:lang w:eastAsia="en-GB"/>
                      <w14:ligatures w14:val="none"/>
                    </w:rPr>
                  </w:pPr>
                  <w:r w:rsidRPr="00D342AF">
                    <w:rPr>
                      <w:rFonts w:cs="Calibri"/>
                      <w:sz w:val="20"/>
                      <w:szCs w:val="20"/>
                    </w:rPr>
                    <w:t>-1.1, 0.1</w:t>
                  </w:r>
                </w:p>
              </w:tc>
              <w:tc>
                <w:tcPr>
                  <w:tcW w:w="0" w:type="auto"/>
                  <w:tcBorders>
                    <w:right w:val="single" w:sz="4" w:space="0" w:color="auto"/>
                  </w:tcBorders>
                  <w:noWrap/>
                  <w:tcMar>
                    <w:top w:w="15" w:type="dxa"/>
                    <w:left w:w="108" w:type="dxa"/>
                    <w:bottom w:w="15" w:type="dxa"/>
                    <w:right w:w="108" w:type="dxa"/>
                  </w:tcMar>
                  <w:hideMark/>
                </w:tcPr>
                <w:p w14:paraId="10301078" w14:textId="77777777" w:rsidR="00392601" w:rsidRPr="00D342AF" w:rsidRDefault="00392601" w:rsidP="0041177B">
                  <w:pPr>
                    <w:spacing w:after="0" w:line="240" w:lineRule="auto"/>
                    <w:jc w:val="center"/>
                    <w:rPr>
                      <w:rFonts w:eastAsia="Times New Roman" w:cs="Calibri"/>
                      <w:color w:val="000000"/>
                      <w:kern w:val="0"/>
                      <w:sz w:val="20"/>
                      <w:szCs w:val="20"/>
                      <w:lang w:eastAsia="en-GB"/>
                      <w14:ligatures w14:val="none"/>
                    </w:rPr>
                  </w:pPr>
                  <w:r w:rsidRPr="00D342AF">
                    <w:rPr>
                      <w:rFonts w:cs="Calibri"/>
                      <w:sz w:val="20"/>
                      <w:szCs w:val="20"/>
                    </w:rPr>
                    <w:t>flat</w:t>
                  </w:r>
                </w:p>
              </w:tc>
              <w:tc>
                <w:tcPr>
                  <w:tcW w:w="0" w:type="auto"/>
                  <w:tcBorders>
                    <w:left w:val="single" w:sz="4" w:space="0" w:color="auto"/>
                  </w:tcBorders>
                </w:tcPr>
                <w:p w14:paraId="1EF486CB" w14:textId="77777777" w:rsidR="00392601" w:rsidRPr="00D342AF" w:rsidRDefault="00392601" w:rsidP="0041177B">
                  <w:pPr>
                    <w:spacing w:after="0" w:line="240" w:lineRule="auto"/>
                    <w:jc w:val="center"/>
                    <w:rPr>
                      <w:rFonts w:cs="Calibri"/>
                      <w:sz w:val="20"/>
                      <w:szCs w:val="20"/>
                    </w:rPr>
                  </w:pPr>
                  <w:r w:rsidRPr="00D342AF">
                    <w:rPr>
                      <w:rFonts w:cs="Calibri"/>
                      <w:sz w:val="20"/>
                      <w:szCs w:val="20"/>
                    </w:rPr>
                    <w:t>F </w:t>
                  </w:r>
                </w:p>
              </w:tc>
              <w:tc>
                <w:tcPr>
                  <w:tcW w:w="0" w:type="auto"/>
                </w:tcPr>
                <w:p w14:paraId="25E3D0E5" w14:textId="77777777" w:rsidR="00392601" w:rsidRPr="00D342AF" w:rsidRDefault="00392601" w:rsidP="0041177B">
                  <w:pPr>
                    <w:spacing w:after="0" w:line="240" w:lineRule="auto"/>
                    <w:jc w:val="center"/>
                    <w:rPr>
                      <w:rFonts w:cs="Calibri"/>
                      <w:sz w:val="20"/>
                      <w:szCs w:val="20"/>
                    </w:rPr>
                  </w:pPr>
                  <w:r w:rsidRPr="00D342AF">
                    <w:rPr>
                      <w:rFonts w:cs="Calibri"/>
                      <w:sz w:val="20"/>
                      <w:szCs w:val="20"/>
                    </w:rPr>
                    <w:t>1994-2022 </w:t>
                  </w:r>
                </w:p>
              </w:tc>
              <w:tc>
                <w:tcPr>
                  <w:tcW w:w="0" w:type="auto"/>
                </w:tcPr>
                <w:p w14:paraId="2FD1AF0B" w14:textId="65E139B1" w:rsidR="00392601" w:rsidRPr="00D342AF" w:rsidRDefault="006C4484" w:rsidP="0041177B">
                  <w:pPr>
                    <w:spacing w:after="0" w:line="240" w:lineRule="auto"/>
                    <w:jc w:val="center"/>
                    <w:rPr>
                      <w:rFonts w:cs="Calibri"/>
                      <w:sz w:val="20"/>
                      <w:szCs w:val="20"/>
                    </w:rPr>
                  </w:pPr>
                  <w:r>
                    <w:rPr>
                      <w:rFonts w:cs="Calibri"/>
                      <w:sz w:val="20"/>
                      <w:szCs w:val="20"/>
                    </w:rPr>
                    <w:t>-</w:t>
                  </w:r>
                  <w:r w:rsidR="00392601" w:rsidRPr="00D342AF">
                    <w:rPr>
                      <w:rFonts w:cs="Calibri"/>
                      <w:sz w:val="20"/>
                      <w:szCs w:val="20"/>
                    </w:rPr>
                    <w:t>0.8</w:t>
                  </w:r>
                </w:p>
              </w:tc>
              <w:tc>
                <w:tcPr>
                  <w:tcW w:w="0" w:type="auto"/>
                </w:tcPr>
                <w:p w14:paraId="1A350846" w14:textId="14F69CE5" w:rsidR="00392601" w:rsidRPr="00D342AF" w:rsidRDefault="00392601" w:rsidP="0041177B">
                  <w:pPr>
                    <w:spacing w:after="0" w:line="240" w:lineRule="auto"/>
                    <w:jc w:val="center"/>
                    <w:rPr>
                      <w:rFonts w:cs="Calibri"/>
                      <w:sz w:val="20"/>
                      <w:szCs w:val="20"/>
                    </w:rPr>
                  </w:pPr>
                  <w:r w:rsidRPr="00D342AF">
                    <w:rPr>
                      <w:rFonts w:cs="Calibri"/>
                      <w:sz w:val="20"/>
                      <w:szCs w:val="20"/>
                    </w:rPr>
                    <w:t>-1.3, -0.4</w:t>
                  </w:r>
                </w:p>
              </w:tc>
              <w:tc>
                <w:tcPr>
                  <w:tcW w:w="0" w:type="auto"/>
                </w:tcPr>
                <w:p w14:paraId="7F8B1FA5" w14:textId="77777777" w:rsidR="00392601" w:rsidRPr="00D342AF" w:rsidRDefault="00392601" w:rsidP="0041177B">
                  <w:pPr>
                    <w:spacing w:after="0" w:line="240" w:lineRule="auto"/>
                    <w:jc w:val="center"/>
                    <w:rPr>
                      <w:rFonts w:cs="Calibri"/>
                      <w:sz w:val="20"/>
                      <w:szCs w:val="20"/>
                    </w:rPr>
                  </w:pPr>
                  <w:r w:rsidRPr="00D342AF">
                    <w:rPr>
                      <w:rFonts w:cs="Calibri"/>
                      <w:sz w:val="20"/>
                      <w:szCs w:val="20"/>
                    </w:rPr>
                    <w:t>down</w:t>
                  </w:r>
                </w:p>
              </w:tc>
            </w:tr>
          </w:tbl>
          <w:p w14:paraId="0D479D31" w14:textId="77777777" w:rsidR="00392601" w:rsidRPr="00F42967" w:rsidRDefault="00392601" w:rsidP="0041177B">
            <w:pPr>
              <w:jc w:val="center"/>
              <w:rPr>
                <w:rFonts w:eastAsia="Times New Roman" w:cs="Calibri"/>
                <w:b/>
                <w:bCs/>
                <w:color w:val="000000"/>
                <w:sz w:val="16"/>
                <w:szCs w:val="16"/>
                <w:u w:val="single"/>
                <w:lang w:eastAsia="en-GB"/>
              </w:rPr>
            </w:pPr>
          </w:p>
        </w:tc>
      </w:tr>
      <w:tr w:rsidR="00392601" w:rsidRPr="00191989" w14:paraId="3A7884CE" w14:textId="77777777" w:rsidTr="0041177B">
        <w:trPr>
          <w:trHeight w:val="113"/>
        </w:trPr>
        <w:tc>
          <w:tcPr>
            <w:tcW w:w="9849" w:type="dxa"/>
            <w:vAlign w:val="center"/>
          </w:tcPr>
          <w:p w14:paraId="5D74B350" w14:textId="77777777" w:rsidR="00392601" w:rsidRPr="00F42967" w:rsidRDefault="00392601" w:rsidP="0041177B">
            <w:pPr>
              <w:pBdr>
                <w:bottom w:val="single" w:sz="4" w:space="1" w:color="auto"/>
              </w:pBdr>
              <w:rPr>
                <w:rFonts w:asciiTheme="minorHAnsi" w:hAnsiTheme="minorHAnsi"/>
                <w:bCs/>
                <w:sz w:val="18"/>
                <w:szCs w:val="16"/>
              </w:rPr>
            </w:pPr>
            <w:r w:rsidRPr="00191989">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610FE95D" w14:textId="77777777" w:rsidR="00392601" w:rsidRPr="00F42967" w:rsidRDefault="00392601" w:rsidP="0041177B">
            <w:pPr>
              <w:rPr>
                <w:rFonts w:asciiTheme="minorHAnsi" w:hAnsiTheme="minorHAnsi"/>
                <w:b/>
                <w:bCs/>
                <w:noProof/>
                <w:sz w:val="14"/>
                <w:szCs w:val="14"/>
                <w:u w:val="single"/>
              </w:rPr>
            </w:pPr>
          </w:p>
        </w:tc>
      </w:tr>
    </w:tbl>
    <w:p w14:paraId="3C8B9B84" w14:textId="77777777" w:rsidR="00392601" w:rsidRDefault="00392601" w:rsidP="00392601">
      <w:pPr>
        <w:spacing w:after="0" w:line="240" w:lineRule="auto"/>
        <w:sectPr w:rsidR="00392601" w:rsidSect="002746C0">
          <w:pgSz w:w="11906" w:h="16838"/>
          <w:pgMar w:top="1440" w:right="1440" w:bottom="1440" w:left="1440" w:header="708" w:footer="708" w:gutter="0"/>
          <w:cols w:space="708"/>
          <w:docGrid w:linePitch="360"/>
        </w:sectPr>
      </w:pPr>
    </w:p>
    <w:p w14:paraId="52D9F822" w14:textId="77777777" w:rsidR="00392601" w:rsidRDefault="00392601" w:rsidP="00392601">
      <w:pPr>
        <w:pStyle w:val="Heading4"/>
        <w:spacing w:before="0" w:after="0" w:line="240" w:lineRule="auto"/>
      </w:pPr>
      <w:r w:rsidRPr="00E825A8">
        <w:t>Variation by deprivation quintile</w:t>
      </w:r>
    </w:p>
    <w:p w14:paraId="0F1120BF" w14:textId="2669391F" w:rsidR="00392601" w:rsidRDefault="00392601" w:rsidP="00392601">
      <w:pPr>
        <w:spacing w:after="0" w:line="240" w:lineRule="auto"/>
        <w:rPr>
          <w:rFonts w:cstheme="minorHAnsi"/>
          <w:color w:val="000000" w:themeColor="text1"/>
        </w:rPr>
      </w:pPr>
      <w:r w:rsidRPr="00DF0207">
        <w:rPr>
          <w:rFonts w:cstheme="minorHAnsi"/>
          <w:color w:val="000000" w:themeColor="text1"/>
        </w:rPr>
        <w:t xml:space="preserve">Age-standardised incidence rates of </w:t>
      </w:r>
      <w:r w:rsidRPr="00576F9E">
        <w:rPr>
          <w:rStyle w:val="Emphasis"/>
          <w:rFonts w:cstheme="minorHAnsi"/>
          <w:i w:val="0"/>
          <w:iCs w:val="0"/>
        </w:rPr>
        <w:t>oesophag</w:t>
      </w:r>
      <w:r>
        <w:rPr>
          <w:rStyle w:val="Emphasis"/>
          <w:rFonts w:cstheme="minorHAnsi"/>
          <w:i w:val="0"/>
          <w:iCs w:val="0"/>
        </w:rPr>
        <w:t>eal</w:t>
      </w:r>
      <w:r w:rsidRPr="00576F9E">
        <w:rPr>
          <w:rStyle w:val="Emphasis"/>
          <w:rFonts w:cstheme="minorHAnsi"/>
          <w:i w:val="0"/>
          <w:iCs w:val="0"/>
        </w:rPr>
        <w:t xml:space="preserve"> squamous cell carcinoma </w:t>
      </w:r>
      <w:r w:rsidRPr="00DF0207">
        <w:rPr>
          <w:rFonts w:cstheme="minorHAnsi"/>
          <w:color w:val="000000" w:themeColor="text1"/>
        </w:rPr>
        <w:t>in 2014-2018 ranged</w:t>
      </w:r>
      <w:r>
        <w:rPr>
          <w:rFonts w:cstheme="minorHAnsi"/>
          <w:color w:val="000000" w:themeColor="text1"/>
        </w:rPr>
        <w:t xml:space="preserve"> from</w:t>
      </w:r>
      <w:r w:rsidRPr="00DF0207">
        <w:rPr>
          <w:rFonts w:cstheme="minorHAnsi"/>
          <w:color w:val="000000" w:themeColor="text1"/>
        </w:rPr>
        <w:t xml:space="preserve"> </w:t>
      </w:r>
      <w:r>
        <w:rPr>
          <w:rFonts w:cstheme="minorHAnsi"/>
          <w:color w:val="000000" w:themeColor="text1"/>
        </w:rPr>
        <w:t>5.4 to 6.7</w:t>
      </w:r>
      <w:r w:rsidRPr="00DF0207">
        <w:rPr>
          <w:rFonts w:cstheme="minorHAnsi"/>
          <w:color w:val="000000" w:themeColor="text1"/>
        </w:rPr>
        <w:t xml:space="preserve"> cases per 100,000 </w:t>
      </w:r>
      <w:r>
        <w:rPr>
          <w:rFonts w:cstheme="minorHAnsi"/>
          <w:color w:val="000000" w:themeColor="text1"/>
        </w:rPr>
        <w:t xml:space="preserve">in </w:t>
      </w:r>
      <w:r w:rsidRPr="00DF0207">
        <w:rPr>
          <w:rFonts w:cstheme="minorHAnsi"/>
          <w:color w:val="000000" w:themeColor="text1"/>
        </w:rPr>
        <w:t xml:space="preserve">the least to the most deprived quintiles (Figure </w:t>
      </w:r>
      <w:r w:rsidR="008D2536">
        <w:rPr>
          <w:rFonts w:cstheme="minorHAnsi"/>
          <w:color w:val="000000" w:themeColor="text1"/>
        </w:rPr>
        <w:t>8.7</w:t>
      </w:r>
      <w:r w:rsidRPr="00DF0207">
        <w:rPr>
          <w:rFonts w:cstheme="minorHAnsi"/>
          <w:color w:val="000000" w:themeColor="text1"/>
        </w:rPr>
        <w:t>).</w:t>
      </w:r>
      <w:r>
        <w:rPr>
          <w:rFonts w:cstheme="minorHAnsi"/>
          <w:color w:val="000000" w:themeColor="text1"/>
        </w:rPr>
        <w:t xml:space="preserve"> There was a difference in incidence</w:t>
      </w:r>
      <w:r>
        <w:rPr>
          <w:rStyle w:val="Emphasis"/>
          <w:rFonts w:cstheme="minorHAnsi"/>
          <w:i w:val="0"/>
          <w:iCs w:val="0"/>
        </w:rPr>
        <w:t xml:space="preserve"> between the</w:t>
      </w:r>
      <w:r w:rsidRPr="00DF0207">
        <w:rPr>
          <w:rFonts w:cstheme="minorHAnsi"/>
          <w:color w:val="000000" w:themeColor="text1"/>
        </w:rPr>
        <w:t xml:space="preserve"> most and least deprived quintiles for males (</w:t>
      </w:r>
      <w:r>
        <w:rPr>
          <w:rFonts w:cstheme="minorHAnsi"/>
          <w:color w:val="000000" w:themeColor="text1"/>
        </w:rPr>
        <w:t>5.2</w:t>
      </w:r>
      <w:r w:rsidRPr="00DF0207">
        <w:rPr>
          <w:rFonts w:cstheme="minorHAnsi"/>
          <w:color w:val="000000" w:themeColor="text1"/>
        </w:rPr>
        <w:t xml:space="preserve"> for least deprived and 8.</w:t>
      </w:r>
      <w:r>
        <w:rPr>
          <w:rFonts w:cstheme="minorHAnsi"/>
          <w:color w:val="000000" w:themeColor="text1"/>
        </w:rPr>
        <w:t>4</w:t>
      </w:r>
      <w:r w:rsidRPr="00DF0207">
        <w:rPr>
          <w:rFonts w:cstheme="minorHAnsi"/>
          <w:color w:val="000000" w:themeColor="text1"/>
        </w:rPr>
        <w:t xml:space="preserve"> for most deprived). </w:t>
      </w:r>
      <w:r>
        <w:rPr>
          <w:rFonts w:cstheme="minorHAnsi"/>
          <w:color w:val="000000" w:themeColor="text1"/>
        </w:rPr>
        <w:t>There was</w:t>
      </w:r>
      <w:r w:rsidRPr="00DF0207">
        <w:rPr>
          <w:rFonts w:cstheme="minorHAnsi"/>
          <w:color w:val="000000" w:themeColor="text1"/>
        </w:rPr>
        <w:t xml:space="preserve"> little difference in rates between the most and least deprived quintiles </w:t>
      </w:r>
      <w:r>
        <w:rPr>
          <w:rFonts w:cstheme="minorHAnsi"/>
          <w:color w:val="000000" w:themeColor="text1"/>
        </w:rPr>
        <w:t>among</w:t>
      </w:r>
      <w:r w:rsidRPr="00DF0207">
        <w:rPr>
          <w:rFonts w:cstheme="minorHAnsi"/>
          <w:color w:val="000000" w:themeColor="text1"/>
        </w:rPr>
        <w:t xml:space="preserve"> females (</w:t>
      </w:r>
      <w:r>
        <w:rPr>
          <w:rFonts w:cstheme="minorHAnsi"/>
          <w:color w:val="000000" w:themeColor="text1"/>
        </w:rPr>
        <w:t>5.9</w:t>
      </w:r>
      <w:r w:rsidRPr="00DF0207">
        <w:rPr>
          <w:rFonts w:cstheme="minorHAnsi"/>
          <w:color w:val="000000" w:themeColor="text1"/>
        </w:rPr>
        <w:t xml:space="preserve"> for least deprived and 5.</w:t>
      </w:r>
      <w:r>
        <w:rPr>
          <w:rFonts w:cstheme="minorHAnsi"/>
          <w:color w:val="000000" w:themeColor="text1"/>
        </w:rPr>
        <w:t>2</w:t>
      </w:r>
      <w:r w:rsidRPr="00DF0207">
        <w:rPr>
          <w:rFonts w:cstheme="minorHAnsi"/>
          <w:color w:val="000000" w:themeColor="text1"/>
        </w:rPr>
        <w:t xml:space="preserve"> for most deprived).</w:t>
      </w:r>
    </w:p>
    <w:p w14:paraId="1F22048C" w14:textId="77777777" w:rsidR="00392601" w:rsidRPr="008D2536" w:rsidRDefault="00392601" w:rsidP="00392601">
      <w:pPr>
        <w:spacing w:after="0" w:line="240" w:lineRule="auto"/>
        <w:rPr>
          <w:rFonts w:cstheme="minorHAnsi"/>
          <w:b/>
          <w:bCs/>
          <w:color w:val="000000" w:themeColor="text1"/>
        </w:rPr>
      </w:pPr>
    </w:p>
    <w:tbl>
      <w:tblPr>
        <w:tblStyle w:val="TableGrid"/>
        <w:tblW w:w="976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3210"/>
        <w:gridCol w:w="3210"/>
      </w:tblGrid>
      <w:tr w:rsidR="00392601" w:rsidRPr="008D2536" w14:paraId="04960398" w14:textId="77777777" w:rsidTr="0041177B">
        <w:trPr>
          <w:trHeight w:val="113"/>
        </w:trPr>
        <w:tc>
          <w:tcPr>
            <w:tcW w:w="9768" w:type="dxa"/>
            <w:gridSpan w:val="3"/>
            <w:shd w:val="clear" w:color="auto" w:fill="002060"/>
            <w:hideMark/>
          </w:tcPr>
          <w:p w14:paraId="77153B6F" w14:textId="0C5CFA25" w:rsidR="00392601" w:rsidRPr="008D2536" w:rsidRDefault="00392601" w:rsidP="0041177B">
            <w:pPr>
              <w:rPr>
                <w:rFonts w:asciiTheme="minorHAnsi" w:hAnsiTheme="minorHAnsi" w:cstheme="minorHAnsi"/>
                <w:b/>
                <w:bCs/>
                <w:color w:val="FFFFFF" w:themeColor="background1"/>
              </w:rPr>
            </w:pPr>
            <w:r w:rsidRPr="008D2536">
              <w:rPr>
                <w:rFonts w:asciiTheme="minorHAnsi" w:hAnsiTheme="minorHAnsi" w:cstheme="minorHAnsi"/>
                <w:b/>
                <w:bCs/>
                <w:color w:val="FFFFFF" w:themeColor="background1"/>
              </w:rPr>
              <w:t xml:space="preserve">Figure </w:t>
            </w:r>
            <w:r w:rsidR="008D2536">
              <w:rPr>
                <w:rFonts w:asciiTheme="minorHAnsi" w:hAnsiTheme="minorHAnsi" w:cstheme="minorHAnsi"/>
                <w:b/>
                <w:bCs/>
                <w:color w:val="FFFFFF" w:themeColor="background1"/>
              </w:rPr>
              <w:t xml:space="preserve">8.7: </w:t>
            </w:r>
            <w:r w:rsidRPr="008D2536">
              <w:rPr>
                <w:rFonts w:asciiTheme="minorHAnsi" w:hAnsiTheme="minorHAnsi" w:cstheme="minorHAnsi"/>
                <w:b/>
                <w:bCs/>
                <w:color w:val="FFFFFF" w:themeColor="background1"/>
              </w:rPr>
              <w:t>Incidence rate (per 100,000) for oesophag</w:t>
            </w:r>
            <w:r w:rsidR="002C41FA">
              <w:rPr>
                <w:rFonts w:asciiTheme="minorHAnsi" w:hAnsiTheme="minorHAnsi" w:cstheme="minorHAnsi"/>
                <w:b/>
                <w:bCs/>
                <w:color w:val="FFFFFF" w:themeColor="background1"/>
              </w:rPr>
              <w:t>eal</w:t>
            </w:r>
            <w:r w:rsidRPr="008D2536" w:rsidDel="002C41FA">
              <w:rPr>
                <w:rFonts w:asciiTheme="minorHAnsi" w:hAnsiTheme="minorHAnsi" w:cstheme="minorHAnsi"/>
                <w:b/>
                <w:bCs/>
                <w:color w:val="FFFFFF" w:themeColor="background1"/>
              </w:rPr>
              <w:t xml:space="preserve"> </w:t>
            </w:r>
            <w:r w:rsidRPr="008D2536">
              <w:rPr>
                <w:rFonts w:asciiTheme="minorHAnsi" w:hAnsiTheme="minorHAnsi" w:cstheme="minorHAnsi"/>
                <w:b/>
                <w:bCs/>
                <w:color w:val="FFFFFF" w:themeColor="background1"/>
              </w:rPr>
              <w:t>squamous cell carcinoma cancer by deprivation quintile, 2014-2018</w:t>
            </w:r>
          </w:p>
        </w:tc>
      </w:tr>
      <w:tr w:rsidR="00392601" w:rsidRPr="00927C7F" w14:paraId="0EB5C47C" w14:textId="77777777" w:rsidTr="0041177B">
        <w:trPr>
          <w:trHeight w:val="113"/>
        </w:trPr>
        <w:tc>
          <w:tcPr>
            <w:tcW w:w="3348" w:type="dxa"/>
            <w:hideMark/>
          </w:tcPr>
          <w:p w14:paraId="0A1491D9" w14:textId="77777777" w:rsidR="00392601" w:rsidRPr="00927C7F" w:rsidRDefault="00392601" w:rsidP="0041177B">
            <w:pPr>
              <w:jc w:val="center"/>
              <w:rPr>
                <w:rFonts w:asciiTheme="minorHAnsi" w:hAnsiTheme="minorHAnsi" w:cstheme="minorHAnsi"/>
                <w:color w:val="000000" w:themeColor="text1"/>
              </w:rPr>
            </w:pPr>
            <w:r w:rsidRPr="00927C7F">
              <w:rPr>
                <w:rFonts w:asciiTheme="minorHAnsi" w:hAnsiTheme="minorHAnsi" w:cstheme="minorHAnsi"/>
                <w:color w:val="000000" w:themeColor="text1"/>
              </w:rPr>
              <w:t>Total</w:t>
            </w:r>
          </w:p>
        </w:tc>
        <w:tc>
          <w:tcPr>
            <w:tcW w:w="3210" w:type="dxa"/>
          </w:tcPr>
          <w:p w14:paraId="522BEB14" w14:textId="77777777" w:rsidR="00392601" w:rsidRPr="00927C7F" w:rsidRDefault="00392601" w:rsidP="0041177B">
            <w:pPr>
              <w:jc w:val="center"/>
              <w:rPr>
                <w:rFonts w:asciiTheme="minorHAnsi" w:hAnsiTheme="minorHAnsi" w:cstheme="minorHAnsi"/>
                <w:color w:val="000000" w:themeColor="text1"/>
              </w:rPr>
            </w:pPr>
            <w:r w:rsidRPr="00927C7F">
              <w:rPr>
                <w:rFonts w:asciiTheme="minorHAnsi" w:hAnsiTheme="minorHAnsi" w:cstheme="minorHAnsi"/>
                <w:color w:val="000000" w:themeColor="text1"/>
              </w:rPr>
              <w:t>Males</w:t>
            </w:r>
          </w:p>
        </w:tc>
        <w:tc>
          <w:tcPr>
            <w:tcW w:w="3210" w:type="dxa"/>
          </w:tcPr>
          <w:p w14:paraId="79E62F69" w14:textId="77777777" w:rsidR="00392601" w:rsidRPr="00F42967" w:rsidRDefault="00392601" w:rsidP="0041177B">
            <w:pPr>
              <w:jc w:val="center"/>
              <w:rPr>
                <w:rFonts w:asciiTheme="minorHAnsi" w:hAnsiTheme="minorHAnsi" w:cstheme="minorHAnsi"/>
                <w:color w:val="000000" w:themeColor="text1"/>
              </w:rPr>
            </w:pPr>
            <w:r w:rsidRPr="00927C7F">
              <w:rPr>
                <w:rFonts w:asciiTheme="minorHAnsi" w:hAnsiTheme="minorHAnsi" w:cstheme="minorHAnsi"/>
                <w:color w:val="000000" w:themeColor="text1"/>
              </w:rPr>
              <w:t>Females</w:t>
            </w:r>
          </w:p>
        </w:tc>
      </w:tr>
      <w:tr w:rsidR="00392601" w:rsidRPr="00927C7F" w14:paraId="7E53C8FF" w14:textId="77777777" w:rsidTr="0041177B">
        <w:trPr>
          <w:trHeight w:val="113"/>
        </w:trPr>
        <w:tc>
          <w:tcPr>
            <w:tcW w:w="3348" w:type="dxa"/>
          </w:tcPr>
          <w:p w14:paraId="6E3F8DE7" w14:textId="77777777" w:rsidR="00392601" w:rsidRPr="00F42967" w:rsidRDefault="00392601" w:rsidP="0041177B">
            <w:pPr>
              <w:jc w:val="center"/>
              <w:rPr>
                <w:rFonts w:asciiTheme="minorHAnsi" w:eastAsia="Times New Roman" w:hAnsiTheme="minorHAnsi" w:cs="Times New Roman"/>
                <w:lang w:eastAsia="en-GB"/>
              </w:rPr>
            </w:pPr>
            <w:r w:rsidRPr="00927C7F">
              <w:rPr>
                <w:rFonts w:eastAsia="Times New Roman" w:cs="Times New Roman"/>
                <w:noProof/>
                <w:lang w:eastAsia="en-GB"/>
              </w:rPr>
              <w:drawing>
                <wp:inline distT="0" distB="0" distL="0" distR="0" wp14:anchorId="4EE367D5" wp14:editId="05132E46">
                  <wp:extent cx="1842929" cy="1436400"/>
                  <wp:effectExtent l="0" t="0" r="5080" b="0"/>
                  <wp:docPr id="27851853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18535" name="Picture 37"/>
                          <pic:cNvPicPr>
                            <a:picLocks noChangeAspect="1" noChangeArrowheads="1"/>
                          </pic:cNvPicPr>
                        </pic:nvPicPr>
                        <pic:blipFill>
                          <a:blip r:embed="rId102">
                            <a:extLst>
                              <a:ext uri="{96DAC541-7B7A-43D3-8B79-37D633B846F1}">
                                <asvg:svgBlip xmlns:asvg="http://schemas.microsoft.com/office/drawing/2016/SVG/main" r:embed="rId103"/>
                              </a:ext>
                            </a:extLst>
                          </a:blip>
                          <a:stretch>
                            <a:fillRect/>
                          </a:stretch>
                        </pic:blipFill>
                        <pic:spPr bwMode="auto">
                          <a:xfrm>
                            <a:off x="0" y="0"/>
                            <a:ext cx="1842929" cy="1436400"/>
                          </a:xfrm>
                          <a:prstGeom prst="rect">
                            <a:avLst/>
                          </a:prstGeom>
                        </pic:spPr>
                      </pic:pic>
                    </a:graphicData>
                  </a:graphic>
                </wp:inline>
              </w:drawing>
            </w:r>
          </w:p>
        </w:tc>
        <w:tc>
          <w:tcPr>
            <w:tcW w:w="3210" w:type="dxa"/>
            <w:vAlign w:val="center"/>
          </w:tcPr>
          <w:p w14:paraId="1733D45A" w14:textId="77777777" w:rsidR="00392601" w:rsidRPr="00927C7F" w:rsidRDefault="00392601" w:rsidP="0041177B">
            <w:pPr>
              <w:jc w:val="center"/>
              <w:rPr>
                <w:rFonts w:asciiTheme="minorHAnsi" w:hAnsiTheme="minorHAnsi" w:cstheme="minorHAnsi"/>
                <w:color w:val="000000" w:themeColor="text1"/>
              </w:rPr>
            </w:pPr>
            <w:r w:rsidRPr="00927C7F">
              <w:rPr>
                <w:rFonts w:eastAsia="Times New Roman" w:cs="Times New Roman"/>
                <w:noProof/>
                <w:lang w:eastAsia="en-GB"/>
              </w:rPr>
              <w:drawing>
                <wp:inline distT="0" distB="0" distL="0" distR="0" wp14:anchorId="4BE2E961" wp14:editId="5B1FFFAF">
                  <wp:extent cx="1842929" cy="1436400"/>
                  <wp:effectExtent l="0" t="0" r="5080" b="0"/>
                  <wp:docPr id="124716769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67691" name="Picture 38"/>
                          <pic:cNvPicPr>
                            <a:picLocks noChangeAspect="1" noChangeArrowheads="1"/>
                          </pic:cNvPicPr>
                        </pic:nvPicPr>
                        <pic:blipFill>
                          <a:blip r:embed="rId104">
                            <a:extLst>
                              <a:ext uri="{96DAC541-7B7A-43D3-8B79-37D633B846F1}">
                                <asvg:svgBlip xmlns:asvg="http://schemas.microsoft.com/office/drawing/2016/SVG/main" r:embed="rId105"/>
                              </a:ext>
                            </a:extLst>
                          </a:blip>
                          <a:stretch>
                            <a:fillRect/>
                          </a:stretch>
                        </pic:blipFill>
                        <pic:spPr bwMode="auto">
                          <a:xfrm>
                            <a:off x="0" y="0"/>
                            <a:ext cx="1842929" cy="1436400"/>
                          </a:xfrm>
                          <a:prstGeom prst="rect">
                            <a:avLst/>
                          </a:prstGeom>
                        </pic:spPr>
                      </pic:pic>
                    </a:graphicData>
                  </a:graphic>
                </wp:inline>
              </w:drawing>
            </w:r>
          </w:p>
        </w:tc>
        <w:tc>
          <w:tcPr>
            <w:tcW w:w="3210" w:type="dxa"/>
          </w:tcPr>
          <w:p w14:paraId="3A6636DE" w14:textId="77777777" w:rsidR="00392601" w:rsidRPr="00F42967" w:rsidRDefault="00392601" w:rsidP="0041177B">
            <w:pPr>
              <w:jc w:val="center"/>
              <w:rPr>
                <w:rFonts w:asciiTheme="minorHAnsi" w:hAnsiTheme="minorHAnsi" w:cstheme="minorHAnsi"/>
                <w:color w:val="000000" w:themeColor="text1"/>
              </w:rPr>
            </w:pPr>
            <w:r w:rsidRPr="00927C7F">
              <w:rPr>
                <w:rFonts w:cstheme="minorHAnsi"/>
                <w:noProof/>
                <w:color w:val="000000" w:themeColor="text1"/>
              </w:rPr>
              <w:drawing>
                <wp:inline distT="0" distB="0" distL="0" distR="0" wp14:anchorId="75A0C76B" wp14:editId="340F54D3">
                  <wp:extent cx="1842929" cy="1436400"/>
                  <wp:effectExtent l="0" t="0" r="5080" b="0"/>
                  <wp:docPr id="186340597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405976" name="Picture 39"/>
                          <pic:cNvPicPr>
                            <a:picLocks noChangeAspect="1" noChangeArrowheads="1"/>
                          </pic:cNvPicPr>
                        </pic:nvPicPr>
                        <pic:blipFill>
                          <a:blip r:embed="rId106">
                            <a:extLst>
                              <a:ext uri="{96DAC541-7B7A-43D3-8B79-37D633B846F1}">
                                <asvg:svgBlip xmlns:asvg="http://schemas.microsoft.com/office/drawing/2016/SVG/main" r:embed="rId107"/>
                              </a:ext>
                            </a:extLst>
                          </a:blip>
                          <a:stretch>
                            <a:fillRect/>
                          </a:stretch>
                        </pic:blipFill>
                        <pic:spPr bwMode="auto">
                          <a:xfrm>
                            <a:off x="0" y="0"/>
                            <a:ext cx="1842929" cy="1436400"/>
                          </a:xfrm>
                          <a:prstGeom prst="rect">
                            <a:avLst/>
                          </a:prstGeom>
                        </pic:spPr>
                      </pic:pic>
                    </a:graphicData>
                  </a:graphic>
                </wp:inline>
              </w:drawing>
            </w:r>
          </w:p>
        </w:tc>
      </w:tr>
    </w:tbl>
    <w:p w14:paraId="6F52E37B" w14:textId="77777777" w:rsidR="00392601" w:rsidRPr="005648D7" w:rsidRDefault="00392601" w:rsidP="00392601">
      <w:pPr>
        <w:spacing w:after="0" w:line="240" w:lineRule="auto"/>
        <w:rPr>
          <w:rFonts w:cstheme="minorHAnsi"/>
          <w:color w:val="000000" w:themeColor="text1"/>
          <w:highlight w:val="yellow"/>
        </w:rPr>
      </w:pPr>
    </w:p>
    <w:p w14:paraId="59EDE7D5" w14:textId="77777777" w:rsidR="00392601" w:rsidRDefault="00392601" w:rsidP="00392601">
      <w:pPr>
        <w:pStyle w:val="Heading3"/>
        <w:spacing w:before="0" w:after="0" w:line="240" w:lineRule="auto"/>
      </w:pPr>
      <w:bookmarkStart w:id="145" w:name="_Toc197557077"/>
      <w:bookmarkStart w:id="146" w:name="_Toc201512471"/>
      <w:r>
        <w:t>Mortality</w:t>
      </w:r>
      <w:bookmarkEnd w:id="145"/>
      <w:bookmarkEnd w:id="146"/>
    </w:p>
    <w:p w14:paraId="3ADD4422" w14:textId="793B4BD6" w:rsidR="00392601" w:rsidRDefault="007A1D5E" w:rsidP="00392601">
      <w:pPr>
        <w:spacing w:after="0" w:line="240" w:lineRule="auto"/>
      </w:pPr>
      <w:r w:rsidRPr="004C7861">
        <w:t>CSO mortality data does not provide mortality figures at the tumour morphological level</w:t>
      </w:r>
      <w:r>
        <w:t xml:space="preserve"> therefore mortality trends are not presented</w:t>
      </w:r>
      <w:r w:rsidR="00035231">
        <w:t>.</w:t>
      </w:r>
    </w:p>
    <w:p w14:paraId="606D3CE7" w14:textId="77777777" w:rsidR="00286FD6" w:rsidRPr="006B3E01" w:rsidRDefault="00286FD6" w:rsidP="00392601">
      <w:pPr>
        <w:spacing w:after="0" w:line="240" w:lineRule="auto"/>
      </w:pPr>
    </w:p>
    <w:p w14:paraId="558BA032" w14:textId="77777777" w:rsidR="00392601" w:rsidRDefault="00392601" w:rsidP="00392601">
      <w:pPr>
        <w:pStyle w:val="Heading3"/>
        <w:spacing w:before="0" w:after="0" w:line="240" w:lineRule="auto"/>
      </w:pPr>
      <w:bookmarkStart w:id="147" w:name="_Toc197557078"/>
      <w:bookmarkStart w:id="148" w:name="_Toc201512472"/>
      <w:r>
        <w:t>Survival</w:t>
      </w:r>
      <w:bookmarkEnd w:id="147"/>
      <w:bookmarkEnd w:id="148"/>
      <w:r>
        <w:t xml:space="preserve"> </w:t>
      </w:r>
    </w:p>
    <w:p w14:paraId="688D81D1" w14:textId="2960B23C" w:rsidR="00392601" w:rsidRDefault="00392601" w:rsidP="00392601">
      <w:pPr>
        <w:spacing w:after="0" w:line="240" w:lineRule="auto"/>
        <w:rPr>
          <w:rFonts w:ascii="Segoe UI" w:eastAsia="Segoe UI" w:hAnsi="Segoe UI" w:cs="Segoe UI"/>
          <w:sz w:val="18"/>
          <w:szCs w:val="18"/>
        </w:rPr>
      </w:pPr>
      <w:bookmarkStart w:id="149" w:name="_Hlk196479339"/>
      <w:r w:rsidRPr="61F24C2E">
        <w:t xml:space="preserve">For </w:t>
      </w:r>
      <w:r w:rsidRPr="61F24C2E">
        <w:rPr>
          <w:rStyle w:val="Emphasis"/>
          <w:i w:val="0"/>
        </w:rPr>
        <w:t xml:space="preserve">oesophageal squamous cell carcinoma, </w:t>
      </w:r>
      <w:r w:rsidR="00C65D1E" w:rsidRPr="61F24C2E">
        <w:t>overall,</w:t>
      </w:r>
      <w:r w:rsidRPr="61F24C2E">
        <w:t xml:space="preserve"> 5-year net survival was 22% for cases diagnosed during 2019-2022 (Figure </w:t>
      </w:r>
      <w:r w:rsidR="008D2536">
        <w:t>8.8</w:t>
      </w:r>
      <w:r w:rsidRPr="61F24C2E">
        <w:t>). It was not possible to calculate five-year</w:t>
      </w:r>
      <w:r w:rsidR="007A1D5E">
        <w:t xml:space="preserve"> age</w:t>
      </w:r>
      <w:r w:rsidR="00B50FC9">
        <w:t>-</w:t>
      </w:r>
      <w:r w:rsidR="007A1D5E">
        <w:t>standardised</w:t>
      </w:r>
      <w:r w:rsidRPr="61F24C2E">
        <w:t xml:space="preserve"> net survival for females for 2019-2022 due to an </w:t>
      </w:r>
      <w:r w:rsidRPr="61F24C2E">
        <w:rPr>
          <w:rFonts w:eastAsiaTheme="minorEastAsia"/>
        </w:rPr>
        <w:t xml:space="preserve">insufficient number of cases (Figure </w:t>
      </w:r>
      <w:r w:rsidR="008D2536">
        <w:rPr>
          <w:rFonts w:eastAsiaTheme="minorEastAsia"/>
        </w:rPr>
        <w:t>8.8</w:t>
      </w:r>
      <w:r w:rsidRPr="61F24C2E">
        <w:rPr>
          <w:rFonts w:eastAsiaTheme="minorEastAsia"/>
        </w:rPr>
        <w:t>).</w:t>
      </w:r>
    </w:p>
    <w:p w14:paraId="17BA1F19" w14:textId="77777777" w:rsidR="00392601" w:rsidRPr="005648D7" w:rsidRDefault="00392601" w:rsidP="00392601">
      <w:pPr>
        <w:spacing w:after="0" w:line="240" w:lineRule="auto"/>
        <w:rPr>
          <w:rFonts w:cstheme="minorHAnsi"/>
          <w:highlight w:val="yellow"/>
        </w:rPr>
      </w:pPr>
    </w:p>
    <w:tbl>
      <w:tblPr>
        <w:tblStyle w:val="TableGrid"/>
        <w:tblW w:w="977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1"/>
        <w:gridCol w:w="3176"/>
        <w:gridCol w:w="3161"/>
      </w:tblGrid>
      <w:tr w:rsidR="00392601" w:rsidRPr="00927C7F" w14:paraId="0B916630" w14:textId="77777777" w:rsidTr="0041177B">
        <w:trPr>
          <w:trHeight w:val="113"/>
        </w:trPr>
        <w:tc>
          <w:tcPr>
            <w:tcW w:w="9778" w:type="dxa"/>
            <w:gridSpan w:val="3"/>
            <w:shd w:val="clear" w:color="auto" w:fill="002060"/>
            <w:hideMark/>
          </w:tcPr>
          <w:bookmarkEnd w:id="149"/>
          <w:p w14:paraId="5A47B256" w14:textId="42555895" w:rsidR="00392601" w:rsidRPr="008D2536" w:rsidRDefault="00392601" w:rsidP="0041177B">
            <w:pPr>
              <w:rPr>
                <w:rFonts w:asciiTheme="minorHAnsi" w:hAnsiTheme="minorHAnsi" w:cstheme="minorHAnsi"/>
                <w:b/>
                <w:bCs/>
              </w:rPr>
            </w:pPr>
            <w:r w:rsidRPr="008D2536">
              <w:rPr>
                <w:rFonts w:asciiTheme="minorHAnsi" w:hAnsiTheme="minorHAnsi" w:cstheme="minorHAnsi"/>
                <w:b/>
                <w:bCs/>
              </w:rPr>
              <w:t xml:space="preserve">Figure </w:t>
            </w:r>
            <w:r w:rsidR="008D2536">
              <w:rPr>
                <w:rFonts w:asciiTheme="minorHAnsi" w:hAnsiTheme="minorHAnsi" w:cstheme="minorHAnsi"/>
                <w:b/>
                <w:bCs/>
              </w:rPr>
              <w:t>8.8:</w:t>
            </w:r>
            <w:r w:rsidRPr="008D2536">
              <w:rPr>
                <w:rFonts w:asciiTheme="minorHAnsi" w:hAnsiTheme="minorHAnsi" w:cstheme="minorHAnsi"/>
                <w:b/>
                <w:bCs/>
              </w:rPr>
              <w:t xml:space="preserve"> Age-standardised 5-year net survival (%) for squamous cell carcinoma cancer over six consecutive diagnosis periods</w:t>
            </w:r>
          </w:p>
        </w:tc>
      </w:tr>
      <w:tr w:rsidR="00392601" w:rsidRPr="00927C7F" w14:paraId="2818D16B" w14:textId="77777777" w:rsidTr="0041177B">
        <w:trPr>
          <w:trHeight w:val="113"/>
        </w:trPr>
        <w:tc>
          <w:tcPr>
            <w:tcW w:w="3427" w:type="dxa"/>
            <w:hideMark/>
          </w:tcPr>
          <w:p w14:paraId="6409E3DA" w14:textId="77777777" w:rsidR="00392601" w:rsidRPr="00927C7F" w:rsidRDefault="00392601" w:rsidP="0041177B">
            <w:pPr>
              <w:jc w:val="center"/>
              <w:rPr>
                <w:rFonts w:asciiTheme="minorHAnsi" w:hAnsiTheme="minorHAnsi" w:cstheme="minorHAnsi"/>
                <w:color w:val="000000" w:themeColor="text1"/>
              </w:rPr>
            </w:pPr>
            <w:r w:rsidRPr="00927C7F">
              <w:rPr>
                <w:rFonts w:asciiTheme="minorHAnsi" w:hAnsiTheme="minorHAnsi" w:cstheme="minorHAnsi"/>
                <w:color w:val="000000" w:themeColor="text1"/>
              </w:rPr>
              <w:t>Total</w:t>
            </w:r>
          </w:p>
        </w:tc>
        <w:tc>
          <w:tcPr>
            <w:tcW w:w="3204" w:type="dxa"/>
          </w:tcPr>
          <w:p w14:paraId="6A7706AC" w14:textId="77777777" w:rsidR="00392601" w:rsidRPr="00927C7F" w:rsidRDefault="00392601" w:rsidP="0041177B">
            <w:pPr>
              <w:jc w:val="center"/>
              <w:rPr>
                <w:rFonts w:asciiTheme="minorHAnsi" w:hAnsiTheme="minorHAnsi" w:cstheme="minorHAnsi"/>
                <w:color w:val="000000" w:themeColor="text1"/>
              </w:rPr>
            </w:pPr>
            <w:r w:rsidRPr="00927C7F">
              <w:rPr>
                <w:rFonts w:asciiTheme="minorHAnsi" w:hAnsiTheme="minorHAnsi" w:cstheme="minorHAnsi"/>
                <w:color w:val="000000" w:themeColor="text1"/>
              </w:rPr>
              <w:t>Males</w:t>
            </w:r>
          </w:p>
        </w:tc>
        <w:tc>
          <w:tcPr>
            <w:tcW w:w="3147" w:type="dxa"/>
          </w:tcPr>
          <w:p w14:paraId="7347E493" w14:textId="77777777" w:rsidR="00392601" w:rsidRPr="00F42967" w:rsidRDefault="00392601" w:rsidP="0041177B">
            <w:pPr>
              <w:jc w:val="center"/>
              <w:rPr>
                <w:rFonts w:asciiTheme="minorHAnsi" w:hAnsiTheme="minorHAnsi" w:cstheme="minorHAnsi"/>
                <w:color w:val="000000" w:themeColor="text1"/>
              </w:rPr>
            </w:pPr>
            <w:r w:rsidRPr="00927C7F">
              <w:rPr>
                <w:rFonts w:asciiTheme="minorHAnsi" w:hAnsiTheme="minorHAnsi" w:cstheme="minorHAnsi"/>
                <w:color w:val="000000" w:themeColor="text1"/>
              </w:rPr>
              <w:t>Females</w:t>
            </w:r>
          </w:p>
        </w:tc>
      </w:tr>
      <w:tr w:rsidR="00392601" w:rsidRPr="00927C7F" w14:paraId="23B4DB56" w14:textId="77777777" w:rsidTr="0041177B">
        <w:trPr>
          <w:trHeight w:val="113"/>
        </w:trPr>
        <w:tc>
          <w:tcPr>
            <w:tcW w:w="3427" w:type="dxa"/>
          </w:tcPr>
          <w:p w14:paraId="5B26ACA4" w14:textId="77777777" w:rsidR="00392601" w:rsidRPr="00F42967" w:rsidRDefault="00392601" w:rsidP="0041177B">
            <w:pPr>
              <w:rPr>
                <w:rFonts w:asciiTheme="minorHAnsi" w:eastAsia="Times New Roman" w:hAnsiTheme="minorHAnsi" w:cs="Times New Roman"/>
                <w:lang w:eastAsia="en-GB"/>
              </w:rPr>
            </w:pPr>
            <w:r w:rsidRPr="00927C7F">
              <w:rPr>
                <w:rFonts w:eastAsia="Times New Roman" w:cs="Times New Roman"/>
                <w:noProof/>
                <w:lang w:eastAsia="en-GB"/>
              </w:rPr>
              <w:drawing>
                <wp:inline distT="0" distB="0" distL="0" distR="0" wp14:anchorId="4B35ED5B" wp14:editId="6DBCCB54">
                  <wp:extent cx="2118272" cy="1692000"/>
                  <wp:effectExtent l="0" t="0" r="0" b="3810"/>
                  <wp:docPr id="1628340300" name="Picture 40" descr="A graph of numbers and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340300" name="Picture 40" descr="A graph of numbers and a number of objects&#10;&#10;AI-generated content may be incorrect."/>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18272" cy="1692000"/>
                          </a:xfrm>
                          <a:prstGeom prst="rect">
                            <a:avLst/>
                          </a:prstGeom>
                          <a:noFill/>
                        </pic:spPr>
                      </pic:pic>
                    </a:graphicData>
                  </a:graphic>
                </wp:inline>
              </w:drawing>
            </w:r>
          </w:p>
        </w:tc>
        <w:tc>
          <w:tcPr>
            <w:tcW w:w="3204" w:type="dxa"/>
          </w:tcPr>
          <w:p w14:paraId="75BA0750" w14:textId="77777777" w:rsidR="00392601" w:rsidRPr="00927C7F" w:rsidRDefault="00392601" w:rsidP="0041177B">
            <w:pPr>
              <w:rPr>
                <w:rFonts w:asciiTheme="minorHAnsi" w:hAnsiTheme="minorHAnsi" w:cstheme="minorHAnsi"/>
                <w:color w:val="000000" w:themeColor="text1"/>
              </w:rPr>
            </w:pPr>
            <w:r w:rsidRPr="00927C7F">
              <w:rPr>
                <w:rFonts w:eastAsia="Times New Roman" w:cs="Times New Roman"/>
                <w:noProof/>
                <w:lang w:eastAsia="en-GB"/>
              </w:rPr>
              <w:drawing>
                <wp:inline distT="0" distB="0" distL="0" distR="0" wp14:anchorId="131343E5" wp14:editId="6706A665">
                  <wp:extent cx="1938479" cy="1695955"/>
                  <wp:effectExtent l="0" t="0" r="5080" b="0"/>
                  <wp:docPr id="71899545" name="Picture 41" descr="A graph of numbers and a number of blue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9545" name="Picture 41" descr="A graph of numbers and a number of blue rectangles&#10;&#10;AI-generated content may be incorrect."/>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43926" cy="1700720"/>
                          </a:xfrm>
                          <a:prstGeom prst="rect">
                            <a:avLst/>
                          </a:prstGeom>
                          <a:noFill/>
                        </pic:spPr>
                      </pic:pic>
                    </a:graphicData>
                  </a:graphic>
                </wp:inline>
              </w:drawing>
            </w:r>
          </w:p>
        </w:tc>
        <w:tc>
          <w:tcPr>
            <w:tcW w:w="3147" w:type="dxa"/>
          </w:tcPr>
          <w:p w14:paraId="7CB76BF0" w14:textId="77777777" w:rsidR="00392601" w:rsidRPr="00F42967" w:rsidRDefault="00392601" w:rsidP="0041177B">
            <w:pPr>
              <w:jc w:val="center"/>
              <w:rPr>
                <w:rFonts w:asciiTheme="minorHAnsi" w:hAnsiTheme="minorHAnsi" w:cstheme="minorHAnsi"/>
                <w:color w:val="000000" w:themeColor="text1"/>
              </w:rPr>
            </w:pPr>
            <w:r w:rsidRPr="00927C7F">
              <w:rPr>
                <w:rFonts w:cstheme="minorHAnsi"/>
                <w:noProof/>
                <w:color w:val="000000" w:themeColor="text1"/>
              </w:rPr>
              <w:drawing>
                <wp:inline distT="0" distB="0" distL="0" distR="0" wp14:anchorId="23D712E7" wp14:editId="052A70BF">
                  <wp:extent cx="1933958" cy="1692000"/>
                  <wp:effectExtent l="0" t="0" r="0" b="3810"/>
                  <wp:docPr id="1816690547" name="Picture 42" descr="A graph with numbers and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690547" name="Picture 42" descr="A graph with numbers and a number of objects&#10;&#10;AI-generated content may be incorrect."/>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33958" cy="1692000"/>
                          </a:xfrm>
                          <a:prstGeom prst="rect">
                            <a:avLst/>
                          </a:prstGeom>
                          <a:noFill/>
                        </pic:spPr>
                      </pic:pic>
                    </a:graphicData>
                  </a:graphic>
                </wp:inline>
              </w:drawing>
            </w:r>
          </w:p>
        </w:tc>
      </w:tr>
    </w:tbl>
    <w:p w14:paraId="6C4F4389" w14:textId="77777777" w:rsidR="00392601" w:rsidRDefault="00392601" w:rsidP="00392601">
      <w:pPr>
        <w:pStyle w:val="Heading3"/>
        <w:spacing w:before="0" w:after="0" w:line="240" w:lineRule="auto"/>
        <w:sectPr w:rsidR="00392601" w:rsidSect="002746C0">
          <w:pgSz w:w="11906" w:h="16838"/>
          <w:pgMar w:top="1440" w:right="1440" w:bottom="1440" w:left="1440" w:header="708" w:footer="708" w:gutter="0"/>
          <w:cols w:space="708"/>
          <w:docGrid w:linePitch="360"/>
        </w:sectPr>
      </w:pPr>
    </w:p>
    <w:p w14:paraId="37DEE20B" w14:textId="77777777" w:rsidR="00392601" w:rsidRDefault="00392601" w:rsidP="008D2536">
      <w:pPr>
        <w:pStyle w:val="Heading3"/>
        <w:spacing w:before="0" w:after="0" w:line="240" w:lineRule="auto"/>
      </w:pPr>
      <w:bookmarkStart w:id="150" w:name="_Toc197557079"/>
      <w:bookmarkStart w:id="151" w:name="_Toc201512473"/>
      <w:r>
        <w:t>Population Attributable Fraction</w:t>
      </w:r>
      <w:bookmarkEnd w:id="150"/>
      <w:bookmarkEnd w:id="151"/>
    </w:p>
    <w:p w14:paraId="7C92A2D3" w14:textId="3A1D0BE9" w:rsidR="00392601" w:rsidRDefault="00392601" w:rsidP="008D2536">
      <w:pPr>
        <w:spacing w:after="0" w:line="240" w:lineRule="auto"/>
        <w:rPr>
          <w:rStyle w:val="normaltextrun"/>
          <w:rFonts w:ascii="Aptos" w:hAnsi="Aptos"/>
          <w:color w:val="000000"/>
          <w:shd w:val="clear" w:color="auto" w:fill="FFFFFF"/>
        </w:rPr>
      </w:pPr>
      <w:r w:rsidRPr="00810294">
        <w:rPr>
          <w:rFonts w:cstheme="minorHAnsi"/>
        </w:rPr>
        <w:t xml:space="preserve">In 2022, 196 cases of </w:t>
      </w:r>
      <w:r w:rsidRPr="00576F9E">
        <w:rPr>
          <w:rStyle w:val="Emphasis"/>
          <w:rFonts w:cstheme="minorHAnsi"/>
          <w:i w:val="0"/>
          <w:iCs w:val="0"/>
        </w:rPr>
        <w:t>oesophag</w:t>
      </w:r>
      <w:r>
        <w:rPr>
          <w:rStyle w:val="Emphasis"/>
          <w:rFonts w:cstheme="minorHAnsi"/>
          <w:i w:val="0"/>
          <w:iCs w:val="0"/>
        </w:rPr>
        <w:t>eal</w:t>
      </w:r>
      <w:r w:rsidRPr="00576F9E">
        <w:rPr>
          <w:rStyle w:val="Emphasis"/>
          <w:rFonts w:cstheme="minorHAnsi"/>
          <w:i w:val="0"/>
          <w:iCs w:val="0"/>
        </w:rPr>
        <w:t xml:space="preserve"> squamous cell carcinoma </w:t>
      </w:r>
      <w:r w:rsidRPr="00810294">
        <w:rPr>
          <w:rFonts w:cstheme="minorHAnsi"/>
        </w:rPr>
        <w:t>were re</w:t>
      </w:r>
      <w:r>
        <w:rPr>
          <w:rFonts w:cstheme="minorHAnsi"/>
        </w:rPr>
        <w:t>corded</w:t>
      </w:r>
      <w:r w:rsidRPr="00810294">
        <w:rPr>
          <w:rFonts w:cstheme="minorHAnsi"/>
        </w:rPr>
        <w:t xml:space="preserve"> (102 males, 94 females).</w:t>
      </w:r>
      <w:r>
        <w:rPr>
          <w:rFonts w:cstheme="minorHAnsi"/>
        </w:rPr>
        <w:t xml:space="preserve"> </w:t>
      </w:r>
      <w:r>
        <w:rPr>
          <w:rStyle w:val="normaltextrun"/>
          <w:rFonts w:ascii="Aptos" w:hAnsi="Aptos"/>
          <w:color w:val="000000"/>
          <w:shd w:val="clear" w:color="auto" w:fill="FFFFFF"/>
        </w:rPr>
        <w:t xml:space="preserve">The estimated total number of cases of </w:t>
      </w:r>
      <w:r w:rsidRPr="00576F9E">
        <w:rPr>
          <w:rStyle w:val="Emphasis"/>
          <w:rFonts w:cstheme="minorHAnsi"/>
          <w:i w:val="0"/>
          <w:iCs w:val="0"/>
        </w:rPr>
        <w:t>oesophag</w:t>
      </w:r>
      <w:r>
        <w:rPr>
          <w:rStyle w:val="Emphasis"/>
          <w:rFonts w:cstheme="minorHAnsi"/>
          <w:i w:val="0"/>
          <w:iCs w:val="0"/>
        </w:rPr>
        <w:t>eal</w:t>
      </w:r>
      <w:r w:rsidRPr="00576F9E">
        <w:rPr>
          <w:rStyle w:val="Emphasis"/>
          <w:rFonts w:cstheme="minorHAnsi"/>
          <w:i w:val="0"/>
          <w:iCs w:val="0"/>
        </w:rPr>
        <w:t xml:space="preserve"> squamous cell carcinoma </w:t>
      </w:r>
      <w:r>
        <w:rPr>
          <w:rStyle w:val="normaltextrun"/>
          <w:rFonts w:ascii="Aptos" w:hAnsi="Aptos"/>
          <w:color w:val="000000"/>
          <w:shd w:val="clear" w:color="auto" w:fill="FFFFFF"/>
        </w:rPr>
        <w:t xml:space="preserve">attributable to smoking in Ireland in 2022 was 75 (PAF 38%). Table </w:t>
      </w:r>
      <w:r w:rsidR="008D2536">
        <w:rPr>
          <w:rStyle w:val="normaltextrun"/>
          <w:rFonts w:ascii="Aptos" w:hAnsi="Aptos"/>
          <w:color w:val="000000"/>
          <w:shd w:val="clear" w:color="auto" w:fill="FFFFFF"/>
        </w:rPr>
        <w:t>8.2</w:t>
      </w:r>
      <w:r>
        <w:rPr>
          <w:rStyle w:val="normaltextrun"/>
          <w:rFonts w:ascii="Aptos" w:hAnsi="Aptos"/>
          <w:color w:val="000000"/>
          <w:shd w:val="clear" w:color="auto" w:fill="FFFFFF"/>
        </w:rPr>
        <w:t xml:space="preserve"> presents the difference between male and female </w:t>
      </w:r>
      <w:r w:rsidRPr="00576F9E">
        <w:rPr>
          <w:rStyle w:val="Emphasis"/>
          <w:rFonts w:cstheme="minorHAnsi"/>
          <w:i w:val="0"/>
          <w:iCs w:val="0"/>
        </w:rPr>
        <w:t>oesophag</w:t>
      </w:r>
      <w:r>
        <w:rPr>
          <w:rStyle w:val="Emphasis"/>
          <w:rFonts w:cstheme="minorHAnsi"/>
          <w:i w:val="0"/>
          <w:iCs w:val="0"/>
        </w:rPr>
        <w:t>eal</w:t>
      </w:r>
      <w:r w:rsidRPr="00576F9E">
        <w:rPr>
          <w:rStyle w:val="Emphasis"/>
          <w:rFonts w:cstheme="minorHAnsi"/>
          <w:i w:val="0"/>
          <w:iCs w:val="0"/>
        </w:rPr>
        <w:t xml:space="preserve"> squamous cell carcinoma </w:t>
      </w:r>
      <w:r>
        <w:rPr>
          <w:rStyle w:val="normaltextrun"/>
          <w:rFonts w:ascii="Aptos" w:hAnsi="Aptos"/>
          <w:color w:val="000000"/>
          <w:shd w:val="clear" w:color="auto" w:fill="FFFFFF"/>
        </w:rPr>
        <w:t>incidence related to smoking. Males had a higher PAF than females, 52.1% vs 22.8%.</w:t>
      </w:r>
    </w:p>
    <w:p w14:paraId="207D68E6" w14:textId="77777777" w:rsidR="00392601" w:rsidRPr="00810294" w:rsidRDefault="00392601" w:rsidP="008D2536">
      <w:pPr>
        <w:spacing w:after="0" w:line="240" w:lineRule="auto"/>
        <w:rPr>
          <w:rFonts w:cstheme="minorHAnsi"/>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25"/>
        <w:gridCol w:w="2293"/>
        <w:gridCol w:w="2428"/>
        <w:gridCol w:w="2264"/>
      </w:tblGrid>
      <w:tr w:rsidR="00392601" w:rsidRPr="00810294" w14:paraId="2C66C4DB" w14:textId="77777777" w:rsidTr="006C1190">
        <w:trPr>
          <w:trHeight w:val="300"/>
        </w:trPr>
        <w:tc>
          <w:tcPr>
            <w:tcW w:w="9010" w:type="dxa"/>
            <w:gridSpan w:val="4"/>
            <w:tcBorders>
              <w:top w:val="single" w:sz="6" w:space="0" w:color="auto"/>
              <w:left w:val="single" w:sz="6" w:space="0" w:color="auto"/>
              <w:bottom w:val="single" w:sz="6" w:space="0" w:color="auto"/>
              <w:right w:val="single" w:sz="6" w:space="0" w:color="auto"/>
            </w:tcBorders>
            <w:shd w:val="clear" w:color="auto" w:fill="002060"/>
            <w:hideMark/>
          </w:tcPr>
          <w:p w14:paraId="062DF6EE" w14:textId="3CA630A1" w:rsidR="00392601" w:rsidRPr="008D2536" w:rsidRDefault="00392601" w:rsidP="008D2536">
            <w:pPr>
              <w:spacing w:after="0" w:line="240" w:lineRule="auto"/>
              <w:textAlignment w:val="baseline"/>
              <w:rPr>
                <w:rFonts w:ascii="Segoe UI" w:eastAsia="Times New Roman" w:hAnsi="Segoe UI" w:cs="Segoe UI"/>
                <w:b/>
                <w:bCs/>
                <w:kern w:val="0"/>
                <w:sz w:val="18"/>
                <w:szCs w:val="18"/>
                <w:lang w:eastAsia="en-GB"/>
                <w14:ligatures w14:val="none"/>
              </w:rPr>
            </w:pPr>
            <w:r w:rsidRPr="008D2536">
              <w:rPr>
                <w:rFonts w:ascii="Aptos" w:eastAsia="Times New Roman" w:hAnsi="Aptos" w:cs="Segoe UI"/>
                <w:b/>
                <w:bCs/>
                <w:color w:val="FFFFFF"/>
                <w:kern w:val="0"/>
                <w:lang w:eastAsia="en-GB"/>
                <w14:ligatures w14:val="none"/>
              </w:rPr>
              <w:t xml:space="preserve">Table </w:t>
            </w:r>
            <w:r w:rsidR="008D2536" w:rsidRPr="008D2536">
              <w:rPr>
                <w:rFonts w:ascii="Aptos" w:eastAsia="Times New Roman" w:hAnsi="Aptos" w:cs="Segoe UI"/>
                <w:b/>
                <w:bCs/>
                <w:color w:val="FFFFFF"/>
                <w:kern w:val="0"/>
                <w:lang w:eastAsia="en-GB"/>
                <w14:ligatures w14:val="none"/>
              </w:rPr>
              <w:t>8.</w:t>
            </w:r>
            <w:r w:rsidR="008D2536">
              <w:rPr>
                <w:rFonts w:ascii="Aptos" w:eastAsia="Times New Roman" w:hAnsi="Aptos" w:cs="Segoe UI"/>
                <w:b/>
                <w:bCs/>
                <w:color w:val="FFFFFF"/>
                <w:kern w:val="0"/>
                <w:lang w:eastAsia="en-GB"/>
                <w14:ligatures w14:val="none"/>
              </w:rPr>
              <w:t>2</w:t>
            </w:r>
            <w:r w:rsidR="008D2536" w:rsidRPr="008D2536">
              <w:rPr>
                <w:rFonts w:ascii="Aptos" w:eastAsia="Times New Roman" w:hAnsi="Aptos" w:cs="Segoe UI"/>
                <w:b/>
                <w:bCs/>
                <w:color w:val="FFFFFF"/>
                <w:kern w:val="0"/>
                <w:lang w:eastAsia="en-GB"/>
                <w14:ligatures w14:val="none"/>
              </w:rPr>
              <w:t>:</w:t>
            </w:r>
            <w:r w:rsidRPr="008D2536">
              <w:rPr>
                <w:rFonts w:ascii="Aptos" w:eastAsia="Times New Roman" w:hAnsi="Aptos" w:cs="Segoe UI"/>
                <w:b/>
                <w:bCs/>
                <w:color w:val="FFFFFF"/>
                <w:kern w:val="0"/>
                <w:lang w:eastAsia="en-GB"/>
                <w14:ligatures w14:val="none"/>
              </w:rPr>
              <w:t xml:space="preserve"> Population attributable fraction and attributable cases of </w:t>
            </w:r>
            <w:r w:rsidRPr="008D2536">
              <w:rPr>
                <w:rStyle w:val="Emphasis"/>
                <w:rFonts w:cstheme="minorHAnsi"/>
                <w:b/>
                <w:bCs/>
                <w:i w:val="0"/>
                <w:iCs w:val="0"/>
              </w:rPr>
              <w:t xml:space="preserve">oesophageal squamous cell carcinoma </w:t>
            </w:r>
            <w:r w:rsidRPr="008D2536">
              <w:rPr>
                <w:rFonts w:ascii="Aptos" w:eastAsia="Times New Roman" w:hAnsi="Aptos" w:cs="Segoe UI"/>
                <w:b/>
                <w:bCs/>
                <w:color w:val="FFFFFF"/>
                <w:kern w:val="0"/>
                <w:lang w:eastAsia="en-GB"/>
                <w14:ligatures w14:val="none"/>
              </w:rPr>
              <w:t>in 2022 </w:t>
            </w:r>
          </w:p>
        </w:tc>
      </w:tr>
      <w:tr w:rsidR="00392601" w:rsidRPr="00810294" w14:paraId="3F254C0F" w14:textId="77777777" w:rsidTr="006C1190">
        <w:trPr>
          <w:trHeight w:val="300"/>
        </w:trPr>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D9AC877" w14:textId="77777777" w:rsidR="00392601" w:rsidRPr="00810294" w:rsidRDefault="00392601" w:rsidP="0041177B">
            <w:pPr>
              <w:spacing w:after="0" w:line="240" w:lineRule="auto"/>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3609854D"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Total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264BAF6B"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Males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40956A8C"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Females </w:t>
            </w:r>
          </w:p>
        </w:tc>
      </w:tr>
      <w:tr w:rsidR="00392601" w:rsidRPr="00810294" w14:paraId="768F4FBE" w14:textId="77777777" w:rsidTr="006C1190">
        <w:trPr>
          <w:trHeight w:val="300"/>
        </w:trPr>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4E3B511" w14:textId="77777777" w:rsidR="00392601" w:rsidRPr="00810294" w:rsidRDefault="00392601" w:rsidP="0041177B">
            <w:pPr>
              <w:spacing w:after="0" w:line="240" w:lineRule="auto"/>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PAF (%)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7EA609F0"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38 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42D8484E"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52.1 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7E5AA595"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22.8 </w:t>
            </w:r>
          </w:p>
        </w:tc>
      </w:tr>
      <w:tr w:rsidR="000307F1" w:rsidRPr="00810294" w14:paraId="3075638C" w14:textId="77777777" w:rsidTr="006C1190">
        <w:trPr>
          <w:trHeight w:val="300"/>
        </w:trPr>
        <w:tc>
          <w:tcPr>
            <w:tcW w:w="2025" w:type="dxa"/>
            <w:tcBorders>
              <w:top w:val="single" w:sz="6" w:space="0" w:color="auto"/>
              <w:left w:val="single" w:sz="6" w:space="0" w:color="auto"/>
              <w:bottom w:val="single" w:sz="6" w:space="0" w:color="auto"/>
              <w:right w:val="single" w:sz="6" w:space="0" w:color="auto"/>
            </w:tcBorders>
            <w:shd w:val="clear" w:color="auto" w:fill="auto"/>
          </w:tcPr>
          <w:p w14:paraId="375A4305" w14:textId="1B60C493" w:rsidR="000307F1" w:rsidRPr="00810294" w:rsidRDefault="000307F1" w:rsidP="0041177B">
            <w:pPr>
              <w:spacing w:after="0" w:line="240" w:lineRule="auto"/>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Total cases</w:t>
            </w:r>
          </w:p>
        </w:tc>
        <w:tc>
          <w:tcPr>
            <w:tcW w:w="2293" w:type="dxa"/>
            <w:tcBorders>
              <w:top w:val="single" w:sz="6" w:space="0" w:color="auto"/>
              <w:left w:val="single" w:sz="6" w:space="0" w:color="auto"/>
              <w:bottom w:val="single" w:sz="6" w:space="0" w:color="auto"/>
              <w:right w:val="single" w:sz="6" w:space="0" w:color="auto"/>
            </w:tcBorders>
            <w:shd w:val="clear" w:color="auto" w:fill="auto"/>
          </w:tcPr>
          <w:p w14:paraId="1CC9F262" w14:textId="68C718F0" w:rsidR="000307F1" w:rsidRPr="00810294" w:rsidRDefault="000307F1"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196</w:t>
            </w:r>
          </w:p>
        </w:tc>
        <w:tc>
          <w:tcPr>
            <w:tcW w:w="2428" w:type="dxa"/>
            <w:tcBorders>
              <w:top w:val="single" w:sz="6" w:space="0" w:color="auto"/>
              <w:left w:val="single" w:sz="6" w:space="0" w:color="auto"/>
              <w:bottom w:val="single" w:sz="6" w:space="0" w:color="auto"/>
              <w:right w:val="single" w:sz="6" w:space="0" w:color="auto"/>
            </w:tcBorders>
            <w:shd w:val="clear" w:color="auto" w:fill="auto"/>
          </w:tcPr>
          <w:p w14:paraId="0A644BBB" w14:textId="71B43A2D" w:rsidR="000307F1" w:rsidRPr="00810294" w:rsidRDefault="000307F1"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102</w:t>
            </w:r>
          </w:p>
        </w:tc>
        <w:tc>
          <w:tcPr>
            <w:tcW w:w="2264" w:type="dxa"/>
            <w:tcBorders>
              <w:top w:val="single" w:sz="6" w:space="0" w:color="auto"/>
              <w:left w:val="single" w:sz="6" w:space="0" w:color="auto"/>
              <w:bottom w:val="single" w:sz="6" w:space="0" w:color="auto"/>
              <w:right w:val="single" w:sz="6" w:space="0" w:color="auto"/>
            </w:tcBorders>
            <w:shd w:val="clear" w:color="auto" w:fill="auto"/>
          </w:tcPr>
          <w:p w14:paraId="44BA0C44" w14:textId="685A9A8C" w:rsidR="000307F1" w:rsidRPr="00810294" w:rsidRDefault="000307F1"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94</w:t>
            </w:r>
          </w:p>
        </w:tc>
      </w:tr>
      <w:tr w:rsidR="00392601" w:rsidRPr="00810294" w14:paraId="5A0D2D64" w14:textId="77777777" w:rsidTr="006C1190">
        <w:trPr>
          <w:trHeight w:val="300"/>
        </w:trPr>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2F32DB9" w14:textId="77777777" w:rsidR="00392601" w:rsidRPr="00810294" w:rsidRDefault="00392601" w:rsidP="0041177B">
            <w:pPr>
              <w:spacing w:after="0" w:line="240" w:lineRule="auto"/>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Attributable cases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762DFC3A"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75 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5D323E2C"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53 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6B87F69F"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21 </w:t>
            </w:r>
          </w:p>
        </w:tc>
      </w:tr>
    </w:tbl>
    <w:p w14:paraId="46934A71" w14:textId="77777777" w:rsidR="00392601" w:rsidRPr="005648D7" w:rsidRDefault="00392601" w:rsidP="00392601">
      <w:pPr>
        <w:spacing w:after="0" w:line="240" w:lineRule="auto"/>
        <w:rPr>
          <w:rFonts w:cstheme="minorHAnsi"/>
          <w:highlight w:val="yellow"/>
        </w:rPr>
      </w:pPr>
    </w:p>
    <w:p w14:paraId="449D66ED" w14:textId="77777777" w:rsidR="00464E4B" w:rsidRDefault="00464E4B" w:rsidP="003E2932">
      <w:pPr>
        <w:sectPr w:rsidR="00464E4B" w:rsidSect="002746C0">
          <w:pgSz w:w="11906" w:h="16838"/>
          <w:pgMar w:top="1440" w:right="1440" w:bottom="1440" w:left="1440" w:header="708" w:footer="708" w:gutter="0"/>
          <w:cols w:space="708"/>
          <w:docGrid w:linePitch="360"/>
        </w:sectPr>
      </w:pPr>
    </w:p>
    <w:p w14:paraId="5C63736D" w14:textId="77777777" w:rsidR="00464E4B" w:rsidRDefault="00464E4B" w:rsidP="00464E4B">
      <w:pPr>
        <w:pStyle w:val="Heading1"/>
      </w:pPr>
      <w:bookmarkStart w:id="152" w:name="_Toc197557080"/>
      <w:bookmarkStart w:id="153" w:name="_Toc201512474"/>
      <w:r>
        <w:t>Stomach</w:t>
      </w:r>
      <w:r>
        <w:tab/>
        <w:t>C16</w:t>
      </w:r>
      <w:bookmarkEnd w:id="152"/>
      <w:bookmarkEnd w:id="153"/>
    </w:p>
    <w:p w14:paraId="6E500F29" w14:textId="77777777" w:rsidR="00464E4B" w:rsidRPr="00576F9E" w:rsidRDefault="00464E4B" w:rsidP="00464E4B">
      <w:pPr>
        <w:pStyle w:val="Subtitle"/>
        <w:spacing w:after="0" w:line="240" w:lineRule="auto"/>
        <w:rPr>
          <w:rStyle w:val="IntenseEmphasis"/>
          <w:rFonts w:cstheme="minorHAnsi"/>
        </w:rPr>
      </w:pPr>
      <w:r w:rsidRPr="00576F9E">
        <w:rPr>
          <w:rStyle w:val="IntenseEmphasis"/>
          <w:rFonts w:cstheme="minorHAnsi"/>
        </w:rPr>
        <w:t>Key points</w:t>
      </w:r>
    </w:p>
    <w:p w14:paraId="10628DAF" w14:textId="77777777" w:rsidR="00464E4B" w:rsidRPr="00576F9E" w:rsidRDefault="00464E4B" w:rsidP="00D752CB">
      <w:pPr>
        <w:pStyle w:val="Subtitle"/>
        <w:spacing w:after="0" w:line="240" w:lineRule="auto"/>
        <w:rPr>
          <w:rStyle w:val="Emphasis"/>
          <w:rFonts w:cstheme="minorHAnsi"/>
          <w:sz w:val="24"/>
          <w:szCs w:val="24"/>
        </w:rPr>
      </w:pPr>
      <w:r w:rsidRPr="00576F9E">
        <w:rPr>
          <w:rStyle w:val="Emphasis"/>
          <w:rFonts w:cstheme="minorHAnsi"/>
          <w:sz w:val="24"/>
          <w:szCs w:val="24"/>
        </w:rPr>
        <w:t>Incidence</w:t>
      </w:r>
    </w:p>
    <w:p w14:paraId="14F3EEB4" w14:textId="29A357F8" w:rsidR="00464E4B" w:rsidRDefault="00464E4B" w:rsidP="00D752CB">
      <w:pPr>
        <w:pStyle w:val="ListParagraph"/>
        <w:numPr>
          <w:ilvl w:val="0"/>
          <w:numId w:val="22"/>
        </w:numPr>
        <w:spacing w:after="0" w:line="240" w:lineRule="auto"/>
        <w:jc w:val="both"/>
        <w:rPr>
          <w:rStyle w:val="Emphasis"/>
          <w:rFonts w:cstheme="minorHAnsi"/>
          <w:i w:val="0"/>
          <w:iCs w:val="0"/>
        </w:rPr>
      </w:pPr>
      <w:r w:rsidRPr="002901FE">
        <w:rPr>
          <w:rStyle w:val="Emphasis"/>
          <w:rFonts w:cstheme="minorHAnsi"/>
          <w:i w:val="0"/>
          <w:iCs w:val="0"/>
        </w:rPr>
        <w:t xml:space="preserve">Incidence </w:t>
      </w:r>
      <w:r w:rsidR="00D752CB">
        <w:rPr>
          <w:rStyle w:val="Emphasis"/>
          <w:rFonts w:cstheme="minorHAnsi"/>
          <w:i w:val="0"/>
          <w:iCs w:val="0"/>
        </w:rPr>
        <w:t xml:space="preserve">rates </w:t>
      </w:r>
      <w:r w:rsidRPr="002901FE">
        <w:rPr>
          <w:rStyle w:val="Emphasis"/>
          <w:rFonts w:cstheme="minorHAnsi"/>
          <w:i w:val="0"/>
          <w:iCs w:val="0"/>
        </w:rPr>
        <w:t xml:space="preserve">decreased for males from 1994 to </w:t>
      </w:r>
      <w:r w:rsidR="00B50FC9" w:rsidRPr="002901FE">
        <w:rPr>
          <w:rStyle w:val="Emphasis"/>
          <w:rFonts w:cstheme="minorHAnsi"/>
          <w:i w:val="0"/>
          <w:iCs w:val="0"/>
        </w:rPr>
        <w:t xml:space="preserve">2002 </w:t>
      </w:r>
      <w:r w:rsidR="00B50FC9">
        <w:rPr>
          <w:rStyle w:val="Emphasis"/>
          <w:rFonts w:cstheme="minorHAnsi"/>
          <w:i w:val="0"/>
          <w:iCs w:val="0"/>
        </w:rPr>
        <w:t>and</w:t>
      </w:r>
      <w:r w:rsidRPr="002901FE">
        <w:rPr>
          <w:rStyle w:val="Emphasis"/>
          <w:rFonts w:cstheme="minorHAnsi"/>
          <w:i w:val="0"/>
          <w:iCs w:val="0"/>
        </w:rPr>
        <w:t xml:space="preserve"> then remained stable from 2001 to 2014 before decreasing again from 2014 to 2022. </w:t>
      </w:r>
    </w:p>
    <w:p w14:paraId="6D192FE7" w14:textId="6E2A864E" w:rsidR="00464E4B" w:rsidRDefault="00464E4B" w:rsidP="00D752CB">
      <w:pPr>
        <w:pStyle w:val="ListParagraph"/>
        <w:numPr>
          <w:ilvl w:val="0"/>
          <w:numId w:val="22"/>
        </w:numPr>
        <w:spacing w:after="0" w:line="240" w:lineRule="auto"/>
        <w:jc w:val="both"/>
        <w:rPr>
          <w:rStyle w:val="Emphasis"/>
          <w:rFonts w:cstheme="minorHAnsi"/>
          <w:i w:val="0"/>
          <w:iCs w:val="0"/>
        </w:rPr>
      </w:pPr>
      <w:r w:rsidRPr="002901FE">
        <w:rPr>
          <w:rStyle w:val="Emphasis"/>
          <w:rFonts w:cstheme="minorHAnsi"/>
          <w:i w:val="0"/>
          <w:iCs w:val="0"/>
        </w:rPr>
        <w:t xml:space="preserve">Across the period </w:t>
      </w:r>
      <w:r w:rsidR="00D752CB">
        <w:rPr>
          <w:rStyle w:val="Emphasis"/>
          <w:rFonts w:cstheme="minorHAnsi"/>
          <w:i w:val="0"/>
          <w:iCs w:val="0"/>
        </w:rPr>
        <w:t xml:space="preserve">1994 to 2022 </w:t>
      </w:r>
      <w:r>
        <w:rPr>
          <w:rStyle w:val="Emphasis"/>
          <w:rFonts w:cstheme="minorHAnsi"/>
          <w:i w:val="0"/>
          <w:iCs w:val="0"/>
        </w:rPr>
        <w:t>incidence</w:t>
      </w:r>
      <w:r w:rsidRPr="002901FE">
        <w:rPr>
          <w:rStyle w:val="Emphasis"/>
          <w:rFonts w:cstheme="minorHAnsi"/>
          <w:i w:val="0"/>
          <w:iCs w:val="0"/>
        </w:rPr>
        <w:t xml:space="preserve"> decreased steadily among </w:t>
      </w:r>
      <w:r w:rsidR="00BC7D1F">
        <w:rPr>
          <w:rStyle w:val="Emphasis"/>
          <w:rFonts w:cstheme="minorHAnsi"/>
          <w:i w:val="0"/>
          <w:iCs w:val="0"/>
        </w:rPr>
        <w:t>females</w:t>
      </w:r>
      <w:r w:rsidR="0004379F">
        <w:rPr>
          <w:rStyle w:val="Emphasis"/>
          <w:rFonts w:cstheme="minorHAnsi"/>
          <w:i w:val="0"/>
          <w:iCs w:val="0"/>
        </w:rPr>
        <w:t>.</w:t>
      </w:r>
    </w:p>
    <w:p w14:paraId="764EA9A1" w14:textId="26C143CE" w:rsidR="00D752CB" w:rsidRPr="0084480B" w:rsidRDefault="00D752CB" w:rsidP="00D752CB">
      <w:pPr>
        <w:pStyle w:val="ListParagraph"/>
        <w:numPr>
          <w:ilvl w:val="0"/>
          <w:numId w:val="22"/>
        </w:numPr>
        <w:spacing w:after="0" w:line="240" w:lineRule="auto"/>
        <w:jc w:val="both"/>
        <w:rPr>
          <w:rStyle w:val="Emphasis"/>
          <w:rFonts w:eastAsia="Times New Roman" w:cstheme="minorHAnsi"/>
          <w:color w:val="595959" w:themeColor="text1" w:themeTint="A6"/>
        </w:rPr>
      </w:pPr>
      <w:r w:rsidRPr="0084480B">
        <w:rPr>
          <w:rStyle w:val="Emphasis"/>
          <w:rFonts w:cstheme="minorHAnsi"/>
          <w:i w:val="0"/>
          <w:iCs w:val="0"/>
        </w:rPr>
        <w:t xml:space="preserve">Age-standardised incidence rates of stomach cancer in 2014-2018 ranged </w:t>
      </w:r>
      <w:r>
        <w:rPr>
          <w:rStyle w:val="Emphasis"/>
          <w:rFonts w:cstheme="minorHAnsi"/>
          <w:i w:val="0"/>
          <w:iCs w:val="0"/>
        </w:rPr>
        <w:t xml:space="preserve">from </w:t>
      </w:r>
      <w:r w:rsidRPr="0084480B">
        <w:rPr>
          <w:rStyle w:val="Emphasis"/>
          <w:rFonts w:cstheme="minorHAnsi"/>
          <w:i w:val="0"/>
          <w:iCs w:val="0"/>
        </w:rPr>
        <w:t>13.3</w:t>
      </w:r>
      <w:r>
        <w:rPr>
          <w:rStyle w:val="Emphasis"/>
          <w:rFonts w:cstheme="minorHAnsi"/>
          <w:i w:val="0"/>
          <w:iCs w:val="0"/>
        </w:rPr>
        <w:t xml:space="preserve"> to </w:t>
      </w:r>
      <w:r w:rsidRPr="0084480B">
        <w:rPr>
          <w:rStyle w:val="Emphasis"/>
          <w:rFonts w:cstheme="minorHAnsi"/>
          <w:i w:val="0"/>
          <w:iCs w:val="0"/>
        </w:rPr>
        <w:t>20.</w:t>
      </w:r>
      <w:r w:rsidR="00861FA5">
        <w:rPr>
          <w:rStyle w:val="Emphasis"/>
          <w:rFonts w:cstheme="minorHAnsi"/>
          <w:i w:val="0"/>
          <w:iCs w:val="0"/>
        </w:rPr>
        <w:t>2</w:t>
      </w:r>
      <w:r w:rsidRPr="0084480B">
        <w:rPr>
          <w:rStyle w:val="Emphasis"/>
          <w:rFonts w:cstheme="minorHAnsi"/>
          <w:i w:val="0"/>
          <w:iCs w:val="0"/>
        </w:rPr>
        <w:t xml:space="preserve"> cases per 100,000 </w:t>
      </w:r>
      <w:r>
        <w:rPr>
          <w:rStyle w:val="Emphasis"/>
          <w:rFonts w:cstheme="minorHAnsi"/>
          <w:i w:val="0"/>
          <w:iCs w:val="0"/>
        </w:rPr>
        <w:t>in</w:t>
      </w:r>
      <w:r w:rsidRPr="0084480B">
        <w:rPr>
          <w:rStyle w:val="Emphasis"/>
          <w:rFonts w:cstheme="minorHAnsi"/>
          <w:i w:val="0"/>
          <w:iCs w:val="0"/>
        </w:rPr>
        <w:t xml:space="preserve"> the least to the most deprived quintiles</w:t>
      </w:r>
      <w:r>
        <w:rPr>
          <w:rStyle w:val="Emphasis"/>
          <w:rFonts w:cstheme="minorHAnsi"/>
          <w:i w:val="0"/>
          <w:iCs w:val="0"/>
        </w:rPr>
        <w:t>.</w:t>
      </w:r>
      <w:r w:rsidRPr="0084480B">
        <w:rPr>
          <w:rStyle w:val="Emphasis"/>
          <w:rFonts w:cstheme="minorHAnsi"/>
          <w:i w:val="0"/>
          <w:iCs w:val="0"/>
        </w:rPr>
        <w:t xml:space="preserve"> </w:t>
      </w:r>
    </w:p>
    <w:p w14:paraId="5ACCCC27" w14:textId="77777777" w:rsidR="00464E4B" w:rsidRPr="0084480B" w:rsidRDefault="00464E4B" w:rsidP="00D752CB">
      <w:pPr>
        <w:spacing w:after="0" w:line="240" w:lineRule="auto"/>
        <w:jc w:val="both"/>
        <w:rPr>
          <w:rStyle w:val="Emphasis"/>
          <w:rFonts w:eastAsia="Times New Roman" w:cstheme="minorHAnsi"/>
          <w:color w:val="595959" w:themeColor="text1" w:themeTint="A6"/>
        </w:rPr>
      </w:pPr>
      <w:r w:rsidRPr="0084480B">
        <w:rPr>
          <w:rStyle w:val="Emphasis"/>
          <w:rFonts w:cstheme="minorHAnsi"/>
          <w:color w:val="595959" w:themeColor="text1" w:themeTint="A6"/>
        </w:rPr>
        <w:t>Mortality</w:t>
      </w:r>
    </w:p>
    <w:p w14:paraId="6AF65A03" w14:textId="41410D86" w:rsidR="00464E4B" w:rsidRDefault="00464E4B" w:rsidP="00D752CB">
      <w:pPr>
        <w:pStyle w:val="ListParagraph"/>
        <w:numPr>
          <w:ilvl w:val="0"/>
          <w:numId w:val="23"/>
        </w:numPr>
        <w:spacing w:after="0" w:line="240" w:lineRule="auto"/>
        <w:jc w:val="both"/>
        <w:rPr>
          <w:rFonts w:eastAsia="Calibri" w:cstheme="minorHAnsi"/>
        </w:rPr>
      </w:pPr>
      <w:r w:rsidRPr="002901FE">
        <w:rPr>
          <w:rFonts w:eastAsia="Calibri" w:cstheme="minorHAnsi"/>
        </w:rPr>
        <w:t xml:space="preserve">In males there was a decline in mortality </w:t>
      </w:r>
      <w:r w:rsidR="00D752CB">
        <w:rPr>
          <w:rFonts w:eastAsia="Calibri" w:cstheme="minorHAnsi"/>
        </w:rPr>
        <w:t>rates from</w:t>
      </w:r>
      <w:r w:rsidRPr="002901FE">
        <w:rPr>
          <w:rFonts w:eastAsia="Calibri" w:cstheme="minorHAnsi"/>
        </w:rPr>
        <w:t xml:space="preserve"> 1994 to 2022</w:t>
      </w:r>
      <w:r w:rsidR="00D752CB">
        <w:rPr>
          <w:rFonts w:eastAsia="Calibri" w:cstheme="minorHAnsi"/>
        </w:rPr>
        <w:t>.</w:t>
      </w:r>
    </w:p>
    <w:p w14:paraId="07E8284B" w14:textId="742DDA24" w:rsidR="00464E4B" w:rsidRDefault="00464E4B" w:rsidP="00D752CB">
      <w:pPr>
        <w:pStyle w:val="ListParagraph"/>
        <w:numPr>
          <w:ilvl w:val="0"/>
          <w:numId w:val="23"/>
        </w:numPr>
        <w:spacing w:after="0" w:line="240" w:lineRule="auto"/>
        <w:jc w:val="both"/>
        <w:rPr>
          <w:rFonts w:eastAsia="Calibri" w:cstheme="minorHAnsi"/>
        </w:rPr>
      </w:pPr>
      <w:r w:rsidRPr="002901FE">
        <w:rPr>
          <w:rFonts w:eastAsia="Calibri" w:cstheme="minorHAnsi"/>
        </w:rPr>
        <w:t>A similar decline was seen in</w:t>
      </w:r>
      <w:r w:rsidR="00D752CB">
        <w:rPr>
          <w:rFonts w:eastAsia="Calibri" w:cstheme="minorHAnsi"/>
        </w:rPr>
        <w:t xml:space="preserve"> mortality rates in</w:t>
      </w:r>
      <w:r w:rsidRPr="002901FE">
        <w:rPr>
          <w:rFonts w:eastAsia="Calibri" w:cstheme="minorHAnsi"/>
        </w:rPr>
        <w:t xml:space="preserve"> females from 1994 to 2022</w:t>
      </w:r>
      <w:r w:rsidR="00D752CB">
        <w:rPr>
          <w:rFonts w:eastAsia="Calibri" w:cstheme="minorHAnsi"/>
        </w:rPr>
        <w:t>.</w:t>
      </w:r>
      <w:r w:rsidRPr="002901FE">
        <w:rPr>
          <w:rFonts w:eastAsia="Calibri" w:cstheme="minorHAnsi"/>
        </w:rPr>
        <w:t xml:space="preserve"> </w:t>
      </w:r>
    </w:p>
    <w:p w14:paraId="739A9F41" w14:textId="77777777" w:rsidR="00464E4B" w:rsidRPr="00576F9E" w:rsidRDefault="00464E4B" w:rsidP="00D752CB">
      <w:pPr>
        <w:pStyle w:val="Subtitle"/>
        <w:spacing w:after="0" w:line="240" w:lineRule="auto"/>
        <w:rPr>
          <w:rStyle w:val="Emphasis"/>
          <w:rFonts w:cstheme="minorHAnsi"/>
          <w:sz w:val="24"/>
          <w:szCs w:val="24"/>
        </w:rPr>
      </w:pPr>
      <w:r w:rsidRPr="00576F9E">
        <w:rPr>
          <w:rStyle w:val="Emphasis"/>
          <w:rFonts w:cstheme="minorHAnsi"/>
          <w:sz w:val="24"/>
          <w:szCs w:val="24"/>
        </w:rPr>
        <w:t>Survival</w:t>
      </w:r>
    </w:p>
    <w:p w14:paraId="0DDC8038" w14:textId="206ED8B7" w:rsidR="00464E4B" w:rsidRPr="00560200" w:rsidRDefault="00464E4B" w:rsidP="00D752CB">
      <w:pPr>
        <w:pStyle w:val="ListParagraph"/>
        <w:numPr>
          <w:ilvl w:val="0"/>
          <w:numId w:val="24"/>
        </w:numPr>
        <w:spacing w:after="0" w:line="240" w:lineRule="auto"/>
        <w:rPr>
          <w:rFonts w:eastAsia="Calibri" w:cstheme="minorHAnsi"/>
        </w:rPr>
      </w:pPr>
      <w:r w:rsidRPr="00560200">
        <w:rPr>
          <w:rFonts w:eastAsia="Calibri" w:cstheme="minorHAnsi"/>
        </w:rPr>
        <w:t>5-year net survival was 37% for cases diagnosed during 2019-2022.</w:t>
      </w:r>
    </w:p>
    <w:p w14:paraId="41CE8EB8" w14:textId="77777777" w:rsidR="00464E4B" w:rsidRPr="002901FE" w:rsidRDefault="00464E4B" w:rsidP="00D752CB">
      <w:pPr>
        <w:pStyle w:val="Subtitle"/>
        <w:spacing w:after="0" w:line="240" w:lineRule="auto"/>
        <w:rPr>
          <w:rStyle w:val="Emphasis"/>
          <w:rFonts w:eastAsiaTheme="minorHAnsi" w:cstheme="minorHAnsi"/>
          <w:spacing w:val="0"/>
          <w:sz w:val="24"/>
          <w:szCs w:val="24"/>
        </w:rPr>
      </w:pPr>
      <w:r w:rsidRPr="002901FE">
        <w:rPr>
          <w:rStyle w:val="Emphasis"/>
          <w:rFonts w:cstheme="minorHAnsi"/>
          <w:sz w:val="24"/>
          <w:szCs w:val="24"/>
        </w:rPr>
        <w:t>Population attributable fraction</w:t>
      </w:r>
    </w:p>
    <w:p w14:paraId="2C45EFF4" w14:textId="77777777" w:rsidR="00464E4B" w:rsidRDefault="00464E4B" w:rsidP="00D752CB">
      <w:pPr>
        <w:pStyle w:val="ListParagraph"/>
        <w:numPr>
          <w:ilvl w:val="0"/>
          <w:numId w:val="25"/>
        </w:numPr>
        <w:spacing w:after="0" w:line="240" w:lineRule="auto"/>
      </w:pPr>
      <w:r w:rsidRPr="002901FE">
        <w:t xml:space="preserve">The estimated total number of </w:t>
      </w:r>
      <w:r>
        <w:t xml:space="preserve">cases of </w:t>
      </w:r>
      <w:r w:rsidRPr="002901FE">
        <w:t xml:space="preserve">stomach cancer attributable to smoking in Ireland in 2022 was 91 (PAF 14.8%). </w:t>
      </w:r>
    </w:p>
    <w:p w14:paraId="0395729D" w14:textId="77777777" w:rsidR="00464E4B" w:rsidRDefault="00464E4B" w:rsidP="00464E4B">
      <w:pPr>
        <w:spacing w:after="0" w:line="240" w:lineRule="auto"/>
      </w:pPr>
    </w:p>
    <w:p w14:paraId="175AAE54" w14:textId="77777777" w:rsidR="00464E4B" w:rsidRDefault="00464E4B" w:rsidP="00464E4B">
      <w:pPr>
        <w:spacing w:after="0" w:line="240" w:lineRule="auto"/>
        <w:sectPr w:rsidR="00464E4B" w:rsidSect="002746C0">
          <w:footerReference w:type="default" r:id="rId111"/>
          <w:pgSz w:w="11906" w:h="16838"/>
          <w:pgMar w:top="1440" w:right="1440" w:bottom="1440" w:left="1440" w:header="708" w:footer="708" w:gutter="0"/>
          <w:cols w:space="708"/>
          <w:docGrid w:linePitch="360"/>
        </w:sectPr>
      </w:pPr>
    </w:p>
    <w:p w14:paraId="0CDE9653" w14:textId="77777777" w:rsidR="00464E4B" w:rsidRDefault="00464E4B" w:rsidP="00464E4B">
      <w:pPr>
        <w:pStyle w:val="Heading2"/>
        <w:spacing w:before="0" w:after="0" w:line="240" w:lineRule="auto"/>
      </w:pPr>
      <w:bookmarkStart w:id="154" w:name="_Toc197557081"/>
      <w:bookmarkStart w:id="155" w:name="_Toc201512475"/>
      <w:r>
        <w:t>Incidence</w:t>
      </w:r>
      <w:bookmarkEnd w:id="154"/>
      <w:bookmarkEnd w:id="155"/>
    </w:p>
    <w:p w14:paraId="52399E68" w14:textId="51E8C2D6" w:rsidR="00464E4B" w:rsidRDefault="00464E4B" w:rsidP="00464E4B">
      <w:pPr>
        <w:spacing w:after="0" w:line="240" w:lineRule="auto"/>
        <w:rPr>
          <w:rFonts w:cstheme="minorHAnsi"/>
        </w:rPr>
      </w:pPr>
      <w:r>
        <w:t>Between</w:t>
      </w:r>
      <w:r w:rsidRPr="00BE50DD">
        <w:t xml:space="preserve"> 1994-2022, 15,068 cases of stomach cancer </w:t>
      </w:r>
      <w:r>
        <w:t>were</w:t>
      </w:r>
      <w:r w:rsidRPr="00BE50DD">
        <w:t xml:space="preserve"> reported (9,486 </w:t>
      </w:r>
      <w:r>
        <w:t>m</w:t>
      </w:r>
      <w:r w:rsidRPr="00BE50DD">
        <w:t xml:space="preserve">ales, 5,582 </w:t>
      </w:r>
      <w:r>
        <w:t>f</w:t>
      </w:r>
      <w:r w:rsidRPr="00BE50DD">
        <w:t xml:space="preserve">emales). The median age at diagnosis was 71 years </w:t>
      </w:r>
      <w:r>
        <w:t xml:space="preserve">(IQR </w:t>
      </w:r>
      <w:r w:rsidRPr="00BE50DD">
        <w:t xml:space="preserve">62-78) for males and 73 </w:t>
      </w:r>
      <w:r>
        <w:t xml:space="preserve">(IQR </w:t>
      </w:r>
      <w:r w:rsidRPr="00BE50DD">
        <w:t>63-81) for females.</w:t>
      </w:r>
      <w:r>
        <w:t xml:space="preserve"> </w:t>
      </w:r>
      <w:r w:rsidRPr="00BE50DD">
        <w:rPr>
          <w:rFonts w:cstheme="minorHAnsi"/>
        </w:rPr>
        <w:t xml:space="preserve">Age-standardised incidence rates of </w:t>
      </w:r>
      <w:r w:rsidR="002C41FA">
        <w:rPr>
          <w:rFonts w:cstheme="minorHAnsi"/>
        </w:rPr>
        <w:t>stomach</w:t>
      </w:r>
      <w:r w:rsidRPr="00BE50DD">
        <w:rPr>
          <w:rFonts w:cstheme="minorHAnsi"/>
        </w:rPr>
        <w:t xml:space="preserve"> cancer </w:t>
      </w:r>
      <w:r w:rsidR="00D752CB">
        <w:rPr>
          <w:rFonts w:cstheme="minorHAnsi"/>
        </w:rPr>
        <w:t>during the period</w:t>
      </w:r>
      <w:r w:rsidRPr="00BE50DD">
        <w:rPr>
          <w:rFonts w:cstheme="minorHAnsi"/>
        </w:rPr>
        <w:t xml:space="preserve"> 1994-2022 were 26.0 cases per 100,000 males and 12.6 cases per 100,000 females per year</w:t>
      </w:r>
      <w:r>
        <w:rPr>
          <w:rFonts w:cstheme="minorHAnsi"/>
        </w:rPr>
        <w:t xml:space="preserve">. </w:t>
      </w:r>
      <w:r w:rsidRPr="00BE50DD">
        <w:rPr>
          <w:rFonts w:cstheme="minorHAnsi"/>
        </w:rPr>
        <w:t xml:space="preserve">Figure </w:t>
      </w:r>
      <w:r w:rsidR="00A26B61">
        <w:rPr>
          <w:rFonts w:cstheme="minorHAnsi"/>
        </w:rPr>
        <w:t>9.1</w:t>
      </w:r>
      <w:r w:rsidRPr="00BE50DD">
        <w:rPr>
          <w:rFonts w:cstheme="minorHAnsi"/>
        </w:rPr>
        <w:t xml:space="preserve"> breaks this down further by sex and age group.</w:t>
      </w:r>
    </w:p>
    <w:p w14:paraId="077ED4BA" w14:textId="77777777" w:rsidR="00464E4B" w:rsidRPr="003E2D05" w:rsidRDefault="00464E4B" w:rsidP="00464E4B">
      <w:pPr>
        <w:spacing w:after="0" w:line="240" w:lineRule="auto"/>
        <w:rPr>
          <w:rFonts w:cstheme="minorHAnsi"/>
        </w:rPr>
      </w:pPr>
    </w:p>
    <w:tbl>
      <w:tblPr>
        <w:tblStyle w:val="TableGrid"/>
        <w:tblW w:w="976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3"/>
        <w:gridCol w:w="3273"/>
        <w:gridCol w:w="3222"/>
      </w:tblGrid>
      <w:tr w:rsidR="00464E4B" w:rsidRPr="003E2D05" w14:paraId="2D74B307" w14:textId="77777777" w:rsidTr="0041177B">
        <w:trPr>
          <w:trHeight w:val="113"/>
        </w:trPr>
        <w:tc>
          <w:tcPr>
            <w:tcW w:w="9768" w:type="dxa"/>
            <w:gridSpan w:val="3"/>
            <w:shd w:val="clear" w:color="auto" w:fill="002060"/>
            <w:hideMark/>
          </w:tcPr>
          <w:p w14:paraId="27B387FD" w14:textId="1B3FC8E3" w:rsidR="00464E4B" w:rsidRPr="00A26B61" w:rsidRDefault="00464E4B" w:rsidP="0041177B">
            <w:pPr>
              <w:rPr>
                <w:rFonts w:cstheme="minorHAnsi"/>
                <w:b/>
                <w:bCs/>
                <w:color w:val="FFFFFF" w:themeColor="background1"/>
              </w:rPr>
            </w:pPr>
            <w:r w:rsidRPr="00A26B61">
              <w:rPr>
                <w:rFonts w:asciiTheme="minorHAnsi" w:hAnsiTheme="minorHAnsi" w:cstheme="minorHAnsi"/>
                <w:b/>
                <w:bCs/>
                <w:color w:val="FFFFFF" w:themeColor="background1"/>
              </w:rPr>
              <w:t xml:space="preserve">Figure </w:t>
            </w:r>
            <w:r w:rsidR="00A26B61" w:rsidRPr="00A26B61">
              <w:rPr>
                <w:rFonts w:asciiTheme="minorHAnsi" w:hAnsiTheme="minorHAnsi" w:cstheme="minorHAnsi"/>
                <w:b/>
                <w:bCs/>
                <w:color w:val="FFFFFF" w:themeColor="background1"/>
              </w:rPr>
              <w:t xml:space="preserve">9.1: </w:t>
            </w:r>
            <w:r w:rsidRPr="00A26B61">
              <w:rPr>
                <w:rFonts w:asciiTheme="minorHAnsi" w:hAnsiTheme="minorHAnsi" w:cstheme="minorHAnsi"/>
                <w:b/>
                <w:bCs/>
                <w:color w:val="FFFFFF" w:themeColor="background1"/>
              </w:rPr>
              <w:t xml:space="preserve">Incidence rate (per 100,000) for stomach cancer by </w:t>
            </w:r>
            <w:r w:rsidR="00366242">
              <w:rPr>
                <w:rFonts w:asciiTheme="minorHAnsi" w:hAnsiTheme="minorHAnsi" w:cstheme="minorHAnsi"/>
                <w:b/>
                <w:bCs/>
                <w:color w:val="FFFFFF" w:themeColor="background1"/>
              </w:rPr>
              <w:t>age group</w:t>
            </w:r>
            <w:r w:rsidRPr="00A26B61">
              <w:rPr>
                <w:rFonts w:asciiTheme="minorHAnsi" w:hAnsiTheme="minorHAnsi" w:cstheme="minorHAnsi"/>
                <w:b/>
                <w:bCs/>
                <w:color w:val="FFFFFF" w:themeColor="background1"/>
              </w:rPr>
              <w:t>,1994-2022</w:t>
            </w:r>
          </w:p>
        </w:tc>
      </w:tr>
      <w:tr w:rsidR="00464E4B" w:rsidRPr="003E2D05" w14:paraId="5F6BF2CA" w14:textId="77777777" w:rsidTr="0041177B">
        <w:trPr>
          <w:trHeight w:val="113"/>
        </w:trPr>
        <w:tc>
          <w:tcPr>
            <w:tcW w:w="3273" w:type="dxa"/>
            <w:hideMark/>
          </w:tcPr>
          <w:p w14:paraId="7104DD45" w14:textId="77777777" w:rsidR="00464E4B" w:rsidRPr="003E2D05" w:rsidRDefault="00464E4B" w:rsidP="0041177B">
            <w:pPr>
              <w:jc w:val="center"/>
              <w:rPr>
                <w:rFonts w:asciiTheme="minorHAnsi" w:hAnsiTheme="minorHAnsi" w:cstheme="minorHAnsi"/>
                <w:color w:val="000000" w:themeColor="text1"/>
              </w:rPr>
            </w:pPr>
            <w:r w:rsidRPr="003E2D05">
              <w:rPr>
                <w:rFonts w:asciiTheme="minorHAnsi" w:hAnsiTheme="minorHAnsi" w:cstheme="minorHAnsi"/>
                <w:color w:val="000000" w:themeColor="text1"/>
              </w:rPr>
              <w:t>Total</w:t>
            </w:r>
          </w:p>
        </w:tc>
        <w:tc>
          <w:tcPr>
            <w:tcW w:w="3273" w:type="dxa"/>
          </w:tcPr>
          <w:p w14:paraId="62A99614" w14:textId="77777777" w:rsidR="00464E4B" w:rsidRPr="003E2D05" w:rsidRDefault="00464E4B" w:rsidP="0041177B">
            <w:pPr>
              <w:jc w:val="center"/>
              <w:rPr>
                <w:rFonts w:asciiTheme="minorHAnsi" w:hAnsiTheme="minorHAnsi" w:cstheme="minorHAnsi"/>
                <w:color w:val="000000" w:themeColor="text1"/>
              </w:rPr>
            </w:pPr>
            <w:r w:rsidRPr="003E2D05">
              <w:rPr>
                <w:rFonts w:asciiTheme="minorHAnsi" w:hAnsiTheme="minorHAnsi" w:cstheme="minorHAnsi"/>
                <w:color w:val="000000" w:themeColor="text1"/>
              </w:rPr>
              <w:t>Males</w:t>
            </w:r>
          </w:p>
        </w:tc>
        <w:tc>
          <w:tcPr>
            <w:tcW w:w="3222" w:type="dxa"/>
          </w:tcPr>
          <w:p w14:paraId="1EEF5A67" w14:textId="77777777" w:rsidR="00464E4B" w:rsidRPr="003E2D05" w:rsidRDefault="00464E4B" w:rsidP="0041177B">
            <w:pPr>
              <w:jc w:val="center"/>
              <w:rPr>
                <w:rFonts w:cstheme="minorHAnsi"/>
                <w:color w:val="000000" w:themeColor="text1"/>
              </w:rPr>
            </w:pPr>
            <w:r w:rsidRPr="003E2D05">
              <w:rPr>
                <w:rFonts w:asciiTheme="minorHAnsi" w:hAnsiTheme="minorHAnsi" w:cstheme="minorHAnsi"/>
                <w:color w:val="000000" w:themeColor="text1"/>
              </w:rPr>
              <w:t>Females</w:t>
            </w:r>
          </w:p>
        </w:tc>
      </w:tr>
      <w:tr w:rsidR="00464E4B" w:rsidRPr="003E2D05" w14:paraId="45D4ECE2" w14:textId="77777777" w:rsidTr="0041177B">
        <w:trPr>
          <w:trHeight w:val="113"/>
        </w:trPr>
        <w:tc>
          <w:tcPr>
            <w:tcW w:w="3273" w:type="dxa"/>
            <w:vAlign w:val="center"/>
          </w:tcPr>
          <w:p w14:paraId="4B4E1343" w14:textId="77777777" w:rsidR="00464E4B" w:rsidRPr="003E2D05" w:rsidRDefault="00464E4B" w:rsidP="0041177B">
            <w:pPr>
              <w:jc w:val="center"/>
              <w:rPr>
                <w:rFonts w:asciiTheme="minorHAnsi" w:hAnsiTheme="minorHAnsi" w:cstheme="minorHAnsi"/>
                <w:color w:val="000000" w:themeColor="text1"/>
              </w:rPr>
            </w:pPr>
            <w:r w:rsidRPr="003E2D05">
              <w:rPr>
                <w:rFonts w:eastAsia="Times New Roman" w:cs="Times New Roman"/>
                <w:noProof/>
                <w:lang w:eastAsia="en-GB"/>
              </w:rPr>
              <w:drawing>
                <wp:inline distT="0" distB="0" distL="0" distR="0" wp14:anchorId="6CD44BF9" wp14:editId="35643C00">
                  <wp:extent cx="1668589" cy="1436400"/>
                  <wp:effectExtent l="0" t="0" r="8255" b="0"/>
                  <wp:docPr id="1618385021" name="Picture 1" descr="A graph of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85021" name="Picture 1" descr="A graph of numbers and a bar chart&#10;&#10;AI-generated content may be incorrect."/>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668589" cy="1436400"/>
                          </a:xfrm>
                          <a:prstGeom prst="rect">
                            <a:avLst/>
                          </a:prstGeom>
                          <a:noFill/>
                        </pic:spPr>
                      </pic:pic>
                    </a:graphicData>
                  </a:graphic>
                </wp:inline>
              </w:drawing>
            </w:r>
          </w:p>
        </w:tc>
        <w:tc>
          <w:tcPr>
            <w:tcW w:w="3273" w:type="dxa"/>
            <w:vAlign w:val="center"/>
          </w:tcPr>
          <w:p w14:paraId="0D45D00D" w14:textId="77777777" w:rsidR="00464E4B" w:rsidRPr="003E2D05" w:rsidRDefault="00464E4B" w:rsidP="0041177B">
            <w:pPr>
              <w:jc w:val="center"/>
              <w:rPr>
                <w:rFonts w:asciiTheme="minorHAnsi" w:hAnsiTheme="minorHAnsi" w:cstheme="minorHAnsi"/>
                <w:color w:val="000000" w:themeColor="text1"/>
              </w:rPr>
            </w:pPr>
            <w:r w:rsidRPr="003E2D05">
              <w:rPr>
                <w:rFonts w:eastAsia="Times New Roman" w:cs="Times New Roman"/>
                <w:noProof/>
                <w:lang w:eastAsia="en-GB"/>
              </w:rPr>
              <w:drawing>
                <wp:inline distT="0" distB="0" distL="0" distR="0" wp14:anchorId="14307C9D" wp14:editId="615E9547">
                  <wp:extent cx="1668589" cy="1436400"/>
                  <wp:effectExtent l="0" t="0" r="8255" b="0"/>
                  <wp:docPr id="1685958918" name="Picture 2" descr="A graph of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958918" name="Picture 2" descr="A graph of numbers and a bar chart&#10;&#10;AI-generated content may be incorrect."/>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668589" cy="1436400"/>
                          </a:xfrm>
                          <a:prstGeom prst="rect">
                            <a:avLst/>
                          </a:prstGeom>
                          <a:noFill/>
                        </pic:spPr>
                      </pic:pic>
                    </a:graphicData>
                  </a:graphic>
                </wp:inline>
              </w:drawing>
            </w:r>
          </w:p>
        </w:tc>
        <w:tc>
          <w:tcPr>
            <w:tcW w:w="3222" w:type="dxa"/>
          </w:tcPr>
          <w:p w14:paraId="4A4B4CFA" w14:textId="77777777" w:rsidR="00464E4B" w:rsidRPr="003E2D05" w:rsidRDefault="00464E4B" w:rsidP="0041177B">
            <w:pPr>
              <w:jc w:val="center"/>
              <w:rPr>
                <w:rFonts w:cstheme="minorHAnsi"/>
                <w:color w:val="000000" w:themeColor="text1"/>
              </w:rPr>
            </w:pPr>
            <w:r w:rsidRPr="003E2D05">
              <w:rPr>
                <w:rFonts w:cstheme="minorHAnsi"/>
                <w:noProof/>
                <w:color w:val="000000" w:themeColor="text1"/>
              </w:rPr>
              <w:drawing>
                <wp:inline distT="0" distB="0" distL="0" distR="0" wp14:anchorId="042C229E" wp14:editId="0491B75D">
                  <wp:extent cx="1640827" cy="1436400"/>
                  <wp:effectExtent l="0" t="0" r="0" b="0"/>
                  <wp:docPr id="1318241170" name="Picture 3"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41170" name="Picture 3" descr="A graph with numbers and a bar chart&#10;&#10;AI-generated content may be incorrect."/>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640827" cy="1436400"/>
                          </a:xfrm>
                          <a:prstGeom prst="rect">
                            <a:avLst/>
                          </a:prstGeom>
                          <a:noFill/>
                        </pic:spPr>
                      </pic:pic>
                    </a:graphicData>
                  </a:graphic>
                </wp:inline>
              </w:drawing>
            </w:r>
          </w:p>
        </w:tc>
      </w:tr>
    </w:tbl>
    <w:p w14:paraId="149080AE" w14:textId="77777777" w:rsidR="00464E4B" w:rsidRDefault="00464E4B" w:rsidP="00464E4B">
      <w:pPr>
        <w:pStyle w:val="Heading3"/>
        <w:spacing w:before="0" w:after="0" w:line="240" w:lineRule="auto"/>
        <w:sectPr w:rsidR="00464E4B" w:rsidSect="002746C0">
          <w:pgSz w:w="11906" w:h="16838"/>
          <w:pgMar w:top="1440" w:right="1440" w:bottom="1440" w:left="1440" w:header="708" w:footer="708" w:gutter="0"/>
          <w:cols w:space="708"/>
          <w:docGrid w:linePitch="360"/>
        </w:sectPr>
      </w:pPr>
      <w:bookmarkStart w:id="156" w:name="_Toc197557082"/>
    </w:p>
    <w:p w14:paraId="06A5603E" w14:textId="77777777" w:rsidR="00464E4B" w:rsidRDefault="00464E4B" w:rsidP="00C65D1E">
      <w:pPr>
        <w:pStyle w:val="Heading3"/>
        <w:spacing w:before="0" w:after="0"/>
      </w:pPr>
      <w:bookmarkStart w:id="157" w:name="_Toc201512476"/>
      <w:r w:rsidRPr="00B06BFF">
        <w:t>Trends over</w:t>
      </w:r>
      <w:r>
        <w:t xml:space="preserve"> </w:t>
      </w:r>
      <w:r w:rsidRPr="00B06BFF">
        <w:t>time</w:t>
      </w:r>
      <w:bookmarkEnd w:id="156"/>
      <w:bookmarkEnd w:id="157"/>
    </w:p>
    <w:p w14:paraId="1169D383" w14:textId="2ED54DE9" w:rsidR="00464E4B" w:rsidRPr="005F3F38" w:rsidRDefault="00464E4B" w:rsidP="00C65D1E">
      <w:pPr>
        <w:spacing w:after="0" w:line="240" w:lineRule="auto"/>
        <w:rPr>
          <w:rFonts w:cstheme="minorHAnsi"/>
        </w:rPr>
      </w:pPr>
      <w:r w:rsidRPr="005F3F38">
        <w:rPr>
          <w:rFonts w:cstheme="minorHAnsi"/>
        </w:rPr>
        <w:t xml:space="preserve">Figure </w:t>
      </w:r>
      <w:r w:rsidR="00A26B61">
        <w:rPr>
          <w:rFonts w:cstheme="minorHAnsi"/>
        </w:rPr>
        <w:t>9.2</w:t>
      </w:r>
      <w:r w:rsidRPr="005F3F38">
        <w:rPr>
          <w:rFonts w:cstheme="minorHAnsi"/>
        </w:rPr>
        <w:t xml:space="preserve"> shows the incidence of stomach cancer from 1994 to 2022. Incidence decreased for males from 1994 to 2002 (-2.8 % decrease per year (95%CI -4.4; -1.2)) then remained stable from 2001 to 2014 (-0.3 % per year (95%CI -1.3; 0.6)) before decreasing again</w:t>
      </w:r>
      <w:r w:rsidRPr="005F3F38">
        <w:t xml:space="preserve"> </w:t>
      </w:r>
      <w:r w:rsidRPr="005F3F38">
        <w:rPr>
          <w:rFonts w:cstheme="minorHAnsi"/>
        </w:rPr>
        <w:t>from 2014 to 2022 (-3.9 % decrease per year (95%CI -5.2; -2.5))</w:t>
      </w:r>
      <w:r>
        <w:rPr>
          <w:rFonts w:cstheme="minorHAnsi"/>
        </w:rPr>
        <w:t xml:space="preserve">. </w:t>
      </w:r>
      <w:r w:rsidRPr="005F3F38">
        <w:rPr>
          <w:rFonts w:cstheme="minorHAnsi"/>
        </w:rPr>
        <w:t xml:space="preserve">Across the period </w:t>
      </w:r>
      <w:r>
        <w:rPr>
          <w:rFonts w:cstheme="minorHAnsi"/>
        </w:rPr>
        <w:t>incidence declined</w:t>
      </w:r>
      <w:r w:rsidRPr="005F3F38">
        <w:rPr>
          <w:rFonts w:cstheme="minorHAnsi"/>
        </w:rPr>
        <w:t xml:space="preserve"> steadily among </w:t>
      </w:r>
      <w:r w:rsidR="00BC7D1F">
        <w:rPr>
          <w:rFonts w:cstheme="minorHAnsi"/>
        </w:rPr>
        <w:t>females</w:t>
      </w:r>
      <w:r w:rsidRPr="005F3F38">
        <w:rPr>
          <w:rFonts w:cstheme="minorHAnsi"/>
        </w:rPr>
        <w:t xml:space="preserve"> by -1.5% per year (95%CI -1.8; -1.2).</w:t>
      </w:r>
    </w:p>
    <w:p w14:paraId="23E409C8" w14:textId="77777777" w:rsidR="00464E4B" w:rsidRPr="005F3F38" w:rsidRDefault="00464E4B" w:rsidP="00464E4B">
      <w:pPr>
        <w:spacing w:after="0" w:line="240" w:lineRule="auto"/>
        <w:rPr>
          <w:rFonts w:cstheme="minorHAnsi"/>
        </w:rPr>
      </w:pPr>
      <w:r w:rsidRPr="005F3F38">
        <w:rPr>
          <w:rFonts w:cstheme="minorHAnsi"/>
        </w:rPr>
        <w:t xml:space="preserve"> </w:t>
      </w:r>
    </w:p>
    <w:tbl>
      <w:tblPr>
        <w:tblStyle w:val="TableGrid"/>
        <w:tblW w:w="963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tblGrid>
      <w:tr w:rsidR="00464E4B" w:rsidRPr="003E2D05" w14:paraId="0EF2B537" w14:textId="77777777" w:rsidTr="0041177B">
        <w:trPr>
          <w:trHeight w:val="399"/>
        </w:trPr>
        <w:tc>
          <w:tcPr>
            <w:tcW w:w="9634" w:type="dxa"/>
            <w:shd w:val="clear" w:color="auto" w:fill="002060"/>
            <w:vAlign w:val="center"/>
            <w:hideMark/>
          </w:tcPr>
          <w:p w14:paraId="7E57F22D" w14:textId="53EDA6DA" w:rsidR="00464E4B" w:rsidRPr="003E2D05" w:rsidRDefault="00464E4B" w:rsidP="0041177B">
            <w:pPr>
              <w:rPr>
                <w:rFonts w:asciiTheme="minorHAnsi" w:hAnsiTheme="minorHAnsi"/>
                <w:b/>
                <w:bCs/>
              </w:rPr>
            </w:pPr>
            <w:r w:rsidRPr="003E2D05">
              <w:rPr>
                <w:rFonts w:asciiTheme="minorHAnsi" w:hAnsiTheme="minorHAnsi"/>
                <w:b/>
                <w:bCs/>
              </w:rPr>
              <w:t xml:space="preserve">Figure </w:t>
            </w:r>
            <w:r w:rsidR="00A26B61">
              <w:rPr>
                <w:rFonts w:asciiTheme="minorHAnsi" w:hAnsiTheme="minorHAnsi"/>
                <w:b/>
                <w:bCs/>
              </w:rPr>
              <w:t>9.2:</w:t>
            </w:r>
            <w:r w:rsidRPr="003E2D05">
              <w:rPr>
                <w:rFonts w:asciiTheme="minorHAnsi" w:hAnsiTheme="minorHAnsi"/>
                <w:b/>
                <w:bCs/>
              </w:rPr>
              <w:t xml:space="preserve"> Age-</w:t>
            </w:r>
            <w:r w:rsidRPr="003E2D05">
              <w:rPr>
                <w:rFonts w:asciiTheme="minorHAnsi" w:hAnsiTheme="minorHAnsi"/>
                <w:b/>
                <w:bCs/>
                <w:bdr w:val="single" w:sz="4" w:space="0" w:color="auto" w:frame="1"/>
              </w:rPr>
              <w:t>standardised incidence rate 1994-2022, stomach</w:t>
            </w:r>
          </w:p>
        </w:tc>
      </w:tr>
      <w:tr w:rsidR="00464E4B" w:rsidRPr="003E2D05" w14:paraId="0779E41B" w14:textId="77777777" w:rsidTr="0041177B">
        <w:trPr>
          <w:trHeight w:val="2128"/>
        </w:trPr>
        <w:tc>
          <w:tcPr>
            <w:tcW w:w="9634" w:type="dxa"/>
            <w:vAlign w:val="center"/>
          </w:tcPr>
          <w:p w14:paraId="101EC50B" w14:textId="77777777" w:rsidR="00464E4B" w:rsidRPr="003E2D05" w:rsidRDefault="00464E4B" w:rsidP="0041177B">
            <w:pPr>
              <w:jc w:val="center"/>
              <w:rPr>
                <w:rFonts w:asciiTheme="minorHAnsi" w:hAnsiTheme="minorHAnsi"/>
              </w:rPr>
            </w:pPr>
            <w:r>
              <w:rPr>
                <w:noProof/>
              </w:rPr>
              <w:drawing>
                <wp:inline distT="0" distB="0" distL="0" distR="0" wp14:anchorId="14B13438" wp14:editId="6D2CF719">
                  <wp:extent cx="5755005" cy="3017520"/>
                  <wp:effectExtent l="0" t="0" r="0" b="0"/>
                  <wp:docPr id="3927009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55005" cy="3017520"/>
                          </a:xfrm>
                          <a:prstGeom prst="rect">
                            <a:avLst/>
                          </a:prstGeom>
                          <a:noFill/>
                        </pic:spPr>
                      </pic:pic>
                    </a:graphicData>
                  </a:graphic>
                </wp:inline>
              </w:drawing>
            </w:r>
          </w:p>
        </w:tc>
      </w:tr>
      <w:tr w:rsidR="00464E4B" w:rsidRPr="003E2D05" w14:paraId="30D95A29" w14:textId="77777777" w:rsidTr="0041177B">
        <w:trPr>
          <w:trHeight w:val="1099"/>
        </w:trPr>
        <w:tc>
          <w:tcPr>
            <w:tcW w:w="9634" w:type="dxa"/>
            <w:vAlign w:val="center"/>
          </w:tcPr>
          <w:tbl>
            <w:tblPr>
              <w:tblpPr w:leftFromText="180" w:rightFromText="180" w:horzAnchor="margin" w:tblpXSpec="center" w:tblpY="-450"/>
              <w:tblOverlap w:val="never"/>
              <w:tblW w:w="0" w:type="auto"/>
              <w:tblLook w:val="04A0" w:firstRow="1" w:lastRow="0" w:firstColumn="1" w:lastColumn="0" w:noHBand="0" w:noVBand="1"/>
            </w:tblPr>
            <w:tblGrid>
              <w:gridCol w:w="530"/>
              <w:gridCol w:w="1180"/>
              <w:gridCol w:w="771"/>
              <w:gridCol w:w="992"/>
              <w:gridCol w:w="732"/>
              <w:gridCol w:w="530"/>
              <w:gridCol w:w="1180"/>
              <w:gridCol w:w="771"/>
              <w:gridCol w:w="1004"/>
              <w:gridCol w:w="732"/>
            </w:tblGrid>
            <w:tr w:rsidR="00464E4B" w:rsidRPr="00000D66" w14:paraId="32D03BC8" w14:textId="77777777" w:rsidTr="0041177B">
              <w:trPr>
                <w:trHeight w:val="113"/>
              </w:trPr>
              <w:tc>
                <w:tcPr>
                  <w:tcW w:w="0" w:type="auto"/>
                  <w:noWrap/>
                  <w:tcMar>
                    <w:top w:w="15" w:type="dxa"/>
                    <w:left w:w="108" w:type="dxa"/>
                    <w:bottom w:w="15" w:type="dxa"/>
                    <w:right w:w="108" w:type="dxa"/>
                  </w:tcMar>
                  <w:vAlign w:val="center"/>
                  <w:hideMark/>
                </w:tcPr>
                <w:p w14:paraId="6A30A09F" w14:textId="77777777" w:rsidR="00464E4B" w:rsidRPr="00000D66" w:rsidRDefault="00464E4B" w:rsidP="0041177B">
                  <w:pPr>
                    <w:spacing w:after="0" w:line="240" w:lineRule="auto"/>
                    <w:jc w:val="center"/>
                    <w:rPr>
                      <w:rFonts w:eastAsia="Times New Roman" w:cs="Calibri"/>
                      <w:b/>
                      <w:bCs/>
                      <w:color w:val="000000"/>
                      <w:kern w:val="0"/>
                      <w:sz w:val="20"/>
                      <w:szCs w:val="20"/>
                      <w:u w:val="single"/>
                      <w:lang w:eastAsia="en-GB"/>
                      <w14:ligatures w14:val="none"/>
                    </w:rPr>
                  </w:pPr>
                  <w:r w:rsidRPr="00000D66">
                    <w:rPr>
                      <w:rFonts w:eastAsia="Times New Roman" w:cs="Calibri"/>
                      <w:b/>
                      <w:bCs/>
                      <w:color w:val="000000"/>
                      <w:kern w:val="0"/>
                      <w:sz w:val="20"/>
                      <w:szCs w:val="20"/>
                      <w:u w:val="single"/>
                      <w:lang w:eastAsia="en-GB"/>
                      <w14:ligatures w14:val="none"/>
                    </w:rPr>
                    <w:t>sex</w:t>
                  </w:r>
                </w:p>
              </w:tc>
              <w:tc>
                <w:tcPr>
                  <w:tcW w:w="0" w:type="auto"/>
                  <w:noWrap/>
                  <w:tcMar>
                    <w:top w:w="15" w:type="dxa"/>
                    <w:left w:w="108" w:type="dxa"/>
                    <w:bottom w:w="15" w:type="dxa"/>
                    <w:right w:w="108" w:type="dxa"/>
                  </w:tcMar>
                  <w:vAlign w:val="center"/>
                  <w:hideMark/>
                </w:tcPr>
                <w:p w14:paraId="668ED22B" w14:textId="77777777" w:rsidR="00464E4B" w:rsidRPr="00000D66" w:rsidRDefault="00464E4B" w:rsidP="0041177B">
                  <w:pPr>
                    <w:spacing w:after="0" w:line="240" w:lineRule="auto"/>
                    <w:jc w:val="center"/>
                    <w:rPr>
                      <w:rFonts w:eastAsia="Times New Roman" w:cs="Calibri"/>
                      <w:b/>
                      <w:bCs/>
                      <w:color w:val="000000"/>
                      <w:kern w:val="0"/>
                      <w:sz w:val="20"/>
                      <w:szCs w:val="20"/>
                      <w:u w:val="single"/>
                      <w:lang w:eastAsia="en-GB"/>
                      <w14:ligatures w14:val="none"/>
                    </w:rPr>
                  </w:pPr>
                  <w:r w:rsidRPr="00000D66">
                    <w:rPr>
                      <w:rFonts w:eastAsia="Times New Roman" w:cs="Calibri"/>
                      <w:b/>
                      <w:bCs/>
                      <w:color w:val="000000"/>
                      <w:kern w:val="0"/>
                      <w:sz w:val="20"/>
                      <w:szCs w:val="20"/>
                      <w:u w:val="single"/>
                      <w:lang w:eastAsia="en-GB"/>
                      <w14:ligatures w14:val="none"/>
                    </w:rPr>
                    <w:t>period</w:t>
                  </w:r>
                </w:p>
              </w:tc>
              <w:tc>
                <w:tcPr>
                  <w:tcW w:w="0" w:type="auto"/>
                  <w:noWrap/>
                  <w:tcMar>
                    <w:top w:w="15" w:type="dxa"/>
                    <w:left w:w="108" w:type="dxa"/>
                    <w:bottom w:w="15" w:type="dxa"/>
                    <w:right w:w="108" w:type="dxa"/>
                  </w:tcMar>
                  <w:vAlign w:val="center"/>
                  <w:hideMark/>
                </w:tcPr>
                <w:p w14:paraId="1021B6BB" w14:textId="77777777" w:rsidR="00464E4B" w:rsidRPr="00000D66" w:rsidRDefault="00464E4B" w:rsidP="0041177B">
                  <w:pPr>
                    <w:spacing w:after="0" w:line="240" w:lineRule="auto"/>
                    <w:jc w:val="center"/>
                    <w:rPr>
                      <w:rFonts w:eastAsia="Times New Roman" w:cs="Calibri"/>
                      <w:b/>
                      <w:bCs/>
                      <w:color w:val="000000"/>
                      <w:kern w:val="0"/>
                      <w:sz w:val="20"/>
                      <w:szCs w:val="20"/>
                      <w:u w:val="single"/>
                      <w:lang w:eastAsia="en-GB"/>
                      <w14:ligatures w14:val="none"/>
                    </w:rPr>
                  </w:pPr>
                  <w:r w:rsidRPr="00000D66">
                    <w:rPr>
                      <w:rFonts w:eastAsia="Times New Roman" w:cs="Calibri"/>
                      <w:b/>
                      <w:bCs/>
                      <w:color w:val="000000"/>
                      <w:kern w:val="0"/>
                      <w:sz w:val="20"/>
                      <w:szCs w:val="20"/>
                      <w:u w:val="single"/>
                      <w:lang w:eastAsia="en-GB"/>
                      <w14:ligatures w14:val="none"/>
                    </w:rPr>
                    <w:t>APC%</w:t>
                  </w:r>
                </w:p>
              </w:tc>
              <w:tc>
                <w:tcPr>
                  <w:tcW w:w="0" w:type="auto"/>
                  <w:noWrap/>
                  <w:tcMar>
                    <w:top w:w="15" w:type="dxa"/>
                    <w:left w:w="108" w:type="dxa"/>
                    <w:bottom w:w="15" w:type="dxa"/>
                    <w:right w:w="108" w:type="dxa"/>
                  </w:tcMar>
                  <w:vAlign w:val="center"/>
                  <w:hideMark/>
                </w:tcPr>
                <w:p w14:paraId="786BE81D" w14:textId="77777777" w:rsidR="00464E4B" w:rsidRPr="00000D66" w:rsidRDefault="00464E4B" w:rsidP="0041177B">
                  <w:pPr>
                    <w:spacing w:after="0" w:line="240" w:lineRule="auto"/>
                    <w:jc w:val="center"/>
                    <w:rPr>
                      <w:rFonts w:eastAsia="Times New Roman" w:cs="Calibri"/>
                      <w:b/>
                      <w:bCs/>
                      <w:color w:val="000000"/>
                      <w:kern w:val="0"/>
                      <w:sz w:val="20"/>
                      <w:szCs w:val="20"/>
                      <w:u w:val="single"/>
                      <w:lang w:eastAsia="en-GB"/>
                      <w14:ligatures w14:val="none"/>
                    </w:rPr>
                  </w:pPr>
                  <w:r w:rsidRPr="00000D66">
                    <w:rPr>
                      <w:rFonts w:eastAsia="Times New Roman" w:cs="Calibri"/>
                      <w:b/>
                      <w:bCs/>
                      <w:color w:val="000000"/>
                      <w:kern w:val="0"/>
                      <w:sz w:val="20"/>
                      <w:szCs w:val="20"/>
                      <w:u w:val="single"/>
                      <w:lang w:eastAsia="en-GB"/>
                      <w14:ligatures w14:val="none"/>
                    </w:rPr>
                    <w:t>95%CI</w:t>
                  </w:r>
                </w:p>
              </w:tc>
              <w:tc>
                <w:tcPr>
                  <w:tcW w:w="0" w:type="auto"/>
                  <w:tcBorders>
                    <w:right w:val="single" w:sz="4" w:space="0" w:color="auto"/>
                  </w:tcBorders>
                  <w:noWrap/>
                  <w:tcMar>
                    <w:top w:w="15" w:type="dxa"/>
                    <w:left w:w="108" w:type="dxa"/>
                    <w:bottom w:w="15" w:type="dxa"/>
                    <w:right w:w="108" w:type="dxa"/>
                  </w:tcMar>
                  <w:vAlign w:val="center"/>
                  <w:hideMark/>
                </w:tcPr>
                <w:p w14:paraId="5EB4ABFA" w14:textId="77777777" w:rsidR="00464E4B" w:rsidRPr="00000D66" w:rsidRDefault="00464E4B" w:rsidP="0041177B">
                  <w:pPr>
                    <w:spacing w:after="0" w:line="240" w:lineRule="auto"/>
                    <w:jc w:val="center"/>
                    <w:rPr>
                      <w:rFonts w:eastAsia="Times New Roman" w:cs="Calibri"/>
                      <w:b/>
                      <w:bCs/>
                      <w:color w:val="000000"/>
                      <w:kern w:val="0"/>
                      <w:sz w:val="20"/>
                      <w:szCs w:val="20"/>
                      <w:u w:val="single"/>
                      <w:lang w:eastAsia="en-GB"/>
                      <w14:ligatures w14:val="none"/>
                    </w:rPr>
                  </w:pPr>
                  <w:r w:rsidRPr="00000D66">
                    <w:rPr>
                      <w:rFonts w:eastAsia="Times New Roman" w:cs="Calibri"/>
                      <w:b/>
                      <w:bCs/>
                      <w:color w:val="000000"/>
                      <w:kern w:val="0"/>
                      <w:sz w:val="20"/>
                      <w:szCs w:val="20"/>
                      <w:u w:val="single"/>
                      <w:lang w:eastAsia="en-GB"/>
                      <w14:ligatures w14:val="none"/>
                    </w:rPr>
                    <w:t>trend</w:t>
                  </w:r>
                </w:p>
              </w:tc>
              <w:tc>
                <w:tcPr>
                  <w:tcW w:w="0" w:type="auto"/>
                  <w:tcBorders>
                    <w:left w:val="single" w:sz="4" w:space="0" w:color="auto"/>
                  </w:tcBorders>
                  <w:vAlign w:val="center"/>
                </w:tcPr>
                <w:p w14:paraId="54367102" w14:textId="77777777" w:rsidR="00464E4B" w:rsidRPr="00000D66" w:rsidRDefault="00464E4B" w:rsidP="0041177B">
                  <w:pPr>
                    <w:spacing w:after="0" w:line="240" w:lineRule="auto"/>
                    <w:jc w:val="center"/>
                    <w:rPr>
                      <w:rFonts w:eastAsia="Times New Roman" w:cs="Calibri"/>
                      <w:b/>
                      <w:bCs/>
                      <w:color w:val="000000"/>
                      <w:kern w:val="0"/>
                      <w:sz w:val="20"/>
                      <w:szCs w:val="20"/>
                      <w:u w:val="single"/>
                      <w:lang w:eastAsia="en-GB"/>
                      <w14:ligatures w14:val="none"/>
                    </w:rPr>
                  </w:pPr>
                  <w:r w:rsidRPr="00000D66">
                    <w:rPr>
                      <w:rFonts w:eastAsia="Times New Roman" w:cs="Calibri"/>
                      <w:b/>
                      <w:bCs/>
                      <w:color w:val="000000"/>
                      <w:kern w:val="0"/>
                      <w:sz w:val="20"/>
                      <w:szCs w:val="20"/>
                      <w:u w:val="single"/>
                      <w:lang w:eastAsia="en-GB"/>
                      <w14:ligatures w14:val="none"/>
                    </w:rPr>
                    <w:t>sex</w:t>
                  </w:r>
                </w:p>
              </w:tc>
              <w:tc>
                <w:tcPr>
                  <w:tcW w:w="0" w:type="auto"/>
                  <w:vAlign w:val="center"/>
                </w:tcPr>
                <w:p w14:paraId="479A35BD" w14:textId="77777777" w:rsidR="00464E4B" w:rsidRPr="00000D66" w:rsidRDefault="00464E4B" w:rsidP="0041177B">
                  <w:pPr>
                    <w:spacing w:after="0" w:line="240" w:lineRule="auto"/>
                    <w:jc w:val="center"/>
                    <w:rPr>
                      <w:rFonts w:eastAsia="Times New Roman" w:cs="Calibri"/>
                      <w:b/>
                      <w:bCs/>
                      <w:color w:val="000000"/>
                      <w:kern w:val="0"/>
                      <w:sz w:val="20"/>
                      <w:szCs w:val="20"/>
                      <w:u w:val="single"/>
                      <w:lang w:eastAsia="en-GB"/>
                      <w14:ligatures w14:val="none"/>
                    </w:rPr>
                  </w:pPr>
                  <w:r w:rsidRPr="00000D66">
                    <w:rPr>
                      <w:rFonts w:eastAsia="Times New Roman" w:cs="Calibri"/>
                      <w:b/>
                      <w:bCs/>
                      <w:color w:val="000000"/>
                      <w:kern w:val="0"/>
                      <w:sz w:val="20"/>
                      <w:szCs w:val="20"/>
                      <w:u w:val="single"/>
                      <w:lang w:eastAsia="en-GB"/>
                      <w14:ligatures w14:val="none"/>
                    </w:rPr>
                    <w:t>period</w:t>
                  </w:r>
                </w:p>
              </w:tc>
              <w:tc>
                <w:tcPr>
                  <w:tcW w:w="0" w:type="auto"/>
                  <w:vAlign w:val="center"/>
                </w:tcPr>
                <w:p w14:paraId="020C6F9A" w14:textId="77777777" w:rsidR="00464E4B" w:rsidRPr="00000D66" w:rsidRDefault="00464E4B" w:rsidP="0041177B">
                  <w:pPr>
                    <w:spacing w:after="0" w:line="240" w:lineRule="auto"/>
                    <w:jc w:val="center"/>
                    <w:rPr>
                      <w:rFonts w:eastAsia="Times New Roman" w:cs="Calibri"/>
                      <w:b/>
                      <w:bCs/>
                      <w:color w:val="000000"/>
                      <w:kern w:val="0"/>
                      <w:sz w:val="20"/>
                      <w:szCs w:val="20"/>
                      <w:u w:val="single"/>
                      <w:lang w:eastAsia="en-GB"/>
                      <w14:ligatures w14:val="none"/>
                    </w:rPr>
                  </w:pPr>
                  <w:r w:rsidRPr="00000D66">
                    <w:rPr>
                      <w:rFonts w:eastAsia="Times New Roman" w:cs="Calibri"/>
                      <w:b/>
                      <w:bCs/>
                      <w:color w:val="000000"/>
                      <w:kern w:val="0"/>
                      <w:sz w:val="20"/>
                      <w:szCs w:val="20"/>
                      <w:u w:val="single"/>
                      <w:lang w:eastAsia="en-GB"/>
                      <w14:ligatures w14:val="none"/>
                    </w:rPr>
                    <w:t>APC%</w:t>
                  </w:r>
                </w:p>
              </w:tc>
              <w:tc>
                <w:tcPr>
                  <w:tcW w:w="0" w:type="auto"/>
                  <w:vAlign w:val="center"/>
                </w:tcPr>
                <w:p w14:paraId="3222158D" w14:textId="77777777" w:rsidR="00464E4B" w:rsidRPr="00000D66" w:rsidRDefault="00464E4B" w:rsidP="0041177B">
                  <w:pPr>
                    <w:spacing w:after="0" w:line="240" w:lineRule="auto"/>
                    <w:jc w:val="center"/>
                    <w:rPr>
                      <w:rFonts w:eastAsia="Times New Roman" w:cs="Calibri"/>
                      <w:b/>
                      <w:bCs/>
                      <w:color w:val="000000"/>
                      <w:kern w:val="0"/>
                      <w:sz w:val="20"/>
                      <w:szCs w:val="20"/>
                      <w:u w:val="single"/>
                      <w:lang w:eastAsia="en-GB"/>
                      <w14:ligatures w14:val="none"/>
                    </w:rPr>
                  </w:pPr>
                  <w:r w:rsidRPr="00000D66">
                    <w:rPr>
                      <w:rFonts w:eastAsia="Times New Roman" w:cs="Calibri"/>
                      <w:b/>
                      <w:bCs/>
                      <w:color w:val="000000"/>
                      <w:kern w:val="0"/>
                      <w:sz w:val="20"/>
                      <w:szCs w:val="20"/>
                      <w:u w:val="single"/>
                      <w:lang w:eastAsia="en-GB"/>
                      <w14:ligatures w14:val="none"/>
                    </w:rPr>
                    <w:t>95%CI</w:t>
                  </w:r>
                </w:p>
              </w:tc>
              <w:tc>
                <w:tcPr>
                  <w:tcW w:w="0" w:type="auto"/>
                  <w:vAlign w:val="center"/>
                </w:tcPr>
                <w:p w14:paraId="60A19B50" w14:textId="77777777" w:rsidR="00464E4B" w:rsidRPr="00000D66" w:rsidRDefault="00464E4B" w:rsidP="0041177B">
                  <w:pPr>
                    <w:spacing w:after="0" w:line="240" w:lineRule="auto"/>
                    <w:jc w:val="center"/>
                    <w:rPr>
                      <w:rFonts w:eastAsia="Times New Roman" w:cs="Calibri"/>
                      <w:b/>
                      <w:bCs/>
                      <w:color w:val="000000"/>
                      <w:kern w:val="0"/>
                      <w:sz w:val="20"/>
                      <w:szCs w:val="20"/>
                      <w:u w:val="single"/>
                      <w:lang w:eastAsia="en-GB"/>
                      <w14:ligatures w14:val="none"/>
                    </w:rPr>
                  </w:pPr>
                  <w:r w:rsidRPr="00000D66">
                    <w:rPr>
                      <w:rFonts w:eastAsia="Times New Roman" w:cs="Calibri"/>
                      <w:b/>
                      <w:bCs/>
                      <w:color w:val="000000"/>
                      <w:kern w:val="0"/>
                      <w:sz w:val="20"/>
                      <w:szCs w:val="20"/>
                      <w:u w:val="single"/>
                      <w:lang w:eastAsia="en-GB"/>
                      <w14:ligatures w14:val="none"/>
                    </w:rPr>
                    <w:t>trend</w:t>
                  </w:r>
                </w:p>
              </w:tc>
            </w:tr>
            <w:tr w:rsidR="00464E4B" w:rsidRPr="00000D66" w14:paraId="7CC65619" w14:textId="77777777" w:rsidTr="0041177B">
              <w:trPr>
                <w:trHeight w:val="113"/>
              </w:trPr>
              <w:tc>
                <w:tcPr>
                  <w:tcW w:w="0" w:type="auto"/>
                  <w:noWrap/>
                  <w:tcMar>
                    <w:top w:w="15" w:type="dxa"/>
                    <w:left w:w="108" w:type="dxa"/>
                    <w:bottom w:w="15" w:type="dxa"/>
                    <w:right w:w="108" w:type="dxa"/>
                  </w:tcMar>
                  <w:hideMark/>
                </w:tcPr>
                <w:p w14:paraId="79923AD3" w14:textId="77777777" w:rsidR="00464E4B" w:rsidRPr="00000D66" w:rsidRDefault="00464E4B" w:rsidP="0041177B">
                  <w:pPr>
                    <w:spacing w:after="0" w:line="240" w:lineRule="auto"/>
                    <w:jc w:val="center"/>
                    <w:rPr>
                      <w:rFonts w:eastAsia="Times New Roman" w:cs="Calibri"/>
                      <w:color w:val="000000"/>
                      <w:kern w:val="0"/>
                      <w:sz w:val="20"/>
                      <w:szCs w:val="20"/>
                      <w:lang w:eastAsia="en-GB"/>
                      <w14:ligatures w14:val="none"/>
                    </w:rPr>
                  </w:pPr>
                  <w:r w:rsidRPr="00000D66">
                    <w:rPr>
                      <w:rFonts w:cs="Calibri"/>
                      <w:sz w:val="20"/>
                      <w:szCs w:val="20"/>
                    </w:rPr>
                    <w:t>M </w:t>
                  </w:r>
                </w:p>
              </w:tc>
              <w:tc>
                <w:tcPr>
                  <w:tcW w:w="0" w:type="auto"/>
                  <w:noWrap/>
                  <w:tcMar>
                    <w:top w:w="15" w:type="dxa"/>
                    <w:left w:w="108" w:type="dxa"/>
                    <w:bottom w:w="15" w:type="dxa"/>
                    <w:right w:w="108" w:type="dxa"/>
                  </w:tcMar>
                  <w:hideMark/>
                </w:tcPr>
                <w:p w14:paraId="79E7A251" w14:textId="77777777" w:rsidR="00464E4B" w:rsidRPr="00000D66" w:rsidRDefault="00464E4B" w:rsidP="0041177B">
                  <w:pPr>
                    <w:spacing w:after="0" w:line="240" w:lineRule="auto"/>
                    <w:jc w:val="center"/>
                    <w:rPr>
                      <w:rFonts w:eastAsia="Times New Roman" w:cs="Calibri"/>
                      <w:color w:val="000000"/>
                      <w:kern w:val="0"/>
                      <w:sz w:val="20"/>
                      <w:szCs w:val="20"/>
                      <w:lang w:eastAsia="en-GB"/>
                      <w14:ligatures w14:val="none"/>
                    </w:rPr>
                  </w:pPr>
                  <w:r w:rsidRPr="00000D66">
                    <w:rPr>
                      <w:rFonts w:cs="Calibri"/>
                      <w:sz w:val="20"/>
                      <w:szCs w:val="20"/>
                    </w:rPr>
                    <w:t>1994-2002 </w:t>
                  </w:r>
                </w:p>
              </w:tc>
              <w:tc>
                <w:tcPr>
                  <w:tcW w:w="0" w:type="auto"/>
                  <w:noWrap/>
                  <w:tcMar>
                    <w:top w:w="15" w:type="dxa"/>
                    <w:left w:w="108" w:type="dxa"/>
                    <w:bottom w:w="15" w:type="dxa"/>
                    <w:right w:w="108" w:type="dxa"/>
                  </w:tcMar>
                  <w:hideMark/>
                </w:tcPr>
                <w:p w14:paraId="464AEC65" w14:textId="77777777" w:rsidR="00464E4B" w:rsidRPr="00000D66" w:rsidRDefault="00464E4B" w:rsidP="0041177B">
                  <w:pPr>
                    <w:spacing w:after="0" w:line="240" w:lineRule="auto"/>
                    <w:jc w:val="center"/>
                    <w:rPr>
                      <w:rFonts w:eastAsia="Times New Roman" w:cs="Calibri"/>
                      <w:color w:val="000000"/>
                      <w:kern w:val="0"/>
                      <w:sz w:val="20"/>
                      <w:szCs w:val="20"/>
                      <w:lang w:eastAsia="en-GB"/>
                      <w14:ligatures w14:val="none"/>
                    </w:rPr>
                  </w:pPr>
                  <w:r w:rsidRPr="00000D66">
                    <w:rPr>
                      <w:rFonts w:cs="Calibri"/>
                      <w:sz w:val="20"/>
                      <w:szCs w:val="20"/>
                    </w:rPr>
                    <w:t>-2.8</w:t>
                  </w:r>
                </w:p>
              </w:tc>
              <w:tc>
                <w:tcPr>
                  <w:tcW w:w="0" w:type="auto"/>
                  <w:noWrap/>
                  <w:tcMar>
                    <w:top w:w="15" w:type="dxa"/>
                    <w:left w:w="108" w:type="dxa"/>
                    <w:bottom w:w="15" w:type="dxa"/>
                    <w:right w:w="108" w:type="dxa"/>
                  </w:tcMar>
                  <w:hideMark/>
                </w:tcPr>
                <w:p w14:paraId="435BB8FB" w14:textId="5F26D2BC" w:rsidR="00464E4B" w:rsidRPr="00000D66" w:rsidRDefault="00464E4B" w:rsidP="0041177B">
                  <w:pPr>
                    <w:spacing w:after="0" w:line="240" w:lineRule="auto"/>
                    <w:jc w:val="center"/>
                    <w:rPr>
                      <w:rFonts w:eastAsia="Times New Roman" w:cs="Calibri"/>
                      <w:color w:val="000000"/>
                      <w:kern w:val="0"/>
                      <w:sz w:val="20"/>
                      <w:szCs w:val="20"/>
                      <w:lang w:eastAsia="en-GB"/>
                      <w14:ligatures w14:val="none"/>
                    </w:rPr>
                  </w:pPr>
                  <w:r w:rsidRPr="00000D66">
                    <w:rPr>
                      <w:rFonts w:cs="Calibri"/>
                      <w:sz w:val="20"/>
                      <w:szCs w:val="20"/>
                    </w:rPr>
                    <w:t>-4.4, -1.2</w:t>
                  </w:r>
                </w:p>
              </w:tc>
              <w:tc>
                <w:tcPr>
                  <w:tcW w:w="0" w:type="auto"/>
                  <w:tcBorders>
                    <w:right w:val="single" w:sz="4" w:space="0" w:color="auto"/>
                  </w:tcBorders>
                  <w:noWrap/>
                  <w:tcMar>
                    <w:top w:w="15" w:type="dxa"/>
                    <w:left w:w="108" w:type="dxa"/>
                    <w:bottom w:w="15" w:type="dxa"/>
                    <w:right w:w="108" w:type="dxa"/>
                  </w:tcMar>
                  <w:hideMark/>
                </w:tcPr>
                <w:p w14:paraId="30D44A4E" w14:textId="77777777" w:rsidR="00464E4B" w:rsidRPr="00000D66" w:rsidRDefault="00464E4B" w:rsidP="0041177B">
                  <w:pPr>
                    <w:spacing w:after="0" w:line="240" w:lineRule="auto"/>
                    <w:jc w:val="center"/>
                    <w:rPr>
                      <w:rFonts w:eastAsia="Times New Roman" w:cs="Calibri"/>
                      <w:color w:val="000000"/>
                      <w:kern w:val="0"/>
                      <w:sz w:val="20"/>
                      <w:szCs w:val="20"/>
                      <w:lang w:eastAsia="en-GB"/>
                      <w14:ligatures w14:val="none"/>
                    </w:rPr>
                  </w:pPr>
                  <w:r w:rsidRPr="00000D66">
                    <w:rPr>
                      <w:rFonts w:cs="Calibri"/>
                      <w:sz w:val="20"/>
                      <w:szCs w:val="20"/>
                    </w:rPr>
                    <w:t>down </w:t>
                  </w:r>
                </w:p>
              </w:tc>
              <w:tc>
                <w:tcPr>
                  <w:tcW w:w="0" w:type="auto"/>
                  <w:tcBorders>
                    <w:left w:val="single" w:sz="4" w:space="0" w:color="auto"/>
                  </w:tcBorders>
                </w:tcPr>
                <w:p w14:paraId="5B3352FF" w14:textId="77777777" w:rsidR="00464E4B" w:rsidRPr="00000D66" w:rsidRDefault="00464E4B" w:rsidP="0041177B">
                  <w:pPr>
                    <w:spacing w:after="0" w:line="240" w:lineRule="auto"/>
                    <w:jc w:val="center"/>
                    <w:rPr>
                      <w:rFonts w:cs="Calibri"/>
                      <w:sz w:val="20"/>
                      <w:szCs w:val="20"/>
                    </w:rPr>
                  </w:pPr>
                  <w:r w:rsidRPr="00000D66">
                    <w:rPr>
                      <w:rFonts w:eastAsia="Times New Roman" w:cs="Calibri"/>
                      <w:color w:val="000000"/>
                      <w:kern w:val="0"/>
                      <w:sz w:val="20"/>
                      <w:szCs w:val="20"/>
                      <w:lang w:eastAsia="en-GB"/>
                      <w14:ligatures w14:val="none"/>
                    </w:rPr>
                    <w:t>F</w:t>
                  </w:r>
                </w:p>
              </w:tc>
              <w:tc>
                <w:tcPr>
                  <w:tcW w:w="0" w:type="auto"/>
                </w:tcPr>
                <w:p w14:paraId="5B03F779" w14:textId="77777777" w:rsidR="00464E4B" w:rsidRPr="00000D66" w:rsidRDefault="00464E4B" w:rsidP="0041177B">
                  <w:pPr>
                    <w:spacing w:after="0" w:line="240" w:lineRule="auto"/>
                    <w:jc w:val="center"/>
                    <w:rPr>
                      <w:rFonts w:cs="Calibri"/>
                      <w:sz w:val="20"/>
                      <w:szCs w:val="20"/>
                    </w:rPr>
                  </w:pPr>
                  <w:r w:rsidRPr="00000D66">
                    <w:rPr>
                      <w:rFonts w:cs="Calibri"/>
                      <w:sz w:val="20"/>
                      <w:szCs w:val="20"/>
                    </w:rPr>
                    <w:t>1994-2022 </w:t>
                  </w:r>
                </w:p>
              </w:tc>
              <w:tc>
                <w:tcPr>
                  <w:tcW w:w="0" w:type="auto"/>
                </w:tcPr>
                <w:p w14:paraId="4239B9F1" w14:textId="77777777" w:rsidR="00464E4B" w:rsidRPr="00000D66" w:rsidRDefault="00464E4B" w:rsidP="0041177B">
                  <w:pPr>
                    <w:spacing w:after="0" w:line="240" w:lineRule="auto"/>
                    <w:jc w:val="center"/>
                    <w:rPr>
                      <w:rFonts w:cs="Calibri"/>
                      <w:sz w:val="20"/>
                      <w:szCs w:val="20"/>
                    </w:rPr>
                  </w:pPr>
                  <w:r w:rsidRPr="00000D66">
                    <w:rPr>
                      <w:rFonts w:cs="Calibri"/>
                      <w:sz w:val="20"/>
                      <w:szCs w:val="20"/>
                    </w:rPr>
                    <w:t>-1.5</w:t>
                  </w:r>
                </w:p>
              </w:tc>
              <w:tc>
                <w:tcPr>
                  <w:tcW w:w="0" w:type="auto"/>
                </w:tcPr>
                <w:p w14:paraId="3B9F3C5A" w14:textId="77777777" w:rsidR="00464E4B" w:rsidRPr="00000D66" w:rsidRDefault="00464E4B" w:rsidP="0041177B">
                  <w:pPr>
                    <w:spacing w:after="0" w:line="240" w:lineRule="auto"/>
                    <w:jc w:val="center"/>
                    <w:rPr>
                      <w:rFonts w:cs="Calibri"/>
                      <w:sz w:val="20"/>
                      <w:szCs w:val="20"/>
                    </w:rPr>
                  </w:pPr>
                  <w:r w:rsidRPr="00000D66">
                    <w:rPr>
                      <w:rFonts w:cs="Calibri"/>
                      <w:sz w:val="20"/>
                      <w:szCs w:val="20"/>
                    </w:rPr>
                    <w:t>-1.8, '-1.2</w:t>
                  </w:r>
                </w:p>
              </w:tc>
              <w:tc>
                <w:tcPr>
                  <w:tcW w:w="0" w:type="auto"/>
                </w:tcPr>
                <w:p w14:paraId="66DB0E74" w14:textId="77777777" w:rsidR="00464E4B" w:rsidRPr="00000D66" w:rsidRDefault="00464E4B" w:rsidP="0041177B">
                  <w:pPr>
                    <w:spacing w:after="0" w:line="240" w:lineRule="auto"/>
                    <w:jc w:val="center"/>
                    <w:rPr>
                      <w:rFonts w:cs="Calibri"/>
                      <w:sz w:val="20"/>
                      <w:szCs w:val="20"/>
                    </w:rPr>
                  </w:pPr>
                  <w:r w:rsidRPr="00000D66">
                    <w:rPr>
                      <w:rFonts w:cs="Calibri"/>
                      <w:sz w:val="20"/>
                      <w:szCs w:val="20"/>
                    </w:rPr>
                    <w:t>down </w:t>
                  </w:r>
                </w:p>
              </w:tc>
            </w:tr>
            <w:tr w:rsidR="00464E4B" w:rsidRPr="00000D66" w14:paraId="7516A28D" w14:textId="77777777" w:rsidTr="0041177B">
              <w:trPr>
                <w:trHeight w:val="113"/>
              </w:trPr>
              <w:tc>
                <w:tcPr>
                  <w:tcW w:w="0" w:type="auto"/>
                  <w:noWrap/>
                  <w:tcMar>
                    <w:top w:w="15" w:type="dxa"/>
                    <w:left w:w="108" w:type="dxa"/>
                    <w:bottom w:w="15" w:type="dxa"/>
                    <w:right w:w="108" w:type="dxa"/>
                  </w:tcMar>
                </w:tcPr>
                <w:p w14:paraId="5FE1F4BE" w14:textId="77777777" w:rsidR="00464E4B" w:rsidRPr="00000D66" w:rsidRDefault="00464E4B" w:rsidP="0041177B">
                  <w:pPr>
                    <w:spacing w:after="0" w:line="240" w:lineRule="auto"/>
                    <w:jc w:val="center"/>
                    <w:rPr>
                      <w:rFonts w:eastAsia="Times New Roman" w:cs="Calibri"/>
                      <w:color w:val="000000"/>
                      <w:kern w:val="0"/>
                      <w:sz w:val="20"/>
                      <w:szCs w:val="20"/>
                      <w:lang w:eastAsia="en-GB"/>
                      <w14:ligatures w14:val="none"/>
                    </w:rPr>
                  </w:pPr>
                </w:p>
              </w:tc>
              <w:tc>
                <w:tcPr>
                  <w:tcW w:w="0" w:type="auto"/>
                  <w:noWrap/>
                  <w:tcMar>
                    <w:top w:w="15" w:type="dxa"/>
                    <w:left w:w="108" w:type="dxa"/>
                    <w:bottom w:w="15" w:type="dxa"/>
                    <w:right w:w="108" w:type="dxa"/>
                  </w:tcMar>
                </w:tcPr>
                <w:p w14:paraId="7A76FA02" w14:textId="77777777" w:rsidR="00464E4B" w:rsidRPr="00000D66" w:rsidRDefault="00464E4B" w:rsidP="0041177B">
                  <w:pPr>
                    <w:spacing w:after="0" w:line="240" w:lineRule="auto"/>
                    <w:jc w:val="center"/>
                    <w:rPr>
                      <w:rFonts w:eastAsia="Times New Roman" w:cs="Calibri"/>
                      <w:color w:val="000000"/>
                      <w:kern w:val="0"/>
                      <w:sz w:val="20"/>
                      <w:szCs w:val="20"/>
                      <w:lang w:eastAsia="en-GB"/>
                      <w14:ligatures w14:val="none"/>
                    </w:rPr>
                  </w:pPr>
                  <w:r w:rsidRPr="00000D66">
                    <w:rPr>
                      <w:rFonts w:cs="Calibri"/>
                      <w:sz w:val="20"/>
                      <w:szCs w:val="20"/>
                    </w:rPr>
                    <w:t>2002-2014 </w:t>
                  </w:r>
                </w:p>
              </w:tc>
              <w:tc>
                <w:tcPr>
                  <w:tcW w:w="0" w:type="auto"/>
                  <w:noWrap/>
                  <w:tcMar>
                    <w:top w:w="15" w:type="dxa"/>
                    <w:left w:w="108" w:type="dxa"/>
                    <w:bottom w:w="15" w:type="dxa"/>
                    <w:right w:w="108" w:type="dxa"/>
                  </w:tcMar>
                </w:tcPr>
                <w:p w14:paraId="41620887" w14:textId="77777777" w:rsidR="00464E4B" w:rsidRPr="00000D66" w:rsidRDefault="00464E4B" w:rsidP="0041177B">
                  <w:pPr>
                    <w:spacing w:after="0" w:line="240" w:lineRule="auto"/>
                    <w:jc w:val="center"/>
                    <w:rPr>
                      <w:rFonts w:eastAsia="Times New Roman" w:cs="Calibri"/>
                      <w:color w:val="000000"/>
                      <w:kern w:val="0"/>
                      <w:sz w:val="20"/>
                      <w:szCs w:val="20"/>
                      <w:lang w:eastAsia="en-GB"/>
                      <w14:ligatures w14:val="none"/>
                    </w:rPr>
                  </w:pPr>
                  <w:r w:rsidRPr="00000D66">
                    <w:rPr>
                      <w:rFonts w:cs="Calibri"/>
                      <w:sz w:val="20"/>
                      <w:szCs w:val="20"/>
                    </w:rPr>
                    <w:t>-0.3</w:t>
                  </w:r>
                </w:p>
              </w:tc>
              <w:tc>
                <w:tcPr>
                  <w:tcW w:w="0" w:type="auto"/>
                  <w:noWrap/>
                  <w:tcMar>
                    <w:top w:w="15" w:type="dxa"/>
                    <w:left w:w="108" w:type="dxa"/>
                    <w:bottom w:w="15" w:type="dxa"/>
                    <w:right w:w="108" w:type="dxa"/>
                  </w:tcMar>
                </w:tcPr>
                <w:p w14:paraId="68EDE8CD" w14:textId="77777777" w:rsidR="00464E4B" w:rsidRPr="00000D66" w:rsidRDefault="00464E4B" w:rsidP="0041177B">
                  <w:pPr>
                    <w:spacing w:after="0" w:line="240" w:lineRule="auto"/>
                    <w:jc w:val="center"/>
                    <w:rPr>
                      <w:rFonts w:eastAsia="Times New Roman" w:cs="Calibri"/>
                      <w:color w:val="000000"/>
                      <w:kern w:val="0"/>
                      <w:sz w:val="20"/>
                      <w:szCs w:val="20"/>
                      <w:lang w:eastAsia="en-GB"/>
                      <w14:ligatures w14:val="none"/>
                    </w:rPr>
                  </w:pPr>
                  <w:r w:rsidRPr="00000D66">
                    <w:rPr>
                      <w:rFonts w:cs="Calibri"/>
                      <w:sz w:val="20"/>
                      <w:szCs w:val="20"/>
                    </w:rPr>
                    <w:t>-1.3, 0.6</w:t>
                  </w:r>
                </w:p>
              </w:tc>
              <w:tc>
                <w:tcPr>
                  <w:tcW w:w="0" w:type="auto"/>
                  <w:tcBorders>
                    <w:right w:val="single" w:sz="4" w:space="0" w:color="auto"/>
                  </w:tcBorders>
                  <w:noWrap/>
                  <w:tcMar>
                    <w:top w:w="15" w:type="dxa"/>
                    <w:left w:w="108" w:type="dxa"/>
                    <w:bottom w:w="15" w:type="dxa"/>
                    <w:right w:w="108" w:type="dxa"/>
                  </w:tcMar>
                </w:tcPr>
                <w:p w14:paraId="0A08DE70" w14:textId="77777777" w:rsidR="00464E4B" w:rsidRPr="00000D66" w:rsidRDefault="00464E4B" w:rsidP="0041177B">
                  <w:pPr>
                    <w:spacing w:after="0" w:line="240" w:lineRule="auto"/>
                    <w:jc w:val="center"/>
                    <w:rPr>
                      <w:rFonts w:eastAsia="Times New Roman" w:cs="Calibri"/>
                      <w:color w:val="000000"/>
                      <w:kern w:val="0"/>
                      <w:sz w:val="20"/>
                      <w:szCs w:val="20"/>
                      <w:lang w:eastAsia="en-GB"/>
                      <w14:ligatures w14:val="none"/>
                    </w:rPr>
                  </w:pPr>
                  <w:r w:rsidRPr="00000D66">
                    <w:rPr>
                      <w:rFonts w:cs="Calibri"/>
                      <w:sz w:val="20"/>
                      <w:szCs w:val="20"/>
                    </w:rPr>
                    <w:t>flat</w:t>
                  </w:r>
                </w:p>
              </w:tc>
              <w:tc>
                <w:tcPr>
                  <w:tcW w:w="0" w:type="auto"/>
                  <w:tcBorders>
                    <w:left w:val="single" w:sz="4" w:space="0" w:color="auto"/>
                  </w:tcBorders>
                </w:tcPr>
                <w:p w14:paraId="114A19A0" w14:textId="77777777" w:rsidR="00464E4B" w:rsidRPr="00000D66" w:rsidRDefault="00464E4B" w:rsidP="0041177B">
                  <w:pPr>
                    <w:spacing w:after="0" w:line="240" w:lineRule="auto"/>
                    <w:jc w:val="center"/>
                    <w:rPr>
                      <w:rFonts w:cs="Calibri"/>
                      <w:sz w:val="20"/>
                      <w:szCs w:val="20"/>
                    </w:rPr>
                  </w:pPr>
                </w:p>
              </w:tc>
              <w:tc>
                <w:tcPr>
                  <w:tcW w:w="0" w:type="auto"/>
                </w:tcPr>
                <w:p w14:paraId="62C5C5AC" w14:textId="77777777" w:rsidR="00464E4B" w:rsidRPr="00000D66" w:rsidRDefault="00464E4B" w:rsidP="0041177B">
                  <w:pPr>
                    <w:spacing w:after="0" w:line="240" w:lineRule="auto"/>
                    <w:jc w:val="center"/>
                    <w:rPr>
                      <w:rFonts w:cs="Calibri"/>
                      <w:sz w:val="20"/>
                      <w:szCs w:val="20"/>
                    </w:rPr>
                  </w:pPr>
                </w:p>
              </w:tc>
              <w:tc>
                <w:tcPr>
                  <w:tcW w:w="0" w:type="auto"/>
                </w:tcPr>
                <w:p w14:paraId="583D3A50" w14:textId="77777777" w:rsidR="00464E4B" w:rsidRPr="00000D66" w:rsidRDefault="00464E4B" w:rsidP="0041177B">
                  <w:pPr>
                    <w:spacing w:after="0" w:line="240" w:lineRule="auto"/>
                    <w:jc w:val="center"/>
                    <w:rPr>
                      <w:rFonts w:cs="Calibri"/>
                      <w:sz w:val="20"/>
                      <w:szCs w:val="20"/>
                    </w:rPr>
                  </w:pPr>
                </w:p>
              </w:tc>
              <w:tc>
                <w:tcPr>
                  <w:tcW w:w="0" w:type="auto"/>
                </w:tcPr>
                <w:p w14:paraId="3FF2FF4E" w14:textId="77777777" w:rsidR="00464E4B" w:rsidRPr="00000D66" w:rsidRDefault="00464E4B" w:rsidP="0041177B">
                  <w:pPr>
                    <w:spacing w:after="0" w:line="240" w:lineRule="auto"/>
                    <w:jc w:val="center"/>
                    <w:rPr>
                      <w:rFonts w:cs="Calibri"/>
                      <w:sz w:val="20"/>
                      <w:szCs w:val="20"/>
                    </w:rPr>
                  </w:pPr>
                </w:p>
              </w:tc>
              <w:tc>
                <w:tcPr>
                  <w:tcW w:w="0" w:type="auto"/>
                </w:tcPr>
                <w:p w14:paraId="683930EB" w14:textId="77777777" w:rsidR="00464E4B" w:rsidRPr="00000D66" w:rsidRDefault="00464E4B" w:rsidP="0041177B">
                  <w:pPr>
                    <w:spacing w:after="0" w:line="240" w:lineRule="auto"/>
                    <w:jc w:val="center"/>
                    <w:rPr>
                      <w:rFonts w:cs="Calibri"/>
                      <w:sz w:val="20"/>
                      <w:szCs w:val="20"/>
                    </w:rPr>
                  </w:pPr>
                </w:p>
              </w:tc>
            </w:tr>
            <w:tr w:rsidR="00464E4B" w:rsidRPr="00000D66" w14:paraId="7B195388" w14:textId="77777777" w:rsidTr="0041177B">
              <w:trPr>
                <w:trHeight w:val="113"/>
              </w:trPr>
              <w:tc>
                <w:tcPr>
                  <w:tcW w:w="0" w:type="auto"/>
                  <w:noWrap/>
                  <w:tcMar>
                    <w:top w:w="15" w:type="dxa"/>
                    <w:left w:w="108" w:type="dxa"/>
                    <w:bottom w:w="15" w:type="dxa"/>
                    <w:right w:w="108" w:type="dxa"/>
                  </w:tcMar>
                </w:tcPr>
                <w:p w14:paraId="0066ECBE" w14:textId="77777777" w:rsidR="00464E4B" w:rsidRPr="00000D66" w:rsidRDefault="00464E4B" w:rsidP="0041177B">
                  <w:pPr>
                    <w:spacing w:after="0" w:line="240" w:lineRule="auto"/>
                    <w:jc w:val="center"/>
                    <w:rPr>
                      <w:rFonts w:eastAsia="Times New Roman" w:cs="Calibri"/>
                      <w:color w:val="000000"/>
                      <w:kern w:val="0"/>
                      <w:sz w:val="20"/>
                      <w:szCs w:val="20"/>
                      <w:lang w:eastAsia="en-GB"/>
                      <w14:ligatures w14:val="none"/>
                    </w:rPr>
                  </w:pPr>
                  <w:r w:rsidRPr="00000D66">
                    <w:rPr>
                      <w:rFonts w:cs="Calibri"/>
                      <w:sz w:val="20"/>
                      <w:szCs w:val="20"/>
                    </w:rPr>
                    <w:t> </w:t>
                  </w:r>
                </w:p>
              </w:tc>
              <w:tc>
                <w:tcPr>
                  <w:tcW w:w="0" w:type="auto"/>
                  <w:noWrap/>
                  <w:tcMar>
                    <w:top w:w="15" w:type="dxa"/>
                    <w:left w:w="108" w:type="dxa"/>
                    <w:bottom w:w="15" w:type="dxa"/>
                    <w:right w:w="108" w:type="dxa"/>
                  </w:tcMar>
                </w:tcPr>
                <w:p w14:paraId="0794EFB2" w14:textId="77777777" w:rsidR="00464E4B" w:rsidRPr="00000D66" w:rsidRDefault="00464E4B" w:rsidP="0041177B">
                  <w:pPr>
                    <w:spacing w:after="0" w:line="240" w:lineRule="auto"/>
                    <w:jc w:val="center"/>
                    <w:rPr>
                      <w:rFonts w:eastAsia="Times New Roman" w:cs="Calibri"/>
                      <w:color w:val="000000"/>
                      <w:kern w:val="0"/>
                      <w:sz w:val="20"/>
                      <w:szCs w:val="20"/>
                      <w:lang w:eastAsia="en-GB"/>
                      <w14:ligatures w14:val="none"/>
                    </w:rPr>
                  </w:pPr>
                  <w:r w:rsidRPr="00000D66">
                    <w:rPr>
                      <w:rFonts w:cs="Calibri"/>
                      <w:sz w:val="20"/>
                      <w:szCs w:val="20"/>
                    </w:rPr>
                    <w:t>2014-2022</w:t>
                  </w:r>
                </w:p>
              </w:tc>
              <w:tc>
                <w:tcPr>
                  <w:tcW w:w="0" w:type="auto"/>
                  <w:noWrap/>
                  <w:tcMar>
                    <w:top w:w="15" w:type="dxa"/>
                    <w:left w:w="108" w:type="dxa"/>
                    <w:bottom w:w="15" w:type="dxa"/>
                    <w:right w:w="108" w:type="dxa"/>
                  </w:tcMar>
                </w:tcPr>
                <w:p w14:paraId="77BC3BC1" w14:textId="77777777" w:rsidR="00464E4B" w:rsidRPr="00000D66" w:rsidRDefault="00464E4B" w:rsidP="0041177B">
                  <w:pPr>
                    <w:spacing w:after="0" w:line="240" w:lineRule="auto"/>
                    <w:jc w:val="center"/>
                    <w:rPr>
                      <w:rFonts w:eastAsia="Times New Roman" w:cs="Calibri"/>
                      <w:color w:val="000000"/>
                      <w:kern w:val="0"/>
                      <w:sz w:val="20"/>
                      <w:szCs w:val="20"/>
                      <w:lang w:eastAsia="en-GB"/>
                      <w14:ligatures w14:val="none"/>
                    </w:rPr>
                  </w:pPr>
                  <w:r w:rsidRPr="00000D66">
                    <w:rPr>
                      <w:rFonts w:cs="Calibri"/>
                      <w:sz w:val="20"/>
                      <w:szCs w:val="20"/>
                    </w:rPr>
                    <w:t>-3.9</w:t>
                  </w:r>
                </w:p>
              </w:tc>
              <w:tc>
                <w:tcPr>
                  <w:tcW w:w="0" w:type="auto"/>
                  <w:noWrap/>
                  <w:tcMar>
                    <w:top w:w="15" w:type="dxa"/>
                    <w:left w:w="108" w:type="dxa"/>
                    <w:bottom w:w="15" w:type="dxa"/>
                    <w:right w:w="108" w:type="dxa"/>
                  </w:tcMar>
                </w:tcPr>
                <w:p w14:paraId="0B4D5D42" w14:textId="513C2F83" w:rsidR="00464E4B" w:rsidRPr="00000D66" w:rsidRDefault="00464E4B" w:rsidP="0041177B">
                  <w:pPr>
                    <w:spacing w:after="0" w:line="240" w:lineRule="auto"/>
                    <w:jc w:val="center"/>
                    <w:rPr>
                      <w:rFonts w:eastAsia="Times New Roman" w:cs="Calibri"/>
                      <w:color w:val="000000"/>
                      <w:kern w:val="0"/>
                      <w:sz w:val="20"/>
                      <w:szCs w:val="20"/>
                      <w:lang w:eastAsia="en-GB"/>
                      <w14:ligatures w14:val="none"/>
                    </w:rPr>
                  </w:pPr>
                  <w:r w:rsidRPr="00000D66">
                    <w:rPr>
                      <w:rFonts w:cs="Calibri"/>
                      <w:sz w:val="20"/>
                      <w:szCs w:val="20"/>
                    </w:rPr>
                    <w:t>-5.2</w:t>
                  </w:r>
                  <w:r w:rsidR="00E716DB" w:rsidRPr="00000D66">
                    <w:rPr>
                      <w:rFonts w:cs="Calibri"/>
                      <w:sz w:val="20"/>
                      <w:szCs w:val="20"/>
                    </w:rPr>
                    <w:t>, -</w:t>
                  </w:r>
                  <w:r w:rsidRPr="00000D66">
                    <w:rPr>
                      <w:rFonts w:cs="Calibri"/>
                      <w:sz w:val="20"/>
                      <w:szCs w:val="20"/>
                    </w:rPr>
                    <w:t>2.5</w:t>
                  </w:r>
                </w:p>
              </w:tc>
              <w:tc>
                <w:tcPr>
                  <w:tcW w:w="0" w:type="auto"/>
                  <w:tcBorders>
                    <w:right w:val="single" w:sz="4" w:space="0" w:color="auto"/>
                  </w:tcBorders>
                  <w:noWrap/>
                  <w:tcMar>
                    <w:top w:w="15" w:type="dxa"/>
                    <w:left w:w="108" w:type="dxa"/>
                    <w:bottom w:w="15" w:type="dxa"/>
                    <w:right w:w="108" w:type="dxa"/>
                  </w:tcMar>
                </w:tcPr>
                <w:p w14:paraId="31FF64CD" w14:textId="77777777" w:rsidR="00464E4B" w:rsidRPr="00000D66" w:rsidRDefault="00464E4B" w:rsidP="0041177B">
                  <w:pPr>
                    <w:spacing w:after="0" w:line="240" w:lineRule="auto"/>
                    <w:jc w:val="center"/>
                    <w:rPr>
                      <w:rFonts w:eastAsia="Times New Roman" w:cs="Calibri"/>
                      <w:color w:val="000000"/>
                      <w:kern w:val="0"/>
                      <w:sz w:val="20"/>
                      <w:szCs w:val="20"/>
                      <w:lang w:eastAsia="en-GB"/>
                      <w14:ligatures w14:val="none"/>
                    </w:rPr>
                  </w:pPr>
                  <w:r w:rsidRPr="00000D66">
                    <w:rPr>
                      <w:rFonts w:cs="Calibri"/>
                      <w:sz w:val="20"/>
                      <w:szCs w:val="20"/>
                    </w:rPr>
                    <w:t>down </w:t>
                  </w:r>
                </w:p>
              </w:tc>
              <w:tc>
                <w:tcPr>
                  <w:tcW w:w="0" w:type="auto"/>
                  <w:tcBorders>
                    <w:left w:val="single" w:sz="4" w:space="0" w:color="auto"/>
                  </w:tcBorders>
                </w:tcPr>
                <w:p w14:paraId="2DCACC50" w14:textId="77777777" w:rsidR="00464E4B" w:rsidRPr="00000D66" w:rsidRDefault="00464E4B" w:rsidP="0041177B">
                  <w:pPr>
                    <w:spacing w:after="0" w:line="240" w:lineRule="auto"/>
                    <w:jc w:val="center"/>
                    <w:rPr>
                      <w:rFonts w:cs="Calibri"/>
                      <w:sz w:val="20"/>
                      <w:szCs w:val="20"/>
                    </w:rPr>
                  </w:pPr>
                </w:p>
              </w:tc>
              <w:tc>
                <w:tcPr>
                  <w:tcW w:w="0" w:type="auto"/>
                </w:tcPr>
                <w:p w14:paraId="580CE99C" w14:textId="77777777" w:rsidR="00464E4B" w:rsidRPr="00000D66" w:rsidRDefault="00464E4B" w:rsidP="0041177B">
                  <w:pPr>
                    <w:spacing w:after="0" w:line="240" w:lineRule="auto"/>
                    <w:jc w:val="center"/>
                    <w:rPr>
                      <w:rFonts w:cs="Calibri"/>
                      <w:sz w:val="20"/>
                      <w:szCs w:val="20"/>
                    </w:rPr>
                  </w:pPr>
                </w:p>
              </w:tc>
              <w:tc>
                <w:tcPr>
                  <w:tcW w:w="0" w:type="auto"/>
                </w:tcPr>
                <w:p w14:paraId="026AE9A1" w14:textId="77777777" w:rsidR="00464E4B" w:rsidRPr="00000D66" w:rsidRDefault="00464E4B" w:rsidP="0041177B">
                  <w:pPr>
                    <w:spacing w:after="0" w:line="240" w:lineRule="auto"/>
                    <w:jc w:val="center"/>
                    <w:rPr>
                      <w:rFonts w:cs="Calibri"/>
                      <w:sz w:val="20"/>
                      <w:szCs w:val="20"/>
                    </w:rPr>
                  </w:pPr>
                </w:p>
              </w:tc>
              <w:tc>
                <w:tcPr>
                  <w:tcW w:w="0" w:type="auto"/>
                </w:tcPr>
                <w:p w14:paraId="5A9184CD" w14:textId="77777777" w:rsidR="00464E4B" w:rsidRPr="00000D66" w:rsidRDefault="00464E4B" w:rsidP="0041177B">
                  <w:pPr>
                    <w:spacing w:after="0" w:line="240" w:lineRule="auto"/>
                    <w:jc w:val="center"/>
                    <w:rPr>
                      <w:rFonts w:cs="Calibri"/>
                      <w:sz w:val="20"/>
                      <w:szCs w:val="20"/>
                    </w:rPr>
                  </w:pPr>
                </w:p>
              </w:tc>
              <w:tc>
                <w:tcPr>
                  <w:tcW w:w="0" w:type="auto"/>
                </w:tcPr>
                <w:p w14:paraId="1BA098F9" w14:textId="77777777" w:rsidR="00464E4B" w:rsidRPr="00000D66" w:rsidRDefault="00464E4B" w:rsidP="0041177B">
                  <w:pPr>
                    <w:spacing w:after="0" w:line="240" w:lineRule="auto"/>
                    <w:jc w:val="center"/>
                    <w:rPr>
                      <w:rFonts w:cs="Calibri"/>
                      <w:sz w:val="20"/>
                      <w:szCs w:val="20"/>
                    </w:rPr>
                  </w:pPr>
                </w:p>
              </w:tc>
            </w:tr>
          </w:tbl>
          <w:p w14:paraId="15A688C3" w14:textId="77777777" w:rsidR="00464E4B" w:rsidRPr="003E2D05" w:rsidRDefault="00464E4B" w:rsidP="0041177B">
            <w:pPr>
              <w:jc w:val="center"/>
              <w:rPr>
                <w:rFonts w:eastAsia="Times New Roman" w:cs="Calibri"/>
                <w:b/>
                <w:bCs/>
                <w:color w:val="000000"/>
                <w:sz w:val="14"/>
                <w:szCs w:val="14"/>
                <w:u w:val="single"/>
                <w:lang w:eastAsia="en-GB"/>
              </w:rPr>
            </w:pPr>
          </w:p>
        </w:tc>
      </w:tr>
      <w:tr w:rsidR="00464E4B" w:rsidRPr="003E2D05" w14:paraId="604E98FF" w14:textId="77777777" w:rsidTr="0041177B">
        <w:trPr>
          <w:trHeight w:val="1183"/>
        </w:trPr>
        <w:tc>
          <w:tcPr>
            <w:tcW w:w="9634" w:type="dxa"/>
            <w:vAlign w:val="center"/>
          </w:tcPr>
          <w:p w14:paraId="1D64AF03" w14:textId="77777777" w:rsidR="00464E4B" w:rsidRPr="003E2D05" w:rsidRDefault="00464E4B" w:rsidP="0041177B">
            <w:pPr>
              <w:pBdr>
                <w:bottom w:val="single" w:sz="4" w:space="1" w:color="auto"/>
              </w:pBdr>
              <w:rPr>
                <w:rFonts w:asciiTheme="minorHAnsi" w:hAnsiTheme="minorHAnsi"/>
                <w:bCs/>
                <w:sz w:val="18"/>
                <w:szCs w:val="16"/>
              </w:rPr>
            </w:pPr>
            <w:r w:rsidRPr="003E2D05">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3A9AD0F2" w14:textId="77777777" w:rsidR="00464E4B" w:rsidRPr="003E2D05" w:rsidRDefault="00464E4B" w:rsidP="0041177B">
            <w:pPr>
              <w:rPr>
                <w:rFonts w:asciiTheme="minorHAnsi" w:hAnsiTheme="minorHAnsi"/>
                <w:b/>
                <w:bCs/>
                <w:noProof/>
                <w:sz w:val="14"/>
                <w:szCs w:val="14"/>
                <w:u w:val="single"/>
              </w:rPr>
            </w:pPr>
          </w:p>
        </w:tc>
      </w:tr>
    </w:tbl>
    <w:p w14:paraId="42505A9C" w14:textId="77777777" w:rsidR="00464E4B" w:rsidRDefault="00464E4B" w:rsidP="00464E4B">
      <w:pPr>
        <w:spacing w:after="0" w:line="240" w:lineRule="auto"/>
      </w:pPr>
    </w:p>
    <w:p w14:paraId="1FB0E2B3" w14:textId="77777777" w:rsidR="00464E4B" w:rsidRDefault="00464E4B" w:rsidP="00464E4B">
      <w:pPr>
        <w:spacing w:after="0" w:line="240" w:lineRule="auto"/>
        <w:sectPr w:rsidR="00464E4B" w:rsidSect="002746C0">
          <w:pgSz w:w="11906" w:h="16838"/>
          <w:pgMar w:top="1440" w:right="1440" w:bottom="1440" w:left="1440" w:header="708" w:footer="708" w:gutter="0"/>
          <w:cols w:space="708"/>
          <w:docGrid w:linePitch="360"/>
        </w:sectPr>
      </w:pPr>
    </w:p>
    <w:p w14:paraId="5FF5A034" w14:textId="77777777" w:rsidR="00464E4B" w:rsidRDefault="00464E4B" w:rsidP="00464E4B">
      <w:pPr>
        <w:pStyle w:val="Heading3"/>
        <w:spacing w:before="0" w:after="0" w:line="240" w:lineRule="auto"/>
      </w:pPr>
      <w:bookmarkStart w:id="158" w:name="_Toc197557083"/>
      <w:bookmarkStart w:id="159" w:name="_Toc201512477"/>
      <w:r w:rsidRPr="00E825A8">
        <w:t>Variation by deprivation quintile</w:t>
      </w:r>
      <w:bookmarkEnd w:id="158"/>
      <w:bookmarkEnd w:id="159"/>
    </w:p>
    <w:p w14:paraId="6D0FC70D" w14:textId="112F1792" w:rsidR="00464E4B" w:rsidRDefault="00464E4B" w:rsidP="00464E4B">
      <w:pPr>
        <w:spacing w:after="0" w:line="240" w:lineRule="auto"/>
        <w:rPr>
          <w:rFonts w:cstheme="minorHAnsi"/>
          <w:color w:val="000000" w:themeColor="text1"/>
        </w:rPr>
      </w:pPr>
      <w:r w:rsidRPr="009C4A76">
        <w:rPr>
          <w:rFonts w:cstheme="minorHAnsi"/>
          <w:color w:val="000000" w:themeColor="text1"/>
        </w:rPr>
        <w:t xml:space="preserve">Age-standardised incidence rates of </w:t>
      </w:r>
      <w:r>
        <w:rPr>
          <w:rFonts w:cstheme="minorHAnsi"/>
        </w:rPr>
        <w:t>stomach</w:t>
      </w:r>
      <w:r w:rsidRPr="009C4A76">
        <w:rPr>
          <w:rFonts w:cstheme="minorHAnsi"/>
        </w:rPr>
        <w:t xml:space="preserve"> cancer </w:t>
      </w:r>
      <w:r w:rsidRPr="009C4A76">
        <w:rPr>
          <w:rFonts w:cstheme="minorHAnsi"/>
          <w:color w:val="000000" w:themeColor="text1"/>
        </w:rPr>
        <w:t>in 2014-2018 ranged</w:t>
      </w:r>
      <w:r>
        <w:rPr>
          <w:rFonts w:cstheme="minorHAnsi"/>
          <w:color w:val="000000" w:themeColor="text1"/>
        </w:rPr>
        <w:t xml:space="preserve"> from</w:t>
      </w:r>
      <w:r w:rsidRPr="009C4A76">
        <w:rPr>
          <w:rFonts w:cstheme="minorHAnsi"/>
          <w:color w:val="000000" w:themeColor="text1"/>
        </w:rPr>
        <w:t xml:space="preserve"> </w:t>
      </w:r>
      <w:r>
        <w:rPr>
          <w:rFonts w:cstheme="minorHAnsi"/>
          <w:color w:val="000000" w:themeColor="text1"/>
        </w:rPr>
        <w:t>13.4 to 20.2</w:t>
      </w:r>
      <w:r w:rsidRPr="009C4A76">
        <w:rPr>
          <w:rFonts w:cstheme="minorHAnsi"/>
          <w:color w:val="000000" w:themeColor="text1"/>
        </w:rPr>
        <w:t xml:space="preserve"> cases per 100,000 </w:t>
      </w:r>
      <w:r>
        <w:rPr>
          <w:rFonts w:cstheme="minorHAnsi"/>
          <w:color w:val="000000" w:themeColor="text1"/>
        </w:rPr>
        <w:t xml:space="preserve">in </w:t>
      </w:r>
      <w:r w:rsidRPr="009C4A76">
        <w:rPr>
          <w:rFonts w:cstheme="minorHAnsi"/>
          <w:color w:val="000000" w:themeColor="text1"/>
        </w:rPr>
        <w:t xml:space="preserve">the least to the most deprived quintiles (Figure </w:t>
      </w:r>
      <w:r w:rsidR="00A26B61">
        <w:rPr>
          <w:rFonts w:cstheme="minorHAnsi"/>
          <w:color w:val="000000" w:themeColor="text1"/>
        </w:rPr>
        <w:t>9.3</w:t>
      </w:r>
      <w:r w:rsidRPr="009C4A76">
        <w:rPr>
          <w:rFonts w:cstheme="minorHAnsi"/>
          <w:color w:val="000000" w:themeColor="text1"/>
        </w:rPr>
        <w:t>).</w:t>
      </w:r>
      <w:r>
        <w:rPr>
          <w:rFonts w:cstheme="minorHAnsi"/>
          <w:color w:val="000000" w:themeColor="text1"/>
        </w:rPr>
        <w:t xml:space="preserve"> </w:t>
      </w:r>
      <w:r w:rsidRPr="009C4A76">
        <w:rPr>
          <w:rFonts w:cstheme="minorHAnsi"/>
          <w:color w:val="000000" w:themeColor="text1"/>
        </w:rPr>
        <w:t xml:space="preserve">There was a difference in rates of </w:t>
      </w:r>
      <w:r>
        <w:rPr>
          <w:rFonts w:cstheme="minorHAnsi"/>
          <w:color w:val="000000" w:themeColor="text1"/>
        </w:rPr>
        <w:t>stomach</w:t>
      </w:r>
      <w:r w:rsidRPr="009C4A76">
        <w:rPr>
          <w:rFonts w:cstheme="minorHAnsi"/>
          <w:color w:val="000000" w:themeColor="text1"/>
        </w:rPr>
        <w:t xml:space="preserve"> cancer between the most and least deprived quintiles for males (</w:t>
      </w:r>
      <w:r>
        <w:rPr>
          <w:rFonts w:cstheme="minorHAnsi"/>
          <w:color w:val="000000" w:themeColor="text1"/>
        </w:rPr>
        <w:t>19.4</w:t>
      </w:r>
      <w:r w:rsidRPr="009C4A76">
        <w:rPr>
          <w:rFonts w:cstheme="minorHAnsi"/>
          <w:color w:val="000000" w:themeColor="text1"/>
        </w:rPr>
        <w:t xml:space="preserve"> for least deprived and </w:t>
      </w:r>
      <w:r>
        <w:rPr>
          <w:rFonts w:cstheme="minorHAnsi"/>
          <w:color w:val="000000" w:themeColor="text1"/>
        </w:rPr>
        <w:t>28.0</w:t>
      </w:r>
      <w:r w:rsidRPr="009C4A76">
        <w:rPr>
          <w:rFonts w:cstheme="minorHAnsi"/>
          <w:color w:val="000000" w:themeColor="text1"/>
        </w:rPr>
        <w:t xml:space="preserve"> for most deprived). Although smaller, a difference in rates between the most and least deprived quintiles was also seen in females (</w:t>
      </w:r>
      <w:r>
        <w:rPr>
          <w:rFonts w:cstheme="minorHAnsi"/>
          <w:color w:val="000000" w:themeColor="text1"/>
        </w:rPr>
        <w:t>8.6</w:t>
      </w:r>
      <w:r w:rsidRPr="009C4A76">
        <w:rPr>
          <w:rFonts w:cstheme="minorHAnsi"/>
          <w:color w:val="000000" w:themeColor="text1"/>
        </w:rPr>
        <w:t xml:space="preserve"> for least deprived and </w:t>
      </w:r>
      <w:r>
        <w:rPr>
          <w:rFonts w:cstheme="minorHAnsi"/>
          <w:color w:val="000000" w:themeColor="text1"/>
        </w:rPr>
        <w:t>13.9</w:t>
      </w:r>
      <w:r w:rsidRPr="009C4A76">
        <w:rPr>
          <w:rFonts w:cstheme="minorHAnsi"/>
          <w:color w:val="000000" w:themeColor="text1"/>
        </w:rPr>
        <w:t xml:space="preserve"> for most deprived).</w:t>
      </w:r>
    </w:p>
    <w:p w14:paraId="11542799" w14:textId="77777777" w:rsidR="00464E4B" w:rsidRPr="009C4A76" w:rsidRDefault="00464E4B" w:rsidP="00464E4B">
      <w:pPr>
        <w:spacing w:after="0" w:line="240" w:lineRule="auto"/>
        <w:rPr>
          <w:rFonts w:cstheme="minorHAnsi"/>
          <w:color w:val="000000" w:themeColor="text1"/>
        </w:rPr>
      </w:pPr>
    </w:p>
    <w:tbl>
      <w:tblPr>
        <w:tblStyle w:val="TableGrid"/>
        <w:tblW w:w="977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3259"/>
        <w:gridCol w:w="3259"/>
      </w:tblGrid>
      <w:tr w:rsidR="00A26B61" w:rsidRPr="00501A9D" w14:paraId="3AFBA6B2" w14:textId="77777777" w:rsidTr="00A26B61">
        <w:trPr>
          <w:trHeight w:val="113"/>
        </w:trPr>
        <w:tc>
          <w:tcPr>
            <w:tcW w:w="9778" w:type="dxa"/>
            <w:gridSpan w:val="3"/>
            <w:shd w:val="clear" w:color="auto" w:fill="002060"/>
            <w:hideMark/>
          </w:tcPr>
          <w:p w14:paraId="198FC169" w14:textId="29762192" w:rsidR="00A26B61" w:rsidRPr="00A26B61" w:rsidRDefault="00A26B61" w:rsidP="0041177B">
            <w:pPr>
              <w:rPr>
                <w:rFonts w:cstheme="minorHAnsi"/>
                <w:b/>
                <w:bCs/>
                <w:color w:val="FFFFFF" w:themeColor="background1"/>
              </w:rPr>
            </w:pPr>
            <w:r w:rsidRPr="00A26B61">
              <w:rPr>
                <w:rFonts w:asciiTheme="minorHAnsi" w:hAnsiTheme="minorHAnsi" w:cstheme="minorHAnsi"/>
                <w:b/>
                <w:bCs/>
                <w:color w:val="FFFFFF" w:themeColor="background1"/>
              </w:rPr>
              <w:t>Figure</w:t>
            </w:r>
            <w:r>
              <w:rPr>
                <w:rFonts w:asciiTheme="minorHAnsi" w:hAnsiTheme="minorHAnsi" w:cstheme="minorHAnsi"/>
                <w:b/>
                <w:bCs/>
                <w:color w:val="FFFFFF" w:themeColor="background1"/>
              </w:rPr>
              <w:t xml:space="preserve"> 9.3:</w:t>
            </w:r>
            <w:r w:rsidRPr="00A26B61">
              <w:rPr>
                <w:rFonts w:asciiTheme="minorHAnsi" w:hAnsiTheme="minorHAnsi" w:cstheme="minorHAnsi"/>
                <w:b/>
                <w:bCs/>
                <w:color w:val="FFFFFF" w:themeColor="background1"/>
              </w:rPr>
              <w:t xml:space="preserve"> Incidence rate (per 100,000) for stomach cancer by deprivation quintile, 2014-2018</w:t>
            </w:r>
          </w:p>
        </w:tc>
      </w:tr>
      <w:tr w:rsidR="00464E4B" w:rsidRPr="00501A9D" w14:paraId="4B4AD9EB" w14:textId="77777777" w:rsidTr="00A26B61">
        <w:trPr>
          <w:trHeight w:val="113"/>
        </w:trPr>
        <w:tc>
          <w:tcPr>
            <w:tcW w:w="3260" w:type="dxa"/>
            <w:hideMark/>
          </w:tcPr>
          <w:p w14:paraId="6336D46D" w14:textId="77777777" w:rsidR="00464E4B" w:rsidRPr="00501A9D" w:rsidRDefault="00464E4B" w:rsidP="0041177B">
            <w:pPr>
              <w:jc w:val="center"/>
              <w:rPr>
                <w:rFonts w:asciiTheme="minorHAnsi" w:hAnsiTheme="minorHAnsi" w:cstheme="minorHAnsi"/>
                <w:color w:val="000000" w:themeColor="text1"/>
              </w:rPr>
            </w:pPr>
            <w:r w:rsidRPr="00501A9D">
              <w:rPr>
                <w:rFonts w:asciiTheme="minorHAnsi" w:hAnsiTheme="minorHAnsi" w:cstheme="minorHAnsi"/>
                <w:color w:val="000000" w:themeColor="text1"/>
              </w:rPr>
              <w:t>Total</w:t>
            </w:r>
          </w:p>
        </w:tc>
        <w:tc>
          <w:tcPr>
            <w:tcW w:w="3259" w:type="dxa"/>
          </w:tcPr>
          <w:p w14:paraId="49804AAA" w14:textId="77777777" w:rsidR="00464E4B" w:rsidRPr="00501A9D" w:rsidRDefault="00464E4B" w:rsidP="0041177B">
            <w:pPr>
              <w:jc w:val="center"/>
              <w:rPr>
                <w:rFonts w:asciiTheme="minorHAnsi" w:hAnsiTheme="minorHAnsi" w:cstheme="minorHAnsi"/>
                <w:color w:val="000000" w:themeColor="text1"/>
              </w:rPr>
            </w:pPr>
            <w:r w:rsidRPr="00501A9D">
              <w:rPr>
                <w:rFonts w:asciiTheme="minorHAnsi" w:hAnsiTheme="minorHAnsi" w:cstheme="minorHAnsi"/>
                <w:color w:val="000000" w:themeColor="text1"/>
              </w:rPr>
              <w:t>Males</w:t>
            </w:r>
          </w:p>
        </w:tc>
        <w:tc>
          <w:tcPr>
            <w:tcW w:w="3259" w:type="dxa"/>
          </w:tcPr>
          <w:p w14:paraId="59BD3944" w14:textId="77777777" w:rsidR="00464E4B" w:rsidRPr="00501A9D" w:rsidRDefault="00464E4B" w:rsidP="0041177B">
            <w:pPr>
              <w:jc w:val="center"/>
              <w:rPr>
                <w:rFonts w:cstheme="minorHAnsi"/>
                <w:color w:val="000000" w:themeColor="text1"/>
              </w:rPr>
            </w:pPr>
            <w:r w:rsidRPr="00501A9D">
              <w:rPr>
                <w:rFonts w:asciiTheme="minorHAnsi" w:hAnsiTheme="minorHAnsi" w:cstheme="minorHAnsi"/>
                <w:color w:val="000000" w:themeColor="text1"/>
              </w:rPr>
              <w:t>Females</w:t>
            </w:r>
          </w:p>
        </w:tc>
      </w:tr>
      <w:tr w:rsidR="00464E4B" w:rsidRPr="00501A9D" w14:paraId="0773BE12" w14:textId="77777777" w:rsidTr="00A26B61">
        <w:trPr>
          <w:trHeight w:val="113"/>
        </w:trPr>
        <w:tc>
          <w:tcPr>
            <w:tcW w:w="3260" w:type="dxa"/>
          </w:tcPr>
          <w:p w14:paraId="1196DBA6" w14:textId="77777777" w:rsidR="00464E4B" w:rsidRPr="00501A9D" w:rsidRDefault="00464E4B" w:rsidP="0041177B">
            <w:pPr>
              <w:rPr>
                <w:rFonts w:asciiTheme="minorHAnsi" w:hAnsiTheme="minorHAnsi" w:cstheme="minorHAnsi"/>
                <w:color w:val="000000" w:themeColor="text1"/>
              </w:rPr>
            </w:pPr>
            <w:r>
              <w:rPr>
                <w:rFonts w:cstheme="minorHAnsi"/>
                <w:noProof/>
                <w:color w:val="000000" w:themeColor="text1"/>
              </w:rPr>
              <w:drawing>
                <wp:inline distT="0" distB="0" distL="0" distR="0" wp14:anchorId="7110611B" wp14:editId="653413D8">
                  <wp:extent cx="1969135" cy="1536065"/>
                  <wp:effectExtent l="0" t="0" r="0" b="6985"/>
                  <wp:docPr id="291101253" name="Picture 6" descr="A graph with numbers and a number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01253" name="Picture 6" descr="A graph with numbers and a number on it&#10;&#10;AI-generated content may be incorrect."/>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69135" cy="1536065"/>
                          </a:xfrm>
                          <a:prstGeom prst="rect">
                            <a:avLst/>
                          </a:prstGeom>
                          <a:noFill/>
                        </pic:spPr>
                      </pic:pic>
                    </a:graphicData>
                  </a:graphic>
                </wp:inline>
              </w:drawing>
            </w:r>
          </w:p>
        </w:tc>
        <w:tc>
          <w:tcPr>
            <w:tcW w:w="3259" w:type="dxa"/>
          </w:tcPr>
          <w:p w14:paraId="63752986" w14:textId="77777777" w:rsidR="00464E4B" w:rsidRPr="00501A9D" w:rsidRDefault="00464E4B" w:rsidP="0041177B">
            <w:pPr>
              <w:rPr>
                <w:rFonts w:asciiTheme="minorHAnsi" w:hAnsiTheme="minorHAnsi" w:cstheme="minorHAnsi"/>
                <w:color w:val="000000" w:themeColor="text1"/>
              </w:rPr>
            </w:pPr>
            <w:r>
              <w:rPr>
                <w:rFonts w:cstheme="minorHAnsi"/>
                <w:noProof/>
                <w:color w:val="000000" w:themeColor="text1"/>
              </w:rPr>
              <w:drawing>
                <wp:inline distT="0" distB="0" distL="0" distR="0" wp14:anchorId="331B59E0" wp14:editId="19EA33FE">
                  <wp:extent cx="1969135" cy="1530350"/>
                  <wp:effectExtent l="0" t="0" r="0" b="0"/>
                  <wp:docPr id="313557037" name="Picture 7" descr="A graph with numbers and a number of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57037" name="Picture 7" descr="A graph with numbers and a number of bars&#10;&#10;AI-generated content may be incorrect."/>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69135" cy="1530350"/>
                          </a:xfrm>
                          <a:prstGeom prst="rect">
                            <a:avLst/>
                          </a:prstGeom>
                          <a:noFill/>
                        </pic:spPr>
                      </pic:pic>
                    </a:graphicData>
                  </a:graphic>
                </wp:inline>
              </w:drawing>
            </w:r>
          </w:p>
        </w:tc>
        <w:tc>
          <w:tcPr>
            <w:tcW w:w="3259" w:type="dxa"/>
          </w:tcPr>
          <w:p w14:paraId="20C6D8B1" w14:textId="77777777" w:rsidR="00464E4B" w:rsidRPr="00501A9D" w:rsidRDefault="00464E4B" w:rsidP="0041177B">
            <w:pPr>
              <w:jc w:val="center"/>
              <w:rPr>
                <w:rFonts w:cstheme="minorHAnsi"/>
                <w:color w:val="000000" w:themeColor="text1"/>
              </w:rPr>
            </w:pPr>
            <w:r>
              <w:rPr>
                <w:rFonts w:cstheme="minorHAnsi"/>
                <w:noProof/>
                <w:color w:val="000000" w:themeColor="text1"/>
              </w:rPr>
              <w:drawing>
                <wp:inline distT="0" distB="0" distL="0" distR="0" wp14:anchorId="14139169" wp14:editId="48D947AD">
                  <wp:extent cx="1969135" cy="1530350"/>
                  <wp:effectExtent l="0" t="0" r="0" b="0"/>
                  <wp:docPr id="397462416" name="Picture 8"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62416" name="Picture 8" descr="A graph with numbers and a bar&#10;&#10;AI-generated content may be incorrect."/>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69135" cy="1530350"/>
                          </a:xfrm>
                          <a:prstGeom prst="rect">
                            <a:avLst/>
                          </a:prstGeom>
                          <a:noFill/>
                        </pic:spPr>
                      </pic:pic>
                    </a:graphicData>
                  </a:graphic>
                </wp:inline>
              </w:drawing>
            </w:r>
          </w:p>
        </w:tc>
      </w:tr>
    </w:tbl>
    <w:p w14:paraId="7E4F5BC0" w14:textId="77777777" w:rsidR="00464E4B" w:rsidRPr="005648D7" w:rsidRDefault="00464E4B" w:rsidP="00464E4B">
      <w:pPr>
        <w:spacing w:after="0" w:line="240" w:lineRule="auto"/>
        <w:rPr>
          <w:rFonts w:cstheme="minorHAnsi"/>
          <w:color w:val="000000" w:themeColor="text1"/>
          <w:highlight w:val="yellow"/>
        </w:rPr>
      </w:pPr>
    </w:p>
    <w:p w14:paraId="563B8DD0" w14:textId="77777777" w:rsidR="00464E4B" w:rsidRDefault="00464E4B" w:rsidP="00464E4B">
      <w:pPr>
        <w:pStyle w:val="Heading2"/>
        <w:spacing w:before="0" w:after="0" w:line="240" w:lineRule="auto"/>
        <w:ind w:left="709" w:hanging="709"/>
      </w:pPr>
      <w:bookmarkStart w:id="160" w:name="_Toc197557084"/>
      <w:bookmarkStart w:id="161" w:name="_Toc201512478"/>
      <w:r>
        <w:t>Mortality</w:t>
      </w:r>
      <w:bookmarkEnd w:id="160"/>
      <w:bookmarkEnd w:id="161"/>
    </w:p>
    <w:p w14:paraId="45BC5B8C" w14:textId="41DE62DE" w:rsidR="00464E4B" w:rsidRDefault="00464E4B" w:rsidP="00464E4B">
      <w:pPr>
        <w:spacing w:after="0" w:line="240" w:lineRule="auto"/>
      </w:pPr>
      <w:r w:rsidRPr="0060360C">
        <w:t xml:space="preserve">Age-standardised mortality rates of stomach cancer </w:t>
      </w:r>
      <w:r w:rsidR="00D752CB">
        <w:t>during the period</w:t>
      </w:r>
      <w:r w:rsidRPr="0060360C">
        <w:t xml:space="preserve"> 1994-2022 were 17.8 deaths per 100,000 males and 8.9 deaths per 100,000 females per year. Figure </w:t>
      </w:r>
      <w:r w:rsidR="00A26B61">
        <w:t xml:space="preserve">9.4 </w:t>
      </w:r>
      <w:r w:rsidRPr="0060360C">
        <w:t xml:space="preserve">breaks this down further by sex and age group. </w:t>
      </w:r>
      <w:r>
        <w:t>M</w:t>
      </w:r>
      <w:r w:rsidRPr="0060360C">
        <w:t>ortality rate</w:t>
      </w:r>
      <w:r>
        <w:t xml:space="preserve">s increased with increasing age among both males and females. </w:t>
      </w:r>
    </w:p>
    <w:p w14:paraId="6610F4C8" w14:textId="77777777" w:rsidR="00464E4B" w:rsidRPr="005648D7" w:rsidRDefault="00464E4B" w:rsidP="00464E4B">
      <w:pPr>
        <w:spacing w:after="0" w:line="240" w:lineRule="auto"/>
        <w:rPr>
          <w:highlight w:val="yellow"/>
        </w:rPr>
      </w:pPr>
    </w:p>
    <w:tbl>
      <w:tblPr>
        <w:tblStyle w:val="TableGrid"/>
        <w:tblW w:w="976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3259"/>
        <w:gridCol w:w="3259"/>
      </w:tblGrid>
      <w:tr w:rsidR="00464E4B" w:rsidRPr="00501A9D" w14:paraId="0975CA7E" w14:textId="77777777" w:rsidTr="0041177B">
        <w:trPr>
          <w:trHeight w:val="113"/>
        </w:trPr>
        <w:tc>
          <w:tcPr>
            <w:tcW w:w="9768" w:type="dxa"/>
            <w:gridSpan w:val="3"/>
            <w:shd w:val="clear" w:color="auto" w:fill="002060"/>
            <w:hideMark/>
          </w:tcPr>
          <w:p w14:paraId="338B7E37" w14:textId="20032E22" w:rsidR="00464E4B" w:rsidRPr="00A26B61" w:rsidRDefault="00464E4B" w:rsidP="0041177B">
            <w:pPr>
              <w:rPr>
                <w:rFonts w:cstheme="minorHAnsi"/>
                <w:b/>
                <w:bCs/>
                <w:color w:val="FFFFFF" w:themeColor="background1"/>
              </w:rPr>
            </w:pPr>
            <w:r w:rsidRPr="00A26B61">
              <w:rPr>
                <w:rFonts w:asciiTheme="minorHAnsi" w:hAnsiTheme="minorHAnsi" w:cstheme="minorHAnsi"/>
                <w:b/>
                <w:bCs/>
                <w:color w:val="FFFFFF" w:themeColor="background1"/>
              </w:rPr>
              <w:t xml:space="preserve">Figure </w:t>
            </w:r>
            <w:r w:rsidR="00A26B61" w:rsidRPr="00A26B61">
              <w:rPr>
                <w:rFonts w:asciiTheme="minorHAnsi" w:hAnsiTheme="minorHAnsi" w:cstheme="minorHAnsi"/>
                <w:b/>
                <w:bCs/>
                <w:color w:val="FFFFFF" w:themeColor="background1"/>
              </w:rPr>
              <w:t>9.4:</w:t>
            </w:r>
            <w:r w:rsidRPr="00A26B61">
              <w:rPr>
                <w:rFonts w:asciiTheme="minorHAnsi" w:hAnsiTheme="minorHAnsi" w:cstheme="minorHAnsi"/>
                <w:b/>
                <w:bCs/>
                <w:color w:val="FFFFFF" w:themeColor="background1"/>
              </w:rPr>
              <w:t xml:space="preserve"> Mortality rate (per 100,000) for stomach cancer by </w:t>
            </w:r>
            <w:r w:rsidR="00366242">
              <w:rPr>
                <w:rFonts w:asciiTheme="minorHAnsi" w:hAnsiTheme="minorHAnsi" w:cstheme="minorHAnsi"/>
                <w:b/>
                <w:bCs/>
                <w:color w:val="FFFFFF" w:themeColor="background1"/>
              </w:rPr>
              <w:t>age group</w:t>
            </w:r>
            <w:r w:rsidRPr="00A26B61">
              <w:rPr>
                <w:rFonts w:asciiTheme="minorHAnsi" w:hAnsiTheme="minorHAnsi" w:cstheme="minorHAnsi"/>
                <w:b/>
                <w:bCs/>
                <w:color w:val="FFFFFF" w:themeColor="background1"/>
              </w:rPr>
              <w:t>, 1994-2022</w:t>
            </w:r>
          </w:p>
        </w:tc>
      </w:tr>
      <w:tr w:rsidR="00464E4B" w:rsidRPr="00501A9D" w14:paraId="6AF4D7F1" w14:textId="77777777" w:rsidTr="0041177B">
        <w:trPr>
          <w:trHeight w:val="113"/>
        </w:trPr>
        <w:tc>
          <w:tcPr>
            <w:tcW w:w="3256" w:type="dxa"/>
            <w:hideMark/>
          </w:tcPr>
          <w:p w14:paraId="06E5F455" w14:textId="77777777" w:rsidR="00464E4B" w:rsidRPr="00501A9D" w:rsidRDefault="00464E4B" w:rsidP="0041177B">
            <w:pPr>
              <w:jc w:val="center"/>
              <w:rPr>
                <w:rFonts w:asciiTheme="minorHAnsi" w:hAnsiTheme="minorHAnsi" w:cstheme="minorHAnsi"/>
                <w:color w:val="000000" w:themeColor="text1"/>
              </w:rPr>
            </w:pPr>
            <w:r w:rsidRPr="00501A9D">
              <w:rPr>
                <w:rFonts w:asciiTheme="minorHAnsi" w:hAnsiTheme="minorHAnsi" w:cstheme="minorHAnsi"/>
                <w:color w:val="000000" w:themeColor="text1"/>
              </w:rPr>
              <w:t>Total</w:t>
            </w:r>
          </w:p>
        </w:tc>
        <w:tc>
          <w:tcPr>
            <w:tcW w:w="3256" w:type="dxa"/>
          </w:tcPr>
          <w:p w14:paraId="3EDB08F7" w14:textId="77777777" w:rsidR="00464E4B" w:rsidRPr="00501A9D" w:rsidRDefault="00464E4B" w:rsidP="0041177B">
            <w:pPr>
              <w:jc w:val="center"/>
              <w:rPr>
                <w:rFonts w:asciiTheme="minorHAnsi" w:hAnsiTheme="minorHAnsi" w:cstheme="minorHAnsi"/>
                <w:color w:val="000000" w:themeColor="text1"/>
              </w:rPr>
            </w:pPr>
            <w:r w:rsidRPr="00501A9D">
              <w:rPr>
                <w:rFonts w:asciiTheme="minorHAnsi" w:hAnsiTheme="minorHAnsi" w:cstheme="minorHAnsi"/>
                <w:color w:val="000000" w:themeColor="text1"/>
              </w:rPr>
              <w:t>Males</w:t>
            </w:r>
          </w:p>
        </w:tc>
        <w:tc>
          <w:tcPr>
            <w:tcW w:w="3256" w:type="dxa"/>
          </w:tcPr>
          <w:p w14:paraId="73F3CC63" w14:textId="77777777" w:rsidR="00464E4B" w:rsidRPr="00501A9D" w:rsidRDefault="00464E4B" w:rsidP="0041177B">
            <w:pPr>
              <w:jc w:val="center"/>
              <w:rPr>
                <w:rFonts w:cstheme="minorHAnsi"/>
                <w:color w:val="000000" w:themeColor="text1"/>
              </w:rPr>
            </w:pPr>
            <w:r w:rsidRPr="00501A9D">
              <w:rPr>
                <w:rFonts w:asciiTheme="minorHAnsi" w:hAnsiTheme="minorHAnsi" w:cstheme="minorHAnsi"/>
                <w:color w:val="000000" w:themeColor="text1"/>
              </w:rPr>
              <w:t>Females</w:t>
            </w:r>
          </w:p>
        </w:tc>
      </w:tr>
      <w:tr w:rsidR="00464E4B" w:rsidRPr="005A0BCF" w14:paraId="444997C0" w14:textId="77777777" w:rsidTr="0041177B">
        <w:trPr>
          <w:trHeight w:val="113"/>
        </w:trPr>
        <w:tc>
          <w:tcPr>
            <w:tcW w:w="3256" w:type="dxa"/>
          </w:tcPr>
          <w:p w14:paraId="4E0D1AA2" w14:textId="77777777" w:rsidR="00464E4B" w:rsidRPr="00501A9D" w:rsidRDefault="00464E4B" w:rsidP="0041177B">
            <w:pPr>
              <w:rPr>
                <w:rFonts w:asciiTheme="minorHAnsi" w:hAnsiTheme="minorHAnsi" w:cstheme="minorHAnsi"/>
                <w:color w:val="000000" w:themeColor="text1"/>
              </w:rPr>
            </w:pPr>
            <w:r w:rsidRPr="002C41FA">
              <w:rPr>
                <w:rFonts w:cstheme="minorHAnsi"/>
                <w:noProof/>
                <w:color w:val="000000" w:themeColor="text1"/>
              </w:rPr>
              <w:drawing>
                <wp:inline distT="0" distB="0" distL="0" distR="0" wp14:anchorId="11822FC1" wp14:editId="529F9EB9">
                  <wp:extent cx="1953190" cy="1692000"/>
                  <wp:effectExtent l="0" t="0" r="9525" b="3810"/>
                  <wp:docPr id="1699708311" name="Picture 7"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708311" name="Picture 7" descr="A graph with numbers and a bar&#10;&#10;AI-generated content may be incorrect."/>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953190" cy="1692000"/>
                          </a:xfrm>
                          <a:prstGeom prst="rect">
                            <a:avLst/>
                          </a:prstGeom>
                          <a:noFill/>
                        </pic:spPr>
                      </pic:pic>
                    </a:graphicData>
                  </a:graphic>
                </wp:inline>
              </w:drawing>
            </w:r>
          </w:p>
        </w:tc>
        <w:tc>
          <w:tcPr>
            <w:tcW w:w="3256" w:type="dxa"/>
          </w:tcPr>
          <w:p w14:paraId="67C389D9" w14:textId="77777777" w:rsidR="00464E4B" w:rsidRPr="00501A9D" w:rsidRDefault="00464E4B" w:rsidP="0041177B">
            <w:pPr>
              <w:rPr>
                <w:rFonts w:asciiTheme="minorHAnsi" w:hAnsiTheme="minorHAnsi" w:cstheme="minorHAnsi"/>
                <w:color w:val="000000" w:themeColor="text1"/>
              </w:rPr>
            </w:pPr>
            <w:r w:rsidRPr="006C1190">
              <w:rPr>
                <w:rFonts w:eastAsia="Times New Roman" w:cs="Times New Roman"/>
                <w:noProof/>
                <w:lang w:eastAsia="en-GB"/>
              </w:rPr>
              <w:drawing>
                <wp:inline distT="0" distB="0" distL="0" distR="0" wp14:anchorId="172D1558" wp14:editId="5099081B">
                  <wp:extent cx="1953190" cy="1692000"/>
                  <wp:effectExtent l="0" t="0" r="9525" b="3810"/>
                  <wp:docPr id="99363900" name="Picture 8"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63900" name="Picture 8" descr="A graph with numbers and a bar&#10;&#10;AI-generated content may be incorrect."/>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953190" cy="1692000"/>
                          </a:xfrm>
                          <a:prstGeom prst="rect">
                            <a:avLst/>
                          </a:prstGeom>
                          <a:noFill/>
                        </pic:spPr>
                      </pic:pic>
                    </a:graphicData>
                  </a:graphic>
                </wp:inline>
              </w:drawing>
            </w:r>
          </w:p>
        </w:tc>
        <w:tc>
          <w:tcPr>
            <w:tcW w:w="3256" w:type="dxa"/>
          </w:tcPr>
          <w:p w14:paraId="538C313B" w14:textId="77777777" w:rsidR="00464E4B" w:rsidRPr="00501A9D" w:rsidRDefault="00464E4B" w:rsidP="0041177B">
            <w:pPr>
              <w:jc w:val="center"/>
              <w:rPr>
                <w:rFonts w:cstheme="minorHAnsi"/>
                <w:color w:val="000000" w:themeColor="text1"/>
                <w:highlight w:val="yellow"/>
              </w:rPr>
            </w:pPr>
            <w:r w:rsidRPr="006C1190">
              <w:rPr>
                <w:rFonts w:cstheme="minorHAnsi"/>
                <w:noProof/>
                <w:color w:val="000000" w:themeColor="text1"/>
              </w:rPr>
              <w:drawing>
                <wp:inline distT="0" distB="0" distL="0" distR="0" wp14:anchorId="73A49DFC" wp14:editId="0D4DC5C9">
                  <wp:extent cx="1953190" cy="1692000"/>
                  <wp:effectExtent l="0" t="0" r="9525" b="3810"/>
                  <wp:docPr id="18322678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953190" cy="1692000"/>
                          </a:xfrm>
                          <a:prstGeom prst="rect">
                            <a:avLst/>
                          </a:prstGeom>
                          <a:noFill/>
                        </pic:spPr>
                      </pic:pic>
                    </a:graphicData>
                  </a:graphic>
                </wp:inline>
              </w:drawing>
            </w:r>
          </w:p>
        </w:tc>
      </w:tr>
    </w:tbl>
    <w:p w14:paraId="564F6921" w14:textId="77777777" w:rsidR="00464E4B" w:rsidRDefault="00464E4B" w:rsidP="00464E4B">
      <w:pPr>
        <w:spacing w:after="0" w:line="240" w:lineRule="auto"/>
        <w:sectPr w:rsidR="00464E4B" w:rsidSect="002746C0">
          <w:pgSz w:w="11906" w:h="16838"/>
          <w:pgMar w:top="1440" w:right="1440" w:bottom="1440" w:left="1440" w:header="708" w:footer="708" w:gutter="0"/>
          <w:cols w:space="708"/>
          <w:docGrid w:linePitch="360"/>
        </w:sectPr>
      </w:pPr>
    </w:p>
    <w:p w14:paraId="3F8102A9" w14:textId="77777777" w:rsidR="00464E4B" w:rsidRDefault="00464E4B" w:rsidP="00464E4B">
      <w:pPr>
        <w:pStyle w:val="Heading3"/>
        <w:spacing w:before="0" w:after="0" w:line="240" w:lineRule="auto"/>
      </w:pPr>
      <w:bookmarkStart w:id="162" w:name="_Toc197557085"/>
      <w:bookmarkStart w:id="163" w:name="_Toc201512479"/>
      <w:r w:rsidRPr="00B06BFF">
        <w:t>Trends over</w:t>
      </w:r>
      <w:r>
        <w:t xml:space="preserve"> </w:t>
      </w:r>
      <w:r w:rsidRPr="00B06BFF">
        <w:t>time</w:t>
      </w:r>
      <w:bookmarkEnd w:id="162"/>
      <w:bookmarkEnd w:id="163"/>
    </w:p>
    <w:p w14:paraId="534FE7E8" w14:textId="3E8AE723" w:rsidR="00464E4B" w:rsidRPr="00B877AE" w:rsidRDefault="00464E4B" w:rsidP="00464E4B">
      <w:pPr>
        <w:spacing w:after="0" w:line="240" w:lineRule="auto"/>
      </w:pPr>
      <w:r w:rsidRPr="00B877AE">
        <w:t xml:space="preserve">Figure </w:t>
      </w:r>
      <w:r w:rsidR="00A26B61">
        <w:t>9.5</w:t>
      </w:r>
      <w:r w:rsidRPr="00B877AE">
        <w:t xml:space="preserve"> shows the </w:t>
      </w:r>
      <w:r>
        <w:t>age-standardised mortality rates for</w:t>
      </w:r>
      <w:r w:rsidRPr="00B877AE">
        <w:t xml:space="preserve"> </w:t>
      </w:r>
      <w:r>
        <w:t>stomach cancer</w:t>
      </w:r>
      <w:r w:rsidRPr="00B877AE">
        <w:t xml:space="preserve"> from 1994 to 2022</w:t>
      </w:r>
      <w:r>
        <w:t xml:space="preserve"> for males and females</w:t>
      </w:r>
      <w:r w:rsidRPr="00B877AE">
        <w:t>. In males there was a decline in mortality (APC) from 1994 to 20</w:t>
      </w:r>
      <w:r>
        <w:t>22</w:t>
      </w:r>
      <w:r w:rsidRPr="00B877AE">
        <w:t xml:space="preserve"> (-</w:t>
      </w:r>
      <w:r>
        <w:t>3.1</w:t>
      </w:r>
      <w:r w:rsidRPr="00B877AE">
        <w:t>% per year (95%CI -3.</w:t>
      </w:r>
      <w:r>
        <w:t>4</w:t>
      </w:r>
      <w:r w:rsidRPr="00B877AE">
        <w:t>;</w:t>
      </w:r>
      <w:r>
        <w:t xml:space="preserve"> </w:t>
      </w:r>
      <w:r w:rsidRPr="00B877AE">
        <w:t>-</w:t>
      </w:r>
      <w:r>
        <w:t>2.8</w:t>
      </w:r>
      <w:r w:rsidRPr="00B877AE">
        <w:t xml:space="preserve">)). </w:t>
      </w:r>
      <w:r>
        <w:t>A similar decline was seen i</w:t>
      </w:r>
      <w:r w:rsidRPr="00B877AE">
        <w:t xml:space="preserve">n </w:t>
      </w:r>
      <w:r>
        <w:t>fe</w:t>
      </w:r>
      <w:r w:rsidRPr="00B877AE">
        <w:t>males from 1994 to 2022 (-3.</w:t>
      </w:r>
      <w:r>
        <w:t>4</w:t>
      </w:r>
      <w:r w:rsidRPr="00B877AE">
        <w:t>% per year (95%CI -3.</w:t>
      </w:r>
      <w:r>
        <w:t>8</w:t>
      </w:r>
      <w:r w:rsidRPr="00B877AE">
        <w:t>;</w:t>
      </w:r>
      <w:r>
        <w:t xml:space="preserve"> </w:t>
      </w:r>
      <w:r w:rsidRPr="00B877AE">
        <w:t>-</w:t>
      </w:r>
      <w:r>
        <w:t>3.0</w:t>
      </w:r>
      <w:r w:rsidRPr="00B877AE">
        <w:t>)).</w:t>
      </w:r>
    </w:p>
    <w:p w14:paraId="3B80994E" w14:textId="77777777" w:rsidR="00464E4B" w:rsidRPr="00B877AE" w:rsidRDefault="00464E4B" w:rsidP="00464E4B">
      <w:pPr>
        <w:spacing w:after="0" w:line="240" w:lineRule="auto"/>
      </w:pPr>
      <w:r w:rsidRPr="00B877AE">
        <w:t xml:space="preserve">  </w:t>
      </w:r>
    </w:p>
    <w:tbl>
      <w:tblPr>
        <w:tblStyle w:val="TableGrid"/>
        <w:tblW w:w="9661"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1"/>
      </w:tblGrid>
      <w:tr w:rsidR="00464E4B" w:rsidRPr="00501A9D" w14:paraId="67867198" w14:textId="77777777" w:rsidTr="0041177B">
        <w:trPr>
          <w:trHeight w:val="113"/>
        </w:trPr>
        <w:tc>
          <w:tcPr>
            <w:tcW w:w="9661" w:type="dxa"/>
            <w:shd w:val="clear" w:color="auto" w:fill="002060"/>
            <w:vAlign w:val="center"/>
            <w:hideMark/>
          </w:tcPr>
          <w:p w14:paraId="4F862000" w14:textId="55BFAC99" w:rsidR="00464E4B" w:rsidRPr="00501A9D" w:rsidRDefault="00464E4B" w:rsidP="0041177B">
            <w:pPr>
              <w:rPr>
                <w:rFonts w:asciiTheme="minorHAnsi" w:hAnsiTheme="minorHAnsi"/>
                <w:b/>
                <w:bCs/>
              </w:rPr>
            </w:pPr>
            <w:r w:rsidRPr="00501A9D">
              <w:rPr>
                <w:rFonts w:asciiTheme="minorHAnsi" w:hAnsiTheme="minorHAnsi"/>
                <w:b/>
                <w:bCs/>
              </w:rPr>
              <w:t xml:space="preserve">Figure </w:t>
            </w:r>
            <w:r w:rsidR="00A26B61">
              <w:rPr>
                <w:rFonts w:asciiTheme="minorHAnsi" w:hAnsiTheme="minorHAnsi"/>
                <w:b/>
                <w:bCs/>
              </w:rPr>
              <w:t>9.5:</w:t>
            </w:r>
            <w:r w:rsidRPr="00501A9D">
              <w:rPr>
                <w:rFonts w:asciiTheme="minorHAnsi" w:hAnsiTheme="minorHAnsi"/>
                <w:b/>
                <w:bCs/>
              </w:rPr>
              <w:t xml:space="preserve"> Age-</w:t>
            </w:r>
            <w:r w:rsidRPr="00501A9D">
              <w:rPr>
                <w:rFonts w:asciiTheme="minorHAnsi" w:hAnsiTheme="minorHAnsi"/>
                <w:b/>
                <w:bCs/>
                <w:bdr w:val="single" w:sz="4" w:space="0" w:color="auto" w:frame="1"/>
              </w:rPr>
              <w:t>standardised mortality rate 1994-2022, stomach</w:t>
            </w:r>
          </w:p>
        </w:tc>
      </w:tr>
      <w:tr w:rsidR="00464E4B" w:rsidRPr="00501A9D" w14:paraId="1E8571B6" w14:textId="77777777" w:rsidTr="0041177B">
        <w:trPr>
          <w:trHeight w:val="113"/>
        </w:trPr>
        <w:tc>
          <w:tcPr>
            <w:tcW w:w="9661" w:type="dxa"/>
            <w:vAlign w:val="center"/>
          </w:tcPr>
          <w:p w14:paraId="2BC0CD01" w14:textId="77777777" w:rsidR="00464E4B" w:rsidRPr="00501A9D" w:rsidRDefault="00464E4B" w:rsidP="0041177B">
            <w:pPr>
              <w:jc w:val="center"/>
              <w:rPr>
                <w:rFonts w:asciiTheme="minorHAnsi" w:hAnsiTheme="minorHAnsi"/>
              </w:rPr>
            </w:pPr>
            <w:r>
              <w:rPr>
                <w:noProof/>
              </w:rPr>
              <w:drawing>
                <wp:inline distT="0" distB="0" distL="0" distR="0" wp14:anchorId="7BA95F98" wp14:editId="2BC55789">
                  <wp:extent cx="5755005" cy="3017520"/>
                  <wp:effectExtent l="0" t="0" r="0" b="0"/>
                  <wp:docPr id="7624674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55005" cy="3017520"/>
                          </a:xfrm>
                          <a:prstGeom prst="rect">
                            <a:avLst/>
                          </a:prstGeom>
                          <a:noFill/>
                        </pic:spPr>
                      </pic:pic>
                    </a:graphicData>
                  </a:graphic>
                </wp:inline>
              </w:drawing>
            </w:r>
          </w:p>
        </w:tc>
      </w:tr>
      <w:tr w:rsidR="00464E4B" w:rsidRPr="00501A9D" w14:paraId="46096988" w14:textId="77777777" w:rsidTr="0041177B">
        <w:trPr>
          <w:trHeight w:val="536"/>
        </w:trPr>
        <w:tc>
          <w:tcPr>
            <w:tcW w:w="9661" w:type="dxa"/>
            <w:vAlign w:val="center"/>
          </w:tcPr>
          <w:tbl>
            <w:tblPr>
              <w:tblpPr w:leftFromText="180" w:rightFromText="180" w:bottomFromText="160" w:vertAnchor="page" w:horzAnchor="margin" w:tblpXSpec="center" w:tblpY="1"/>
              <w:tblOverlap w:val="never"/>
              <w:tblW w:w="0" w:type="auto"/>
              <w:tblLook w:val="04A0" w:firstRow="1" w:lastRow="0" w:firstColumn="1" w:lastColumn="0" w:noHBand="0" w:noVBand="1"/>
            </w:tblPr>
            <w:tblGrid>
              <w:gridCol w:w="530"/>
              <w:gridCol w:w="1180"/>
              <w:gridCol w:w="771"/>
              <w:gridCol w:w="992"/>
              <w:gridCol w:w="732"/>
              <w:gridCol w:w="530"/>
              <w:gridCol w:w="1180"/>
              <w:gridCol w:w="771"/>
              <w:gridCol w:w="992"/>
              <w:gridCol w:w="732"/>
            </w:tblGrid>
            <w:tr w:rsidR="00464E4B" w:rsidRPr="00800835" w14:paraId="032EB8C0" w14:textId="77777777" w:rsidTr="0041177B">
              <w:trPr>
                <w:trHeight w:val="113"/>
              </w:trPr>
              <w:tc>
                <w:tcPr>
                  <w:tcW w:w="0" w:type="auto"/>
                  <w:noWrap/>
                  <w:tcMar>
                    <w:top w:w="15" w:type="dxa"/>
                    <w:left w:w="108" w:type="dxa"/>
                    <w:bottom w:w="15" w:type="dxa"/>
                    <w:right w:w="108" w:type="dxa"/>
                  </w:tcMar>
                  <w:vAlign w:val="center"/>
                  <w:hideMark/>
                </w:tcPr>
                <w:p w14:paraId="00681E80" w14:textId="77777777" w:rsidR="00464E4B" w:rsidRPr="00800835"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800835">
                    <w:rPr>
                      <w:rFonts w:eastAsia="Times New Roman" w:cs="Times New Roman"/>
                      <w:b/>
                      <w:bCs/>
                      <w:color w:val="000000"/>
                      <w:kern w:val="0"/>
                      <w:sz w:val="20"/>
                      <w:szCs w:val="20"/>
                      <w:u w:val="single"/>
                      <w:lang w:eastAsia="en-GB"/>
                      <w14:ligatures w14:val="none"/>
                    </w:rPr>
                    <w:t>sex</w:t>
                  </w:r>
                </w:p>
              </w:tc>
              <w:tc>
                <w:tcPr>
                  <w:tcW w:w="0" w:type="auto"/>
                  <w:noWrap/>
                  <w:tcMar>
                    <w:top w:w="15" w:type="dxa"/>
                    <w:left w:w="108" w:type="dxa"/>
                    <w:bottom w:w="15" w:type="dxa"/>
                    <w:right w:w="108" w:type="dxa"/>
                  </w:tcMar>
                  <w:vAlign w:val="center"/>
                  <w:hideMark/>
                </w:tcPr>
                <w:p w14:paraId="3566BDA3" w14:textId="77777777" w:rsidR="00464E4B" w:rsidRPr="00800835"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800835">
                    <w:rPr>
                      <w:rFonts w:eastAsia="Times New Roman" w:cs="Times New Roman"/>
                      <w:b/>
                      <w:bCs/>
                      <w:color w:val="000000"/>
                      <w:kern w:val="0"/>
                      <w:sz w:val="20"/>
                      <w:szCs w:val="20"/>
                      <w:u w:val="single"/>
                      <w:lang w:eastAsia="en-GB"/>
                      <w14:ligatures w14:val="none"/>
                    </w:rPr>
                    <w:t>period</w:t>
                  </w:r>
                </w:p>
              </w:tc>
              <w:tc>
                <w:tcPr>
                  <w:tcW w:w="0" w:type="auto"/>
                  <w:noWrap/>
                  <w:tcMar>
                    <w:top w:w="15" w:type="dxa"/>
                    <w:left w:w="108" w:type="dxa"/>
                    <w:bottom w:w="15" w:type="dxa"/>
                    <w:right w:w="108" w:type="dxa"/>
                  </w:tcMar>
                  <w:vAlign w:val="center"/>
                  <w:hideMark/>
                </w:tcPr>
                <w:p w14:paraId="4185E557" w14:textId="77777777" w:rsidR="00464E4B" w:rsidRPr="00800835"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800835">
                    <w:rPr>
                      <w:rFonts w:eastAsia="Times New Roman" w:cs="Times New Roman"/>
                      <w:b/>
                      <w:bCs/>
                      <w:color w:val="000000"/>
                      <w:kern w:val="0"/>
                      <w:sz w:val="20"/>
                      <w:szCs w:val="20"/>
                      <w:u w:val="single"/>
                      <w:lang w:eastAsia="en-GB"/>
                      <w14:ligatures w14:val="none"/>
                    </w:rPr>
                    <w:t>APC%</w:t>
                  </w:r>
                </w:p>
              </w:tc>
              <w:tc>
                <w:tcPr>
                  <w:tcW w:w="0" w:type="auto"/>
                  <w:noWrap/>
                  <w:tcMar>
                    <w:top w:w="15" w:type="dxa"/>
                    <w:left w:w="108" w:type="dxa"/>
                    <w:bottom w:w="15" w:type="dxa"/>
                    <w:right w:w="108" w:type="dxa"/>
                  </w:tcMar>
                  <w:vAlign w:val="center"/>
                  <w:hideMark/>
                </w:tcPr>
                <w:p w14:paraId="48BC1BA3" w14:textId="77777777" w:rsidR="00464E4B" w:rsidRPr="00800835"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800835">
                    <w:rPr>
                      <w:rFonts w:eastAsia="Times New Roman" w:cs="Times New Roman"/>
                      <w:b/>
                      <w:bCs/>
                      <w:color w:val="000000"/>
                      <w:kern w:val="0"/>
                      <w:sz w:val="20"/>
                      <w:szCs w:val="20"/>
                      <w:u w:val="single"/>
                      <w:lang w:eastAsia="en-GB"/>
                      <w14:ligatures w14:val="none"/>
                    </w:rPr>
                    <w:t>95%CI</w:t>
                  </w:r>
                </w:p>
              </w:tc>
              <w:tc>
                <w:tcPr>
                  <w:tcW w:w="732" w:type="dxa"/>
                  <w:tcBorders>
                    <w:right w:val="single" w:sz="4" w:space="0" w:color="auto"/>
                  </w:tcBorders>
                  <w:noWrap/>
                  <w:tcMar>
                    <w:top w:w="15" w:type="dxa"/>
                    <w:left w:w="108" w:type="dxa"/>
                    <w:bottom w:w="15" w:type="dxa"/>
                    <w:right w:w="108" w:type="dxa"/>
                  </w:tcMar>
                  <w:vAlign w:val="center"/>
                  <w:hideMark/>
                </w:tcPr>
                <w:p w14:paraId="737D1EAB" w14:textId="77777777" w:rsidR="00464E4B" w:rsidRPr="00800835"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800835">
                    <w:rPr>
                      <w:rFonts w:eastAsia="Times New Roman" w:cs="Times New Roman"/>
                      <w:b/>
                      <w:bCs/>
                      <w:color w:val="000000"/>
                      <w:kern w:val="0"/>
                      <w:sz w:val="20"/>
                      <w:szCs w:val="20"/>
                      <w:u w:val="single"/>
                      <w:lang w:eastAsia="en-GB"/>
                      <w14:ligatures w14:val="none"/>
                    </w:rPr>
                    <w:t>trend</w:t>
                  </w:r>
                </w:p>
              </w:tc>
              <w:tc>
                <w:tcPr>
                  <w:tcW w:w="530" w:type="dxa"/>
                  <w:tcBorders>
                    <w:left w:val="single" w:sz="4" w:space="0" w:color="auto"/>
                  </w:tcBorders>
                  <w:vAlign w:val="center"/>
                </w:tcPr>
                <w:p w14:paraId="220E79E3" w14:textId="77777777" w:rsidR="00464E4B" w:rsidRPr="00800835"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800835">
                    <w:rPr>
                      <w:rFonts w:eastAsia="Times New Roman" w:cs="Times New Roman"/>
                      <w:b/>
                      <w:bCs/>
                      <w:color w:val="000000"/>
                      <w:kern w:val="0"/>
                      <w:sz w:val="20"/>
                      <w:szCs w:val="20"/>
                      <w:u w:val="single"/>
                      <w:lang w:eastAsia="en-GB"/>
                      <w14:ligatures w14:val="none"/>
                    </w:rPr>
                    <w:t>sex</w:t>
                  </w:r>
                </w:p>
              </w:tc>
              <w:tc>
                <w:tcPr>
                  <w:tcW w:w="0" w:type="auto"/>
                  <w:vAlign w:val="center"/>
                </w:tcPr>
                <w:p w14:paraId="2066C55F" w14:textId="77777777" w:rsidR="00464E4B" w:rsidRPr="00800835"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800835">
                    <w:rPr>
                      <w:rFonts w:eastAsia="Times New Roman" w:cs="Times New Roman"/>
                      <w:b/>
                      <w:bCs/>
                      <w:color w:val="000000"/>
                      <w:kern w:val="0"/>
                      <w:sz w:val="20"/>
                      <w:szCs w:val="20"/>
                      <w:u w:val="single"/>
                      <w:lang w:eastAsia="en-GB"/>
                      <w14:ligatures w14:val="none"/>
                    </w:rPr>
                    <w:t>period</w:t>
                  </w:r>
                </w:p>
              </w:tc>
              <w:tc>
                <w:tcPr>
                  <w:tcW w:w="0" w:type="auto"/>
                  <w:vAlign w:val="center"/>
                </w:tcPr>
                <w:p w14:paraId="21AE8111" w14:textId="77777777" w:rsidR="00464E4B" w:rsidRPr="00800835"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800835">
                    <w:rPr>
                      <w:rFonts w:eastAsia="Times New Roman" w:cs="Times New Roman"/>
                      <w:b/>
                      <w:bCs/>
                      <w:color w:val="000000"/>
                      <w:kern w:val="0"/>
                      <w:sz w:val="20"/>
                      <w:szCs w:val="20"/>
                      <w:u w:val="single"/>
                      <w:lang w:eastAsia="en-GB"/>
                      <w14:ligatures w14:val="none"/>
                    </w:rPr>
                    <w:t>APC%</w:t>
                  </w:r>
                </w:p>
              </w:tc>
              <w:tc>
                <w:tcPr>
                  <w:tcW w:w="0" w:type="auto"/>
                  <w:vAlign w:val="center"/>
                </w:tcPr>
                <w:p w14:paraId="3E9A1B74" w14:textId="77777777" w:rsidR="00464E4B" w:rsidRPr="00800835"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800835">
                    <w:rPr>
                      <w:rFonts w:eastAsia="Times New Roman" w:cs="Times New Roman"/>
                      <w:b/>
                      <w:bCs/>
                      <w:color w:val="000000"/>
                      <w:kern w:val="0"/>
                      <w:sz w:val="20"/>
                      <w:szCs w:val="20"/>
                      <w:u w:val="single"/>
                      <w:lang w:eastAsia="en-GB"/>
                      <w14:ligatures w14:val="none"/>
                    </w:rPr>
                    <w:t>95%CI</w:t>
                  </w:r>
                </w:p>
              </w:tc>
              <w:tc>
                <w:tcPr>
                  <w:tcW w:w="0" w:type="auto"/>
                  <w:vAlign w:val="center"/>
                </w:tcPr>
                <w:p w14:paraId="391C0669" w14:textId="77777777" w:rsidR="00464E4B" w:rsidRPr="00800835"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800835">
                    <w:rPr>
                      <w:rFonts w:eastAsia="Times New Roman" w:cs="Times New Roman"/>
                      <w:b/>
                      <w:bCs/>
                      <w:color w:val="000000"/>
                      <w:kern w:val="0"/>
                      <w:sz w:val="20"/>
                      <w:szCs w:val="20"/>
                      <w:u w:val="single"/>
                      <w:lang w:eastAsia="en-GB"/>
                      <w14:ligatures w14:val="none"/>
                    </w:rPr>
                    <w:t>trend</w:t>
                  </w:r>
                </w:p>
              </w:tc>
            </w:tr>
            <w:tr w:rsidR="00464E4B" w:rsidRPr="00800835" w14:paraId="7FA1D951" w14:textId="77777777" w:rsidTr="0041177B">
              <w:trPr>
                <w:trHeight w:val="113"/>
              </w:trPr>
              <w:tc>
                <w:tcPr>
                  <w:tcW w:w="0" w:type="auto"/>
                  <w:noWrap/>
                  <w:tcMar>
                    <w:top w:w="15" w:type="dxa"/>
                    <w:left w:w="108" w:type="dxa"/>
                    <w:bottom w:w="15" w:type="dxa"/>
                    <w:right w:w="108" w:type="dxa"/>
                  </w:tcMar>
                  <w:hideMark/>
                </w:tcPr>
                <w:p w14:paraId="32723F9E" w14:textId="77777777" w:rsidR="00464E4B" w:rsidRPr="00800835" w:rsidRDefault="00464E4B" w:rsidP="0041177B">
                  <w:pPr>
                    <w:spacing w:after="0" w:line="240" w:lineRule="auto"/>
                    <w:jc w:val="center"/>
                    <w:rPr>
                      <w:rFonts w:eastAsia="Times New Roman" w:cs="Times New Roman"/>
                      <w:color w:val="000000"/>
                      <w:kern w:val="0"/>
                      <w:sz w:val="20"/>
                      <w:szCs w:val="20"/>
                      <w:lang w:eastAsia="en-GB"/>
                      <w14:ligatures w14:val="none"/>
                    </w:rPr>
                  </w:pPr>
                  <w:r w:rsidRPr="00800835">
                    <w:rPr>
                      <w:sz w:val="20"/>
                      <w:szCs w:val="20"/>
                    </w:rPr>
                    <w:t>M </w:t>
                  </w:r>
                </w:p>
              </w:tc>
              <w:tc>
                <w:tcPr>
                  <w:tcW w:w="0" w:type="auto"/>
                  <w:noWrap/>
                  <w:tcMar>
                    <w:top w:w="15" w:type="dxa"/>
                    <w:left w:w="108" w:type="dxa"/>
                    <w:bottom w:w="15" w:type="dxa"/>
                    <w:right w:w="108" w:type="dxa"/>
                  </w:tcMar>
                  <w:hideMark/>
                </w:tcPr>
                <w:p w14:paraId="63FF6E22" w14:textId="77777777" w:rsidR="00464E4B" w:rsidRPr="00800835" w:rsidRDefault="00464E4B" w:rsidP="0041177B">
                  <w:pPr>
                    <w:spacing w:after="0" w:line="240" w:lineRule="auto"/>
                    <w:jc w:val="center"/>
                    <w:rPr>
                      <w:rFonts w:eastAsia="Times New Roman" w:cs="Times New Roman"/>
                      <w:color w:val="000000"/>
                      <w:kern w:val="0"/>
                      <w:sz w:val="20"/>
                      <w:szCs w:val="20"/>
                      <w:lang w:eastAsia="en-GB"/>
                      <w14:ligatures w14:val="none"/>
                    </w:rPr>
                  </w:pPr>
                  <w:r w:rsidRPr="00800835">
                    <w:rPr>
                      <w:sz w:val="20"/>
                      <w:szCs w:val="20"/>
                    </w:rPr>
                    <w:t>1994-2022 </w:t>
                  </w:r>
                </w:p>
              </w:tc>
              <w:tc>
                <w:tcPr>
                  <w:tcW w:w="0" w:type="auto"/>
                  <w:noWrap/>
                  <w:tcMar>
                    <w:top w:w="15" w:type="dxa"/>
                    <w:left w:w="108" w:type="dxa"/>
                    <w:bottom w:w="15" w:type="dxa"/>
                    <w:right w:w="108" w:type="dxa"/>
                  </w:tcMar>
                  <w:hideMark/>
                </w:tcPr>
                <w:p w14:paraId="5931081C" w14:textId="77777777" w:rsidR="00464E4B" w:rsidRPr="00800835" w:rsidRDefault="00464E4B" w:rsidP="0041177B">
                  <w:pPr>
                    <w:spacing w:after="0" w:line="240" w:lineRule="auto"/>
                    <w:jc w:val="center"/>
                    <w:rPr>
                      <w:rFonts w:eastAsia="Times New Roman" w:cs="Times New Roman"/>
                      <w:color w:val="000000"/>
                      <w:kern w:val="0"/>
                      <w:sz w:val="20"/>
                      <w:szCs w:val="20"/>
                      <w:lang w:eastAsia="en-GB"/>
                      <w14:ligatures w14:val="none"/>
                    </w:rPr>
                  </w:pPr>
                  <w:r w:rsidRPr="00800835">
                    <w:rPr>
                      <w:sz w:val="20"/>
                      <w:szCs w:val="20"/>
                    </w:rPr>
                    <w:t>-3.1</w:t>
                  </w:r>
                </w:p>
              </w:tc>
              <w:tc>
                <w:tcPr>
                  <w:tcW w:w="0" w:type="auto"/>
                  <w:noWrap/>
                  <w:tcMar>
                    <w:top w:w="15" w:type="dxa"/>
                    <w:left w:w="108" w:type="dxa"/>
                    <w:bottom w:w="15" w:type="dxa"/>
                    <w:right w:w="108" w:type="dxa"/>
                  </w:tcMar>
                  <w:hideMark/>
                </w:tcPr>
                <w:p w14:paraId="4910FA61" w14:textId="77777777" w:rsidR="00464E4B" w:rsidRPr="00800835" w:rsidRDefault="00464E4B" w:rsidP="0041177B">
                  <w:pPr>
                    <w:spacing w:after="0" w:line="240" w:lineRule="auto"/>
                    <w:jc w:val="center"/>
                    <w:rPr>
                      <w:rFonts w:eastAsia="Times New Roman" w:cs="Times New Roman"/>
                      <w:color w:val="000000"/>
                      <w:kern w:val="0"/>
                      <w:sz w:val="20"/>
                      <w:szCs w:val="20"/>
                      <w:lang w:eastAsia="en-GB"/>
                      <w14:ligatures w14:val="none"/>
                    </w:rPr>
                  </w:pPr>
                  <w:r w:rsidRPr="00800835">
                    <w:rPr>
                      <w:sz w:val="20"/>
                      <w:szCs w:val="20"/>
                    </w:rPr>
                    <w:t>-3.4, -2.8</w:t>
                  </w:r>
                </w:p>
              </w:tc>
              <w:tc>
                <w:tcPr>
                  <w:tcW w:w="732" w:type="dxa"/>
                  <w:tcBorders>
                    <w:right w:val="single" w:sz="4" w:space="0" w:color="auto"/>
                  </w:tcBorders>
                  <w:noWrap/>
                  <w:tcMar>
                    <w:top w:w="15" w:type="dxa"/>
                    <w:left w:w="108" w:type="dxa"/>
                    <w:bottom w:w="15" w:type="dxa"/>
                    <w:right w:w="108" w:type="dxa"/>
                  </w:tcMar>
                  <w:hideMark/>
                </w:tcPr>
                <w:p w14:paraId="2B623DC5" w14:textId="77777777" w:rsidR="00464E4B" w:rsidRPr="00800835" w:rsidRDefault="00464E4B" w:rsidP="0041177B">
                  <w:pPr>
                    <w:spacing w:after="0" w:line="240" w:lineRule="auto"/>
                    <w:jc w:val="center"/>
                    <w:rPr>
                      <w:rFonts w:eastAsia="Times New Roman" w:cs="Times New Roman"/>
                      <w:color w:val="000000"/>
                      <w:kern w:val="0"/>
                      <w:sz w:val="20"/>
                      <w:szCs w:val="20"/>
                      <w:lang w:eastAsia="en-GB"/>
                      <w14:ligatures w14:val="none"/>
                    </w:rPr>
                  </w:pPr>
                  <w:r w:rsidRPr="00800835">
                    <w:rPr>
                      <w:sz w:val="20"/>
                      <w:szCs w:val="20"/>
                    </w:rPr>
                    <w:t>down </w:t>
                  </w:r>
                </w:p>
              </w:tc>
              <w:tc>
                <w:tcPr>
                  <w:tcW w:w="530" w:type="dxa"/>
                  <w:tcBorders>
                    <w:left w:val="single" w:sz="4" w:space="0" w:color="auto"/>
                  </w:tcBorders>
                </w:tcPr>
                <w:p w14:paraId="72E882EF" w14:textId="77777777" w:rsidR="00464E4B" w:rsidRPr="00800835" w:rsidRDefault="00464E4B" w:rsidP="0041177B">
                  <w:pPr>
                    <w:spacing w:after="0" w:line="240" w:lineRule="auto"/>
                    <w:jc w:val="center"/>
                    <w:rPr>
                      <w:sz w:val="20"/>
                      <w:szCs w:val="20"/>
                    </w:rPr>
                  </w:pPr>
                  <w:r w:rsidRPr="00800835">
                    <w:rPr>
                      <w:sz w:val="20"/>
                      <w:szCs w:val="20"/>
                    </w:rPr>
                    <w:t>F </w:t>
                  </w:r>
                </w:p>
              </w:tc>
              <w:tc>
                <w:tcPr>
                  <w:tcW w:w="0" w:type="auto"/>
                </w:tcPr>
                <w:p w14:paraId="5CF3F8E4" w14:textId="77777777" w:rsidR="00464E4B" w:rsidRPr="00800835" w:rsidRDefault="00464E4B" w:rsidP="0041177B">
                  <w:pPr>
                    <w:spacing w:after="0" w:line="240" w:lineRule="auto"/>
                    <w:jc w:val="center"/>
                    <w:rPr>
                      <w:sz w:val="20"/>
                      <w:szCs w:val="20"/>
                    </w:rPr>
                  </w:pPr>
                  <w:r w:rsidRPr="00800835">
                    <w:rPr>
                      <w:sz w:val="20"/>
                      <w:szCs w:val="20"/>
                    </w:rPr>
                    <w:t>1994-2022 </w:t>
                  </w:r>
                </w:p>
              </w:tc>
              <w:tc>
                <w:tcPr>
                  <w:tcW w:w="0" w:type="auto"/>
                </w:tcPr>
                <w:p w14:paraId="16A03C97" w14:textId="77777777" w:rsidR="00464E4B" w:rsidRPr="00800835" w:rsidRDefault="00464E4B" w:rsidP="0041177B">
                  <w:pPr>
                    <w:spacing w:after="0" w:line="240" w:lineRule="auto"/>
                    <w:jc w:val="center"/>
                    <w:rPr>
                      <w:sz w:val="20"/>
                      <w:szCs w:val="20"/>
                    </w:rPr>
                  </w:pPr>
                  <w:r w:rsidRPr="00800835">
                    <w:rPr>
                      <w:sz w:val="20"/>
                      <w:szCs w:val="20"/>
                    </w:rPr>
                    <w:t>-3.4</w:t>
                  </w:r>
                </w:p>
              </w:tc>
              <w:tc>
                <w:tcPr>
                  <w:tcW w:w="0" w:type="auto"/>
                </w:tcPr>
                <w:p w14:paraId="1C4126B4" w14:textId="77777777" w:rsidR="00464E4B" w:rsidRPr="00800835" w:rsidRDefault="00464E4B" w:rsidP="0041177B">
                  <w:pPr>
                    <w:spacing w:after="0" w:line="240" w:lineRule="auto"/>
                    <w:jc w:val="center"/>
                    <w:rPr>
                      <w:sz w:val="20"/>
                      <w:szCs w:val="20"/>
                    </w:rPr>
                  </w:pPr>
                  <w:r w:rsidRPr="00800835">
                    <w:rPr>
                      <w:sz w:val="20"/>
                      <w:szCs w:val="20"/>
                    </w:rPr>
                    <w:t>-3.8, -3.0</w:t>
                  </w:r>
                </w:p>
              </w:tc>
              <w:tc>
                <w:tcPr>
                  <w:tcW w:w="0" w:type="auto"/>
                </w:tcPr>
                <w:p w14:paraId="0A768390" w14:textId="77777777" w:rsidR="00464E4B" w:rsidRPr="00800835" w:rsidRDefault="00464E4B" w:rsidP="0041177B">
                  <w:pPr>
                    <w:spacing w:after="0" w:line="240" w:lineRule="auto"/>
                    <w:jc w:val="center"/>
                    <w:rPr>
                      <w:sz w:val="20"/>
                      <w:szCs w:val="20"/>
                    </w:rPr>
                  </w:pPr>
                  <w:r w:rsidRPr="00800835">
                    <w:rPr>
                      <w:sz w:val="20"/>
                      <w:szCs w:val="20"/>
                    </w:rPr>
                    <w:t>down </w:t>
                  </w:r>
                </w:p>
              </w:tc>
            </w:tr>
          </w:tbl>
          <w:p w14:paraId="7F1AE67E" w14:textId="77777777" w:rsidR="00464E4B" w:rsidRPr="00501A9D" w:rsidRDefault="00464E4B" w:rsidP="0041177B">
            <w:pPr>
              <w:jc w:val="center"/>
              <w:rPr>
                <w:rFonts w:eastAsia="Times New Roman" w:cs="Times New Roman"/>
                <w:b/>
                <w:bCs/>
                <w:color w:val="000000"/>
                <w:sz w:val="14"/>
                <w:szCs w:val="14"/>
                <w:u w:val="single"/>
                <w:lang w:eastAsia="en-GB"/>
              </w:rPr>
            </w:pPr>
          </w:p>
        </w:tc>
      </w:tr>
      <w:tr w:rsidR="00464E4B" w:rsidRPr="00501A9D" w14:paraId="698933EF" w14:textId="77777777" w:rsidTr="0041177B">
        <w:trPr>
          <w:trHeight w:val="113"/>
        </w:trPr>
        <w:tc>
          <w:tcPr>
            <w:tcW w:w="9661" w:type="dxa"/>
            <w:vAlign w:val="center"/>
          </w:tcPr>
          <w:p w14:paraId="722266B0" w14:textId="77777777" w:rsidR="00464E4B" w:rsidRPr="00501A9D" w:rsidRDefault="00464E4B" w:rsidP="0041177B">
            <w:pPr>
              <w:pBdr>
                <w:bottom w:val="single" w:sz="4" w:space="1" w:color="auto"/>
              </w:pBdr>
              <w:rPr>
                <w:rFonts w:asciiTheme="minorHAnsi" w:hAnsiTheme="minorHAnsi"/>
                <w:bCs/>
                <w:sz w:val="18"/>
                <w:szCs w:val="16"/>
              </w:rPr>
            </w:pPr>
            <w:r w:rsidRPr="00501A9D">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2CCA5770" w14:textId="77777777" w:rsidR="00464E4B" w:rsidRPr="00501A9D" w:rsidRDefault="00464E4B" w:rsidP="0041177B">
            <w:pPr>
              <w:rPr>
                <w:rFonts w:asciiTheme="minorHAnsi" w:hAnsiTheme="minorHAnsi"/>
                <w:b/>
                <w:bCs/>
                <w:noProof/>
                <w:sz w:val="14"/>
                <w:szCs w:val="14"/>
                <w:u w:val="single"/>
              </w:rPr>
            </w:pPr>
          </w:p>
        </w:tc>
      </w:tr>
    </w:tbl>
    <w:p w14:paraId="4F9A4645" w14:textId="77777777" w:rsidR="00464E4B" w:rsidRDefault="00464E4B" w:rsidP="00464E4B">
      <w:pPr>
        <w:spacing w:after="0" w:line="240" w:lineRule="auto"/>
        <w:sectPr w:rsidR="00464E4B" w:rsidSect="002746C0">
          <w:pgSz w:w="11906" w:h="16838"/>
          <w:pgMar w:top="1440" w:right="1440" w:bottom="1440" w:left="1440" w:header="708" w:footer="708" w:gutter="0"/>
          <w:cols w:space="708"/>
          <w:docGrid w:linePitch="360"/>
        </w:sectPr>
      </w:pPr>
    </w:p>
    <w:p w14:paraId="6C8694DD" w14:textId="77777777" w:rsidR="00464E4B" w:rsidRDefault="00464E4B" w:rsidP="00464E4B">
      <w:pPr>
        <w:pStyle w:val="Heading2"/>
        <w:spacing w:before="0" w:after="0" w:line="240" w:lineRule="auto"/>
      </w:pPr>
      <w:bookmarkStart w:id="164" w:name="_Toc197557086"/>
      <w:bookmarkStart w:id="165" w:name="_Toc201512480"/>
      <w:r>
        <w:t>Survival</w:t>
      </w:r>
      <w:bookmarkEnd w:id="164"/>
      <w:bookmarkEnd w:id="165"/>
      <w:r>
        <w:t xml:space="preserve"> </w:t>
      </w:r>
    </w:p>
    <w:p w14:paraId="0209CD49" w14:textId="115340A2" w:rsidR="00464E4B" w:rsidRDefault="00464E4B" w:rsidP="00464E4B">
      <w:pPr>
        <w:spacing w:after="0" w:line="240" w:lineRule="auto"/>
        <w:rPr>
          <w:rFonts w:cstheme="minorHAnsi"/>
        </w:rPr>
      </w:pPr>
      <w:r w:rsidRPr="0059748F">
        <w:rPr>
          <w:rFonts w:cstheme="minorHAnsi"/>
        </w:rPr>
        <w:t xml:space="preserve">For stomach cancer in Ireland overall 5-year net survival was 37% for cases diagnosed during 2019-2022 (Figure </w:t>
      </w:r>
      <w:r w:rsidR="00A26B61">
        <w:rPr>
          <w:rFonts w:cstheme="minorHAnsi"/>
        </w:rPr>
        <w:t>9.6</w:t>
      </w:r>
      <w:r w:rsidRPr="0059748F">
        <w:rPr>
          <w:rFonts w:cstheme="minorHAnsi"/>
        </w:rPr>
        <w:t xml:space="preserve">). </w:t>
      </w:r>
      <w:r>
        <w:rPr>
          <w:rFonts w:cstheme="minorHAnsi"/>
        </w:rPr>
        <w:t>Five</w:t>
      </w:r>
      <w:r w:rsidRPr="0059748F">
        <w:rPr>
          <w:rFonts w:cstheme="minorHAnsi"/>
        </w:rPr>
        <w:t>-year net survival for 2019-</w:t>
      </w:r>
      <w:r>
        <w:rPr>
          <w:rFonts w:cstheme="minorHAnsi"/>
        </w:rPr>
        <w:t>2022</w:t>
      </w:r>
      <w:r w:rsidRPr="0059748F">
        <w:rPr>
          <w:rFonts w:cstheme="minorHAnsi"/>
        </w:rPr>
        <w:t xml:space="preserve"> was higher for females (45%) than for males (33%)</w:t>
      </w:r>
      <w:r>
        <w:rPr>
          <w:rFonts w:cstheme="minorHAnsi"/>
        </w:rPr>
        <w:t xml:space="preserve"> and tended to improve across periods.</w:t>
      </w:r>
    </w:p>
    <w:p w14:paraId="4D152BAE" w14:textId="77777777" w:rsidR="00464E4B" w:rsidRPr="00171221" w:rsidRDefault="00464E4B" w:rsidP="00464E4B">
      <w:pPr>
        <w:spacing w:after="0" w:line="240" w:lineRule="auto"/>
        <w:rPr>
          <w:rFonts w:cstheme="minorHAnsi"/>
        </w:rPr>
      </w:pPr>
    </w:p>
    <w:tbl>
      <w:tblPr>
        <w:tblStyle w:val="TableGrid"/>
        <w:tblW w:w="901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3"/>
        <w:gridCol w:w="3008"/>
        <w:gridCol w:w="3065"/>
      </w:tblGrid>
      <w:tr w:rsidR="00464E4B" w:rsidRPr="004C1816" w14:paraId="7CFABDA9" w14:textId="77777777" w:rsidTr="0041177B">
        <w:trPr>
          <w:trHeight w:val="113"/>
        </w:trPr>
        <w:tc>
          <w:tcPr>
            <w:tcW w:w="9016" w:type="dxa"/>
            <w:gridSpan w:val="3"/>
            <w:shd w:val="clear" w:color="auto" w:fill="002060"/>
            <w:hideMark/>
          </w:tcPr>
          <w:p w14:paraId="40399AF7" w14:textId="49D2702A" w:rsidR="00464E4B" w:rsidRPr="00A26B61" w:rsidRDefault="00464E4B" w:rsidP="0041177B">
            <w:pPr>
              <w:rPr>
                <w:rFonts w:cstheme="minorHAnsi"/>
                <w:b/>
                <w:bCs/>
              </w:rPr>
            </w:pPr>
            <w:r w:rsidRPr="00A26B61">
              <w:rPr>
                <w:rFonts w:asciiTheme="minorHAnsi" w:hAnsiTheme="minorHAnsi" w:cstheme="minorHAnsi"/>
                <w:b/>
                <w:bCs/>
              </w:rPr>
              <w:t xml:space="preserve">Figure </w:t>
            </w:r>
            <w:r w:rsidR="00A26B61" w:rsidRPr="00A26B61">
              <w:rPr>
                <w:rFonts w:asciiTheme="minorHAnsi" w:hAnsiTheme="minorHAnsi" w:cstheme="minorHAnsi"/>
                <w:b/>
                <w:bCs/>
              </w:rPr>
              <w:t xml:space="preserve">9.6: </w:t>
            </w:r>
            <w:r w:rsidRPr="00A26B61">
              <w:rPr>
                <w:rFonts w:asciiTheme="minorHAnsi" w:hAnsiTheme="minorHAnsi" w:cstheme="minorHAnsi"/>
                <w:b/>
                <w:bCs/>
              </w:rPr>
              <w:t>Age-standardised 5-year net survival (%) for stomach cancer over six consecutive diagnosis periods</w:t>
            </w:r>
          </w:p>
        </w:tc>
      </w:tr>
      <w:tr w:rsidR="00464E4B" w:rsidRPr="004C1816" w14:paraId="3BF8DB98" w14:textId="77777777" w:rsidTr="0041177B">
        <w:trPr>
          <w:trHeight w:val="113"/>
        </w:trPr>
        <w:tc>
          <w:tcPr>
            <w:tcW w:w="2439" w:type="dxa"/>
            <w:hideMark/>
          </w:tcPr>
          <w:p w14:paraId="3A4AE49F" w14:textId="77777777" w:rsidR="00464E4B" w:rsidRPr="004C1816" w:rsidRDefault="00464E4B" w:rsidP="0041177B">
            <w:pPr>
              <w:jc w:val="center"/>
              <w:rPr>
                <w:rFonts w:asciiTheme="minorHAnsi" w:hAnsiTheme="minorHAnsi" w:cstheme="minorHAnsi"/>
                <w:color w:val="000000" w:themeColor="text1"/>
              </w:rPr>
            </w:pPr>
            <w:r w:rsidRPr="004C1816">
              <w:rPr>
                <w:rFonts w:asciiTheme="minorHAnsi" w:hAnsiTheme="minorHAnsi" w:cstheme="minorHAnsi"/>
                <w:color w:val="000000" w:themeColor="text1"/>
              </w:rPr>
              <w:t>Total</w:t>
            </w:r>
          </w:p>
        </w:tc>
        <w:tc>
          <w:tcPr>
            <w:tcW w:w="3255" w:type="dxa"/>
          </w:tcPr>
          <w:p w14:paraId="663174B6" w14:textId="77777777" w:rsidR="00464E4B" w:rsidRPr="004C1816" w:rsidRDefault="00464E4B" w:rsidP="0041177B">
            <w:pPr>
              <w:jc w:val="center"/>
              <w:rPr>
                <w:rFonts w:asciiTheme="minorHAnsi" w:hAnsiTheme="minorHAnsi" w:cstheme="minorHAnsi"/>
                <w:color w:val="000000" w:themeColor="text1"/>
              </w:rPr>
            </w:pPr>
            <w:r w:rsidRPr="004C1816">
              <w:rPr>
                <w:rFonts w:asciiTheme="minorHAnsi" w:hAnsiTheme="minorHAnsi" w:cstheme="minorHAnsi"/>
                <w:color w:val="000000" w:themeColor="text1"/>
              </w:rPr>
              <w:t>Males</w:t>
            </w:r>
          </w:p>
        </w:tc>
        <w:tc>
          <w:tcPr>
            <w:tcW w:w="3322" w:type="dxa"/>
          </w:tcPr>
          <w:p w14:paraId="125758DD" w14:textId="77777777" w:rsidR="00464E4B" w:rsidRPr="004C1816" w:rsidRDefault="00464E4B" w:rsidP="0041177B">
            <w:pPr>
              <w:jc w:val="center"/>
              <w:rPr>
                <w:rFonts w:cstheme="minorHAnsi"/>
                <w:color w:val="000000" w:themeColor="text1"/>
              </w:rPr>
            </w:pPr>
            <w:r w:rsidRPr="004C1816">
              <w:rPr>
                <w:rFonts w:asciiTheme="minorHAnsi" w:hAnsiTheme="minorHAnsi" w:cstheme="minorHAnsi"/>
                <w:color w:val="000000" w:themeColor="text1"/>
              </w:rPr>
              <w:t>Females</w:t>
            </w:r>
          </w:p>
        </w:tc>
      </w:tr>
      <w:tr w:rsidR="00464E4B" w:rsidRPr="004C1816" w14:paraId="3B06B5DE" w14:textId="77777777" w:rsidTr="0041177B">
        <w:trPr>
          <w:trHeight w:val="113"/>
        </w:trPr>
        <w:tc>
          <w:tcPr>
            <w:tcW w:w="2439" w:type="dxa"/>
          </w:tcPr>
          <w:p w14:paraId="550D30BB" w14:textId="77777777" w:rsidR="00464E4B" w:rsidRPr="004C1816" w:rsidRDefault="00464E4B" w:rsidP="0041177B">
            <w:pPr>
              <w:rPr>
                <w:rFonts w:asciiTheme="minorHAnsi" w:eastAsia="Times New Roman" w:hAnsiTheme="minorHAnsi" w:cs="Times New Roman"/>
                <w:lang w:eastAsia="en-GB"/>
              </w:rPr>
            </w:pPr>
            <w:r w:rsidRPr="004C1816">
              <w:rPr>
                <w:rFonts w:eastAsia="Times New Roman" w:cs="Times New Roman"/>
                <w:noProof/>
                <w:lang w:eastAsia="en-GB"/>
              </w:rPr>
              <w:drawing>
                <wp:inline distT="0" distB="0" distL="0" distR="0" wp14:anchorId="4CBBEC6C" wp14:editId="19D8D90A">
                  <wp:extent cx="1882108" cy="1260000"/>
                  <wp:effectExtent l="0" t="0" r="4445" b="0"/>
                  <wp:docPr id="1900909997" name="Picture 10" descr="A graph of numbers and percent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09997" name="Picture 10" descr="A graph of numbers and percentages&#10;&#10;AI-generated content may be incorrect."/>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882108" cy="1260000"/>
                          </a:xfrm>
                          <a:prstGeom prst="rect">
                            <a:avLst/>
                          </a:prstGeom>
                          <a:noFill/>
                        </pic:spPr>
                      </pic:pic>
                    </a:graphicData>
                  </a:graphic>
                </wp:inline>
              </w:drawing>
            </w:r>
          </w:p>
        </w:tc>
        <w:tc>
          <w:tcPr>
            <w:tcW w:w="3255" w:type="dxa"/>
          </w:tcPr>
          <w:p w14:paraId="76135FF4" w14:textId="77777777" w:rsidR="00464E4B" w:rsidRPr="004C1816" w:rsidRDefault="00464E4B" w:rsidP="0041177B">
            <w:pPr>
              <w:rPr>
                <w:rFonts w:asciiTheme="minorHAnsi" w:hAnsiTheme="minorHAnsi" w:cstheme="minorHAnsi"/>
                <w:color w:val="000000" w:themeColor="text1"/>
              </w:rPr>
            </w:pPr>
            <w:r w:rsidRPr="004C1816">
              <w:rPr>
                <w:rFonts w:eastAsia="Times New Roman" w:cs="Times New Roman"/>
                <w:noProof/>
                <w:lang w:eastAsia="en-GB"/>
              </w:rPr>
              <w:drawing>
                <wp:inline distT="0" distB="0" distL="0" distR="0" wp14:anchorId="57E7B6F9" wp14:editId="2F0B1752">
                  <wp:extent cx="1924610" cy="1260000"/>
                  <wp:effectExtent l="0" t="0" r="0" b="0"/>
                  <wp:docPr id="452006684" name="Picture 11"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006684" name="Picture 11" descr="A graph with numbers and a bar chart&#10;&#10;AI-generated content may be incorrec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924610" cy="1260000"/>
                          </a:xfrm>
                          <a:prstGeom prst="rect">
                            <a:avLst/>
                          </a:prstGeom>
                          <a:noFill/>
                        </pic:spPr>
                      </pic:pic>
                    </a:graphicData>
                  </a:graphic>
                </wp:inline>
              </w:drawing>
            </w:r>
          </w:p>
        </w:tc>
        <w:tc>
          <w:tcPr>
            <w:tcW w:w="3322" w:type="dxa"/>
          </w:tcPr>
          <w:p w14:paraId="605514AA" w14:textId="77777777" w:rsidR="00464E4B" w:rsidRPr="004C1816" w:rsidRDefault="00464E4B" w:rsidP="0041177B">
            <w:pPr>
              <w:jc w:val="center"/>
              <w:rPr>
                <w:rFonts w:cstheme="minorHAnsi"/>
                <w:color w:val="000000" w:themeColor="text1"/>
              </w:rPr>
            </w:pPr>
            <w:r w:rsidRPr="004C1816">
              <w:rPr>
                <w:rFonts w:cstheme="minorHAnsi"/>
                <w:noProof/>
                <w:color w:val="000000" w:themeColor="text1"/>
              </w:rPr>
              <w:drawing>
                <wp:inline distT="0" distB="0" distL="0" distR="0" wp14:anchorId="523A965A" wp14:editId="578A7197">
                  <wp:extent cx="1962985" cy="1260000"/>
                  <wp:effectExtent l="0" t="0" r="0" b="0"/>
                  <wp:docPr id="723316234" name="Picture 12"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316234" name="Picture 12" descr="A graph with numbers and a bar&#10;&#10;AI-generated content may be incorrect."/>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962985" cy="1260000"/>
                          </a:xfrm>
                          <a:prstGeom prst="rect">
                            <a:avLst/>
                          </a:prstGeom>
                          <a:noFill/>
                        </pic:spPr>
                      </pic:pic>
                    </a:graphicData>
                  </a:graphic>
                </wp:inline>
              </w:drawing>
            </w:r>
          </w:p>
        </w:tc>
      </w:tr>
    </w:tbl>
    <w:p w14:paraId="43E853D6" w14:textId="77777777" w:rsidR="00CC3B9A" w:rsidRDefault="00CC3B9A" w:rsidP="00CC3B9A">
      <w:bookmarkStart w:id="166" w:name="_Toc196914584"/>
    </w:p>
    <w:p w14:paraId="2B33A4D5" w14:textId="77777777" w:rsidR="00464E4B" w:rsidRDefault="00464E4B" w:rsidP="00464E4B">
      <w:pPr>
        <w:pStyle w:val="Heading2"/>
        <w:spacing w:before="0" w:after="0" w:line="240" w:lineRule="auto"/>
      </w:pPr>
      <w:bookmarkStart w:id="167" w:name="_Toc197557087"/>
      <w:bookmarkStart w:id="168" w:name="_Toc201512481"/>
      <w:r>
        <w:t>Population Attributable Fraction</w:t>
      </w:r>
      <w:bookmarkEnd w:id="166"/>
      <w:bookmarkEnd w:id="167"/>
      <w:bookmarkEnd w:id="168"/>
    </w:p>
    <w:p w14:paraId="77474B81" w14:textId="25E8687E" w:rsidR="00464E4B" w:rsidRDefault="00464E4B" w:rsidP="00464E4B">
      <w:pPr>
        <w:spacing w:after="0" w:line="240" w:lineRule="auto"/>
        <w:rPr>
          <w:rStyle w:val="eop"/>
          <w:rFonts w:ascii="Aptos" w:hAnsi="Aptos"/>
          <w:color w:val="000000"/>
          <w:shd w:val="clear" w:color="auto" w:fill="FFFFFF"/>
        </w:rPr>
      </w:pPr>
      <w:r>
        <w:rPr>
          <w:rStyle w:val="normaltextrun"/>
          <w:rFonts w:ascii="Aptos" w:hAnsi="Aptos"/>
          <w:color w:val="000000"/>
          <w:shd w:val="clear" w:color="auto" w:fill="FFFFFF"/>
        </w:rPr>
        <w:t xml:space="preserve">612 (382 males, 230 females) stomach cancer cases were recorded in 2022. The estimated total number of stomach cancer cases attributable to smoking in Ireland in 2022 was 91 (PAF 14.8%). Table </w:t>
      </w:r>
      <w:r w:rsidR="00A26B61">
        <w:rPr>
          <w:rStyle w:val="normaltextrun"/>
          <w:rFonts w:ascii="Aptos" w:hAnsi="Aptos"/>
          <w:color w:val="000000"/>
          <w:shd w:val="clear" w:color="auto" w:fill="FFFFFF"/>
        </w:rPr>
        <w:t>9.1</w:t>
      </w:r>
      <w:r>
        <w:rPr>
          <w:rStyle w:val="normaltextrun"/>
          <w:rFonts w:ascii="Aptos" w:hAnsi="Aptos"/>
          <w:color w:val="000000"/>
          <w:shd w:val="clear" w:color="auto" w:fill="FFFFFF"/>
        </w:rPr>
        <w:t xml:space="preserve"> presents the difference between male and female stomach cancer incidence related to smoking. Males had a higher PAF than females, 21.2% vs 4.2%.</w:t>
      </w:r>
      <w:r>
        <w:rPr>
          <w:rStyle w:val="eop"/>
          <w:rFonts w:ascii="Aptos" w:hAnsi="Aptos"/>
          <w:color w:val="000000"/>
          <w:shd w:val="clear" w:color="auto" w:fill="FFFFFF"/>
        </w:rPr>
        <w:t> </w:t>
      </w:r>
    </w:p>
    <w:p w14:paraId="052882B0" w14:textId="77777777" w:rsidR="00464E4B" w:rsidRPr="005648D7" w:rsidRDefault="00464E4B" w:rsidP="00464E4B">
      <w:pPr>
        <w:spacing w:after="0" w:line="240" w:lineRule="auto"/>
        <w:rPr>
          <w:rFonts w:cstheme="minorHAnsi"/>
          <w:highlight w:val="yellow"/>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24"/>
        <w:gridCol w:w="2294"/>
        <w:gridCol w:w="2428"/>
        <w:gridCol w:w="2264"/>
      </w:tblGrid>
      <w:tr w:rsidR="00464E4B" w:rsidRPr="00810294" w14:paraId="35E34476" w14:textId="77777777" w:rsidTr="006C1190">
        <w:trPr>
          <w:trHeight w:val="300"/>
        </w:trPr>
        <w:tc>
          <w:tcPr>
            <w:tcW w:w="9010" w:type="dxa"/>
            <w:gridSpan w:val="4"/>
            <w:tcBorders>
              <w:top w:val="single" w:sz="6" w:space="0" w:color="auto"/>
              <w:left w:val="single" w:sz="6" w:space="0" w:color="auto"/>
              <w:bottom w:val="single" w:sz="6" w:space="0" w:color="auto"/>
              <w:right w:val="single" w:sz="6" w:space="0" w:color="auto"/>
            </w:tcBorders>
            <w:shd w:val="clear" w:color="auto" w:fill="002060"/>
            <w:hideMark/>
          </w:tcPr>
          <w:p w14:paraId="7E2A3FEC" w14:textId="742CA817" w:rsidR="00464E4B" w:rsidRPr="00810294" w:rsidRDefault="00464E4B" w:rsidP="0041177B">
            <w:pPr>
              <w:spacing w:after="0" w:line="240" w:lineRule="auto"/>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color w:val="FFFFFF"/>
                <w:kern w:val="0"/>
                <w:lang w:eastAsia="en-GB"/>
                <w14:ligatures w14:val="none"/>
              </w:rPr>
              <w:t xml:space="preserve">Table </w:t>
            </w:r>
            <w:r w:rsidR="00A26B61">
              <w:rPr>
                <w:rFonts w:ascii="Aptos" w:eastAsia="Times New Roman" w:hAnsi="Aptos" w:cs="Segoe UI"/>
                <w:color w:val="FFFFFF"/>
                <w:kern w:val="0"/>
                <w:lang w:eastAsia="en-GB"/>
                <w14:ligatures w14:val="none"/>
              </w:rPr>
              <w:t>9.1</w:t>
            </w:r>
            <w:r w:rsidRPr="00810294">
              <w:rPr>
                <w:rFonts w:ascii="Aptos" w:eastAsia="Times New Roman" w:hAnsi="Aptos" w:cs="Segoe UI"/>
                <w:color w:val="FFFFFF"/>
                <w:kern w:val="0"/>
                <w:lang w:eastAsia="en-GB"/>
                <w14:ligatures w14:val="none"/>
              </w:rPr>
              <w:t>: Population attributable fraction and attributable cases for stomach cancer in 2022 </w:t>
            </w:r>
          </w:p>
        </w:tc>
      </w:tr>
      <w:tr w:rsidR="00464E4B" w:rsidRPr="00810294" w14:paraId="6C241E50" w14:textId="77777777" w:rsidTr="006C1190">
        <w:trPr>
          <w:trHeight w:val="300"/>
        </w:trPr>
        <w:tc>
          <w:tcPr>
            <w:tcW w:w="2024" w:type="dxa"/>
            <w:tcBorders>
              <w:top w:val="single" w:sz="6" w:space="0" w:color="auto"/>
              <w:left w:val="single" w:sz="6" w:space="0" w:color="auto"/>
              <w:bottom w:val="single" w:sz="6" w:space="0" w:color="auto"/>
              <w:right w:val="single" w:sz="6" w:space="0" w:color="auto"/>
            </w:tcBorders>
            <w:shd w:val="clear" w:color="auto" w:fill="auto"/>
            <w:hideMark/>
          </w:tcPr>
          <w:p w14:paraId="6AC622EE" w14:textId="77777777" w:rsidR="00464E4B" w:rsidRPr="00810294" w:rsidRDefault="00464E4B" w:rsidP="0041177B">
            <w:pPr>
              <w:spacing w:after="0" w:line="240" w:lineRule="auto"/>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 </w:t>
            </w:r>
          </w:p>
        </w:tc>
        <w:tc>
          <w:tcPr>
            <w:tcW w:w="2294" w:type="dxa"/>
            <w:tcBorders>
              <w:top w:val="single" w:sz="6" w:space="0" w:color="auto"/>
              <w:left w:val="single" w:sz="6" w:space="0" w:color="auto"/>
              <w:bottom w:val="single" w:sz="6" w:space="0" w:color="auto"/>
              <w:right w:val="single" w:sz="6" w:space="0" w:color="auto"/>
            </w:tcBorders>
            <w:shd w:val="clear" w:color="auto" w:fill="auto"/>
            <w:hideMark/>
          </w:tcPr>
          <w:p w14:paraId="4E36E9EA" w14:textId="77777777" w:rsidR="00464E4B" w:rsidRPr="00810294"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Total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2BB88DC0" w14:textId="77777777" w:rsidR="00464E4B" w:rsidRPr="00810294"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Males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6222CD20" w14:textId="77777777" w:rsidR="00464E4B" w:rsidRPr="00810294"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Females </w:t>
            </w:r>
          </w:p>
        </w:tc>
      </w:tr>
      <w:tr w:rsidR="00464E4B" w:rsidRPr="00810294" w14:paraId="5C41075C" w14:textId="77777777" w:rsidTr="006C1190">
        <w:trPr>
          <w:trHeight w:val="300"/>
        </w:trPr>
        <w:tc>
          <w:tcPr>
            <w:tcW w:w="2024" w:type="dxa"/>
            <w:tcBorders>
              <w:top w:val="single" w:sz="6" w:space="0" w:color="auto"/>
              <w:left w:val="single" w:sz="6" w:space="0" w:color="auto"/>
              <w:bottom w:val="single" w:sz="6" w:space="0" w:color="auto"/>
              <w:right w:val="single" w:sz="6" w:space="0" w:color="auto"/>
            </w:tcBorders>
            <w:shd w:val="clear" w:color="auto" w:fill="auto"/>
            <w:hideMark/>
          </w:tcPr>
          <w:p w14:paraId="40ABCD29" w14:textId="77777777" w:rsidR="00464E4B" w:rsidRPr="00810294" w:rsidRDefault="00464E4B" w:rsidP="0041177B">
            <w:pPr>
              <w:spacing w:after="0" w:line="240" w:lineRule="auto"/>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PAF (%) </w:t>
            </w:r>
          </w:p>
        </w:tc>
        <w:tc>
          <w:tcPr>
            <w:tcW w:w="2294" w:type="dxa"/>
            <w:tcBorders>
              <w:top w:val="single" w:sz="6" w:space="0" w:color="auto"/>
              <w:left w:val="single" w:sz="6" w:space="0" w:color="auto"/>
              <w:bottom w:val="single" w:sz="6" w:space="0" w:color="auto"/>
              <w:right w:val="single" w:sz="6" w:space="0" w:color="auto"/>
            </w:tcBorders>
            <w:shd w:val="clear" w:color="auto" w:fill="auto"/>
            <w:hideMark/>
          </w:tcPr>
          <w:p w14:paraId="19EA7F87" w14:textId="77777777" w:rsidR="00464E4B" w:rsidRPr="00810294"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14.8 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542B2B85" w14:textId="77777777" w:rsidR="00464E4B" w:rsidRPr="00810294"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21.2 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1731601D" w14:textId="77777777" w:rsidR="00464E4B" w:rsidRPr="00810294"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4.2 </w:t>
            </w:r>
          </w:p>
        </w:tc>
      </w:tr>
      <w:tr w:rsidR="000307F1" w:rsidRPr="00810294" w14:paraId="746019BB" w14:textId="77777777" w:rsidTr="006C1190">
        <w:trPr>
          <w:trHeight w:val="300"/>
        </w:trPr>
        <w:tc>
          <w:tcPr>
            <w:tcW w:w="2024" w:type="dxa"/>
            <w:tcBorders>
              <w:top w:val="single" w:sz="6" w:space="0" w:color="auto"/>
              <w:left w:val="single" w:sz="6" w:space="0" w:color="auto"/>
              <w:bottom w:val="single" w:sz="6" w:space="0" w:color="auto"/>
              <w:right w:val="single" w:sz="6" w:space="0" w:color="auto"/>
            </w:tcBorders>
            <w:shd w:val="clear" w:color="auto" w:fill="auto"/>
          </w:tcPr>
          <w:p w14:paraId="33FC8B7C" w14:textId="1C64881A" w:rsidR="000307F1" w:rsidRPr="00810294" w:rsidRDefault="00B55C24" w:rsidP="0041177B">
            <w:pPr>
              <w:spacing w:after="0" w:line="240" w:lineRule="auto"/>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Total cases</w:t>
            </w:r>
          </w:p>
        </w:tc>
        <w:tc>
          <w:tcPr>
            <w:tcW w:w="2294" w:type="dxa"/>
            <w:tcBorders>
              <w:top w:val="single" w:sz="6" w:space="0" w:color="auto"/>
              <w:left w:val="single" w:sz="6" w:space="0" w:color="auto"/>
              <w:bottom w:val="single" w:sz="6" w:space="0" w:color="auto"/>
              <w:right w:val="single" w:sz="6" w:space="0" w:color="auto"/>
            </w:tcBorders>
            <w:shd w:val="clear" w:color="auto" w:fill="auto"/>
          </w:tcPr>
          <w:p w14:paraId="7A7FF41A" w14:textId="5F2B88FB" w:rsidR="000307F1" w:rsidRPr="00810294" w:rsidRDefault="00406686"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612</w:t>
            </w:r>
          </w:p>
        </w:tc>
        <w:tc>
          <w:tcPr>
            <w:tcW w:w="2428" w:type="dxa"/>
            <w:tcBorders>
              <w:top w:val="single" w:sz="6" w:space="0" w:color="auto"/>
              <w:left w:val="single" w:sz="6" w:space="0" w:color="auto"/>
              <w:bottom w:val="single" w:sz="6" w:space="0" w:color="auto"/>
              <w:right w:val="single" w:sz="6" w:space="0" w:color="auto"/>
            </w:tcBorders>
            <w:shd w:val="clear" w:color="auto" w:fill="auto"/>
          </w:tcPr>
          <w:p w14:paraId="19C48468" w14:textId="55807BB3" w:rsidR="000307F1" w:rsidRPr="00810294" w:rsidRDefault="00406686"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382</w:t>
            </w:r>
          </w:p>
        </w:tc>
        <w:tc>
          <w:tcPr>
            <w:tcW w:w="2264" w:type="dxa"/>
            <w:tcBorders>
              <w:top w:val="single" w:sz="6" w:space="0" w:color="auto"/>
              <w:left w:val="single" w:sz="6" w:space="0" w:color="auto"/>
              <w:bottom w:val="single" w:sz="6" w:space="0" w:color="auto"/>
              <w:right w:val="single" w:sz="6" w:space="0" w:color="auto"/>
            </w:tcBorders>
            <w:shd w:val="clear" w:color="auto" w:fill="auto"/>
          </w:tcPr>
          <w:p w14:paraId="2318401B" w14:textId="11B62216" w:rsidR="000307F1" w:rsidRPr="00810294" w:rsidRDefault="00406686"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230</w:t>
            </w:r>
          </w:p>
        </w:tc>
      </w:tr>
      <w:tr w:rsidR="00464E4B" w:rsidRPr="00810294" w14:paraId="59A00CA2" w14:textId="77777777" w:rsidTr="006C1190">
        <w:trPr>
          <w:trHeight w:val="300"/>
        </w:trPr>
        <w:tc>
          <w:tcPr>
            <w:tcW w:w="2024" w:type="dxa"/>
            <w:tcBorders>
              <w:top w:val="single" w:sz="6" w:space="0" w:color="auto"/>
              <w:left w:val="single" w:sz="6" w:space="0" w:color="auto"/>
              <w:bottom w:val="single" w:sz="6" w:space="0" w:color="auto"/>
              <w:right w:val="single" w:sz="6" w:space="0" w:color="auto"/>
            </w:tcBorders>
            <w:shd w:val="clear" w:color="auto" w:fill="auto"/>
            <w:hideMark/>
          </w:tcPr>
          <w:p w14:paraId="45C4318F" w14:textId="77777777" w:rsidR="00464E4B" w:rsidRPr="00810294" w:rsidRDefault="00464E4B" w:rsidP="0041177B">
            <w:pPr>
              <w:spacing w:after="0" w:line="240" w:lineRule="auto"/>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Attributable cases </w:t>
            </w:r>
          </w:p>
        </w:tc>
        <w:tc>
          <w:tcPr>
            <w:tcW w:w="2294" w:type="dxa"/>
            <w:tcBorders>
              <w:top w:val="single" w:sz="6" w:space="0" w:color="auto"/>
              <w:left w:val="single" w:sz="6" w:space="0" w:color="auto"/>
              <w:bottom w:val="single" w:sz="6" w:space="0" w:color="auto"/>
              <w:right w:val="single" w:sz="6" w:space="0" w:color="auto"/>
            </w:tcBorders>
            <w:shd w:val="clear" w:color="auto" w:fill="auto"/>
            <w:hideMark/>
          </w:tcPr>
          <w:p w14:paraId="12AE0C53" w14:textId="77777777" w:rsidR="00464E4B" w:rsidRPr="00810294"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91 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3A1B89AB" w14:textId="77777777" w:rsidR="00464E4B" w:rsidRPr="00810294"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81 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4D7D43D4" w14:textId="77777777" w:rsidR="00464E4B" w:rsidRPr="00810294"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10 </w:t>
            </w:r>
          </w:p>
        </w:tc>
      </w:tr>
    </w:tbl>
    <w:p w14:paraId="6C117CEA" w14:textId="77777777" w:rsidR="00464E4B" w:rsidRDefault="00464E4B" w:rsidP="00464E4B">
      <w:pPr>
        <w:pStyle w:val="Heading3"/>
        <w:spacing w:before="0" w:after="0" w:line="240" w:lineRule="auto"/>
        <w:sectPr w:rsidR="00464E4B" w:rsidSect="002746C0">
          <w:pgSz w:w="11906" w:h="16838"/>
          <w:pgMar w:top="1440" w:right="1440" w:bottom="1440" w:left="1440" w:header="708" w:footer="708" w:gutter="0"/>
          <w:cols w:space="708"/>
          <w:docGrid w:linePitch="360"/>
        </w:sectPr>
      </w:pPr>
    </w:p>
    <w:p w14:paraId="75F20395" w14:textId="77777777" w:rsidR="00464E4B" w:rsidRDefault="00464E4B" w:rsidP="00464E4B">
      <w:pPr>
        <w:pStyle w:val="Heading1"/>
        <w:spacing w:before="0" w:after="0" w:line="240" w:lineRule="auto"/>
      </w:pPr>
      <w:r>
        <w:t xml:space="preserve"> </w:t>
      </w:r>
      <w:bookmarkStart w:id="169" w:name="_Toc197557088"/>
      <w:bookmarkStart w:id="170" w:name="_Toc201512482"/>
      <w:r>
        <w:t>Colorectal Cancer</w:t>
      </w:r>
      <w:bookmarkEnd w:id="169"/>
      <w:bookmarkEnd w:id="170"/>
    </w:p>
    <w:p w14:paraId="60805E97" w14:textId="77777777" w:rsidR="00464E4B" w:rsidRPr="00FC5D6E" w:rsidRDefault="00464E4B" w:rsidP="00464E4B">
      <w:pPr>
        <w:pStyle w:val="Heading2"/>
        <w:spacing w:before="0" w:after="0" w:line="240" w:lineRule="auto"/>
      </w:pPr>
      <w:bookmarkStart w:id="171" w:name="_Toc196914586"/>
      <w:bookmarkStart w:id="172" w:name="_Toc197557089"/>
      <w:bookmarkStart w:id="173" w:name="_Toc201512483"/>
      <w:r w:rsidRPr="00FC5D6E">
        <w:t>Colon &amp; Rectosigmoid junction</w:t>
      </w:r>
      <w:r w:rsidRPr="00FC5D6E">
        <w:tab/>
        <w:t>C18-19</w:t>
      </w:r>
      <w:bookmarkEnd w:id="171"/>
      <w:bookmarkEnd w:id="172"/>
      <w:bookmarkEnd w:id="173"/>
    </w:p>
    <w:p w14:paraId="37B9C39D" w14:textId="77777777" w:rsidR="00464E4B" w:rsidRPr="00FC5D6E" w:rsidRDefault="00464E4B" w:rsidP="00534C4C">
      <w:pPr>
        <w:numPr>
          <w:ilvl w:val="1"/>
          <w:numId w:val="0"/>
        </w:numPr>
        <w:spacing w:after="0" w:line="240" w:lineRule="auto"/>
        <w:rPr>
          <w:rFonts w:eastAsiaTheme="majorEastAsia" w:cstheme="minorHAnsi"/>
          <w:i/>
          <w:iCs/>
          <w:color w:val="0F4761" w:themeColor="accent1" w:themeShade="BF"/>
          <w:spacing w:val="15"/>
          <w:sz w:val="28"/>
          <w:szCs w:val="28"/>
        </w:rPr>
      </w:pPr>
      <w:r w:rsidRPr="00FC5D6E">
        <w:rPr>
          <w:rFonts w:eastAsiaTheme="majorEastAsia" w:cstheme="minorHAnsi"/>
          <w:i/>
          <w:iCs/>
          <w:color w:val="0F4761" w:themeColor="accent1" w:themeShade="BF"/>
          <w:spacing w:val="15"/>
          <w:sz w:val="28"/>
          <w:szCs w:val="28"/>
        </w:rPr>
        <w:t>Key points</w:t>
      </w:r>
    </w:p>
    <w:p w14:paraId="6C922211" w14:textId="77777777" w:rsidR="00464E4B" w:rsidRPr="00FC5D6E" w:rsidRDefault="00464E4B" w:rsidP="00534C4C">
      <w:pPr>
        <w:numPr>
          <w:ilvl w:val="1"/>
          <w:numId w:val="0"/>
        </w:numPr>
        <w:spacing w:after="0" w:line="240" w:lineRule="auto"/>
        <w:rPr>
          <w:rFonts w:eastAsiaTheme="majorEastAsia" w:cstheme="minorHAnsi"/>
          <w:i/>
          <w:iCs/>
          <w:color w:val="595959" w:themeColor="text1" w:themeTint="A6"/>
          <w:spacing w:val="15"/>
        </w:rPr>
      </w:pPr>
      <w:r w:rsidRPr="00FC5D6E">
        <w:rPr>
          <w:rFonts w:eastAsiaTheme="majorEastAsia" w:cstheme="minorHAnsi"/>
          <w:i/>
          <w:iCs/>
          <w:color w:val="595959" w:themeColor="text1" w:themeTint="A6"/>
          <w:spacing w:val="15"/>
        </w:rPr>
        <w:t>Incidence</w:t>
      </w:r>
    </w:p>
    <w:p w14:paraId="3DF86DA4" w14:textId="61BB7D69" w:rsidR="00464E4B" w:rsidRPr="00FC5D6E" w:rsidRDefault="00464E4B" w:rsidP="00534C4C">
      <w:pPr>
        <w:numPr>
          <w:ilvl w:val="0"/>
          <w:numId w:val="26"/>
        </w:numPr>
        <w:spacing w:after="0" w:line="240" w:lineRule="auto"/>
        <w:contextualSpacing/>
        <w:rPr>
          <w:rFonts w:cstheme="minorHAnsi"/>
        </w:rPr>
      </w:pPr>
      <w:r w:rsidRPr="00FC5D6E">
        <w:rPr>
          <w:rFonts w:cstheme="minorHAnsi"/>
        </w:rPr>
        <w:t xml:space="preserve">Incidence </w:t>
      </w:r>
      <w:r w:rsidR="00534C4C">
        <w:rPr>
          <w:rFonts w:cstheme="minorHAnsi"/>
        </w:rPr>
        <w:t xml:space="preserve">rates </w:t>
      </w:r>
      <w:r w:rsidRPr="00FC5D6E">
        <w:rPr>
          <w:rFonts w:cstheme="minorHAnsi"/>
        </w:rPr>
        <w:t xml:space="preserve">increased for males from 1994 to 2013 before a period of steady decrease from 2013 to 2022. </w:t>
      </w:r>
    </w:p>
    <w:p w14:paraId="7E9307D6" w14:textId="55538AB6" w:rsidR="00464E4B" w:rsidRPr="00FC5D6E" w:rsidRDefault="00464E4B" w:rsidP="00534C4C">
      <w:pPr>
        <w:numPr>
          <w:ilvl w:val="0"/>
          <w:numId w:val="26"/>
        </w:numPr>
        <w:spacing w:after="0" w:line="240" w:lineRule="auto"/>
        <w:contextualSpacing/>
        <w:rPr>
          <w:rFonts w:cstheme="minorHAnsi"/>
        </w:rPr>
      </w:pPr>
      <w:r w:rsidRPr="00FC5D6E">
        <w:rPr>
          <w:rFonts w:cstheme="minorHAnsi"/>
        </w:rPr>
        <w:t xml:space="preserve">Incidence </w:t>
      </w:r>
      <w:r w:rsidR="009445B0">
        <w:rPr>
          <w:rFonts w:cstheme="minorHAnsi"/>
        </w:rPr>
        <w:t xml:space="preserve">rates were </w:t>
      </w:r>
      <w:r w:rsidRPr="00FC5D6E">
        <w:rPr>
          <w:rFonts w:cstheme="minorHAnsi"/>
        </w:rPr>
        <w:t>stable for females from 1994 to 2010 before a period of steady decrease from 2010 to 2022</w:t>
      </w:r>
      <w:r w:rsidR="0004379F">
        <w:rPr>
          <w:rFonts w:cstheme="minorHAnsi"/>
        </w:rPr>
        <w:t>.</w:t>
      </w:r>
      <w:r w:rsidRPr="00FC5D6E">
        <w:rPr>
          <w:rFonts w:cstheme="minorHAnsi"/>
        </w:rPr>
        <w:t xml:space="preserve"> </w:t>
      </w:r>
    </w:p>
    <w:p w14:paraId="6A52A113" w14:textId="221ADF55" w:rsidR="009445B0" w:rsidRPr="009445B0" w:rsidRDefault="009445B0" w:rsidP="009445B0">
      <w:pPr>
        <w:pStyle w:val="ListParagraph"/>
        <w:numPr>
          <w:ilvl w:val="0"/>
          <w:numId w:val="26"/>
        </w:numPr>
        <w:spacing w:after="0" w:line="240" w:lineRule="auto"/>
        <w:rPr>
          <w:rFonts w:eastAsia="Times New Roman" w:cstheme="minorHAnsi"/>
          <w:i/>
          <w:iCs/>
          <w:color w:val="808080" w:themeColor="background1" w:themeShade="80"/>
        </w:rPr>
      </w:pPr>
      <w:r>
        <w:rPr>
          <w:rFonts w:cstheme="minorHAnsi"/>
          <w:color w:val="000000" w:themeColor="text1"/>
        </w:rPr>
        <w:t xml:space="preserve">From 2014-2018, </w:t>
      </w:r>
      <w:r w:rsidRPr="009445B0">
        <w:rPr>
          <w:rFonts w:cstheme="minorHAnsi"/>
          <w:color w:val="000000" w:themeColor="text1"/>
        </w:rPr>
        <w:t xml:space="preserve">little difference </w:t>
      </w:r>
      <w:r>
        <w:rPr>
          <w:rFonts w:cstheme="minorHAnsi"/>
          <w:color w:val="000000" w:themeColor="text1"/>
        </w:rPr>
        <w:t xml:space="preserve">was observed </w:t>
      </w:r>
      <w:r w:rsidRPr="009445B0">
        <w:rPr>
          <w:rFonts w:cstheme="minorHAnsi"/>
          <w:color w:val="000000" w:themeColor="text1"/>
        </w:rPr>
        <w:t xml:space="preserve">in </w:t>
      </w:r>
      <w:r>
        <w:rPr>
          <w:rFonts w:cstheme="minorHAnsi"/>
          <w:color w:val="000000" w:themeColor="text1"/>
        </w:rPr>
        <w:t xml:space="preserve">incidence </w:t>
      </w:r>
      <w:r w:rsidRPr="009445B0">
        <w:rPr>
          <w:rFonts w:cstheme="minorHAnsi"/>
          <w:color w:val="000000" w:themeColor="text1"/>
        </w:rPr>
        <w:t>rates of colon and RSJ cancer between the most and least deprived quintiles</w:t>
      </w:r>
      <w:r>
        <w:rPr>
          <w:rFonts w:cstheme="minorHAnsi"/>
          <w:color w:val="000000" w:themeColor="text1"/>
        </w:rPr>
        <w:t>.</w:t>
      </w:r>
    </w:p>
    <w:p w14:paraId="531071E2" w14:textId="0DC21956" w:rsidR="00464E4B" w:rsidRPr="009445B0" w:rsidRDefault="00464E4B" w:rsidP="009445B0">
      <w:pPr>
        <w:spacing w:after="0" w:line="240" w:lineRule="auto"/>
        <w:rPr>
          <w:rFonts w:eastAsia="Times New Roman" w:cstheme="minorHAnsi"/>
          <w:i/>
          <w:iCs/>
          <w:color w:val="808080" w:themeColor="background1" w:themeShade="80"/>
        </w:rPr>
      </w:pPr>
      <w:r w:rsidRPr="009445B0">
        <w:rPr>
          <w:rFonts w:cstheme="minorHAnsi"/>
          <w:i/>
          <w:iCs/>
          <w:color w:val="808080" w:themeColor="background1" w:themeShade="80"/>
        </w:rPr>
        <w:t>Mortality</w:t>
      </w:r>
    </w:p>
    <w:p w14:paraId="57E27DA7" w14:textId="77777777" w:rsidR="00DE373B" w:rsidRDefault="002B04E9" w:rsidP="00534C4C">
      <w:pPr>
        <w:numPr>
          <w:ilvl w:val="0"/>
          <w:numId w:val="27"/>
        </w:numPr>
        <w:spacing w:after="0" w:line="240" w:lineRule="auto"/>
        <w:contextualSpacing/>
        <w:rPr>
          <w:rFonts w:eastAsia="Calibri" w:cstheme="minorHAnsi"/>
          <w:color w:val="000000" w:themeColor="text1"/>
        </w:rPr>
      </w:pPr>
      <w:r w:rsidRPr="002B04E9">
        <w:rPr>
          <w:rFonts w:eastAsia="Calibri" w:cstheme="minorHAnsi"/>
          <w:color w:val="000000" w:themeColor="text1"/>
        </w:rPr>
        <w:t xml:space="preserve">In males, </w:t>
      </w:r>
      <w:r w:rsidR="00DE373B">
        <w:rPr>
          <w:rFonts w:eastAsia="Calibri" w:cstheme="minorHAnsi"/>
          <w:color w:val="000000" w:themeColor="text1"/>
        </w:rPr>
        <w:t>mortality</w:t>
      </w:r>
      <w:r w:rsidRPr="002B04E9">
        <w:rPr>
          <w:rFonts w:eastAsia="Calibri" w:cstheme="minorHAnsi"/>
          <w:color w:val="000000" w:themeColor="text1"/>
        </w:rPr>
        <w:t xml:space="preserve"> rates decreased from </w:t>
      </w:r>
      <w:r w:rsidR="00DE373B">
        <w:rPr>
          <w:rFonts w:eastAsia="Calibri" w:cstheme="minorHAnsi"/>
          <w:color w:val="000000" w:themeColor="text1"/>
        </w:rPr>
        <w:t>1994</w:t>
      </w:r>
      <w:r w:rsidRPr="002B04E9">
        <w:rPr>
          <w:rFonts w:eastAsia="Calibri" w:cstheme="minorHAnsi"/>
          <w:color w:val="000000" w:themeColor="text1"/>
        </w:rPr>
        <w:t xml:space="preserve"> to 2022 </w:t>
      </w:r>
    </w:p>
    <w:p w14:paraId="6DFECDBF" w14:textId="5DCECB4E" w:rsidR="00534C4C" w:rsidRPr="00534C4C" w:rsidRDefault="002B04E9" w:rsidP="00534C4C">
      <w:pPr>
        <w:pStyle w:val="ListParagraph"/>
        <w:numPr>
          <w:ilvl w:val="0"/>
          <w:numId w:val="27"/>
        </w:numPr>
        <w:spacing w:after="0" w:line="240" w:lineRule="auto"/>
        <w:rPr>
          <w:rFonts w:eastAsiaTheme="majorEastAsia" w:cstheme="minorHAnsi"/>
          <w:i/>
          <w:iCs/>
          <w:color w:val="595959" w:themeColor="text1" w:themeTint="A6"/>
          <w:spacing w:val="15"/>
        </w:rPr>
      </w:pPr>
      <w:r w:rsidRPr="000C75C8">
        <w:rPr>
          <w:rFonts w:eastAsia="Calibri" w:cstheme="minorHAnsi"/>
          <w:color w:val="000000" w:themeColor="text1"/>
        </w:rPr>
        <w:t xml:space="preserve">In females, mortality rates </w:t>
      </w:r>
      <w:r w:rsidR="009445B0">
        <w:rPr>
          <w:rFonts w:eastAsia="Calibri" w:cstheme="minorHAnsi"/>
          <w:color w:val="000000" w:themeColor="text1"/>
        </w:rPr>
        <w:t>decreased</w:t>
      </w:r>
      <w:r w:rsidRPr="000C75C8">
        <w:rPr>
          <w:rFonts w:eastAsia="Calibri" w:cstheme="minorHAnsi"/>
          <w:color w:val="000000" w:themeColor="text1"/>
        </w:rPr>
        <w:t xml:space="preserve"> from 1994 to 2005, before stabilising 2005-2010.  Mortality declined again from 2010 to 2022</w:t>
      </w:r>
    </w:p>
    <w:p w14:paraId="1507FEF5" w14:textId="0B2F5644" w:rsidR="00464E4B" w:rsidRPr="00534C4C" w:rsidRDefault="00464E4B" w:rsidP="00534C4C">
      <w:pPr>
        <w:spacing w:after="0" w:line="240" w:lineRule="auto"/>
        <w:rPr>
          <w:rFonts w:eastAsiaTheme="majorEastAsia" w:cstheme="minorHAnsi"/>
          <w:i/>
          <w:iCs/>
          <w:color w:val="595959" w:themeColor="text1" w:themeTint="A6"/>
          <w:spacing w:val="15"/>
        </w:rPr>
      </w:pPr>
      <w:r w:rsidRPr="00534C4C">
        <w:rPr>
          <w:rFonts w:eastAsiaTheme="majorEastAsia" w:cstheme="minorHAnsi"/>
          <w:i/>
          <w:iCs/>
          <w:color w:val="595959" w:themeColor="text1" w:themeTint="A6"/>
          <w:spacing w:val="15"/>
        </w:rPr>
        <w:t>Survival</w:t>
      </w:r>
    </w:p>
    <w:p w14:paraId="6ECCC17C" w14:textId="5228EA0A" w:rsidR="00464E4B" w:rsidRPr="00560200" w:rsidRDefault="00464E4B" w:rsidP="00534C4C">
      <w:pPr>
        <w:numPr>
          <w:ilvl w:val="0"/>
          <w:numId w:val="27"/>
        </w:numPr>
        <w:spacing w:after="0" w:line="240" w:lineRule="auto"/>
        <w:contextualSpacing/>
        <w:rPr>
          <w:rFonts w:cstheme="minorHAnsi"/>
        </w:rPr>
      </w:pPr>
      <w:r w:rsidRPr="00560200">
        <w:rPr>
          <w:rFonts w:cstheme="minorHAnsi"/>
        </w:rPr>
        <w:t>5-year net survival was 65% for cases diagnosed during 2019-2022.</w:t>
      </w:r>
    </w:p>
    <w:p w14:paraId="4E0AD1B4" w14:textId="77777777" w:rsidR="00464E4B" w:rsidRPr="00560200" w:rsidRDefault="00464E4B" w:rsidP="00534C4C">
      <w:pPr>
        <w:numPr>
          <w:ilvl w:val="1"/>
          <w:numId w:val="0"/>
        </w:numPr>
        <w:spacing w:after="0" w:line="240" w:lineRule="auto"/>
        <w:rPr>
          <w:rFonts w:eastAsiaTheme="majorEastAsia" w:cstheme="minorHAnsi"/>
          <w:i/>
          <w:iCs/>
          <w:color w:val="595959" w:themeColor="text1" w:themeTint="A6"/>
          <w:spacing w:val="15"/>
        </w:rPr>
      </w:pPr>
      <w:r w:rsidRPr="00560200">
        <w:rPr>
          <w:rFonts w:eastAsiaTheme="majorEastAsia" w:cstheme="minorHAnsi"/>
          <w:i/>
          <w:iCs/>
          <w:color w:val="595959" w:themeColor="text1" w:themeTint="A6"/>
          <w:spacing w:val="15"/>
        </w:rPr>
        <w:t>Population attributable fraction</w:t>
      </w:r>
    </w:p>
    <w:p w14:paraId="101BC3E8" w14:textId="77777777" w:rsidR="00464E4B" w:rsidRPr="00FC5D6E" w:rsidRDefault="00464E4B" w:rsidP="00534C4C">
      <w:pPr>
        <w:numPr>
          <w:ilvl w:val="0"/>
          <w:numId w:val="28"/>
        </w:numPr>
        <w:spacing w:after="0" w:line="240" w:lineRule="auto"/>
        <w:contextualSpacing/>
      </w:pPr>
      <w:r w:rsidRPr="00FC5D6E">
        <w:t xml:space="preserve">The estimated total number of colon </w:t>
      </w:r>
      <w:r>
        <w:t xml:space="preserve">and RSJ </w:t>
      </w:r>
      <w:r w:rsidRPr="00FC5D6E">
        <w:t xml:space="preserve">cancer cases attributable to smoking in Ireland in 2022 was 107 (PAF 5.4%). </w:t>
      </w:r>
    </w:p>
    <w:p w14:paraId="27094ED8" w14:textId="77777777" w:rsidR="00464E4B" w:rsidRPr="00FC5D6E" w:rsidRDefault="00464E4B" w:rsidP="00534C4C">
      <w:pPr>
        <w:spacing w:after="0" w:line="240" w:lineRule="auto"/>
      </w:pPr>
    </w:p>
    <w:p w14:paraId="2B226EB1" w14:textId="77777777" w:rsidR="00464E4B" w:rsidRDefault="00464E4B" w:rsidP="00464E4B">
      <w:pPr>
        <w:spacing w:after="0" w:line="240" w:lineRule="auto"/>
        <w:sectPr w:rsidR="00464E4B" w:rsidSect="002746C0">
          <w:pgSz w:w="11906" w:h="16838"/>
          <w:pgMar w:top="1440" w:right="1440" w:bottom="1440" w:left="1440" w:header="708" w:footer="708" w:gutter="0"/>
          <w:cols w:space="708"/>
          <w:docGrid w:linePitch="360"/>
        </w:sectPr>
      </w:pPr>
    </w:p>
    <w:p w14:paraId="62FD34F2" w14:textId="77777777" w:rsidR="00464E4B" w:rsidRDefault="00464E4B" w:rsidP="00464E4B">
      <w:pPr>
        <w:pStyle w:val="Heading3"/>
        <w:spacing w:before="0" w:after="0" w:line="240" w:lineRule="auto"/>
      </w:pPr>
      <w:bookmarkStart w:id="174" w:name="_Toc197557090"/>
      <w:bookmarkStart w:id="175" w:name="_Toc201512484"/>
      <w:bookmarkStart w:id="176" w:name="_Toc196914589"/>
      <w:r w:rsidRPr="00FC5D6E">
        <w:t>Incidence</w:t>
      </w:r>
      <w:bookmarkEnd w:id="174"/>
      <w:bookmarkEnd w:id="175"/>
    </w:p>
    <w:p w14:paraId="3039986C" w14:textId="7F0BADA9" w:rsidR="00CD7E7C" w:rsidRDefault="00464E4B" w:rsidP="00CD7E7C">
      <w:pPr>
        <w:spacing w:after="0" w:line="240" w:lineRule="auto"/>
        <w:rPr>
          <w:rFonts w:cstheme="minorHAnsi"/>
        </w:rPr>
      </w:pPr>
      <w:r>
        <w:t>Between</w:t>
      </w:r>
      <w:r w:rsidRPr="00BE50DD">
        <w:t xml:space="preserve"> 1994-2022, </w:t>
      </w:r>
      <w:r>
        <w:t>47,422</w:t>
      </w:r>
      <w:r w:rsidRPr="00BE50DD">
        <w:t xml:space="preserve"> cases of </w:t>
      </w:r>
      <w:r>
        <w:t>colon and RSJ</w:t>
      </w:r>
      <w:r w:rsidRPr="00BE50DD">
        <w:t xml:space="preserve"> cancer </w:t>
      </w:r>
      <w:r>
        <w:t>were</w:t>
      </w:r>
      <w:r w:rsidRPr="00BE50DD">
        <w:t xml:space="preserve"> reported (</w:t>
      </w:r>
      <w:r>
        <w:t>25,884 m</w:t>
      </w:r>
      <w:r w:rsidRPr="00BE50DD">
        <w:t>ales,</w:t>
      </w:r>
      <w:r>
        <w:t xml:space="preserve"> 21,538</w:t>
      </w:r>
      <w:r w:rsidRPr="00BE50DD">
        <w:t xml:space="preserve"> </w:t>
      </w:r>
      <w:r>
        <w:t>f</w:t>
      </w:r>
      <w:r w:rsidRPr="00BE50DD">
        <w:t>emales). The median age at diagnosis was 7</w:t>
      </w:r>
      <w:r>
        <w:t>0</w:t>
      </w:r>
      <w:r w:rsidRPr="00BE50DD">
        <w:t xml:space="preserve"> years </w:t>
      </w:r>
      <w:r>
        <w:t>(IQR</w:t>
      </w:r>
      <w:r w:rsidR="009445B0">
        <w:t>:</w:t>
      </w:r>
      <w:r>
        <w:t xml:space="preserve"> </w:t>
      </w:r>
      <w:r w:rsidRPr="00BE50DD">
        <w:t>6</w:t>
      </w:r>
      <w:r>
        <w:t>2</w:t>
      </w:r>
      <w:r w:rsidRPr="00BE50DD">
        <w:t>-78) for males and 7</w:t>
      </w:r>
      <w:r>
        <w:t>2</w:t>
      </w:r>
      <w:r w:rsidRPr="00BE50DD">
        <w:t xml:space="preserve"> </w:t>
      </w:r>
      <w:r>
        <w:t>(IQR</w:t>
      </w:r>
      <w:r w:rsidR="009445B0">
        <w:t>:</w:t>
      </w:r>
      <w:r>
        <w:t xml:space="preserve"> </w:t>
      </w:r>
      <w:r w:rsidRPr="00BE50DD">
        <w:t>6</w:t>
      </w:r>
      <w:r>
        <w:t>1</w:t>
      </w:r>
      <w:r w:rsidRPr="00BE50DD">
        <w:t>-8</w:t>
      </w:r>
      <w:r>
        <w:t>0</w:t>
      </w:r>
      <w:r w:rsidRPr="00BE50DD">
        <w:t>) for females.</w:t>
      </w:r>
      <w:r>
        <w:t xml:space="preserve"> </w:t>
      </w:r>
      <w:r w:rsidRPr="00D36EF2">
        <w:t xml:space="preserve">Age-standardised incidence rates of cancer of the colon and </w:t>
      </w:r>
      <w:r>
        <w:t>RSJ</w:t>
      </w:r>
      <w:r w:rsidRPr="00D36EF2">
        <w:t xml:space="preserve"> </w:t>
      </w:r>
      <w:r w:rsidR="00534C4C">
        <w:t>during the period</w:t>
      </w:r>
      <w:r w:rsidRPr="00D36EF2">
        <w:t xml:space="preserve"> 1994-2022 were 69.4 cases per 100,000 males and 47.3 cases per 100,000 females per year.</w:t>
      </w:r>
      <w:r w:rsidR="00CD7E7C" w:rsidRPr="00CD7E7C">
        <w:rPr>
          <w:rFonts w:cstheme="minorHAnsi"/>
        </w:rPr>
        <w:t xml:space="preserve"> </w:t>
      </w:r>
      <w:r w:rsidR="00CD7E7C" w:rsidRPr="00BE50DD">
        <w:rPr>
          <w:rFonts w:cstheme="minorHAnsi"/>
        </w:rPr>
        <w:t xml:space="preserve">Figure </w:t>
      </w:r>
      <w:r w:rsidR="00CD7E7C">
        <w:rPr>
          <w:rFonts w:cstheme="minorHAnsi"/>
        </w:rPr>
        <w:t>10.1</w:t>
      </w:r>
      <w:r w:rsidR="00CD7E7C" w:rsidRPr="00BE50DD">
        <w:rPr>
          <w:rFonts w:cstheme="minorHAnsi"/>
        </w:rPr>
        <w:t xml:space="preserve"> breaks this down further by sex and age group.</w:t>
      </w:r>
    </w:p>
    <w:p w14:paraId="3C588594" w14:textId="77777777" w:rsidR="00464E4B" w:rsidRPr="00D36EF2" w:rsidRDefault="00464E4B" w:rsidP="00464E4B"/>
    <w:tbl>
      <w:tblPr>
        <w:tblW w:w="9778" w:type="dxa"/>
        <w:tblInd w:w="-752" w:type="dxa"/>
        <w:tblBorders>
          <w:bottom w:val="single" w:sz="4" w:space="0" w:color="auto"/>
        </w:tblBorders>
        <w:tblLook w:val="04A0" w:firstRow="1" w:lastRow="0" w:firstColumn="1" w:lastColumn="0" w:noHBand="0" w:noVBand="1"/>
      </w:tblPr>
      <w:tblGrid>
        <w:gridCol w:w="3256"/>
        <w:gridCol w:w="3247"/>
        <w:gridCol w:w="3275"/>
      </w:tblGrid>
      <w:tr w:rsidR="00464E4B" w:rsidRPr="00FC5D6E" w14:paraId="1CFB6DA0" w14:textId="77777777" w:rsidTr="0041177B">
        <w:trPr>
          <w:trHeight w:val="557"/>
        </w:trPr>
        <w:tc>
          <w:tcPr>
            <w:tcW w:w="9778" w:type="dxa"/>
            <w:gridSpan w:val="3"/>
            <w:shd w:val="clear" w:color="auto" w:fill="002060"/>
            <w:hideMark/>
          </w:tcPr>
          <w:p w14:paraId="2B09407B" w14:textId="1BBE1A49" w:rsidR="00464E4B" w:rsidRPr="00CD7E7C" w:rsidRDefault="00464E4B" w:rsidP="0041177B">
            <w:pPr>
              <w:spacing w:after="0" w:line="240" w:lineRule="auto"/>
              <w:rPr>
                <w:rFonts w:cstheme="minorHAnsi"/>
                <w:b/>
                <w:bCs/>
                <w:color w:val="FFFFFF" w:themeColor="background1"/>
              </w:rPr>
            </w:pPr>
            <w:r w:rsidRPr="00CD7E7C">
              <w:rPr>
                <w:rFonts w:cstheme="minorHAnsi"/>
                <w:b/>
                <w:bCs/>
                <w:color w:val="FFFFFF" w:themeColor="background1"/>
              </w:rPr>
              <w:t xml:space="preserve">Figure </w:t>
            </w:r>
            <w:r w:rsidR="00CD7E7C" w:rsidRPr="00CD7E7C">
              <w:rPr>
                <w:rFonts w:cstheme="minorHAnsi"/>
                <w:b/>
                <w:bCs/>
                <w:color w:val="FFFFFF" w:themeColor="background1"/>
              </w:rPr>
              <w:t>10.1:</w:t>
            </w:r>
            <w:r w:rsidRPr="00CD7E7C">
              <w:rPr>
                <w:rFonts w:cstheme="minorHAnsi"/>
                <w:b/>
                <w:bCs/>
                <w:color w:val="FFFFFF" w:themeColor="background1"/>
              </w:rPr>
              <w:t xml:space="preserve"> Incidence rate (per 100,000) for colon and rectosigmoid junction cancer by </w:t>
            </w:r>
            <w:r w:rsidR="00366242">
              <w:rPr>
                <w:rFonts w:cstheme="minorHAnsi"/>
                <w:b/>
                <w:bCs/>
                <w:color w:val="FFFFFF" w:themeColor="background1"/>
              </w:rPr>
              <w:t>age group</w:t>
            </w:r>
            <w:r w:rsidRPr="00CD7E7C">
              <w:rPr>
                <w:rFonts w:cstheme="minorHAnsi"/>
                <w:b/>
                <w:bCs/>
                <w:color w:val="FFFFFF" w:themeColor="background1"/>
              </w:rPr>
              <w:t>,1994-2022</w:t>
            </w:r>
          </w:p>
        </w:tc>
      </w:tr>
      <w:tr w:rsidR="00464E4B" w:rsidRPr="00FC5D6E" w14:paraId="15D4685F" w14:textId="77777777" w:rsidTr="0041177B">
        <w:trPr>
          <w:trHeight w:val="70"/>
        </w:trPr>
        <w:tc>
          <w:tcPr>
            <w:tcW w:w="3256" w:type="dxa"/>
            <w:hideMark/>
          </w:tcPr>
          <w:p w14:paraId="74A95CC7" w14:textId="77777777" w:rsidR="00464E4B" w:rsidRPr="00FC5D6E" w:rsidRDefault="00464E4B" w:rsidP="0041177B">
            <w:pPr>
              <w:spacing w:after="0" w:line="240" w:lineRule="auto"/>
              <w:jc w:val="center"/>
              <w:rPr>
                <w:rFonts w:cstheme="minorHAnsi"/>
                <w:color w:val="000000" w:themeColor="text1"/>
              </w:rPr>
            </w:pPr>
            <w:r w:rsidRPr="00FC5D6E">
              <w:rPr>
                <w:rFonts w:cstheme="minorHAnsi"/>
                <w:color w:val="000000" w:themeColor="text1"/>
              </w:rPr>
              <w:t>Total</w:t>
            </w:r>
          </w:p>
        </w:tc>
        <w:tc>
          <w:tcPr>
            <w:tcW w:w="3247" w:type="dxa"/>
          </w:tcPr>
          <w:p w14:paraId="20592D57" w14:textId="77777777" w:rsidR="00464E4B" w:rsidRPr="00FC5D6E" w:rsidRDefault="00464E4B" w:rsidP="0041177B">
            <w:pPr>
              <w:spacing w:after="0" w:line="240" w:lineRule="auto"/>
              <w:jc w:val="center"/>
              <w:rPr>
                <w:rFonts w:cstheme="minorHAnsi"/>
                <w:color w:val="000000" w:themeColor="text1"/>
              </w:rPr>
            </w:pPr>
            <w:r>
              <w:rPr>
                <w:rFonts w:cstheme="minorHAnsi"/>
                <w:color w:val="000000" w:themeColor="text1"/>
              </w:rPr>
              <w:t>Males</w:t>
            </w:r>
          </w:p>
        </w:tc>
        <w:tc>
          <w:tcPr>
            <w:tcW w:w="3275" w:type="dxa"/>
          </w:tcPr>
          <w:p w14:paraId="182D1D94" w14:textId="77777777" w:rsidR="00464E4B" w:rsidRPr="00FC5D6E" w:rsidRDefault="00464E4B" w:rsidP="0041177B">
            <w:pPr>
              <w:spacing w:after="0" w:line="240" w:lineRule="auto"/>
              <w:jc w:val="center"/>
              <w:rPr>
                <w:rFonts w:cstheme="minorHAnsi"/>
                <w:color w:val="000000" w:themeColor="text1"/>
              </w:rPr>
            </w:pPr>
            <w:r>
              <w:rPr>
                <w:rFonts w:cstheme="minorHAnsi"/>
                <w:color w:val="000000" w:themeColor="text1"/>
              </w:rPr>
              <w:t>Females</w:t>
            </w:r>
          </w:p>
        </w:tc>
      </w:tr>
      <w:tr w:rsidR="00464E4B" w:rsidRPr="00FC5D6E" w14:paraId="7A88F517" w14:textId="77777777" w:rsidTr="0041177B">
        <w:trPr>
          <w:trHeight w:val="2695"/>
        </w:trPr>
        <w:tc>
          <w:tcPr>
            <w:tcW w:w="3256" w:type="dxa"/>
            <w:vAlign w:val="center"/>
          </w:tcPr>
          <w:p w14:paraId="10B4C16E" w14:textId="77777777" w:rsidR="00464E4B" w:rsidRPr="00FC5D6E" w:rsidRDefault="00464E4B" w:rsidP="0041177B">
            <w:pPr>
              <w:spacing w:after="0" w:line="240" w:lineRule="auto"/>
              <w:jc w:val="center"/>
              <w:rPr>
                <w:rFonts w:eastAsia="Times New Roman" w:cs="Times New Roman"/>
                <w:lang w:eastAsia="en-GB"/>
              </w:rPr>
            </w:pPr>
            <w:r>
              <w:rPr>
                <w:rFonts w:eastAsia="Times New Roman" w:cs="Times New Roman"/>
                <w:noProof/>
                <w:lang w:eastAsia="en-GB"/>
              </w:rPr>
              <w:drawing>
                <wp:inline distT="0" distB="0" distL="0" distR="0" wp14:anchorId="1AFA31FE" wp14:editId="0B5C8CB5">
                  <wp:extent cx="2063187" cy="1692000"/>
                  <wp:effectExtent l="0" t="0" r="0" b="3810"/>
                  <wp:docPr id="7927623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063187" cy="1692000"/>
                          </a:xfrm>
                          <a:prstGeom prst="rect">
                            <a:avLst/>
                          </a:prstGeom>
                          <a:noFill/>
                        </pic:spPr>
                      </pic:pic>
                    </a:graphicData>
                  </a:graphic>
                </wp:inline>
              </w:drawing>
            </w:r>
          </w:p>
        </w:tc>
        <w:tc>
          <w:tcPr>
            <w:tcW w:w="3247" w:type="dxa"/>
            <w:vAlign w:val="center"/>
          </w:tcPr>
          <w:p w14:paraId="016D664B" w14:textId="77777777" w:rsidR="00464E4B" w:rsidRPr="00FC5D6E" w:rsidRDefault="00464E4B" w:rsidP="0041177B">
            <w:pPr>
              <w:spacing w:after="0" w:line="240" w:lineRule="auto"/>
              <w:jc w:val="center"/>
              <w:rPr>
                <w:rFonts w:cstheme="minorHAnsi"/>
                <w:color w:val="000000" w:themeColor="text1"/>
              </w:rPr>
            </w:pPr>
            <w:r>
              <w:rPr>
                <w:rFonts w:eastAsia="Times New Roman" w:cs="Times New Roman"/>
                <w:noProof/>
                <w:lang w:eastAsia="en-GB"/>
              </w:rPr>
              <w:drawing>
                <wp:inline distT="0" distB="0" distL="0" distR="0" wp14:anchorId="788EAE67" wp14:editId="14C59D88">
                  <wp:extent cx="2050870" cy="1692000"/>
                  <wp:effectExtent l="0" t="0" r="6985" b="3810"/>
                  <wp:docPr id="1698306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050870" cy="1692000"/>
                          </a:xfrm>
                          <a:prstGeom prst="rect">
                            <a:avLst/>
                          </a:prstGeom>
                          <a:noFill/>
                        </pic:spPr>
                      </pic:pic>
                    </a:graphicData>
                  </a:graphic>
                </wp:inline>
              </w:drawing>
            </w:r>
          </w:p>
        </w:tc>
        <w:tc>
          <w:tcPr>
            <w:tcW w:w="3275" w:type="dxa"/>
          </w:tcPr>
          <w:p w14:paraId="5CF9E9BE" w14:textId="77777777" w:rsidR="00464E4B" w:rsidRPr="00FC5D6E" w:rsidRDefault="00464E4B" w:rsidP="0041177B">
            <w:pPr>
              <w:spacing w:after="0" w:line="240" w:lineRule="auto"/>
              <w:jc w:val="center"/>
              <w:rPr>
                <w:rFonts w:cstheme="minorHAnsi"/>
                <w:color w:val="000000" w:themeColor="text1"/>
              </w:rPr>
            </w:pPr>
            <w:r>
              <w:rPr>
                <w:rFonts w:cstheme="minorHAnsi"/>
                <w:noProof/>
                <w:color w:val="000000" w:themeColor="text1"/>
              </w:rPr>
              <w:drawing>
                <wp:inline distT="0" distB="0" distL="0" distR="0" wp14:anchorId="7C392479" wp14:editId="75348EA9">
                  <wp:extent cx="2067434" cy="1692000"/>
                  <wp:effectExtent l="0" t="0" r="9525" b="3810"/>
                  <wp:docPr id="129927743" name="Picture 15"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27743" name="Picture 15" descr="A graph with numbers and a bar&#10;&#10;AI-generated content may be incorrect."/>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067434" cy="1692000"/>
                          </a:xfrm>
                          <a:prstGeom prst="rect">
                            <a:avLst/>
                          </a:prstGeom>
                          <a:noFill/>
                        </pic:spPr>
                      </pic:pic>
                    </a:graphicData>
                  </a:graphic>
                </wp:inline>
              </w:drawing>
            </w:r>
          </w:p>
        </w:tc>
      </w:tr>
    </w:tbl>
    <w:p w14:paraId="732F5B34" w14:textId="77777777" w:rsidR="00464E4B" w:rsidRPr="00FC5D6E" w:rsidRDefault="00464E4B" w:rsidP="00464E4B">
      <w:pPr>
        <w:spacing w:after="0" w:line="240" w:lineRule="auto"/>
      </w:pPr>
    </w:p>
    <w:p w14:paraId="7ACAD0CC" w14:textId="77777777" w:rsidR="00464E4B" w:rsidRPr="00FC5D6E" w:rsidRDefault="00464E4B" w:rsidP="00464E4B">
      <w:pPr>
        <w:spacing w:after="0" w:line="240" w:lineRule="auto"/>
        <w:sectPr w:rsidR="00464E4B" w:rsidRPr="00FC5D6E" w:rsidSect="002746C0">
          <w:pgSz w:w="11906" w:h="16838"/>
          <w:pgMar w:top="1440" w:right="1440" w:bottom="1440" w:left="1440" w:header="708" w:footer="708" w:gutter="0"/>
          <w:cols w:space="708"/>
          <w:docGrid w:linePitch="360"/>
        </w:sectPr>
      </w:pPr>
    </w:p>
    <w:p w14:paraId="51B92C80" w14:textId="77777777" w:rsidR="00464E4B" w:rsidRPr="00FC5D6E" w:rsidRDefault="00464E4B" w:rsidP="00464E4B">
      <w:pPr>
        <w:pStyle w:val="Heading4"/>
        <w:spacing w:before="0" w:after="0" w:line="240" w:lineRule="auto"/>
      </w:pPr>
      <w:r w:rsidRPr="00FC5D6E">
        <w:t>Trends over time</w:t>
      </w:r>
    </w:p>
    <w:p w14:paraId="47ED1739" w14:textId="68BB43B5" w:rsidR="00464E4B" w:rsidRPr="00FC5D6E" w:rsidRDefault="00464E4B" w:rsidP="00464E4B">
      <w:pPr>
        <w:spacing w:after="0" w:line="240" w:lineRule="auto"/>
        <w:rPr>
          <w:rFonts w:cstheme="minorHAnsi"/>
        </w:rPr>
      </w:pPr>
      <w:r w:rsidRPr="00FC5D6E">
        <w:rPr>
          <w:rFonts w:cstheme="minorHAnsi"/>
        </w:rPr>
        <w:t xml:space="preserve">Figure </w:t>
      </w:r>
      <w:r w:rsidR="00CD7E7C">
        <w:rPr>
          <w:rFonts w:cstheme="minorHAnsi"/>
        </w:rPr>
        <w:t>10.2</w:t>
      </w:r>
      <w:r w:rsidRPr="00FC5D6E">
        <w:rPr>
          <w:rFonts w:cstheme="minorHAnsi"/>
        </w:rPr>
        <w:t xml:space="preserve"> shows the incidence of colon and </w:t>
      </w:r>
      <w:r>
        <w:rPr>
          <w:rFonts w:cstheme="minorHAnsi"/>
        </w:rPr>
        <w:t>RSJ</w:t>
      </w:r>
      <w:r w:rsidRPr="00FC5D6E">
        <w:rPr>
          <w:rFonts w:cstheme="minorHAnsi"/>
        </w:rPr>
        <w:t xml:space="preserve"> cancer from 1994 to 2022. Incidence increased for males from 1994 to 2013 (0.5% increase per year (95%CI 0.1; 1.0)), before a period of steady decrease from 2013 to 2022 (-3.8% decrease per year (95%CI -4.9; -2.7)). Incidence w</w:t>
      </w:r>
      <w:r>
        <w:rPr>
          <w:rFonts w:cstheme="minorHAnsi"/>
        </w:rPr>
        <w:t>as</w:t>
      </w:r>
      <w:r w:rsidRPr="00FC5D6E">
        <w:rPr>
          <w:rFonts w:cstheme="minorHAnsi"/>
        </w:rPr>
        <w:t xml:space="preserve"> stable for females from 1994 to 2010 before a period of steady decrease from 2010 to 2022 (-1.9% decrease per year (95%CI -2.7; -1.1)).</w:t>
      </w:r>
    </w:p>
    <w:p w14:paraId="6DA0AEAF" w14:textId="77777777" w:rsidR="00464E4B" w:rsidRPr="00FC5D6E" w:rsidRDefault="00464E4B" w:rsidP="00464E4B">
      <w:pPr>
        <w:spacing w:after="0" w:line="240" w:lineRule="auto"/>
        <w:rPr>
          <w:rFonts w:cstheme="minorHAnsi"/>
        </w:rPr>
      </w:pPr>
      <w:r w:rsidRPr="00FC5D6E">
        <w:rPr>
          <w:rFonts w:cstheme="minorHAnsi"/>
        </w:rPr>
        <w:t xml:space="preserve"> </w:t>
      </w:r>
    </w:p>
    <w:tbl>
      <w:tblPr>
        <w:tblW w:w="9984" w:type="dxa"/>
        <w:tblInd w:w="-431" w:type="dxa"/>
        <w:tblLook w:val="04A0" w:firstRow="1" w:lastRow="0" w:firstColumn="1" w:lastColumn="0" w:noHBand="0" w:noVBand="1"/>
      </w:tblPr>
      <w:tblGrid>
        <w:gridCol w:w="9984"/>
      </w:tblGrid>
      <w:tr w:rsidR="00464E4B" w:rsidRPr="00113A40" w14:paraId="50063C79" w14:textId="77777777" w:rsidTr="0041177B">
        <w:trPr>
          <w:trHeight w:val="113"/>
        </w:trPr>
        <w:tc>
          <w:tcPr>
            <w:tcW w:w="9984" w:type="dxa"/>
            <w:shd w:val="clear" w:color="auto" w:fill="002060"/>
            <w:vAlign w:val="center"/>
            <w:hideMark/>
          </w:tcPr>
          <w:p w14:paraId="485A6CA1" w14:textId="7D1B2CC0" w:rsidR="00464E4B" w:rsidRPr="00113A40" w:rsidRDefault="00464E4B" w:rsidP="0041177B">
            <w:pPr>
              <w:spacing w:after="0" w:line="240" w:lineRule="auto"/>
              <w:rPr>
                <w:b/>
                <w:bCs/>
              </w:rPr>
            </w:pPr>
            <w:r w:rsidRPr="00113A40">
              <w:rPr>
                <w:b/>
                <w:bCs/>
              </w:rPr>
              <w:t xml:space="preserve">Figure </w:t>
            </w:r>
            <w:r w:rsidR="00CD7E7C">
              <w:rPr>
                <w:b/>
                <w:bCs/>
              </w:rPr>
              <w:t>10.2:</w:t>
            </w:r>
            <w:r w:rsidRPr="00113A40">
              <w:rPr>
                <w:b/>
                <w:bCs/>
              </w:rPr>
              <w:t xml:space="preserve"> Age-</w:t>
            </w:r>
            <w:r w:rsidRPr="00113A40">
              <w:rPr>
                <w:b/>
                <w:bCs/>
                <w:bdr w:val="single" w:sz="4" w:space="0" w:color="auto" w:frame="1"/>
              </w:rPr>
              <w:t xml:space="preserve">standardised incidence rate 1994-2022, colon and rectosigmoid junction </w:t>
            </w:r>
          </w:p>
        </w:tc>
      </w:tr>
      <w:tr w:rsidR="00464E4B" w:rsidRPr="00113A40" w14:paraId="400B23DD" w14:textId="77777777" w:rsidTr="0041177B">
        <w:trPr>
          <w:trHeight w:val="113"/>
        </w:trPr>
        <w:tc>
          <w:tcPr>
            <w:tcW w:w="9984" w:type="dxa"/>
            <w:vAlign w:val="center"/>
          </w:tcPr>
          <w:p w14:paraId="1A4ABB96" w14:textId="77777777" w:rsidR="00464E4B" w:rsidRPr="00113A40" w:rsidRDefault="00464E4B" w:rsidP="0041177B">
            <w:pPr>
              <w:spacing w:after="0" w:line="240" w:lineRule="auto"/>
              <w:jc w:val="center"/>
            </w:pPr>
            <w:r>
              <w:rPr>
                <w:noProof/>
              </w:rPr>
              <w:drawing>
                <wp:inline distT="0" distB="0" distL="0" distR="0" wp14:anchorId="278F43D9" wp14:editId="3E2AB299">
                  <wp:extent cx="6005195" cy="3145790"/>
                  <wp:effectExtent l="0" t="0" r="0" b="0"/>
                  <wp:docPr id="1713435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005195" cy="3145790"/>
                          </a:xfrm>
                          <a:prstGeom prst="rect">
                            <a:avLst/>
                          </a:prstGeom>
                          <a:noFill/>
                        </pic:spPr>
                      </pic:pic>
                    </a:graphicData>
                  </a:graphic>
                </wp:inline>
              </w:drawing>
            </w:r>
          </w:p>
        </w:tc>
      </w:tr>
      <w:tr w:rsidR="00464E4B" w:rsidRPr="00113A40" w14:paraId="4C9BEA7D" w14:textId="77777777" w:rsidTr="0041177B">
        <w:trPr>
          <w:trHeight w:val="113"/>
        </w:trPr>
        <w:tc>
          <w:tcPr>
            <w:tcW w:w="9984" w:type="dxa"/>
            <w:vAlign w:val="center"/>
          </w:tcPr>
          <w:tbl>
            <w:tblPr>
              <w:tblpPr w:leftFromText="180" w:rightFromText="180" w:bottomFromText="160" w:vertAnchor="page" w:horzAnchor="margin" w:tblpXSpec="center" w:tblpY="1"/>
              <w:tblOverlap w:val="never"/>
              <w:tblW w:w="0" w:type="auto"/>
              <w:tblLook w:val="04A0" w:firstRow="1" w:lastRow="0" w:firstColumn="1" w:lastColumn="0" w:noHBand="0" w:noVBand="1"/>
            </w:tblPr>
            <w:tblGrid>
              <w:gridCol w:w="489"/>
              <w:gridCol w:w="1134"/>
              <w:gridCol w:w="696"/>
              <w:gridCol w:w="941"/>
              <w:gridCol w:w="674"/>
              <w:gridCol w:w="489"/>
              <w:gridCol w:w="1134"/>
              <w:gridCol w:w="696"/>
              <w:gridCol w:w="941"/>
              <w:gridCol w:w="674"/>
            </w:tblGrid>
            <w:tr w:rsidR="00464E4B" w:rsidRPr="00113A40" w14:paraId="3ED67326" w14:textId="77777777" w:rsidTr="0041177B">
              <w:trPr>
                <w:trHeight w:val="113"/>
              </w:trPr>
              <w:tc>
                <w:tcPr>
                  <w:tcW w:w="0" w:type="auto"/>
                  <w:noWrap/>
                  <w:tcMar>
                    <w:top w:w="15" w:type="dxa"/>
                    <w:left w:w="108" w:type="dxa"/>
                    <w:bottom w:w="15" w:type="dxa"/>
                    <w:right w:w="108" w:type="dxa"/>
                  </w:tcMar>
                  <w:vAlign w:val="center"/>
                  <w:hideMark/>
                </w:tcPr>
                <w:p w14:paraId="066B9BDF" w14:textId="77777777" w:rsidR="00464E4B" w:rsidRPr="00782229" w:rsidRDefault="00464E4B" w:rsidP="0041177B">
                  <w:pPr>
                    <w:spacing w:after="0" w:line="240" w:lineRule="auto"/>
                    <w:jc w:val="center"/>
                    <w:rPr>
                      <w:rFonts w:ascii="Calibri" w:eastAsia="Times New Roman" w:hAnsi="Calibri" w:cs="Calibri"/>
                      <w:b/>
                      <w:bCs/>
                      <w:color w:val="000000"/>
                      <w:kern w:val="0"/>
                      <w:sz w:val="20"/>
                      <w:szCs w:val="20"/>
                      <w:u w:val="single"/>
                      <w:lang w:eastAsia="en-GB"/>
                      <w14:ligatures w14:val="none"/>
                    </w:rPr>
                  </w:pPr>
                  <w:r w:rsidRPr="00782229">
                    <w:rPr>
                      <w:rFonts w:ascii="Calibri" w:eastAsia="Times New Roman" w:hAnsi="Calibri" w:cs="Calibri"/>
                      <w:b/>
                      <w:bCs/>
                      <w:color w:val="000000"/>
                      <w:kern w:val="0"/>
                      <w:sz w:val="20"/>
                      <w:szCs w:val="20"/>
                      <w:u w:val="single"/>
                      <w:lang w:eastAsia="en-GB"/>
                      <w14:ligatures w14:val="none"/>
                    </w:rPr>
                    <w:t>sex</w:t>
                  </w:r>
                </w:p>
              </w:tc>
              <w:tc>
                <w:tcPr>
                  <w:tcW w:w="0" w:type="auto"/>
                  <w:noWrap/>
                  <w:tcMar>
                    <w:top w:w="15" w:type="dxa"/>
                    <w:left w:w="108" w:type="dxa"/>
                    <w:bottom w:w="15" w:type="dxa"/>
                    <w:right w:w="108" w:type="dxa"/>
                  </w:tcMar>
                  <w:vAlign w:val="center"/>
                  <w:hideMark/>
                </w:tcPr>
                <w:p w14:paraId="69477188" w14:textId="77777777" w:rsidR="00464E4B" w:rsidRPr="00782229" w:rsidRDefault="00464E4B" w:rsidP="0041177B">
                  <w:pPr>
                    <w:spacing w:after="0" w:line="240" w:lineRule="auto"/>
                    <w:jc w:val="center"/>
                    <w:rPr>
                      <w:rFonts w:ascii="Calibri" w:eastAsia="Times New Roman" w:hAnsi="Calibri" w:cs="Calibri"/>
                      <w:b/>
                      <w:bCs/>
                      <w:color w:val="000000"/>
                      <w:kern w:val="0"/>
                      <w:sz w:val="20"/>
                      <w:szCs w:val="20"/>
                      <w:u w:val="single"/>
                      <w:lang w:eastAsia="en-GB"/>
                      <w14:ligatures w14:val="none"/>
                    </w:rPr>
                  </w:pPr>
                  <w:r w:rsidRPr="00782229">
                    <w:rPr>
                      <w:rFonts w:ascii="Calibri" w:eastAsia="Times New Roman" w:hAnsi="Calibri" w:cs="Calibri"/>
                      <w:b/>
                      <w:bCs/>
                      <w:color w:val="000000"/>
                      <w:kern w:val="0"/>
                      <w:sz w:val="20"/>
                      <w:szCs w:val="20"/>
                      <w:u w:val="single"/>
                      <w:lang w:eastAsia="en-GB"/>
                      <w14:ligatures w14:val="none"/>
                    </w:rPr>
                    <w:t>period</w:t>
                  </w:r>
                </w:p>
              </w:tc>
              <w:tc>
                <w:tcPr>
                  <w:tcW w:w="0" w:type="auto"/>
                  <w:noWrap/>
                  <w:tcMar>
                    <w:top w:w="15" w:type="dxa"/>
                    <w:left w:w="108" w:type="dxa"/>
                    <w:bottom w:w="15" w:type="dxa"/>
                    <w:right w:w="108" w:type="dxa"/>
                  </w:tcMar>
                  <w:vAlign w:val="center"/>
                  <w:hideMark/>
                </w:tcPr>
                <w:p w14:paraId="74DB5F18" w14:textId="77777777" w:rsidR="00464E4B" w:rsidRPr="00782229" w:rsidRDefault="00464E4B" w:rsidP="0041177B">
                  <w:pPr>
                    <w:spacing w:after="0" w:line="240" w:lineRule="auto"/>
                    <w:jc w:val="center"/>
                    <w:rPr>
                      <w:rFonts w:ascii="Calibri" w:eastAsia="Times New Roman" w:hAnsi="Calibri" w:cs="Calibri"/>
                      <w:b/>
                      <w:bCs/>
                      <w:color w:val="000000"/>
                      <w:kern w:val="0"/>
                      <w:sz w:val="20"/>
                      <w:szCs w:val="20"/>
                      <w:u w:val="single"/>
                      <w:lang w:eastAsia="en-GB"/>
                      <w14:ligatures w14:val="none"/>
                    </w:rPr>
                  </w:pPr>
                  <w:r w:rsidRPr="00782229">
                    <w:rPr>
                      <w:rFonts w:ascii="Calibri" w:eastAsia="Times New Roman" w:hAnsi="Calibri" w:cs="Calibri"/>
                      <w:b/>
                      <w:bCs/>
                      <w:color w:val="000000"/>
                      <w:kern w:val="0"/>
                      <w:sz w:val="20"/>
                      <w:szCs w:val="20"/>
                      <w:u w:val="single"/>
                      <w:lang w:eastAsia="en-GB"/>
                      <w14:ligatures w14:val="none"/>
                    </w:rPr>
                    <w:t>APC%</w:t>
                  </w:r>
                </w:p>
              </w:tc>
              <w:tc>
                <w:tcPr>
                  <w:tcW w:w="0" w:type="auto"/>
                  <w:noWrap/>
                  <w:tcMar>
                    <w:top w:w="15" w:type="dxa"/>
                    <w:left w:w="108" w:type="dxa"/>
                    <w:bottom w:w="15" w:type="dxa"/>
                    <w:right w:w="108" w:type="dxa"/>
                  </w:tcMar>
                  <w:vAlign w:val="center"/>
                  <w:hideMark/>
                </w:tcPr>
                <w:p w14:paraId="1EDC231E" w14:textId="77777777" w:rsidR="00464E4B" w:rsidRPr="00782229" w:rsidRDefault="00464E4B" w:rsidP="0041177B">
                  <w:pPr>
                    <w:spacing w:after="0" w:line="240" w:lineRule="auto"/>
                    <w:jc w:val="center"/>
                    <w:rPr>
                      <w:rFonts w:ascii="Calibri" w:eastAsia="Times New Roman" w:hAnsi="Calibri" w:cs="Calibri"/>
                      <w:b/>
                      <w:bCs/>
                      <w:color w:val="000000"/>
                      <w:kern w:val="0"/>
                      <w:sz w:val="20"/>
                      <w:szCs w:val="20"/>
                      <w:u w:val="single"/>
                      <w:lang w:eastAsia="en-GB"/>
                      <w14:ligatures w14:val="none"/>
                    </w:rPr>
                  </w:pPr>
                  <w:r w:rsidRPr="00782229">
                    <w:rPr>
                      <w:rFonts w:ascii="Calibri" w:eastAsia="Times New Roman" w:hAnsi="Calibri" w:cs="Calibri"/>
                      <w:b/>
                      <w:bCs/>
                      <w:color w:val="000000"/>
                      <w:kern w:val="0"/>
                      <w:sz w:val="20"/>
                      <w:szCs w:val="20"/>
                      <w:u w:val="single"/>
                      <w:lang w:eastAsia="en-GB"/>
                      <w14:ligatures w14:val="none"/>
                    </w:rPr>
                    <w:t>95%CI</w:t>
                  </w:r>
                </w:p>
              </w:tc>
              <w:tc>
                <w:tcPr>
                  <w:tcW w:w="0" w:type="auto"/>
                  <w:tcBorders>
                    <w:right w:val="single" w:sz="4" w:space="0" w:color="auto"/>
                  </w:tcBorders>
                  <w:noWrap/>
                  <w:tcMar>
                    <w:top w:w="15" w:type="dxa"/>
                    <w:left w:w="108" w:type="dxa"/>
                    <w:bottom w:w="15" w:type="dxa"/>
                    <w:right w:w="108" w:type="dxa"/>
                  </w:tcMar>
                  <w:vAlign w:val="center"/>
                  <w:hideMark/>
                </w:tcPr>
                <w:p w14:paraId="7E3BF210" w14:textId="77777777" w:rsidR="00464E4B" w:rsidRPr="00782229" w:rsidRDefault="00464E4B" w:rsidP="0041177B">
                  <w:pPr>
                    <w:spacing w:after="0" w:line="240" w:lineRule="auto"/>
                    <w:jc w:val="center"/>
                    <w:rPr>
                      <w:rFonts w:ascii="Calibri" w:eastAsia="Times New Roman" w:hAnsi="Calibri" w:cs="Calibri"/>
                      <w:b/>
                      <w:bCs/>
                      <w:color w:val="000000"/>
                      <w:kern w:val="0"/>
                      <w:sz w:val="20"/>
                      <w:szCs w:val="20"/>
                      <w:u w:val="single"/>
                      <w:lang w:eastAsia="en-GB"/>
                      <w14:ligatures w14:val="none"/>
                    </w:rPr>
                  </w:pPr>
                  <w:r w:rsidRPr="00782229">
                    <w:rPr>
                      <w:rFonts w:ascii="Calibri" w:eastAsia="Times New Roman" w:hAnsi="Calibri" w:cs="Calibri"/>
                      <w:b/>
                      <w:bCs/>
                      <w:color w:val="000000"/>
                      <w:kern w:val="0"/>
                      <w:sz w:val="20"/>
                      <w:szCs w:val="20"/>
                      <w:u w:val="single"/>
                      <w:lang w:eastAsia="en-GB"/>
                      <w14:ligatures w14:val="none"/>
                    </w:rPr>
                    <w:t>trend</w:t>
                  </w:r>
                </w:p>
              </w:tc>
              <w:tc>
                <w:tcPr>
                  <w:tcW w:w="0" w:type="auto"/>
                  <w:tcBorders>
                    <w:left w:val="single" w:sz="4" w:space="0" w:color="auto"/>
                  </w:tcBorders>
                  <w:vAlign w:val="center"/>
                </w:tcPr>
                <w:p w14:paraId="5CC24A8B" w14:textId="77777777" w:rsidR="00464E4B" w:rsidRPr="00782229" w:rsidRDefault="00464E4B" w:rsidP="0041177B">
                  <w:pPr>
                    <w:spacing w:after="0" w:line="240" w:lineRule="auto"/>
                    <w:jc w:val="center"/>
                    <w:rPr>
                      <w:rFonts w:ascii="Calibri" w:eastAsia="Times New Roman" w:hAnsi="Calibri" w:cs="Calibri"/>
                      <w:b/>
                      <w:bCs/>
                      <w:color w:val="000000"/>
                      <w:kern w:val="0"/>
                      <w:sz w:val="20"/>
                      <w:szCs w:val="20"/>
                      <w:u w:val="single"/>
                      <w:lang w:eastAsia="en-GB"/>
                      <w14:ligatures w14:val="none"/>
                    </w:rPr>
                  </w:pPr>
                  <w:r w:rsidRPr="00782229">
                    <w:rPr>
                      <w:rFonts w:ascii="Calibri" w:eastAsia="Times New Roman" w:hAnsi="Calibri" w:cs="Calibri"/>
                      <w:b/>
                      <w:bCs/>
                      <w:color w:val="000000"/>
                      <w:kern w:val="0"/>
                      <w:sz w:val="20"/>
                      <w:szCs w:val="20"/>
                      <w:u w:val="single"/>
                      <w:lang w:eastAsia="en-GB"/>
                      <w14:ligatures w14:val="none"/>
                    </w:rPr>
                    <w:t>sex</w:t>
                  </w:r>
                </w:p>
              </w:tc>
              <w:tc>
                <w:tcPr>
                  <w:tcW w:w="0" w:type="auto"/>
                  <w:vAlign w:val="center"/>
                </w:tcPr>
                <w:p w14:paraId="24B2A4B8" w14:textId="77777777" w:rsidR="00464E4B" w:rsidRPr="00782229" w:rsidRDefault="00464E4B" w:rsidP="0041177B">
                  <w:pPr>
                    <w:spacing w:after="0" w:line="240" w:lineRule="auto"/>
                    <w:jc w:val="center"/>
                    <w:rPr>
                      <w:rFonts w:ascii="Calibri" w:eastAsia="Times New Roman" w:hAnsi="Calibri" w:cs="Calibri"/>
                      <w:b/>
                      <w:bCs/>
                      <w:color w:val="000000"/>
                      <w:kern w:val="0"/>
                      <w:sz w:val="20"/>
                      <w:szCs w:val="20"/>
                      <w:u w:val="single"/>
                      <w:lang w:eastAsia="en-GB"/>
                      <w14:ligatures w14:val="none"/>
                    </w:rPr>
                  </w:pPr>
                  <w:r w:rsidRPr="00782229">
                    <w:rPr>
                      <w:rFonts w:ascii="Calibri" w:eastAsia="Times New Roman" w:hAnsi="Calibri" w:cs="Calibri"/>
                      <w:b/>
                      <w:bCs/>
                      <w:color w:val="000000"/>
                      <w:kern w:val="0"/>
                      <w:sz w:val="20"/>
                      <w:szCs w:val="20"/>
                      <w:u w:val="single"/>
                      <w:lang w:eastAsia="en-GB"/>
                      <w14:ligatures w14:val="none"/>
                    </w:rPr>
                    <w:t>period</w:t>
                  </w:r>
                </w:p>
              </w:tc>
              <w:tc>
                <w:tcPr>
                  <w:tcW w:w="0" w:type="auto"/>
                  <w:vAlign w:val="center"/>
                </w:tcPr>
                <w:p w14:paraId="7465E1BC" w14:textId="77777777" w:rsidR="00464E4B" w:rsidRPr="00782229" w:rsidRDefault="00464E4B" w:rsidP="0041177B">
                  <w:pPr>
                    <w:spacing w:after="0" w:line="240" w:lineRule="auto"/>
                    <w:jc w:val="center"/>
                    <w:rPr>
                      <w:rFonts w:ascii="Calibri" w:eastAsia="Times New Roman" w:hAnsi="Calibri" w:cs="Calibri"/>
                      <w:b/>
                      <w:bCs/>
                      <w:color w:val="000000"/>
                      <w:kern w:val="0"/>
                      <w:sz w:val="20"/>
                      <w:szCs w:val="20"/>
                      <w:u w:val="single"/>
                      <w:lang w:eastAsia="en-GB"/>
                      <w14:ligatures w14:val="none"/>
                    </w:rPr>
                  </w:pPr>
                  <w:r w:rsidRPr="00782229">
                    <w:rPr>
                      <w:rFonts w:ascii="Calibri" w:eastAsia="Times New Roman" w:hAnsi="Calibri" w:cs="Calibri"/>
                      <w:b/>
                      <w:bCs/>
                      <w:color w:val="000000"/>
                      <w:kern w:val="0"/>
                      <w:sz w:val="20"/>
                      <w:szCs w:val="20"/>
                      <w:u w:val="single"/>
                      <w:lang w:eastAsia="en-GB"/>
                      <w14:ligatures w14:val="none"/>
                    </w:rPr>
                    <w:t>APC%</w:t>
                  </w:r>
                </w:p>
              </w:tc>
              <w:tc>
                <w:tcPr>
                  <w:tcW w:w="0" w:type="auto"/>
                  <w:vAlign w:val="center"/>
                </w:tcPr>
                <w:p w14:paraId="0391E0A9" w14:textId="77777777" w:rsidR="00464E4B" w:rsidRPr="00782229" w:rsidRDefault="00464E4B" w:rsidP="0041177B">
                  <w:pPr>
                    <w:spacing w:after="0" w:line="240" w:lineRule="auto"/>
                    <w:jc w:val="center"/>
                    <w:rPr>
                      <w:rFonts w:ascii="Calibri" w:eastAsia="Times New Roman" w:hAnsi="Calibri" w:cs="Calibri"/>
                      <w:b/>
                      <w:bCs/>
                      <w:color w:val="000000"/>
                      <w:kern w:val="0"/>
                      <w:sz w:val="20"/>
                      <w:szCs w:val="20"/>
                      <w:u w:val="single"/>
                      <w:lang w:eastAsia="en-GB"/>
                      <w14:ligatures w14:val="none"/>
                    </w:rPr>
                  </w:pPr>
                  <w:r w:rsidRPr="00782229">
                    <w:rPr>
                      <w:rFonts w:ascii="Calibri" w:eastAsia="Times New Roman" w:hAnsi="Calibri" w:cs="Calibri"/>
                      <w:b/>
                      <w:bCs/>
                      <w:color w:val="000000"/>
                      <w:kern w:val="0"/>
                      <w:sz w:val="20"/>
                      <w:szCs w:val="20"/>
                      <w:u w:val="single"/>
                      <w:lang w:eastAsia="en-GB"/>
                      <w14:ligatures w14:val="none"/>
                    </w:rPr>
                    <w:t>95%CI</w:t>
                  </w:r>
                </w:p>
              </w:tc>
              <w:tc>
                <w:tcPr>
                  <w:tcW w:w="0" w:type="auto"/>
                  <w:vAlign w:val="center"/>
                </w:tcPr>
                <w:p w14:paraId="0E647483" w14:textId="77777777" w:rsidR="00464E4B" w:rsidRPr="00782229" w:rsidRDefault="00464E4B" w:rsidP="0041177B">
                  <w:pPr>
                    <w:spacing w:after="0" w:line="240" w:lineRule="auto"/>
                    <w:jc w:val="center"/>
                    <w:rPr>
                      <w:rFonts w:ascii="Calibri" w:eastAsia="Times New Roman" w:hAnsi="Calibri" w:cs="Calibri"/>
                      <w:b/>
                      <w:bCs/>
                      <w:color w:val="000000"/>
                      <w:kern w:val="0"/>
                      <w:sz w:val="20"/>
                      <w:szCs w:val="20"/>
                      <w:u w:val="single"/>
                      <w:lang w:eastAsia="en-GB"/>
                      <w14:ligatures w14:val="none"/>
                    </w:rPr>
                  </w:pPr>
                  <w:r w:rsidRPr="00782229">
                    <w:rPr>
                      <w:rFonts w:ascii="Calibri" w:eastAsia="Times New Roman" w:hAnsi="Calibri" w:cs="Calibri"/>
                      <w:b/>
                      <w:bCs/>
                      <w:color w:val="000000"/>
                      <w:kern w:val="0"/>
                      <w:sz w:val="20"/>
                      <w:szCs w:val="20"/>
                      <w:u w:val="single"/>
                      <w:lang w:eastAsia="en-GB"/>
                      <w14:ligatures w14:val="none"/>
                    </w:rPr>
                    <w:t>trend</w:t>
                  </w:r>
                </w:p>
              </w:tc>
            </w:tr>
            <w:tr w:rsidR="00464E4B" w:rsidRPr="00113A40" w14:paraId="2BBDF0BA" w14:textId="77777777" w:rsidTr="0041177B">
              <w:trPr>
                <w:trHeight w:val="113"/>
              </w:trPr>
              <w:tc>
                <w:tcPr>
                  <w:tcW w:w="0" w:type="auto"/>
                  <w:noWrap/>
                  <w:tcMar>
                    <w:top w:w="15" w:type="dxa"/>
                    <w:left w:w="108" w:type="dxa"/>
                    <w:bottom w:w="15" w:type="dxa"/>
                    <w:right w:w="108" w:type="dxa"/>
                  </w:tcMar>
                  <w:hideMark/>
                </w:tcPr>
                <w:p w14:paraId="440C3D10" w14:textId="77777777" w:rsidR="00464E4B" w:rsidRPr="00782229" w:rsidRDefault="00464E4B" w:rsidP="0041177B">
                  <w:pPr>
                    <w:spacing w:after="0" w:line="240" w:lineRule="auto"/>
                    <w:jc w:val="center"/>
                    <w:rPr>
                      <w:rFonts w:ascii="Calibri" w:eastAsia="Times New Roman" w:hAnsi="Calibri" w:cs="Calibri"/>
                      <w:color w:val="000000"/>
                      <w:kern w:val="0"/>
                      <w:sz w:val="20"/>
                      <w:szCs w:val="20"/>
                      <w:lang w:eastAsia="en-GB"/>
                      <w14:ligatures w14:val="none"/>
                    </w:rPr>
                  </w:pPr>
                  <w:r w:rsidRPr="00782229">
                    <w:rPr>
                      <w:rFonts w:ascii="Calibri" w:hAnsi="Calibri" w:cs="Calibri"/>
                      <w:sz w:val="20"/>
                      <w:szCs w:val="20"/>
                    </w:rPr>
                    <w:t>M </w:t>
                  </w:r>
                </w:p>
              </w:tc>
              <w:tc>
                <w:tcPr>
                  <w:tcW w:w="0" w:type="auto"/>
                  <w:noWrap/>
                  <w:tcMar>
                    <w:top w:w="15" w:type="dxa"/>
                    <w:left w:w="108" w:type="dxa"/>
                    <w:bottom w:w="15" w:type="dxa"/>
                    <w:right w:w="108" w:type="dxa"/>
                  </w:tcMar>
                  <w:hideMark/>
                </w:tcPr>
                <w:p w14:paraId="248F7ADC" w14:textId="77777777" w:rsidR="00464E4B" w:rsidRPr="00782229" w:rsidRDefault="00464E4B" w:rsidP="0041177B">
                  <w:pPr>
                    <w:spacing w:after="0" w:line="240" w:lineRule="auto"/>
                    <w:jc w:val="center"/>
                    <w:rPr>
                      <w:rFonts w:ascii="Calibri" w:eastAsia="Times New Roman" w:hAnsi="Calibri" w:cs="Calibri"/>
                      <w:color w:val="000000"/>
                      <w:kern w:val="0"/>
                      <w:sz w:val="20"/>
                      <w:szCs w:val="20"/>
                      <w:lang w:eastAsia="en-GB"/>
                      <w14:ligatures w14:val="none"/>
                    </w:rPr>
                  </w:pPr>
                  <w:r w:rsidRPr="00782229">
                    <w:rPr>
                      <w:rFonts w:ascii="Calibri" w:hAnsi="Calibri" w:cs="Calibri"/>
                      <w:sz w:val="20"/>
                      <w:szCs w:val="20"/>
                    </w:rPr>
                    <w:t>1994-2013 </w:t>
                  </w:r>
                </w:p>
              </w:tc>
              <w:tc>
                <w:tcPr>
                  <w:tcW w:w="0" w:type="auto"/>
                  <w:noWrap/>
                  <w:tcMar>
                    <w:top w:w="15" w:type="dxa"/>
                    <w:left w:w="108" w:type="dxa"/>
                    <w:bottom w:w="15" w:type="dxa"/>
                    <w:right w:w="108" w:type="dxa"/>
                  </w:tcMar>
                  <w:hideMark/>
                </w:tcPr>
                <w:p w14:paraId="2F6920EA" w14:textId="77777777" w:rsidR="00464E4B" w:rsidRPr="00782229" w:rsidRDefault="00464E4B" w:rsidP="0041177B">
                  <w:pPr>
                    <w:spacing w:after="0" w:line="240" w:lineRule="auto"/>
                    <w:jc w:val="center"/>
                    <w:rPr>
                      <w:rFonts w:ascii="Calibri" w:eastAsia="Times New Roman" w:hAnsi="Calibri" w:cs="Calibri"/>
                      <w:color w:val="000000"/>
                      <w:kern w:val="0"/>
                      <w:sz w:val="20"/>
                      <w:szCs w:val="20"/>
                      <w:lang w:eastAsia="en-GB"/>
                      <w14:ligatures w14:val="none"/>
                    </w:rPr>
                  </w:pPr>
                  <w:r w:rsidRPr="00782229">
                    <w:rPr>
                      <w:rFonts w:ascii="Calibri" w:hAnsi="Calibri" w:cs="Calibri"/>
                      <w:sz w:val="20"/>
                      <w:szCs w:val="20"/>
                    </w:rPr>
                    <w:t>0.5</w:t>
                  </w:r>
                </w:p>
              </w:tc>
              <w:tc>
                <w:tcPr>
                  <w:tcW w:w="0" w:type="auto"/>
                  <w:noWrap/>
                  <w:tcMar>
                    <w:top w:w="15" w:type="dxa"/>
                    <w:left w:w="108" w:type="dxa"/>
                    <w:bottom w:w="15" w:type="dxa"/>
                    <w:right w:w="108" w:type="dxa"/>
                  </w:tcMar>
                  <w:hideMark/>
                </w:tcPr>
                <w:p w14:paraId="6F20866C" w14:textId="77777777" w:rsidR="00464E4B" w:rsidRPr="00782229" w:rsidRDefault="00464E4B" w:rsidP="0041177B">
                  <w:pPr>
                    <w:spacing w:after="0" w:line="240" w:lineRule="auto"/>
                    <w:jc w:val="center"/>
                    <w:rPr>
                      <w:rFonts w:ascii="Calibri" w:eastAsia="Times New Roman" w:hAnsi="Calibri" w:cs="Calibri"/>
                      <w:color w:val="000000"/>
                      <w:kern w:val="0"/>
                      <w:sz w:val="20"/>
                      <w:szCs w:val="20"/>
                      <w:lang w:eastAsia="en-GB"/>
                      <w14:ligatures w14:val="none"/>
                    </w:rPr>
                  </w:pPr>
                  <w:r w:rsidRPr="00782229">
                    <w:rPr>
                      <w:rFonts w:ascii="Calibri" w:hAnsi="Calibri" w:cs="Calibri"/>
                      <w:sz w:val="20"/>
                      <w:szCs w:val="20"/>
                    </w:rPr>
                    <w:t>0.1, 1.0</w:t>
                  </w:r>
                </w:p>
              </w:tc>
              <w:tc>
                <w:tcPr>
                  <w:tcW w:w="0" w:type="auto"/>
                  <w:tcBorders>
                    <w:right w:val="single" w:sz="4" w:space="0" w:color="auto"/>
                  </w:tcBorders>
                  <w:noWrap/>
                  <w:tcMar>
                    <w:top w:w="15" w:type="dxa"/>
                    <w:left w:w="108" w:type="dxa"/>
                    <w:bottom w:w="15" w:type="dxa"/>
                    <w:right w:w="108" w:type="dxa"/>
                  </w:tcMar>
                  <w:hideMark/>
                </w:tcPr>
                <w:p w14:paraId="4DD1E022" w14:textId="77777777" w:rsidR="00464E4B" w:rsidRPr="00782229" w:rsidRDefault="00464E4B" w:rsidP="0041177B">
                  <w:pPr>
                    <w:spacing w:after="0" w:line="240" w:lineRule="auto"/>
                    <w:jc w:val="center"/>
                    <w:rPr>
                      <w:rFonts w:ascii="Calibri" w:eastAsia="Times New Roman" w:hAnsi="Calibri" w:cs="Calibri"/>
                      <w:color w:val="000000"/>
                      <w:kern w:val="0"/>
                      <w:sz w:val="20"/>
                      <w:szCs w:val="20"/>
                      <w:lang w:eastAsia="en-GB"/>
                      <w14:ligatures w14:val="none"/>
                    </w:rPr>
                  </w:pPr>
                  <w:r w:rsidRPr="00782229">
                    <w:rPr>
                      <w:rFonts w:ascii="Calibri" w:hAnsi="Calibri" w:cs="Calibri"/>
                      <w:sz w:val="20"/>
                      <w:szCs w:val="20"/>
                    </w:rPr>
                    <w:t>up </w:t>
                  </w:r>
                </w:p>
              </w:tc>
              <w:tc>
                <w:tcPr>
                  <w:tcW w:w="0" w:type="auto"/>
                  <w:tcBorders>
                    <w:left w:val="single" w:sz="4" w:space="0" w:color="auto"/>
                  </w:tcBorders>
                </w:tcPr>
                <w:p w14:paraId="07905EC8" w14:textId="77777777" w:rsidR="00464E4B" w:rsidRPr="00782229" w:rsidRDefault="00464E4B" w:rsidP="0041177B">
                  <w:pPr>
                    <w:spacing w:after="0" w:line="240" w:lineRule="auto"/>
                    <w:jc w:val="center"/>
                    <w:rPr>
                      <w:rFonts w:ascii="Calibri" w:hAnsi="Calibri" w:cs="Calibri"/>
                      <w:sz w:val="20"/>
                      <w:szCs w:val="20"/>
                    </w:rPr>
                  </w:pPr>
                  <w:r w:rsidRPr="00782229">
                    <w:rPr>
                      <w:rFonts w:ascii="Calibri" w:hAnsi="Calibri" w:cs="Calibri"/>
                      <w:sz w:val="20"/>
                      <w:szCs w:val="20"/>
                    </w:rPr>
                    <w:t>F </w:t>
                  </w:r>
                </w:p>
              </w:tc>
              <w:tc>
                <w:tcPr>
                  <w:tcW w:w="0" w:type="auto"/>
                </w:tcPr>
                <w:p w14:paraId="4890DDBF" w14:textId="77777777" w:rsidR="00464E4B" w:rsidRPr="00782229" w:rsidRDefault="00464E4B" w:rsidP="0041177B">
                  <w:pPr>
                    <w:spacing w:after="0" w:line="240" w:lineRule="auto"/>
                    <w:jc w:val="center"/>
                    <w:rPr>
                      <w:rFonts w:ascii="Calibri" w:hAnsi="Calibri" w:cs="Calibri"/>
                      <w:sz w:val="20"/>
                      <w:szCs w:val="20"/>
                    </w:rPr>
                  </w:pPr>
                  <w:r w:rsidRPr="00782229">
                    <w:rPr>
                      <w:rFonts w:ascii="Calibri" w:hAnsi="Calibri" w:cs="Calibri"/>
                      <w:sz w:val="20"/>
                      <w:szCs w:val="20"/>
                    </w:rPr>
                    <w:t>1994-2010 </w:t>
                  </w:r>
                </w:p>
              </w:tc>
              <w:tc>
                <w:tcPr>
                  <w:tcW w:w="0" w:type="auto"/>
                </w:tcPr>
                <w:p w14:paraId="7897BFFA" w14:textId="77777777" w:rsidR="00464E4B" w:rsidRPr="00782229" w:rsidRDefault="00464E4B" w:rsidP="0041177B">
                  <w:pPr>
                    <w:spacing w:after="0" w:line="240" w:lineRule="auto"/>
                    <w:jc w:val="center"/>
                    <w:rPr>
                      <w:rFonts w:ascii="Calibri" w:hAnsi="Calibri" w:cs="Calibri"/>
                      <w:sz w:val="20"/>
                      <w:szCs w:val="20"/>
                    </w:rPr>
                  </w:pPr>
                  <w:r w:rsidRPr="00782229">
                    <w:rPr>
                      <w:rFonts w:ascii="Calibri" w:hAnsi="Calibri" w:cs="Calibri"/>
                      <w:sz w:val="20"/>
                      <w:szCs w:val="20"/>
                    </w:rPr>
                    <w:t>0.3</w:t>
                  </w:r>
                </w:p>
              </w:tc>
              <w:tc>
                <w:tcPr>
                  <w:tcW w:w="0" w:type="auto"/>
                </w:tcPr>
                <w:p w14:paraId="70ACC09F" w14:textId="77777777" w:rsidR="00464E4B" w:rsidRPr="00782229" w:rsidRDefault="00464E4B" w:rsidP="0041177B">
                  <w:pPr>
                    <w:spacing w:after="0" w:line="240" w:lineRule="auto"/>
                    <w:jc w:val="center"/>
                    <w:rPr>
                      <w:rFonts w:ascii="Calibri" w:hAnsi="Calibri" w:cs="Calibri"/>
                      <w:sz w:val="20"/>
                      <w:szCs w:val="20"/>
                    </w:rPr>
                  </w:pPr>
                  <w:r w:rsidRPr="00782229">
                    <w:rPr>
                      <w:rFonts w:ascii="Calibri" w:hAnsi="Calibri" w:cs="Calibri"/>
                      <w:sz w:val="20"/>
                      <w:szCs w:val="20"/>
                    </w:rPr>
                    <w:t>-0.2, 0.9</w:t>
                  </w:r>
                </w:p>
              </w:tc>
              <w:tc>
                <w:tcPr>
                  <w:tcW w:w="0" w:type="auto"/>
                </w:tcPr>
                <w:p w14:paraId="2E6675B2" w14:textId="77777777" w:rsidR="00464E4B" w:rsidRPr="00782229" w:rsidRDefault="00464E4B" w:rsidP="0041177B">
                  <w:pPr>
                    <w:spacing w:after="0" w:line="240" w:lineRule="auto"/>
                    <w:jc w:val="center"/>
                    <w:rPr>
                      <w:rFonts w:ascii="Calibri" w:hAnsi="Calibri" w:cs="Calibri"/>
                      <w:sz w:val="20"/>
                      <w:szCs w:val="20"/>
                    </w:rPr>
                  </w:pPr>
                  <w:r w:rsidRPr="00782229">
                    <w:rPr>
                      <w:rFonts w:ascii="Calibri" w:hAnsi="Calibri" w:cs="Calibri"/>
                      <w:sz w:val="20"/>
                      <w:szCs w:val="20"/>
                    </w:rPr>
                    <w:t>flat</w:t>
                  </w:r>
                </w:p>
              </w:tc>
            </w:tr>
            <w:tr w:rsidR="00464E4B" w:rsidRPr="00113A40" w14:paraId="5DB29BD9" w14:textId="77777777" w:rsidTr="0041177B">
              <w:trPr>
                <w:trHeight w:val="113"/>
              </w:trPr>
              <w:tc>
                <w:tcPr>
                  <w:tcW w:w="0" w:type="auto"/>
                  <w:noWrap/>
                  <w:tcMar>
                    <w:top w:w="15" w:type="dxa"/>
                    <w:left w:w="108" w:type="dxa"/>
                    <w:bottom w:w="15" w:type="dxa"/>
                    <w:right w:w="108" w:type="dxa"/>
                  </w:tcMar>
                </w:tcPr>
                <w:p w14:paraId="30C8D8DA" w14:textId="77777777" w:rsidR="00464E4B" w:rsidRPr="00782229" w:rsidRDefault="00464E4B" w:rsidP="0041177B">
                  <w:pPr>
                    <w:spacing w:after="0" w:line="240" w:lineRule="auto"/>
                    <w:jc w:val="center"/>
                    <w:rPr>
                      <w:rFonts w:ascii="Calibri" w:eastAsia="Times New Roman" w:hAnsi="Calibri" w:cs="Calibri"/>
                      <w:color w:val="000000"/>
                      <w:kern w:val="0"/>
                      <w:sz w:val="20"/>
                      <w:szCs w:val="20"/>
                      <w:lang w:eastAsia="en-GB"/>
                      <w14:ligatures w14:val="none"/>
                    </w:rPr>
                  </w:pPr>
                </w:p>
              </w:tc>
              <w:tc>
                <w:tcPr>
                  <w:tcW w:w="0" w:type="auto"/>
                  <w:noWrap/>
                  <w:tcMar>
                    <w:top w:w="15" w:type="dxa"/>
                    <w:left w:w="108" w:type="dxa"/>
                    <w:bottom w:w="15" w:type="dxa"/>
                    <w:right w:w="108" w:type="dxa"/>
                  </w:tcMar>
                </w:tcPr>
                <w:p w14:paraId="2433EF66" w14:textId="77777777" w:rsidR="00464E4B" w:rsidRPr="00782229" w:rsidRDefault="00464E4B" w:rsidP="0041177B">
                  <w:pPr>
                    <w:spacing w:after="0" w:line="240" w:lineRule="auto"/>
                    <w:jc w:val="center"/>
                    <w:rPr>
                      <w:rFonts w:ascii="Calibri" w:eastAsia="Times New Roman" w:hAnsi="Calibri" w:cs="Calibri"/>
                      <w:color w:val="000000"/>
                      <w:kern w:val="0"/>
                      <w:sz w:val="20"/>
                      <w:szCs w:val="20"/>
                      <w:lang w:eastAsia="en-GB"/>
                      <w14:ligatures w14:val="none"/>
                    </w:rPr>
                  </w:pPr>
                  <w:r w:rsidRPr="00782229">
                    <w:rPr>
                      <w:rFonts w:ascii="Calibri" w:hAnsi="Calibri" w:cs="Calibri"/>
                      <w:sz w:val="20"/>
                      <w:szCs w:val="20"/>
                    </w:rPr>
                    <w:t>2013-2022 </w:t>
                  </w:r>
                </w:p>
              </w:tc>
              <w:tc>
                <w:tcPr>
                  <w:tcW w:w="0" w:type="auto"/>
                  <w:noWrap/>
                  <w:tcMar>
                    <w:top w:w="15" w:type="dxa"/>
                    <w:left w:w="108" w:type="dxa"/>
                    <w:bottom w:w="15" w:type="dxa"/>
                    <w:right w:w="108" w:type="dxa"/>
                  </w:tcMar>
                </w:tcPr>
                <w:p w14:paraId="7773EB7A" w14:textId="77777777" w:rsidR="00464E4B" w:rsidRPr="00782229" w:rsidRDefault="00464E4B" w:rsidP="0041177B">
                  <w:pPr>
                    <w:spacing w:after="0" w:line="240" w:lineRule="auto"/>
                    <w:jc w:val="center"/>
                    <w:rPr>
                      <w:rFonts w:ascii="Calibri" w:eastAsia="Times New Roman" w:hAnsi="Calibri" w:cs="Calibri"/>
                      <w:color w:val="000000"/>
                      <w:kern w:val="0"/>
                      <w:sz w:val="20"/>
                      <w:szCs w:val="20"/>
                      <w:lang w:eastAsia="en-GB"/>
                      <w14:ligatures w14:val="none"/>
                    </w:rPr>
                  </w:pPr>
                  <w:r w:rsidRPr="00782229">
                    <w:rPr>
                      <w:rFonts w:ascii="Calibri" w:hAnsi="Calibri" w:cs="Calibri"/>
                      <w:sz w:val="20"/>
                      <w:szCs w:val="20"/>
                    </w:rPr>
                    <w:t>-3.8</w:t>
                  </w:r>
                </w:p>
              </w:tc>
              <w:tc>
                <w:tcPr>
                  <w:tcW w:w="0" w:type="auto"/>
                  <w:noWrap/>
                  <w:tcMar>
                    <w:top w:w="15" w:type="dxa"/>
                    <w:left w:w="108" w:type="dxa"/>
                    <w:bottom w:w="15" w:type="dxa"/>
                    <w:right w:w="108" w:type="dxa"/>
                  </w:tcMar>
                </w:tcPr>
                <w:p w14:paraId="351D95D7" w14:textId="77777777" w:rsidR="00464E4B" w:rsidRPr="00782229" w:rsidRDefault="00464E4B" w:rsidP="0041177B">
                  <w:pPr>
                    <w:spacing w:after="0" w:line="240" w:lineRule="auto"/>
                    <w:jc w:val="center"/>
                    <w:rPr>
                      <w:rFonts w:ascii="Calibri" w:eastAsia="Times New Roman" w:hAnsi="Calibri" w:cs="Calibri"/>
                      <w:color w:val="000000"/>
                      <w:kern w:val="0"/>
                      <w:sz w:val="20"/>
                      <w:szCs w:val="20"/>
                      <w:lang w:eastAsia="en-GB"/>
                      <w14:ligatures w14:val="none"/>
                    </w:rPr>
                  </w:pPr>
                  <w:r w:rsidRPr="00782229">
                    <w:rPr>
                      <w:rFonts w:ascii="Calibri" w:hAnsi="Calibri" w:cs="Calibri"/>
                      <w:sz w:val="20"/>
                      <w:szCs w:val="20"/>
                    </w:rPr>
                    <w:t>-4.9, -2.7</w:t>
                  </w:r>
                </w:p>
              </w:tc>
              <w:tc>
                <w:tcPr>
                  <w:tcW w:w="0" w:type="auto"/>
                  <w:tcBorders>
                    <w:right w:val="single" w:sz="4" w:space="0" w:color="auto"/>
                  </w:tcBorders>
                  <w:noWrap/>
                  <w:tcMar>
                    <w:top w:w="15" w:type="dxa"/>
                    <w:left w:w="108" w:type="dxa"/>
                    <w:bottom w:w="15" w:type="dxa"/>
                    <w:right w:w="108" w:type="dxa"/>
                  </w:tcMar>
                </w:tcPr>
                <w:p w14:paraId="4B0A2FF2" w14:textId="77777777" w:rsidR="00464E4B" w:rsidRPr="00782229" w:rsidRDefault="00464E4B" w:rsidP="0041177B">
                  <w:pPr>
                    <w:spacing w:after="0" w:line="240" w:lineRule="auto"/>
                    <w:jc w:val="center"/>
                    <w:rPr>
                      <w:rFonts w:ascii="Calibri" w:eastAsia="Times New Roman" w:hAnsi="Calibri" w:cs="Calibri"/>
                      <w:color w:val="000000"/>
                      <w:kern w:val="0"/>
                      <w:sz w:val="20"/>
                      <w:szCs w:val="20"/>
                      <w:lang w:eastAsia="en-GB"/>
                      <w14:ligatures w14:val="none"/>
                    </w:rPr>
                  </w:pPr>
                  <w:r w:rsidRPr="00782229">
                    <w:rPr>
                      <w:rFonts w:ascii="Calibri" w:hAnsi="Calibri" w:cs="Calibri"/>
                      <w:sz w:val="20"/>
                      <w:szCs w:val="20"/>
                    </w:rPr>
                    <w:t>down</w:t>
                  </w:r>
                </w:p>
              </w:tc>
              <w:tc>
                <w:tcPr>
                  <w:tcW w:w="0" w:type="auto"/>
                  <w:tcBorders>
                    <w:left w:val="single" w:sz="4" w:space="0" w:color="auto"/>
                  </w:tcBorders>
                </w:tcPr>
                <w:p w14:paraId="60DE44C2" w14:textId="77777777" w:rsidR="00464E4B" w:rsidRPr="00782229" w:rsidRDefault="00464E4B" w:rsidP="0041177B">
                  <w:pPr>
                    <w:spacing w:after="0" w:line="240" w:lineRule="auto"/>
                    <w:jc w:val="center"/>
                    <w:rPr>
                      <w:rFonts w:ascii="Calibri" w:hAnsi="Calibri" w:cs="Calibri"/>
                      <w:sz w:val="20"/>
                      <w:szCs w:val="20"/>
                    </w:rPr>
                  </w:pPr>
                </w:p>
              </w:tc>
              <w:tc>
                <w:tcPr>
                  <w:tcW w:w="0" w:type="auto"/>
                </w:tcPr>
                <w:p w14:paraId="4A00AB41" w14:textId="77777777" w:rsidR="00464E4B" w:rsidRPr="00782229" w:rsidRDefault="00464E4B" w:rsidP="0041177B">
                  <w:pPr>
                    <w:spacing w:after="0" w:line="240" w:lineRule="auto"/>
                    <w:jc w:val="center"/>
                    <w:rPr>
                      <w:rFonts w:ascii="Calibri" w:hAnsi="Calibri" w:cs="Calibri"/>
                      <w:sz w:val="20"/>
                      <w:szCs w:val="20"/>
                    </w:rPr>
                  </w:pPr>
                  <w:r w:rsidRPr="00782229">
                    <w:rPr>
                      <w:rFonts w:ascii="Calibri" w:hAnsi="Calibri" w:cs="Calibri"/>
                      <w:sz w:val="20"/>
                      <w:szCs w:val="20"/>
                    </w:rPr>
                    <w:t>2010-2022</w:t>
                  </w:r>
                </w:p>
              </w:tc>
              <w:tc>
                <w:tcPr>
                  <w:tcW w:w="0" w:type="auto"/>
                </w:tcPr>
                <w:p w14:paraId="16B6C238" w14:textId="77777777" w:rsidR="00464E4B" w:rsidRPr="00782229" w:rsidRDefault="00464E4B" w:rsidP="0041177B">
                  <w:pPr>
                    <w:spacing w:after="0" w:line="240" w:lineRule="auto"/>
                    <w:jc w:val="center"/>
                    <w:rPr>
                      <w:rFonts w:ascii="Calibri" w:hAnsi="Calibri" w:cs="Calibri"/>
                      <w:sz w:val="20"/>
                      <w:szCs w:val="20"/>
                    </w:rPr>
                  </w:pPr>
                  <w:r w:rsidRPr="00782229">
                    <w:rPr>
                      <w:rFonts w:ascii="Calibri" w:hAnsi="Calibri" w:cs="Calibri"/>
                      <w:sz w:val="20"/>
                      <w:szCs w:val="20"/>
                    </w:rPr>
                    <w:t>-1.9</w:t>
                  </w:r>
                </w:p>
              </w:tc>
              <w:tc>
                <w:tcPr>
                  <w:tcW w:w="0" w:type="auto"/>
                </w:tcPr>
                <w:p w14:paraId="7C459D81" w14:textId="77777777" w:rsidR="00464E4B" w:rsidRPr="00782229" w:rsidRDefault="00464E4B" w:rsidP="0041177B">
                  <w:pPr>
                    <w:spacing w:after="0" w:line="240" w:lineRule="auto"/>
                    <w:jc w:val="center"/>
                    <w:rPr>
                      <w:rFonts w:ascii="Calibri" w:hAnsi="Calibri" w:cs="Calibri"/>
                      <w:sz w:val="20"/>
                      <w:szCs w:val="20"/>
                    </w:rPr>
                  </w:pPr>
                  <w:r w:rsidRPr="00782229">
                    <w:rPr>
                      <w:rFonts w:ascii="Calibri" w:hAnsi="Calibri" w:cs="Calibri"/>
                      <w:sz w:val="20"/>
                      <w:szCs w:val="20"/>
                    </w:rPr>
                    <w:t>-2.7, -1.1</w:t>
                  </w:r>
                </w:p>
              </w:tc>
              <w:tc>
                <w:tcPr>
                  <w:tcW w:w="0" w:type="auto"/>
                </w:tcPr>
                <w:p w14:paraId="15B862CA" w14:textId="77777777" w:rsidR="00464E4B" w:rsidRPr="00782229" w:rsidRDefault="00464E4B" w:rsidP="0041177B">
                  <w:pPr>
                    <w:spacing w:after="0" w:line="240" w:lineRule="auto"/>
                    <w:jc w:val="center"/>
                    <w:rPr>
                      <w:rFonts w:ascii="Calibri" w:hAnsi="Calibri" w:cs="Calibri"/>
                      <w:sz w:val="20"/>
                      <w:szCs w:val="20"/>
                    </w:rPr>
                  </w:pPr>
                  <w:r w:rsidRPr="00782229">
                    <w:rPr>
                      <w:rFonts w:ascii="Calibri" w:hAnsi="Calibri" w:cs="Calibri"/>
                      <w:sz w:val="20"/>
                      <w:szCs w:val="20"/>
                    </w:rPr>
                    <w:t>down</w:t>
                  </w:r>
                </w:p>
              </w:tc>
            </w:tr>
          </w:tbl>
          <w:p w14:paraId="2811C414" w14:textId="77777777" w:rsidR="00464E4B" w:rsidRPr="00113A40" w:rsidRDefault="00464E4B" w:rsidP="0041177B">
            <w:pPr>
              <w:spacing w:after="0" w:line="240" w:lineRule="auto"/>
              <w:jc w:val="center"/>
              <w:rPr>
                <w:rFonts w:ascii="Calibri" w:eastAsia="Times New Roman" w:hAnsi="Calibri" w:cs="Calibri"/>
                <w:b/>
                <w:bCs/>
                <w:color w:val="000000"/>
                <w:kern w:val="0"/>
                <w:sz w:val="14"/>
                <w:szCs w:val="14"/>
                <w:u w:val="single"/>
                <w:lang w:eastAsia="en-GB"/>
                <w14:ligatures w14:val="none"/>
              </w:rPr>
            </w:pPr>
          </w:p>
        </w:tc>
      </w:tr>
      <w:tr w:rsidR="00464E4B" w:rsidRPr="00113A40" w14:paraId="5CFED773" w14:textId="77777777" w:rsidTr="0041177B">
        <w:trPr>
          <w:trHeight w:val="113"/>
        </w:trPr>
        <w:tc>
          <w:tcPr>
            <w:tcW w:w="9984" w:type="dxa"/>
            <w:vAlign w:val="center"/>
          </w:tcPr>
          <w:p w14:paraId="147F923B" w14:textId="77777777" w:rsidR="00464E4B" w:rsidRPr="00113A40" w:rsidRDefault="00464E4B" w:rsidP="0041177B">
            <w:pPr>
              <w:pBdr>
                <w:bottom w:val="single" w:sz="4" w:space="1" w:color="auto"/>
              </w:pBdr>
              <w:spacing w:after="0" w:line="240" w:lineRule="auto"/>
              <w:rPr>
                <w:bCs/>
                <w:sz w:val="18"/>
                <w:szCs w:val="16"/>
              </w:rPr>
            </w:pPr>
            <w:r w:rsidRPr="00113A40">
              <w:rPr>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7D19AC95" w14:textId="77777777" w:rsidR="00464E4B" w:rsidRPr="00113A40" w:rsidRDefault="00464E4B" w:rsidP="0041177B">
            <w:pPr>
              <w:spacing w:after="0" w:line="240" w:lineRule="auto"/>
              <w:rPr>
                <w:b/>
                <w:bCs/>
                <w:noProof/>
                <w:sz w:val="14"/>
                <w:szCs w:val="14"/>
                <w:u w:val="single"/>
              </w:rPr>
            </w:pPr>
          </w:p>
        </w:tc>
      </w:tr>
    </w:tbl>
    <w:p w14:paraId="379C326A" w14:textId="77777777" w:rsidR="00464E4B" w:rsidRPr="00FC5D6E" w:rsidRDefault="00464E4B" w:rsidP="00464E4B">
      <w:pPr>
        <w:spacing w:after="0" w:line="240" w:lineRule="auto"/>
        <w:sectPr w:rsidR="00464E4B" w:rsidRPr="00FC5D6E" w:rsidSect="002746C0">
          <w:pgSz w:w="11906" w:h="16838"/>
          <w:pgMar w:top="1440" w:right="1440" w:bottom="1440" w:left="1440" w:header="708" w:footer="708" w:gutter="0"/>
          <w:cols w:space="708"/>
          <w:docGrid w:linePitch="360"/>
        </w:sectPr>
      </w:pPr>
    </w:p>
    <w:p w14:paraId="7E46EBF7" w14:textId="5BD20916" w:rsidR="00464E4B" w:rsidRPr="00FC5D6E" w:rsidRDefault="00CD7E7C" w:rsidP="00464E4B">
      <w:pPr>
        <w:pStyle w:val="Heading4"/>
        <w:spacing w:before="0" w:after="0" w:line="240" w:lineRule="auto"/>
      </w:pPr>
      <w:r>
        <w:t xml:space="preserve"> </w:t>
      </w:r>
      <w:r w:rsidR="00464E4B" w:rsidRPr="00FC5D6E">
        <w:t>Variation by deprivation quintile</w:t>
      </w:r>
    </w:p>
    <w:p w14:paraId="01D74C4F" w14:textId="6968DE69" w:rsidR="00464E4B" w:rsidRDefault="00464E4B" w:rsidP="00464E4B">
      <w:pPr>
        <w:spacing w:after="0" w:line="240" w:lineRule="auto"/>
        <w:rPr>
          <w:rFonts w:cstheme="minorHAnsi"/>
          <w:color w:val="000000" w:themeColor="text1"/>
        </w:rPr>
      </w:pPr>
      <w:r w:rsidRPr="00FC5D6E">
        <w:rPr>
          <w:rFonts w:cstheme="minorHAnsi"/>
          <w:color w:val="000000" w:themeColor="text1"/>
        </w:rPr>
        <w:t xml:space="preserve">Age-standardised incidence rates of </w:t>
      </w:r>
      <w:r w:rsidRPr="00FC5D6E">
        <w:rPr>
          <w:rFonts w:cstheme="minorHAnsi"/>
        </w:rPr>
        <w:t xml:space="preserve">colon and </w:t>
      </w:r>
      <w:r>
        <w:rPr>
          <w:rFonts w:cstheme="minorHAnsi"/>
        </w:rPr>
        <w:t>RSJ</w:t>
      </w:r>
      <w:r w:rsidRPr="00FC5D6E">
        <w:rPr>
          <w:rFonts w:cstheme="minorHAnsi"/>
        </w:rPr>
        <w:t xml:space="preserve"> cancer </w:t>
      </w:r>
      <w:r w:rsidRPr="00FC5D6E">
        <w:rPr>
          <w:rFonts w:cstheme="minorHAnsi"/>
          <w:color w:val="000000" w:themeColor="text1"/>
        </w:rPr>
        <w:t>in 2014-2018 ranged 57.</w:t>
      </w:r>
      <w:r>
        <w:rPr>
          <w:rFonts w:cstheme="minorHAnsi"/>
          <w:color w:val="000000" w:themeColor="text1"/>
        </w:rPr>
        <w:t>5</w:t>
      </w:r>
      <w:r w:rsidRPr="00FC5D6E">
        <w:rPr>
          <w:rFonts w:cstheme="minorHAnsi"/>
          <w:color w:val="000000" w:themeColor="text1"/>
        </w:rPr>
        <w:t>-61.</w:t>
      </w:r>
      <w:r>
        <w:rPr>
          <w:rFonts w:cstheme="minorHAnsi"/>
          <w:color w:val="000000" w:themeColor="text1"/>
        </w:rPr>
        <w:t>1</w:t>
      </w:r>
      <w:r w:rsidRPr="00FC5D6E">
        <w:rPr>
          <w:rFonts w:cstheme="minorHAnsi"/>
          <w:color w:val="000000" w:themeColor="text1"/>
        </w:rPr>
        <w:t xml:space="preserve"> cases per 100,000 </w:t>
      </w:r>
      <w:r>
        <w:rPr>
          <w:rFonts w:cstheme="minorHAnsi"/>
          <w:color w:val="000000" w:themeColor="text1"/>
        </w:rPr>
        <w:t>in</w:t>
      </w:r>
      <w:r w:rsidRPr="00FC5D6E">
        <w:rPr>
          <w:rFonts w:cstheme="minorHAnsi"/>
          <w:color w:val="000000" w:themeColor="text1"/>
        </w:rPr>
        <w:t xml:space="preserve"> the least to the most deprived quintiles (Figure </w:t>
      </w:r>
      <w:r w:rsidR="00CD7E7C">
        <w:rPr>
          <w:rFonts w:cstheme="minorHAnsi"/>
          <w:color w:val="000000" w:themeColor="text1"/>
        </w:rPr>
        <w:t>10.3</w:t>
      </w:r>
      <w:r w:rsidRPr="00FC5D6E">
        <w:rPr>
          <w:rFonts w:cstheme="minorHAnsi"/>
          <w:color w:val="000000" w:themeColor="text1"/>
        </w:rPr>
        <w:t>).</w:t>
      </w:r>
      <w:r>
        <w:rPr>
          <w:rFonts w:cstheme="minorHAnsi"/>
          <w:color w:val="000000" w:themeColor="text1"/>
        </w:rPr>
        <w:t xml:space="preserve"> </w:t>
      </w:r>
      <w:r w:rsidRPr="00FC5D6E">
        <w:rPr>
          <w:rFonts w:cstheme="minorHAnsi"/>
          <w:color w:val="000000" w:themeColor="text1"/>
        </w:rPr>
        <w:t xml:space="preserve">Very little difference was seen in rates of colon and </w:t>
      </w:r>
      <w:r>
        <w:rPr>
          <w:rFonts w:cstheme="minorHAnsi"/>
          <w:color w:val="000000" w:themeColor="text1"/>
        </w:rPr>
        <w:t xml:space="preserve">RSJ </w:t>
      </w:r>
      <w:r w:rsidRPr="00FC5D6E">
        <w:rPr>
          <w:rFonts w:cstheme="minorHAnsi"/>
          <w:color w:val="000000" w:themeColor="text1"/>
        </w:rPr>
        <w:t>cancer between the most and least deprived quintiles for males (68.</w:t>
      </w:r>
      <w:r>
        <w:rPr>
          <w:rFonts w:cstheme="minorHAnsi"/>
          <w:color w:val="000000" w:themeColor="text1"/>
        </w:rPr>
        <w:t>6</w:t>
      </w:r>
      <w:r w:rsidRPr="00FC5D6E">
        <w:rPr>
          <w:rFonts w:cstheme="minorHAnsi"/>
          <w:color w:val="000000" w:themeColor="text1"/>
        </w:rPr>
        <w:t xml:space="preserve"> for least deprived and 76.</w:t>
      </w:r>
      <w:r>
        <w:rPr>
          <w:rFonts w:cstheme="minorHAnsi"/>
          <w:color w:val="000000" w:themeColor="text1"/>
        </w:rPr>
        <w:t>5</w:t>
      </w:r>
      <w:r w:rsidRPr="00FC5D6E">
        <w:rPr>
          <w:rFonts w:cstheme="minorHAnsi"/>
          <w:color w:val="000000" w:themeColor="text1"/>
        </w:rPr>
        <w:t xml:space="preserve"> for most deprived). </w:t>
      </w:r>
      <w:r>
        <w:rPr>
          <w:rFonts w:cstheme="minorHAnsi"/>
          <w:color w:val="000000" w:themeColor="text1"/>
        </w:rPr>
        <w:t xml:space="preserve">Similarly, </w:t>
      </w:r>
      <w:r w:rsidRPr="00FC5D6E">
        <w:rPr>
          <w:rFonts w:cstheme="minorHAnsi"/>
          <w:color w:val="000000" w:themeColor="text1"/>
        </w:rPr>
        <w:t xml:space="preserve">little difference in rates between the most and least deprived quintiles was </w:t>
      </w:r>
      <w:r>
        <w:rPr>
          <w:rFonts w:cstheme="minorHAnsi"/>
          <w:color w:val="000000" w:themeColor="text1"/>
        </w:rPr>
        <w:t>evident</w:t>
      </w:r>
      <w:r w:rsidRPr="00FC5D6E">
        <w:rPr>
          <w:rFonts w:cstheme="minorHAnsi"/>
          <w:color w:val="000000" w:themeColor="text1"/>
        </w:rPr>
        <w:t xml:space="preserve"> in females (49.</w:t>
      </w:r>
      <w:r>
        <w:rPr>
          <w:rFonts w:cstheme="minorHAnsi"/>
          <w:color w:val="000000" w:themeColor="text1"/>
        </w:rPr>
        <w:t>3</w:t>
      </w:r>
      <w:r w:rsidRPr="00FC5D6E">
        <w:rPr>
          <w:rFonts w:cstheme="minorHAnsi"/>
          <w:color w:val="000000" w:themeColor="text1"/>
        </w:rPr>
        <w:t xml:space="preserve"> for least deprived and 49.</w:t>
      </w:r>
      <w:r>
        <w:rPr>
          <w:rFonts w:cstheme="minorHAnsi"/>
          <w:color w:val="000000" w:themeColor="text1"/>
        </w:rPr>
        <w:t>1</w:t>
      </w:r>
      <w:r w:rsidRPr="00FC5D6E">
        <w:rPr>
          <w:rFonts w:cstheme="minorHAnsi"/>
          <w:color w:val="000000" w:themeColor="text1"/>
        </w:rPr>
        <w:t xml:space="preserve"> for most deprived).</w:t>
      </w:r>
    </w:p>
    <w:p w14:paraId="3B9723A1" w14:textId="77777777" w:rsidR="00464E4B" w:rsidRPr="00FC5D6E" w:rsidRDefault="00464E4B" w:rsidP="00464E4B">
      <w:pPr>
        <w:spacing w:after="0" w:line="240" w:lineRule="auto"/>
        <w:rPr>
          <w:rFonts w:cstheme="minorHAnsi"/>
          <w:color w:val="000000" w:themeColor="text1"/>
        </w:rPr>
      </w:pPr>
    </w:p>
    <w:tbl>
      <w:tblPr>
        <w:tblW w:w="9768" w:type="dxa"/>
        <w:tblInd w:w="-752" w:type="dxa"/>
        <w:tblBorders>
          <w:bottom w:val="single" w:sz="4" w:space="0" w:color="auto"/>
        </w:tblBorders>
        <w:tblLook w:val="04A0" w:firstRow="1" w:lastRow="0" w:firstColumn="1" w:lastColumn="0" w:noHBand="0" w:noVBand="1"/>
      </w:tblPr>
      <w:tblGrid>
        <w:gridCol w:w="3259"/>
        <w:gridCol w:w="3259"/>
        <w:gridCol w:w="3259"/>
      </w:tblGrid>
      <w:tr w:rsidR="00464E4B" w:rsidRPr="004366B7" w14:paraId="6DE9C5EC" w14:textId="77777777" w:rsidTr="0041177B">
        <w:trPr>
          <w:trHeight w:val="113"/>
        </w:trPr>
        <w:tc>
          <w:tcPr>
            <w:tcW w:w="9768" w:type="dxa"/>
            <w:gridSpan w:val="3"/>
            <w:shd w:val="clear" w:color="auto" w:fill="002060"/>
            <w:hideMark/>
          </w:tcPr>
          <w:p w14:paraId="303EA26C" w14:textId="2FCC1465" w:rsidR="00464E4B" w:rsidRPr="00CD7E7C" w:rsidRDefault="00464E4B" w:rsidP="0041177B">
            <w:pPr>
              <w:spacing w:after="0" w:line="240" w:lineRule="auto"/>
              <w:rPr>
                <w:rFonts w:cstheme="minorHAnsi"/>
                <w:b/>
                <w:bCs/>
                <w:color w:val="FFFFFF" w:themeColor="background1"/>
              </w:rPr>
            </w:pPr>
            <w:r w:rsidRPr="00CD7E7C">
              <w:rPr>
                <w:rFonts w:cstheme="minorHAnsi"/>
                <w:b/>
                <w:bCs/>
                <w:color w:val="FFFFFF" w:themeColor="background1"/>
              </w:rPr>
              <w:t xml:space="preserve">Figure </w:t>
            </w:r>
            <w:r w:rsidR="00CD7E7C" w:rsidRPr="00CD7E7C">
              <w:rPr>
                <w:rFonts w:cstheme="minorHAnsi"/>
                <w:b/>
                <w:bCs/>
                <w:color w:val="FFFFFF" w:themeColor="background1"/>
              </w:rPr>
              <w:t>10.3:</w:t>
            </w:r>
            <w:r w:rsidRPr="00CD7E7C">
              <w:rPr>
                <w:rFonts w:cstheme="minorHAnsi"/>
                <w:b/>
                <w:bCs/>
                <w:color w:val="FFFFFF" w:themeColor="background1"/>
              </w:rPr>
              <w:t xml:space="preserve"> Incidence rate (per 100,000) for colon and rectosigmoid junction cancer by deprivation quintile, 2014-2018</w:t>
            </w:r>
          </w:p>
        </w:tc>
      </w:tr>
      <w:tr w:rsidR="00464E4B" w:rsidRPr="004366B7" w14:paraId="06627D91" w14:textId="77777777" w:rsidTr="0041177B">
        <w:trPr>
          <w:trHeight w:val="113"/>
        </w:trPr>
        <w:tc>
          <w:tcPr>
            <w:tcW w:w="3256" w:type="dxa"/>
            <w:hideMark/>
          </w:tcPr>
          <w:p w14:paraId="3C5AF3E2" w14:textId="77777777" w:rsidR="00464E4B" w:rsidRPr="004366B7" w:rsidRDefault="00464E4B" w:rsidP="0041177B">
            <w:pPr>
              <w:spacing w:after="0" w:line="240" w:lineRule="auto"/>
              <w:jc w:val="center"/>
              <w:rPr>
                <w:rFonts w:cstheme="minorHAnsi"/>
                <w:color w:val="000000" w:themeColor="text1"/>
              </w:rPr>
            </w:pPr>
            <w:r w:rsidRPr="004366B7">
              <w:rPr>
                <w:rFonts w:cstheme="minorHAnsi"/>
                <w:color w:val="000000" w:themeColor="text1"/>
              </w:rPr>
              <w:t>Total</w:t>
            </w:r>
          </w:p>
        </w:tc>
        <w:tc>
          <w:tcPr>
            <w:tcW w:w="3256" w:type="dxa"/>
          </w:tcPr>
          <w:p w14:paraId="084AF667" w14:textId="77777777" w:rsidR="00464E4B" w:rsidRPr="004366B7" w:rsidRDefault="00464E4B" w:rsidP="0041177B">
            <w:pPr>
              <w:spacing w:after="0" w:line="240" w:lineRule="auto"/>
              <w:jc w:val="center"/>
              <w:rPr>
                <w:rFonts w:cstheme="minorHAnsi"/>
                <w:color w:val="000000" w:themeColor="text1"/>
              </w:rPr>
            </w:pPr>
            <w:r>
              <w:rPr>
                <w:rFonts w:cstheme="minorHAnsi"/>
                <w:color w:val="000000" w:themeColor="text1"/>
              </w:rPr>
              <w:t>Males</w:t>
            </w:r>
          </w:p>
        </w:tc>
        <w:tc>
          <w:tcPr>
            <w:tcW w:w="3256" w:type="dxa"/>
          </w:tcPr>
          <w:p w14:paraId="3EDB83F7" w14:textId="77777777" w:rsidR="00464E4B" w:rsidRPr="004366B7" w:rsidRDefault="00464E4B" w:rsidP="0041177B">
            <w:pPr>
              <w:spacing w:after="0" w:line="240" w:lineRule="auto"/>
              <w:jc w:val="center"/>
              <w:rPr>
                <w:rFonts w:cstheme="minorHAnsi"/>
                <w:color w:val="000000" w:themeColor="text1"/>
              </w:rPr>
            </w:pPr>
            <w:r>
              <w:rPr>
                <w:rFonts w:cstheme="minorHAnsi"/>
                <w:color w:val="000000" w:themeColor="text1"/>
              </w:rPr>
              <w:t>Females</w:t>
            </w:r>
          </w:p>
        </w:tc>
      </w:tr>
      <w:tr w:rsidR="00464E4B" w:rsidRPr="004366B7" w14:paraId="1A412C2D" w14:textId="77777777" w:rsidTr="0041177B">
        <w:trPr>
          <w:trHeight w:val="113"/>
        </w:trPr>
        <w:tc>
          <w:tcPr>
            <w:tcW w:w="3256" w:type="dxa"/>
          </w:tcPr>
          <w:p w14:paraId="0B77C732" w14:textId="77777777" w:rsidR="00464E4B" w:rsidRPr="004366B7" w:rsidRDefault="00464E4B" w:rsidP="0041177B">
            <w:pPr>
              <w:spacing w:after="0" w:line="240" w:lineRule="auto"/>
              <w:rPr>
                <w:rFonts w:eastAsia="Times New Roman" w:cs="Times New Roman"/>
                <w:lang w:eastAsia="en-GB"/>
              </w:rPr>
            </w:pPr>
            <w:r>
              <w:rPr>
                <w:rFonts w:eastAsia="Times New Roman" w:cs="Times New Roman"/>
                <w:noProof/>
                <w:lang w:eastAsia="en-GB"/>
              </w:rPr>
              <w:drawing>
                <wp:inline distT="0" distB="0" distL="0" distR="0" wp14:anchorId="07127E76" wp14:editId="6B8A3767">
                  <wp:extent cx="1932305" cy="1505585"/>
                  <wp:effectExtent l="0" t="0" r="0" b="0"/>
                  <wp:docPr id="7607125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32305" cy="1505585"/>
                          </a:xfrm>
                          <a:prstGeom prst="rect">
                            <a:avLst/>
                          </a:prstGeom>
                          <a:noFill/>
                        </pic:spPr>
                      </pic:pic>
                    </a:graphicData>
                  </a:graphic>
                </wp:inline>
              </w:drawing>
            </w:r>
          </w:p>
        </w:tc>
        <w:tc>
          <w:tcPr>
            <w:tcW w:w="3256" w:type="dxa"/>
          </w:tcPr>
          <w:p w14:paraId="0D218064" w14:textId="77777777" w:rsidR="00464E4B" w:rsidRPr="004366B7" w:rsidRDefault="00464E4B" w:rsidP="0041177B">
            <w:pPr>
              <w:spacing w:after="0" w:line="240" w:lineRule="auto"/>
              <w:rPr>
                <w:rFonts w:cstheme="minorHAnsi"/>
                <w:color w:val="000000" w:themeColor="text1"/>
              </w:rPr>
            </w:pPr>
            <w:r>
              <w:rPr>
                <w:rFonts w:cstheme="minorHAnsi"/>
                <w:noProof/>
                <w:color w:val="000000" w:themeColor="text1"/>
              </w:rPr>
              <w:drawing>
                <wp:inline distT="0" distB="0" distL="0" distR="0" wp14:anchorId="307C4FA6" wp14:editId="2C085611">
                  <wp:extent cx="1932305" cy="1505585"/>
                  <wp:effectExtent l="0" t="0" r="0" b="0"/>
                  <wp:docPr id="3995139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32305" cy="1505585"/>
                          </a:xfrm>
                          <a:prstGeom prst="rect">
                            <a:avLst/>
                          </a:prstGeom>
                          <a:noFill/>
                        </pic:spPr>
                      </pic:pic>
                    </a:graphicData>
                  </a:graphic>
                </wp:inline>
              </w:drawing>
            </w:r>
          </w:p>
        </w:tc>
        <w:tc>
          <w:tcPr>
            <w:tcW w:w="3256" w:type="dxa"/>
          </w:tcPr>
          <w:p w14:paraId="59472AC8" w14:textId="77777777" w:rsidR="00464E4B" w:rsidRPr="004366B7" w:rsidRDefault="00464E4B" w:rsidP="0041177B">
            <w:pPr>
              <w:spacing w:after="0" w:line="240" w:lineRule="auto"/>
              <w:jc w:val="center"/>
              <w:rPr>
                <w:rFonts w:cstheme="minorHAnsi"/>
                <w:color w:val="000000" w:themeColor="text1"/>
              </w:rPr>
            </w:pPr>
            <w:r>
              <w:rPr>
                <w:rFonts w:cstheme="minorHAnsi"/>
                <w:noProof/>
                <w:color w:val="000000" w:themeColor="text1"/>
              </w:rPr>
              <w:drawing>
                <wp:inline distT="0" distB="0" distL="0" distR="0" wp14:anchorId="56DA9DF2" wp14:editId="1BEA299A">
                  <wp:extent cx="1932305" cy="1505585"/>
                  <wp:effectExtent l="0" t="0" r="0" b="0"/>
                  <wp:docPr id="15878429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32305" cy="1505585"/>
                          </a:xfrm>
                          <a:prstGeom prst="rect">
                            <a:avLst/>
                          </a:prstGeom>
                          <a:noFill/>
                        </pic:spPr>
                      </pic:pic>
                    </a:graphicData>
                  </a:graphic>
                </wp:inline>
              </w:drawing>
            </w:r>
          </w:p>
        </w:tc>
      </w:tr>
    </w:tbl>
    <w:p w14:paraId="3AEA7DA3" w14:textId="77777777" w:rsidR="00CC3B9A" w:rsidRDefault="00CC3B9A" w:rsidP="00CC3B9A">
      <w:bookmarkStart w:id="177" w:name="_Toc197557091"/>
    </w:p>
    <w:p w14:paraId="63BB1D09" w14:textId="77777777" w:rsidR="00464E4B" w:rsidRPr="00FC5D6E" w:rsidRDefault="00464E4B" w:rsidP="00464E4B">
      <w:pPr>
        <w:pStyle w:val="Heading3"/>
        <w:spacing w:before="0" w:after="0" w:line="240" w:lineRule="auto"/>
      </w:pPr>
      <w:bookmarkStart w:id="178" w:name="_Toc201512485"/>
      <w:r w:rsidRPr="00FC5D6E">
        <w:t>Mortality</w:t>
      </w:r>
      <w:bookmarkEnd w:id="177"/>
      <w:bookmarkEnd w:id="178"/>
    </w:p>
    <w:p w14:paraId="1C55DA28" w14:textId="1C4712AD" w:rsidR="00464E4B" w:rsidRPr="00FC5D6E" w:rsidRDefault="00464E4B" w:rsidP="00464E4B">
      <w:pPr>
        <w:spacing w:after="0" w:line="240" w:lineRule="auto"/>
      </w:pPr>
      <w:r w:rsidRPr="00FC5D6E">
        <w:t xml:space="preserve">Age-standardised mortality rates of colon and </w:t>
      </w:r>
      <w:r>
        <w:t>RSJ</w:t>
      </w:r>
      <w:r w:rsidRPr="00FC5D6E">
        <w:t xml:space="preserve"> cancer </w:t>
      </w:r>
      <w:r w:rsidR="00C65D1E">
        <w:t xml:space="preserve">during the period </w:t>
      </w:r>
      <w:r w:rsidRPr="00FC5D6E">
        <w:t>1994-2022 were 43.3 deaths per 100,000 males and 21.9 deaths per 100,000 females per year</w:t>
      </w:r>
      <w:r>
        <w:t xml:space="preserve">. </w:t>
      </w:r>
      <w:r w:rsidRPr="00FC5D6E">
        <w:t xml:space="preserve">Figure </w:t>
      </w:r>
      <w:r w:rsidR="00CD7E7C">
        <w:t xml:space="preserve">10.4 </w:t>
      </w:r>
      <w:r w:rsidRPr="00FC5D6E">
        <w:t xml:space="preserve">breaks this down further by sex and age group. </w:t>
      </w:r>
      <w:r>
        <w:t>M</w:t>
      </w:r>
      <w:r w:rsidRPr="00FC5D6E">
        <w:t>ortality rate</w:t>
      </w:r>
      <w:r>
        <w:t>s were higher among older age groups</w:t>
      </w:r>
      <w:r w:rsidRPr="00FC5D6E">
        <w:t xml:space="preserve"> regardless of sex.</w:t>
      </w:r>
    </w:p>
    <w:p w14:paraId="249EFBFC" w14:textId="77777777" w:rsidR="00464E4B" w:rsidRPr="00FC5D6E" w:rsidRDefault="00464E4B" w:rsidP="00464E4B">
      <w:pPr>
        <w:spacing w:after="0" w:line="240" w:lineRule="auto"/>
        <w:rPr>
          <w:highlight w:val="yellow"/>
        </w:rPr>
      </w:pPr>
    </w:p>
    <w:tbl>
      <w:tblPr>
        <w:tblW w:w="9778" w:type="dxa"/>
        <w:tblInd w:w="-752" w:type="dxa"/>
        <w:tblBorders>
          <w:bottom w:val="single" w:sz="4" w:space="0" w:color="auto"/>
        </w:tblBorders>
        <w:tblLook w:val="04A0" w:firstRow="1" w:lastRow="0" w:firstColumn="1" w:lastColumn="0" w:noHBand="0" w:noVBand="1"/>
      </w:tblPr>
      <w:tblGrid>
        <w:gridCol w:w="3295"/>
        <w:gridCol w:w="3295"/>
        <w:gridCol w:w="3188"/>
      </w:tblGrid>
      <w:tr w:rsidR="00464E4B" w:rsidRPr="00FC5D6E" w14:paraId="646D6974" w14:textId="77777777" w:rsidTr="0041177B">
        <w:trPr>
          <w:trHeight w:val="113"/>
        </w:trPr>
        <w:tc>
          <w:tcPr>
            <w:tcW w:w="9778" w:type="dxa"/>
            <w:gridSpan w:val="3"/>
            <w:shd w:val="clear" w:color="auto" w:fill="002060"/>
            <w:hideMark/>
          </w:tcPr>
          <w:p w14:paraId="0235C905" w14:textId="05F99359" w:rsidR="00464E4B" w:rsidRPr="00CD7E7C" w:rsidRDefault="00464E4B" w:rsidP="0041177B">
            <w:pPr>
              <w:spacing w:after="0" w:line="240" w:lineRule="auto"/>
              <w:rPr>
                <w:rFonts w:cstheme="minorHAnsi"/>
                <w:b/>
                <w:bCs/>
                <w:color w:val="FFFFFF" w:themeColor="background1"/>
              </w:rPr>
            </w:pPr>
            <w:r w:rsidRPr="00CD7E7C">
              <w:rPr>
                <w:rFonts w:cstheme="minorHAnsi"/>
                <w:b/>
                <w:bCs/>
                <w:color w:val="FFFFFF" w:themeColor="background1"/>
              </w:rPr>
              <w:t xml:space="preserve">Figure </w:t>
            </w:r>
            <w:r w:rsidR="00CD7E7C" w:rsidRPr="00CD7E7C">
              <w:rPr>
                <w:rFonts w:cstheme="minorHAnsi"/>
                <w:b/>
                <w:bCs/>
                <w:color w:val="FFFFFF" w:themeColor="background1"/>
              </w:rPr>
              <w:t>10.4:</w:t>
            </w:r>
            <w:r w:rsidRPr="00CD7E7C">
              <w:rPr>
                <w:rFonts w:cstheme="minorHAnsi"/>
                <w:b/>
                <w:bCs/>
                <w:color w:val="FFFFFF" w:themeColor="background1"/>
              </w:rPr>
              <w:t xml:space="preserve"> Mortality rate (per 100,000) for </w:t>
            </w:r>
            <w:r w:rsidRPr="00CD7E7C">
              <w:rPr>
                <w:b/>
                <w:bCs/>
              </w:rPr>
              <w:t xml:space="preserve">colon and rectosigmoid junction </w:t>
            </w:r>
            <w:r w:rsidRPr="00CD7E7C">
              <w:rPr>
                <w:rFonts w:cstheme="minorHAnsi"/>
                <w:b/>
                <w:bCs/>
                <w:color w:val="FFFFFF" w:themeColor="background1"/>
              </w:rPr>
              <w:t xml:space="preserve">cancer by </w:t>
            </w:r>
            <w:r w:rsidR="00366242">
              <w:rPr>
                <w:rFonts w:cstheme="minorHAnsi"/>
                <w:b/>
                <w:bCs/>
                <w:color w:val="FFFFFF" w:themeColor="background1"/>
              </w:rPr>
              <w:t>age group</w:t>
            </w:r>
            <w:r w:rsidRPr="00CD7E7C">
              <w:rPr>
                <w:rFonts w:cstheme="minorHAnsi"/>
                <w:b/>
                <w:bCs/>
                <w:color w:val="FFFFFF" w:themeColor="background1"/>
              </w:rPr>
              <w:t>, 1994-2022</w:t>
            </w:r>
          </w:p>
        </w:tc>
      </w:tr>
      <w:tr w:rsidR="00464E4B" w:rsidRPr="00FC5D6E" w14:paraId="7E041A5F" w14:textId="77777777" w:rsidTr="0041177B">
        <w:trPr>
          <w:trHeight w:val="113"/>
        </w:trPr>
        <w:tc>
          <w:tcPr>
            <w:tcW w:w="3295" w:type="dxa"/>
            <w:hideMark/>
          </w:tcPr>
          <w:p w14:paraId="54738087" w14:textId="77777777" w:rsidR="00464E4B" w:rsidRPr="00FC5D6E" w:rsidRDefault="00464E4B" w:rsidP="0041177B">
            <w:pPr>
              <w:spacing w:after="0" w:line="240" w:lineRule="auto"/>
              <w:jc w:val="center"/>
              <w:rPr>
                <w:rFonts w:cstheme="minorHAnsi"/>
                <w:color w:val="000000" w:themeColor="text1"/>
              </w:rPr>
            </w:pPr>
            <w:r w:rsidRPr="00FC5D6E">
              <w:rPr>
                <w:rFonts w:cstheme="minorHAnsi"/>
                <w:color w:val="000000" w:themeColor="text1"/>
              </w:rPr>
              <w:t>Total</w:t>
            </w:r>
          </w:p>
        </w:tc>
        <w:tc>
          <w:tcPr>
            <w:tcW w:w="3295" w:type="dxa"/>
          </w:tcPr>
          <w:p w14:paraId="6E168F69" w14:textId="77777777" w:rsidR="00464E4B" w:rsidRPr="00FC5D6E" w:rsidRDefault="00464E4B" w:rsidP="0041177B">
            <w:pPr>
              <w:spacing w:after="0" w:line="240" w:lineRule="auto"/>
              <w:jc w:val="center"/>
              <w:rPr>
                <w:rFonts w:cstheme="minorHAnsi"/>
                <w:color w:val="000000" w:themeColor="text1"/>
              </w:rPr>
            </w:pPr>
            <w:r>
              <w:rPr>
                <w:rFonts w:cstheme="minorHAnsi"/>
                <w:color w:val="000000" w:themeColor="text1"/>
              </w:rPr>
              <w:t>Males</w:t>
            </w:r>
          </w:p>
        </w:tc>
        <w:tc>
          <w:tcPr>
            <w:tcW w:w="3188" w:type="dxa"/>
          </w:tcPr>
          <w:p w14:paraId="72889D36" w14:textId="77777777" w:rsidR="00464E4B" w:rsidRPr="00FC5D6E" w:rsidRDefault="00464E4B" w:rsidP="0041177B">
            <w:pPr>
              <w:spacing w:after="0" w:line="240" w:lineRule="auto"/>
              <w:jc w:val="center"/>
              <w:rPr>
                <w:rFonts w:cstheme="minorHAnsi"/>
                <w:color w:val="000000" w:themeColor="text1"/>
              </w:rPr>
            </w:pPr>
            <w:r>
              <w:rPr>
                <w:rFonts w:cstheme="minorHAnsi"/>
                <w:color w:val="000000" w:themeColor="text1"/>
              </w:rPr>
              <w:t>Females</w:t>
            </w:r>
          </w:p>
        </w:tc>
      </w:tr>
      <w:tr w:rsidR="00464E4B" w:rsidRPr="00E508D5" w14:paraId="15B4D860" w14:textId="77777777" w:rsidTr="0041177B">
        <w:trPr>
          <w:trHeight w:val="113"/>
        </w:trPr>
        <w:tc>
          <w:tcPr>
            <w:tcW w:w="3295" w:type="dxa"/>
          </w:tcPr>
          <w:p w14:paraId="7E74B528" w14:textId="77777777" w:rsidR="00464E4B" w:rsidRPr="00E508D5" w:rsidRDefault="00464E4B" w:rsidP="0041177B">
            <w:pPr>
              <w:spacing w:after="0" w:line="240" w:lineRule="auto"/>
              <w:rPr>
                <w:rFonts w:eastAsia="Times New Roman" w:cs="Times New Roman"/>
                <w:lang w:eastAsia="en-GB"/>
              </w:rPr>
            </w:pPr>
            <w:r w:rsidRPr="00E508D5">
              <w:rPr>
                <w:rFonts w:eastAsia="Times New Roman" w:cs="Times New Roman"/>
                <w:noProof/>
                <w:lang w:eastAsia="en-GB"/>
              </w:rPr>
              <w:drawing>
                <wp:inline distT="0" distB="0" distL="0" distR="0" wp14:anchorId="014AC6E0" wp14:editId="6BA3F989">
                  <wp:extent cx="2002030" cy="1692000"/>
                  <wp:effectExtent l="0" t="0" r="0" b="3810"/>
                  <wp:docPr id="1900850008" name="Picture 19"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50008" name="Picture 19" descr="A graph with numbers and a bar chart&#10;&#10;AI-generated content may be incorrect."/>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002030" cy="1692000"/>
                          </a:xfrm>
                          <a:prstGeom prst="rect">
                            <a:avLst/>
                          </a:prstGeom>
                          <a:noFill/>
                        </pic:spPr>
                      </pic:pic>
                    </a:graphicData>
                  </a:graphic>
                </wp:inline>
              </w:drawing>
            </w:r>
          </w:p>
        </w:tc>
        <w:tc>
          <w:tcPr>
            <w:tcW w:w="3295" w:type="dxa"/>
          </w:tcPr>
          <w:p w14:paraId="5E56A91B" w14:textId="77777777" w:rsidR="00464E4B" w:rsidRPr="00E508D5" w:rsidRDefault="00464E4B" w:rsidP="0041177B">
            <w:pPr>
              <w:spacing w:after="0" w:line="240" w:lineRule="auto"/>
              <w:rPr>
                <w:rFonts w:cstheme="minorHAnsi"/>
                <w:color w:val="000000" w:themeColor="text1"/>
              </w:rPr>
            </w:pPr>
            <w:r w:rsidRPr="00E508D5">
              <w:rPr>
                <w:rFonts w:eastAsia="Times New Roman" w:cs="Times New Roman"/>
                <w:noProof/>
                <w:lang w:eastAsia="en-GB"/>
              </w:rPr>
              <w:drawing>
                <wp:inline distT="0" distB="0" distL="0" distR="0" wp14:anchorId="4A6DAD13" wp14:editId="0CA8F4E2">
                  <wp:extent cx="2002030" cy="1692000"/>
                  <wp:effectExtent l="0" t="0" r="0" b="3810"/>
                  <wp:docPr id="1658035001" name="Picture 20"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35001" name="Picture 20" descr="A graph with numbers and a bar&#10;&#10;AI-generated content may be incorrect."/>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002030" cy="1692000"/>
                          </a:xfrm>
                          <a:prstGeom prst="rect">
                            <a:avLst/>
                          </a:prstGeom>
                          <a:noFill/>
                        </pic:spPr>
                      </pic:pic>
                    </a:graphicData>
                  </a:graphic>
                </wp:inline>
              </w:drawing>
            </w:r>
          </w:p>
        </w:tc>
        <w:tc>
          <w:tcPr>
            <w:tcW w:w="3188" w:type="dxa"/>
          </w:tcPr>
          <w:p w14:paraId="3DA2481A" w14:textId="77777777" w:rsidR="00464E4B" w:rsidRPr="00E508D5" w:rsidRDefault="00464E4B" w:rsidP="0041177B">
            <w:pPr>
              <w:spacing w:after="0" w:line="240" w:lineRule="auto"/>
              <w:rPr>
                <w:rFonts w:cstheme="minorHAnsi"/>
                <w:color w:val="000000" w:themeColor="text1"/>
              </w:rPr>
            </w:pPr>
            <w:r w:rsidRPr="00E508D5">
              <w:rPr>
                <w:rFonts w:cstheme="minorHAnsi"/>
                <w:noProof/>
                <w:color w:val="000000" w:themeColor="text1"/>
              </w:rPr>
              <w:drawing>
                <wp:inline distT="0" distB="0" distL="0" distR="0" wp14:anchorId="42ACBC50" wp14:editId="77C1151D">
                  <wp:extent cx="1932804" cy="1692000"/>
                  <wp:effectExtent l="0" t="0" r="0" b="3810"/>
                  <wp:docPr id="11571599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932804" cy="1692000"/>
                          </a:xfrm>
                          <a:prstGeom prst="rect">
                            <a:avLst/>
                          </a:prstGeom>
                          <a:noFill/>
                        </pic:spPr>
                      </pic:pic>
                    </a:graphicData>
                  </a:graphic>
                </wp:inline>
              </w:drawing>
            </w:r>
          </w:p>
        </w:tc>
      </w:tr>
    </w:tbl>
    <w:p w14:paraId="55DDA6ED" w14:textId="77777777" w:rsidR="00464E4B" w:rsidRDefault="00464E4B" w:rsidP="00464E4B">
      <w:pPr>
        <w:spacing w:after="0" w:line="240" w:lineRule="auto"/>
        <w:sectPr w:rsidR="00464E4B" w:rsidSect="002746C0">
          <w:pgSz w:w="11906" w:h="16838"/>
          <w:pgMar w:top="1440" w:right="1440" w:bottom="1440" w:left="1440" w:header="708" w:footer="708" w:gutter="0"/>
          <w:cols w:space="708"/>
          <w:docGrid w:linePitch="360"/>
        </w:sectPr>
      </w:pPr>
    </w:p>
    <w:p w14:paraId="3359B9F3" w14:textId="77777777" w:rsidR="00464E4B" w:rsidRPr="007D3FC8" w:rsidRDefault="00464E4B" w:rsidP="00464E4B">
      <w:pPr>
        <w:pStyle w:val="Heading4"/>
      </w:pPr>
      <w:bookmarkStart w:id="179" w:name="_Toc197557092"/>
      <w:r w:rsidRPr="007D3FC8">
        <w:t>Trends over time</w:t>
      </w:r>
      <w:bookmarkEnd w:id="179"/>
    </w:p>
    <w:p w14:paraId="143F6FAE" w14:textId="21AFCFEE" w:rsidR="00464E4B" w:rsidRPr="00FC5D6E" w:rsidRDefault="00464E4B" w:rsidP="00464E4B">
      <w:pPr>
        <w:spacing w:after="0" w:line="240" w:lineRule="auto"/>
      </w:pPr>
      <w:r w:rsidRPr="00FC5D6E">
        <w:t xml:space="preserve">Figure </w:t>
      </w:r>
      <w:r w:rsidR="00CD7E7C">
        <w:t>10.5</w:t>
      </w:r>
      <w:r w:rsidRPr="00FC5D6E">
        <w:t xml:space="preserve"> shows </w:t>
      </w:r>
      <w:r>
        <w:t>age</w:t>
      </w:r>
      <w:r w:rsidR="00366242">
        <w:t>-</w:t>
      </w:r>
      <w:r>
        <w:t>standardised mortality rates for</w:t>
      </w:r>
      <w:r w:rsidRPr="00FC5D6E">
        <w:t xml:space="preserve"> colon and </w:t>
      </w:r>
      <w:r>
        <w:t>RSJ</w:t>
      </w:r>
      <w:r w:rsidRPr="00FC5D6E">
        <w:t xml:space="preserve"> cancer from 1994 to 2022</w:t>
      </w:r>
      <w:r>
        <w:t xml:space="preserve"> for males and females</w:t>
      </w:r>
      <w:r w:rsidRPr="00FC5D6E">
        <w:t>. In males, there was a slight decrease in mortality rates (APC) from 1994 to 2001 (-0.3% per year (95%CI -3.3;2.7)). Mortality rates the</w:t>
      </w:r>
      <w:r w:rsidR="002C41FA">
        <w:t>n</w:t>
      </w:r>
      <w:r w:rsidRPr="00FC5D6E">
        <w:t xml:space="preserve"> decreased from 2001 to 2022 (-3.5% per year (95%CI -4.1; -3.0)). In females, mortality rates (APC) </w:t>
      </w:r>
      <w:r w:rsidR="009445B0">
        <w:t>decreased</w:t>
      </w:r>
      <w:r w:rsidRPr="00FC5D6E">
        <w:t xml:space="preserve"> from 1994 to 2005 (-3.1% per year (95%CI -4.2, -1.9)), before stab</w:t>
      </w:r>
      <w:r>
        <w:t>i</w:t>
      </w:r>
      <w:r w:rsidRPr="00FC5D6E">
        <w:t>l</w:t>
      </w:r>
      <w:r>
        <w:t xml:space="preserve">ising </w:t>
      </w:r>
      <w:r w:rsidRPr="00FC5D6E">
        <w:t>2005-2010</w:t>
      </w:r>
      <w:r w:rsidR="00C65D1E">
        <w:t xml:space="preserve"> </w:t>
      </w:r>
      <w:r w:rsidRPr="00FC5D6E">
        <w:t xml:space="preserve">(2.5% per year (95%CI -3.3, 8.5)).  Mortality </w:t>
      </w:r>
      <w:r>
        <w:t>declined</w:t>
      </w:r>
      <w:r w:rsidRPr="00FC5D6E">
        <w:t xml:space="preserve"> again from 2010 to 2022 (-2.2% per year (95%CI -3.1;</w:t>
      </w:r>
      <w:r w:rsidR="002C41FA">
        <w:t xml:space="preserve"> </w:t>
      </w:r>
      <w:r w:rsidRPr="00FC5D6E">
        <w:t>-1.2)).</w:t>
      </w:r>
    </w:p>
    <w:p w14:paraId="60AC15DD" w14:textId="77777777" w:rsidR="00464E4B" w:rsidRPr="00FC5D6E" w:rsidRDefault="00464E4B" w:rsidP="00464E4B">
      <w:pPr>
        <w:spacing w:after="0" w:line="240" w:lineRule="auto"/>
      </w:pPr>
      <w:r w:rsidRPr="00FC5D6E">
        <w:t xml:space="preserve">  </w:t>
      </w:r>
    </w:p>
    <w:tbl>
      <w:tblPr>
        <w:tblStyle w:val="TableGrid"/>
        <w:tblW w:w="963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tblGrid>
      <w:tr w:rsidR="00464E4B" w:rsidRPr="00F80B0F" w14:paraId="6E348FA3" w14:textId="77777777" w:rsidTr="0041177B">
        <w:trPr>
          <w:trHeight w:val="113"/>
        </w:trPr>
        <w:tc>
          <w:tcPr>
            <w:tcW w:w="9634" w:type="dxa"/>
            <w:shd w:val="clear" w:color="auto" w:fill="002060"/>
            <w:vAlign w:val="center"/>
            <w:hideMark/>
          </w:tcPr>
          <w:p w14:paraId="44CFAD34" w14:textId="1E679B54" w:rsidR="00464E4B" w:rsidRPr="00F80B0F" w:rsidRDefault="00464E4B" w:rsidP="0041177B">
            <w:pPr>
              <w:rPr>
                <w:rFonts w:asciiTheme="minorHAnsi" w:hAnsiTheme="minorHAnsi"/>
                <w:b/>
                <w:bCs/>
                <w:lang w:val="en-GB"/>
              </w:rPr>
            </w:pPr>
            <w:r w:rsidRPr="00F80B0F">
              <w:rPr>
                <w:rFonts w:asciiTheme="minorHAnsi" w:hAnsiTheme="minorHAnsi"/>
                <w:b/>
                <w:bCs/>
                <w:lang w:val="en-GB"/>
              </w:rPr>
              <w:t xml:space="preserve">Figure </w:t>
            </w:r>
            <w:r w:rsidR="00CD7E7C">
              <w:rPr>
                <w:rFonts w:asciiTheme="minorHAnsi" w:hAnsiTheme="minorHAnsi"/>
                <w:b/>
                <w:bCs/>
                <w:lang w:val="en-GB"/>
              </w:rPr>
              <w:t>10.5:</w:t>
            </w:r>
            <w:r w:rsidRPr="00F80B0F">
              <w:rPr>
                <w:rFonts w:asciiTheme="minorHAnsi" w:hAnsiTheme="minorHAnsi"/>
                <w:b/>
                <w:bCs/>
                <w:lang w:val="en-GB"/>
              </w:rPr>
              <w:t xml:space="preserve"> Age-</w:t>
            </w:r>
            <w:r w:rsidRPr="00F80B0F">
              <w:rPr>
                <w:rFonts w:asciiTheme="minorHAnsi" w:hAnsiTheme="minorHAnsi"/>
                <w:b/>
                <w:bCs/>
                <w:bdr w:val="single" w:sz="4" w:space="0" w:color="auto" w:frame="1"/>
                <w:lang w:val="en-GB"/>
              </w:rPr>
              <w:t xml:space="preserve">standardised mortality rate 1994-2022, </w:t>
            </w:r>
            <w:r w:rsidRPr="00F80B0F">
              <w:rPr>
                <w:rFonts w:asciiTheme="minorHAnsi" w:hAnsiTheme="minorHAnsi"/>
                <w:b/>
                <w:bCs/>
                <w:kern w:val="2"/>
                <w:sz w:val="24"/>
                <w:szCs w:val="24"/>
                <w:bdr w:val="single" w:sz="4" w:space="0" w:color="auto" w:frame="1"/>
                <w:lang w:val="en-GB"/>
                <w14:ligatures w14:val="standardContextual"/>
              </w:rPr>
              <w:t xml:space="preserve">colon and rectosigmoid junction </w:t>
            </w:r>
          </w:p>
        </w:tc>
      </w:tr>
      <w:tr w:rsidR="00464E4B" w:rsidRPr="00F80B0F" w14:paraId="07202FA5" w14:textId="77777777" w:rsidTr="0041177B">
        <w:trPr>
          <w:trHeight w:val="113"/>
        </w:trPr>
        <w:tc>
          <w:tcPr>
            <w:tcW w:w="9634" w:type="dxa"/>
            <w:vAlign w:val="center"/>
          </w:tcPr>
          <w:p w14:paraId="717741B2" w14:textId="77777777" w:rsidR="00464E4B" w:rsidRPr="00F80B0F" w:rsidRDefault="00464E4B" w:rsidP="0041177B">
            <w:pPr>
              <w:jc w:val="center"/>
              <w:rPr>
                <w:rFonts w:asciiTheme="minorHAnsi" w:hAnsiTheme="minorHAnsi"/>
                <w:lang w:val="en-GB"/>
              </w:rPr>
            </w:pPr>
            <w:r>
              <w:rPr>
                <w:noProof/>
              </w:rPr>
              <w:drawing>
                <wp:inline distT="0" distB="0" distL="0" distR="0" wp14:anchorId="4553E163" wp14:editId="48C73C2C">
                  <wp:extent cx="5755005" cy="3017520"/>
                  <wp:effectExtent l="0" t="0" r="0" b="0"/>
                  <wp:docPr id="1102443464" name="Picture 10"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43464" name="Picture 10" descr="A graph with numbers and lines&#10;&#10;AI-generated content may be incorrect."/>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55005" cy="3017520"/>
                          </a:xfrm>
                          <a:prstGeom prst="rect">
                            <a:avLst/>
                          </a:prstGeom>
                          <a:noFill/>
                        </pic:spPr>
                      </pic:pic>
                    </a:graphicData>
                  </a:graphic>
                </wp:inline>
              </w:drawing>
            </w:r>
          </w:p>
        </w:tc>
      </w:tr>
      <w:tr w:rsidR="00464E4B" w:rsidRPr="00F80B0F" w14:paraId="01DA943E" w14:textId="77777777" w:rsidTr="0041177B">
        <w:trPr>
          <w:trHeight w:val="113"/>
        </w:trPr>
        <w:tc>
          <w:tcPr>
            <w:tcW w:w="9634" w:type="dxa"/>
            <w:vAlign w:val="center"/>
          </w:tcPr>
          <w:tbl>
            <w:tblPr>
              <w:tblpPr w:leftFromText="180" w:rightFromText="180" w:bottomFromText="160" w:vertAnchor="page" w:horzAnchor="margin" w:tblpXSpec="center" w:tblpY="1"/>
              <w:tblOverlap w:val="never"/>
              <w:tblW w:w="0" w:type="auto"/>
              <w:tblLook w:val="04A0" w:firstRow="1" w:lastRow="0" w:firstColumn="1" w:lastColumn="0" w:noHBand="0" w:noVBand="1"/>
            </w:tblPr>
            <w:tblGrid>
              <w:gridCol w:w="530"/>
              <w:gridCol w:w="1180"/>
              <w:gridCol w:w="771"/>
              <w:gridCol w:w="992"/>
              <w:gridCol w:w="732"/>
              <w:gridCol w:w="530"/>
              <w:gridCol w:w="1180"/>
              <w:gridCol w:w="771"/>
              <w:gridCol w:w="977"/>
              <w:gridCol w:w="732"/>
            </w:tblGrid>
            <w:tr w:rsidR="00464E4B" w:rsidRPr="00F80B0F" w14:paraId="33B57353" w14:textId="77777777" w:rsidTr="0041177B">
              <w:trPr>
                <w:trHeight w:val="113"/>
              </w:trPr>
              <w:tc>
                <w:tcPr>
                  <w:tcW w:w="0" w:type="auto"/>
                  <w:noWrap/>
                  <w:tcMar>
                    <w:top w:w="15" w:type="dxa"/>
                    <w:left w:w="108" w:type="dxa"/>
                    <w:bottom w:w="15" w:type="dxa"/>
                    <w:right w:w="108" w:type="dxa"/>
                  </w:tcMar>
                  <w:vAlign w:val="center"/>
                  <w:hideMark/>
                </w:tcPr>
                <w:p w14:paraId="78D088A8" w14:textId="77777777" w:rsidR="00464E4B" w:rsidRPr="00DB0A53"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DB0A53">
                    <w:rPr>
                      <w:rFonts w:eastAsia="Times New Roman" w:cs="Times New Roman"/>
                      <w:b/>
                      <w:bCs/>
                      <w:color w:val="000000"/>
                      <w:kern w:val="0"/>
                      <w:sz w:val="20"/>
                      <w:szCs w:val="20"/>
                      <w:u w:val="single"/>
                      <w:lang w:eastAsia="en-GB"/>
                      <w14:ligatures w14:val="none"/>
                    </w:rPr>
                    <w:t>sex</w:t>
                  </w:r>
                </w:p>
              </w:tc>
              <w:tc>
                <w:tcPr>
                  <w:tcW w:w="0" w:type="auto"/>
                  <w:noWrap/>
                  <w:tcMar>
                    <w:top w:w="15" w:type="dxa"/>
                    <w:left w:w="108" w:type="dxa"/>
                    <w:bottom w:w="15" w:type="dxa"/>
                    <w:right w:w="108" w:type="dxa"/>
                  </w:tcMar>
                  <w:vAlign w:val="center"/>
                  <w:hideMark/>
                </w:tcPr>
                <w:p w14:paraId="73178C50" w14:textId="77777777" w:rsidR="00464E4B" w:rsidRPr="00DB0A53"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DB0A53">
                    <w:rPr>
                      <w:rFonts w:eastAsia="Times New Roman" w:cs="Times New Roman"/>
                      <w:b/>
                      <w:bCs/>
                      <w:color w:val="000000"/>
                      <w:kern w:val="0"/>
                      <w:sz w:val="20"/>
                      <w:szCs w:val="20"/>
                      <w:u w:val="single"/>
                      <w:lang w:eastAsia="en-GB"/>
                      <w14:ligatures w14:val="none"/>
                    </w:rPr>
                    <w:t>period</w:t>
                  </w:r>
                </w:p>
              </w:tc>
              <w:tc>
                <w:tcPr>
                  <w:tcW w:w="0" w:type="auto"/>
                  <w:noWrap/>
                  <w:tcMar>
                    <w:top w:w="15" w:type="dxa"/>
                    <w:left w:w="108" w:type="dxa"/>
                    <w:bottom w:w="15" w:type="dxa"/>
                    <w:right w:w="108" w:type="dxa"/>
                  </w:tcMar>
                  <w:vAlign w:val="center"/>
                  <w:hideMark/>
                </w:tcPr>
                <w:p w14:paraId="696EDFDB" w14:textId="77777777" w:rsidR="00464E4B" w:rsidRPr="00DB0A53"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DB0A53">
                    <w:rPr>
                      <w:rFonts w:eastAsia="Times New Roman" w:cs="Times New Roman"/>
                      <w:b/>
                      <w:bCs/>
                      <w:color w:val="000000"/>
                      <w:kern w:val="0"/>
                      <w:sz w:val="20"/>
                      <w:szCs w:val="20"/>
                      <w:u w:val="single"/>
                      <w:lang w:eastAsia="en-GB"/>
                      <w14:ligatures w14:val="none"/>
                    </w:rPr>
                    <w:t>APC%</w:t>
                  </w:r>
                </w:p>
              </w:tc>
              <w:tc>
                <w:tcPr>
                  <w:tcW w:w="0" w:type="auto"/>
                  <w:noWrap/>
                  <w:tcMar>
                    <w:top w:w="15" w:type="dxa"/>
                    <w:left w:w="108" w:type="dxa"/>
                    <w:bottom w:w="15" w:type="dxa"/>
                    <w:right w:w="108" w:type="dxa"/>
                  </w:tcMar>
                  <w:vAlign w:val="center"/>
                  <w:hideMark/>
                </w:tcPr>
                <w:p w14:paraId="5D8ECC11" w14:textId="77777777" w:rsidR="00464E4B" w:rsidRPr="00DB0A53"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DB0A53">
                    <w:rPr>
                      <w:rFonts w:eastAsia="Times New Roman" w:cs="Times New Roman"/>
                      <w:b/>
                      <w:bCs/>
                      <w:color w:val="000000"/>
                      <w:kern w:val="0"/>
                      <w:sz w:val="20"/>
                      <w:szCs w:val="20"/>
                      <w:u w:val="single"/>
                      <w:lang w:eastAsia="en-GB"/>
                      <w14:ligatures w14:val="none"/>
                    </w:rPr>
                    <w:t>95%CI</w:t>
                  </w:r>
                </w:p>
              </w:tc>
              <w:tc>
                <w:tcPr>
                  <w:tcW w:w="0" w:type="auto"/>
                  <w:tcBorders>
                    <w:right w:val="single" w:sz="4" w:space="0" w:color="auto"/>
                  </w:tcBorders>
                  <w:noWrap/>
                  <w:tcMar>
                    <w:top w:w="15" w:type="dxa"/>
                    <w:left w:w="108" w:type="dxa"/>
                    <w:bottom w:w="15" w:type="dxa"/>
                    <w:right w:w="108" w:type="dxa"/>
                  </w:tcMar>
                  <w:vAlign w:val="center"/>
                  <w:hideMark/>
                </w:tcPr>
                <w:p w14:paraId="4A379D83" w14:textId="77777777" w:rsidR="00464E4B" w:rsidRPr="00DB0A53"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DB0A53">
                    <w:rPr>
                      <w:rFonts w:eastAsia="Times New Roman" w:cs="Times New Roman"/>
                      <w:b/>
                      <w:bCs/>
                      <w:color w:val="000000"/>
                      <w:kern w:val="0"/>
                      <w:sz w:val="20"/>
                      <w:szCs w:val="20"/>
                      <w:u w:val="single"/>
                      <w:lang w:eastAsia="en-GB"/>
                      <w14:ligatures w14:val="none"/>
                    </w:rPr>
                    <w:t>trend</w:t>
                  </w:r>
                </w:p>
              </w:tc>
              <w:tc>
                <w:tcPr>
                  <w:tcW w:w="0" w:type="auto"/>
                  <w:tcBorders>
                    <w:left w:val="single" w:sz="4" w:space="0" w:color="auto"/>
                  </w:tcBorders>
                  <w:vAlign w:val="center"/>
                </w:tcPr>
                <w:p w14:paraId="52A295A9" w14:textId="77777777" w:rsidR="00464E4B" w:rsidRPr="00DB0A53"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DB0A53">
                    <w:rPr>
                      <w:rFonts w:eastAsia="Times New Roman" w:cs="Times New Roman"/>
                      <w:b/>
                      <w:bCs/>
                      <w:color w:val="000000"/>
                      <w:kern w:val="0"/>
                      <w:sz w:val="20"/>
                      <w:szCs w:val="20"/>
                      <w:u w:val="single"/>
                      <w:lang w:eastAsia="en-GB"/>
                      <w14:ligatures w14:val="none"/>
                    </w:rPr>
                    <w:t>sex</w:t>
                  </w:r>
                </w:p>
              </w:tc>
              <w:tc>
                <w:tcPr>
                  <w:tcW w:w="0" w:type="auto"/>
                  <w:vAlign w:val="center"/>
                </w:tcPr>
                <w:p w14:paraId="425463E3" w14:textId="77777777" w:rsidR="00464E4B" w:rsidRPr="00DB0A53"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DB0A53">
                    <w:rPr>
                      <w:rFonts w:eastAsia="Times New Roman" w:cs="Times New Roman"/>
                      <w:b/>
                      <w:bCs/>
                      <w:color w:val="000000"/>
                      <w:kern w:val="0"/>
                      <w:sz w:val="20"/>
                      <w:szCs w:val="20"/>
                      <w:u w:val="single"/>
                      <w:lang w:eastAsia="en-GB"/>
                      <w14:ligatures w14:val="none"/>
                    </w:rPr>
                    <w:t>period</w:t>
                  </w:r>
                </w:p>
              </w:tc>
              <w:tc>
                <w:tcPr>
                  <w:tcW w:w="0" w:type="auto"/>
                  <w:vAlign w:val="center"/>
                </w:tcPr>
                <w:p w14:paraId="3A88E018" w14:textId="77777777" w:rsidR="00464E4B" w:rsidRPr="00DB0A53"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DB0A53">
                    <w:rPr>
                      <w:rFonts w:eastAsia="Times New Roman" w:cs="Times New Roman"/>
                      <w:b/>
                      <w:bCs/>
                      <w:color w:val="000000"/>
                      <w:kern w:val="0"/>
                      <w:sz w:val="20"/>
                      <w:szCs w:val="20"/>
                      <w:u w:val="single"/>
                      <w:lang w:eastAsia="en-GB"/>
                      <w14:ligatures w14:val="none"/>
                    </w:rPr>
                    <w:t>APC%</w:t>
                  </w:r>
                </w:p>
              </w:tc>
              <w:tc>
                <w:tcPr>
                  <w:tcW w:w="0" w:type="auto"/>
                  <w:vAlign w:val="center"/>
                </w:tcPr>
                <w:p w14:paraId="3009D063" w14:textId="77777777" w:rsidR="00464E4B" w:rsidRPr="00DB0A53"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DB0A53">
                    <w:rPr>
                      <w:rFonts w:eastAsia="Times New Roman" w:cs="Times New Roman"/>
                      <w:b/>
                      <w:bCs/>
                      <w:color w:val="000000"/>
                      <w:kern w:val="0"/>
                      <w:sz w:val="20"/>
                      <w:szCs w:val="20"/>
                      <w:u w:val="single"/>
                      <w:lang w:eastAsia="en-GB"/>
                      <w14:ligatures w14:val="none"/>
                    </w:rPr>
                    <w:t>95%CI</w:t>
                  </w:r>
                </w:p>
              </w:tc>
              <w:tc>
                <w:tcPr>
                  <w:tcW w:w="0" w:type="auto"/>
                  <w:vAlign w:val="center"/>
                </w:tcPr>
                <w:p w14:paraId="038C2D60" w14:textId="77777777" w:rsidR="00464E4B" w:rsidRPr="00DB0A53"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DB0A53">
                    <w:rPr>
                      <w:rFonts w:eastAsia="Times New Roman" w:cs="Times New Roman"/>
                      <w:b/>
                      <w:bCs/>
                      <w:color w:val="000000"/>
                      <w:kern w:val="0"/>
                      <w:sz w:val="20"/>
                      <w:szCs w:val="20"/>
                      <w:u w:val="single"/>
                      <w:lang w:eastAsia="en-GB"/>
                      <w14:ligatures w14:val="none"/>
                    </w:rPr>
                    <w:t>trend</w:t>
                  </w:r>
                </w:p>
              </w:tc>
            </w:tr>
            <w:tr w:rsidR="00464E4B" w:rsidRPr="00F80B0F" w14:paraId="1E93F16E" w14:textId="77777777" w:rsidTr="0041177B">
              <w:trPr>
                <w:trHeight w:val="113"/>
              </w:trPr>
              <w:tc>
                <w:tcPr>
                  <w:tcW w:w="0" w:type="auto"/>
                  <w:noWrap/>
                  <w:tcMar>
                    <w:top w:w="15" w:type="dxa"/>
                    <w:left w:w="108" w:type="dxa"/>
                    <w:bottom w:w="15" w:type="dxa"/>
                    <w:right w:w="108" w:type="dxa"/>
                  </w:tcMar>
                  <w:hideMark/>
                </w:tcPr>
                <w:p w14:paraId="5315FA83" w14:textId="77777777" w:rsidR="00464E4B" w:rsidRPr="00DB0A53" w:rsidRDefault="00464E4B" w:rsidP="0041177B">
                  <w:pPr>
                    <w:spacing w:after="0" w:line="240" w:lineRule="auto"/>
                    <w:jc w:val="center"/>
                    <w:rPr>
                      <w:rFonts w:eastAsia="Times New Roman" w:cs="Times New Roman"/>
                      <w:color w:val="000000"/>
                      <w:kern w:val="0"/>
                      <w:sz w:val="20"/>
                      <w:szCs w:val="20"/>
                      <w:lang w:eastAsia="en-GB"/>
                      <w14:ligatures w14:val="none"/>
                    </w:rPr>
                  </w:pPr>
                  <w:r w:rsidRPr="00DB0A53">
                    <w:rPr>
                      <w:sz w:val="20"/>
                      <w:szCs w:val="20"/>
                    </w:rPr>
                    <w:t>M </w:t>
                  </w:r>
                </w:p>
              </w:tc>
              <w:tc>
                <w:tcPr>
                  <w:tcW w:w="0" w:type="auto"/>
                  <w:noWrap/>
                  <w:tcMar>
                    <w:top w:w="15" w:type="dxa"/>
                    <w:left w:w="108" w:type="dxa"/>
                    <w:bottom w:w="15" w:type="dxa"/>
                    <w:right w:w="108" w:type="dxa"/>
                  </w:tcMar>
                  <w:hideMark/>
                </w:tcPr>
                <w:p w14:paraId="0D3858BF" w14:textId="77777777" w:rsidR="00464E4B" w:rsidRPr="00DB0A53" w:rsidRDefault="00464E4B" w:rsidP="0041177B">
                  <w:pPr>
                    <w:spacing w:after="0" w:line="240" w:lineRule="auto"/>
                    <w:jc w:val="center"/>
                    <w:rPr>
                      <w:rFonts w:eastAsia="Times New Roman" w:cs="Times New Roman"/>
                      <w:color w:val="000000"/>
                      <w:kern w:val="0"/>
                      <w:sz w:val="20"/>
                      <w:szCs w:val="20"/>
                      <w:lang w:eastAsia="en-GB"/>
                      <w14:ligatures w14:val="none"/>
                    </w:rPr>
                  </w:pPr>
                  <w:r w:rsidRPr="00DB0A53">
                    <w:rPr>
                      <w:sz w:val="20"/>
                      <w:szCs w:val="20"/>
                    </w:rPr>
                    <w:t>1994-2001 </w:t>
                  </w:r>
                </w:p>
              </w:tc>
              <w:tc>
                <w:tcPr>
                  <w:tcW w:w="0" w:type="auto"/>
                  <w:noWrap/>
                  <w:tcMar>
                    <w:top w:w="15" w:type="dxa"/>
                    <w:left w:w="108" w:type="dxa"/>
                    <w:bottom w:w="15" w:type="dxa"/>
                    <w:right w:w="108" w:type="dxa"/>
                  </w:tcMar>
                  <w:hideMark/>
                </w:tcPr>
                <w:p w14:paraId="45B1531B" w14:textId="77777777" w:rsidR="00464E4B" w:rsidRPr="00DB0A53" w:rsidRDefault="00464E4B" w:rsidP="0041177B">
                  <w:pPr>
                    <w:spacing w:after="0" w:line="240" w:lineRule="auto"/>
                    <w:jc w:val="center"/>
                    <w:rPr>
                      <w:rFonts w:eastAsia="Times New Roman" w:cs="Times New Roman"/>
                      <w:color w:val="000000"/>
                      <w:kern w:val="0"/>
                      <w:sz w:val="20"/>
                      <w:szCs w:val="20"/>
                      <w:lang w:eastAsia="en-GB"/>
                      <w14:ligatures w14:val="none"/>
                    </w:rPr>
                  </w:pPr>
                  <w:r w:rsidRPr="00DB0A53">
                    <w:rPr>
                      <w:sz w:val="20"/>
                      <w:szCs w:val="20"/>
                    </w:rPr>
                    <w:t>-0.3</w:t>
                  </w:r>
                </w:p>
              </w:tc>
              <w:tc>
                <w:tcPr>
                  <w:tcW w:w="0" w:type="auto"/>
                  <w:noWrap/>
                  <w:tcMar>
                    <w:top w:w="15" w:type="dxa"/>
                    <w:left w:w="108" w:type="dxa"/>
                    <w:bottom w:w="15" w:type="dxa"/>
                    <w:right w:w="108" w:type="dxa"/>
                  </w:tcMar>
                  <w:hideMark/>
                </w:tcPr>
                <w:p w14:paraId="3ECE03BB" w14:textId="77777777" w:rsidR="00464E4B" w:rsidRPr="00DB0A53" w:rsidRDefault="00464E4B" w:rsidP="0041177B">
                  <w:pPr>
                    <w:spacing w:after="0" w:line="240" w:lineRule="auto"/>
                    <w:jc w:val="center"/>
                    <w:rPr>
                      <w:rFonts w:eastAsia="Times New Roman" w:cs="Times New Roman"/>
                      <w:color w:val="000000"/>
                      <w:kern w:val="0"/>
                      <w:sz w:val="20"/>
                      <w:szCs w:val="20"/>
                      <w:lang w:eastAsia="en-GB"/>
                      <w14:ligatures w14:val="none"/>
                    </w:rPr>
                  </w:pPr>
                  <w:r w:rsidRPr="00DB0A53">
                    <w:rPr>
                      <w:sz w:val="20"/>
                      <w:szCs w:val="20"/>
                    </w:rPr>
                    <w:t>-3.3,2.7</w:t>
                  </w:r>
                </w:p>
              </w:tc>
              <w:tc>
                <w:tcPr>
                  <w:tcW w:w="0" w:type="auto"/>
                  <w:tcBorders>
                    <w:right w:val="single" w:sz="4" w:space="0" w:color="auto"/>
                  </w:tcBorders>
                  <w:noWrap/>
                  <w:tcMar>
                    <w:top w:w="15" w:type="dxa"/>
                    <w:left w:w="108" w:type="dxa"/>
                    <w:bottom w:w="15" w:type="dxa"/>
                    <w:right w:w="108" w:type="dxa"/>
                  </w:tcMar>
                  <w:hideMark/>
                </w:tcPr>
                <w:p w14:paraId="0071FD5F" w14:textId="77777777" w:rsidR="00464E4B" w:rsidRPr="00DB0A53" w:rsidRDefault="00464E4B" w:rsidP="0041177B">
                  <w:pPr>
                    <w:spacing w:after="0" w:line="240" w:lineRule="auto"/>
                    <w:jc w:val="center"/>
                    <w:rPr>
                      <w:rFonts w:eastAsia="Times New Roman" w:cs="Times New Roman"/>
                      <w:color w:val="000000"/>
                      <w:kern w:val="0"/>
                      <w:sz w:val="20"/>
                      <w:szCs w:val="20"/>
                      <w:lang w:eastAsia="en-GB"/>
                      <w14:ligatures w14:val="none"/>
                    </w:rPr>
                  </w:pPr>
                  <w:r w:rsidRPr="00DB0A53">
                    <w:rPr>
                      <w:sz w:val="20"/>
                      <w:szCs w:val="20"/>
                    </w:rPr>
                    <w:t>flat</w:t>
                  </w:r>
                </w:p>
              </w:tc>
              <w:tc>
                <w:tcPr>
                  <w:tcW w:w="0" w:type="auto"/>
                  <w:tcBorders>
                    <w:left w:val="single" w:sz="4" w:space="0" w:color="auto"/>
                  </w:tcBorders>
                </w:tcPr>
                <w:p w14:paraId="3011D039" w14:textId="77777777" w:rsidR="00464E4B" w:rsidRPr="00DB0A53" w:rsidRDefault="00464E4B" w:rsidP="0041177B">
                  <w:pPr>
                    <w:spacing w:after="0" w:line="240" w:lineRule="auto"/>
                    <w:jc w:val="center"/>
                    <w:rPr>
                      <w:sz w:val="20"/>
                      <w:szCs w:val="20"/>
                    </w:rPr>
                  </w:pPr>
                  <w:r w:rsidRPr="00DB0A53">
                    <w:rPr>
                      <w:sz w:val="20"/>
                      <w:szCs w:val="20"/>
                    </w:rPr>
                    <w:t>F </w:t>
                  </w:r>
                </w:p>
              </w:tc>
              <w:tc>
                <w:tcPr>
                  <w:tcW w:w="0" w:type="auto"/>
                </w:tcPr>
                <w:p w14:paraId="366DE2B7" w14:textId="77777777" w:rsidR="00464E4B" w:rsidRPr="00DB0A53" w:rsidRDefault="00464E4B" w:rsidP="0041177B">
                  <w:pPr>
                    <w:spacing w:after="0" w:line="240" w:lineRule="auto"/>
                    <w:jc w:val="center"/>
                    <w:rPr>
                      <w:sz w:val="20"/>
                      <w:szCs w:val="20"/>
                    </w:rPr>
                  </w:pPr>
                  <w:r w:rsidRPr="00DB0A53">
                    <w:rPr>
                      <w:sz w:val="20"/>
                      <w:szCs w:val="20"/>
                    </w:rPr>
                    <w:t>1994-2005 </w:t>
                  </w:r>
                </w:p>
              </w:tc>
              <w:tc>
                <w:tcPr>
                  <w:tcW w:w="0" w:type="auto"/>
                </w:tcPr>
                <w:p w14:paraId="309F5AD0" w14:textId="77777777" w:rsidR="00464E4B" w:rsidRPr="00DB0A53" w:rsidRDefault="00464E4B" w:rsidP="0041177B">
                  <w:pPr>
                    <w:spacing w:after="0" w:line="240" w:lineRule="auto"/>
                    <w:jc w:val="center"/>
                    <w:rPr>
                      <w:sz w:val="20"/>
                      <w:szCs w:val="20"/>
                    </w:rPr>
                  </w:pPr>
                  <w:r w:rsidRPr="00DB0A53">
                    <w:rPr>
                      <w:sz w:val="20"/>
                      <w:szCs w:val="20"/>
                    </w:rPr>
                    <w:t>-3.1</w:t>
                  </w:r>
                </w:p>
              </w:tc>
              <w:tc>
                <w:tcPr>
                  <w:tcW w:w="0" w:type="auto"/>
                </w:tcPr>
                <w:p w14:paraId="6C6BB4ED" w14:textId="77777777" w:rsidR="00464E4B" w:rsidRPr="00DB0A53" w:rsidRDefault="00464E4B" w:rsidP="0041177B">
                  <w:pPr>
                    <w:spacing w:after="0" w:line="240" w:lineRule="auto"/>
                    <w:jc w:val="center"/>
                    <w:rPr>
                      <w:sz w:val="20"/>
                      <w:szCs w:val="20"/>
                    </w:rPr>
                  </w:pPr>
                  <w:r w:rsidRPr="00DB0A53">
                    <w:rPr>
                      <w:sz w:val="20"/>
                      <w:szCs w:val="20"/>
                    </w:rPr>
                    <w:t>-4.2, -1.9</w:t>
                  </w:r>
                </w:p>
              </w:tc>
              <w:tc>
                <w:tcPr>
                  <w:tcW w:w="0" w:type="auto"/>
                </w:tcPr>
                <w:p w14:paraId="7B08E05B" w14:textId="77777777" w:rsidR="00464E4B" w:rsidRPr="00DB0A53" w:rsidRDefault="00464E4B" w:rsidP="0041177B">
                  <w:pPr>
                    <w:spacing w:after="0" w:line="240" w:lineRule="auto"/>
                    <w:jc w:val="center"/>
                    <w:rPr>
                      <w:sz w:val="20"/>
                      <w:szCs w:val="20"/>
                    </w:rPr>
                  </w:pPr>
                  <w:r w:rsidRPr="00DB0A53">
                    <w:rPr>
                      <w:sz w:val="20"/>
                      <w:szCs w:val="20"/>
                    </w:rPr>
                    <w:t>down </w:t>
                  </w:r>
                </w:p>
              </w:tc>
            </w:tr>
            <w:tr w:rsidR="00464E4B" w:rsidRPr="00F80B0F" w14:paraId="6EB83466" w14:textId="77777777" w:rsidTr="0041177B">
              <w:trPr>
                <w:trHeight w:val="113"/>
              </w:trPr>
              <w:tc>
                <w:tcPr>
                  <w:tcW w:w="0" w:type="auto"/>
                  <w:noWrap/>
                  <w:tcMar>
                    <w:top w:w="15" w:type="dxa"/>
                    <w:left w:w="108" w:type="dxa"/>
                    <w:bottom w:w="15" w:type="dxa"/>
                    <w:right w:w="108" w:type="dxa"/>
                  </w:tcMar>
                  <w:hideMark/>
                </w:tcPr>
                <w:p w14:paraId="2CA1D1DE" w14:textId="77777777" w:rsidR="00464E4B" w:rsidRPr="00DB0A53" w:rsidRDefault="00464E4B" w:rsidP="0041177B">
                  <w:pPr>
                    <w:spacing w:after="0" w:line="240" w:lineRule="auto"/>
                    <w:jc w:val="center"/>
                    <w:rPr>
                      <w:rFonts w:eastAsia="Times New Roman" w:cs="Times New Roman"/>
                      <w:color w:val="000000"/>
                      <w:kern w:val="0"/>
                      <w:sz w:val="20"/>
                      <w:szCs w:val="20"/>
                      <w:lang w:eastAsia="en-GB"/>
                      <w14:ligatures w14:val="none"/>
                    </w:rPr>
                  </w:pPr>
                </w:p>
              </w:tc>
              <w:tc>
                <w:tcPr>
                  <w:tcW w:w="0" w:type="auto"/>
                  <w:noWrap/>
                  <w:tcMar>
                    <w:top w:w="15" w:type="dxa"/>
                    <w:left w:w="108" w:type="dxa"/>
                    <w:bottom w:w="15" w:type="dxa"/>
                    <w:right w:w="108" w:type="dxa"/>
                  </w:tcMar>
                  <w:hideMark/>
                </w:tcPr>
                <w:p w14:paraId="56FD015F" w14:textId="77777777" w:rsidR="00464E4B" w:rsidRPr="00DB0A53" w:rsidRDefault="00464E4B" w:rsidP="0041177B">
                  <w:pPr>
                    <w:spacing w:after="0" w:line="240" w:lineRule="auto"/>
                    <w:jc w:val="center"/>
                    <w:rPr>
                      <w:rFonts w:eastAsia="Times New Roman" w:cs="Times New Roman"/>
                      <w:color w:val="000000"/>
                      <w:kern w:val="0"/>
                      <w:sz w:val="20"/>
                      <w:szCs w:val="20"/>
                      <w:lang w:eastAsia="en-GB"/>
                      <w14:ligatures w14:val="none"/>
                    </w:rPr>
                  </w:pPr>
                  <w:r w:rsidRPr="00DB0A53">
                    <w:rPr>
                      <w:sz w:val="20"/>
                      <w:szCs w:val="20"/>
                    </w:rPr>
                    <w:t>2001-2022</w:t>
                  </w:r>
                </w:p>
              </w:tc>
              <w:tc>
                <w:tcPr>
                  <w:tcW w:w="0" w:type="auto"/>
                  <w:noWrap/>
                  <w:tcMar>
                    <w:top w:w="15" w:type="dxa"/>
                    <w:left w:w="108" w:type="dxa"/>
                    <w:bottom w:w="15" w:type="dxa"/>
                    <w:right w:w="108" w:type="dxa"/>
                  </w:tcMar>
                  <w:hideMark/>
                </w:tcPr>
                <w:p w14:paraId="432A7D8B" w14:textId="77777777" w:rsidR="00464E4B" w:rsidRPr="00DB0A53" w:rsidRDefault="00464E4B" w:rsidP="0041177B">
                  <w:pPr>
                    <w:spacing w:after="0" w:line="240" w:lineRule="auto"/>
                    <w:jc w:val="center"/>
                    <w:rPr>
                      <w:rFonts w:eastAsia="Times New Roman" w:cs="Times New Roman"/>
                      <w:color w:val="000000"/>
                      <w:kern w:val="0"/>
                      <w:sz w:val="20"/>
                      <w:szCs w:val="20"/>
                      <w:lang w:eastAsia="en-GB"/>
                      <w14:ligatures w14:val="none"/>
                    </w:rPr>
                  </w:pPr>
                  <w:r w:rsidRPr="00DB0A53">
                    <w:rPr>
                      <w:sz w:val="20"/>
                      <w:szCs w:val="20"/>
                    </w:rPr>
                    <w:t>-3.5</w:t>
                  </w:r>
                </w:p>
              </w:tc>
              <w:tc>
                <w:tcPr>
                  <w:tcW w:w="0" w:type="auto"/>
                  <w:noWrap/>
                  <w:tcMar>
                    <w:top w:w="15" w:type="dxa"/>
                    <w:left w:w="108" w:type="dxa"/>
                    <w:bottom w:w="15" w:type="dxa"/>
                    <w:right w:w="108" w:type="dxa"/>
                  </w:tcMar>
                  <w:hideMark/>
                </w:tcPr>
                <w:p w14:paraId="501F03C7" w14:textId="77777777" w:rsidR="00464E4B" w:rsidRPr="00DB0A53" w:rsidRDefault="00464E4B" w:rsidP="0041177B">
                  <w:pPr>
                    <w:spacing w:after="0" w:line="240" w:lineRule="auto"/>
                    <w:jc w:val="center"/>
                    <w:rPr>
                      <w:rFonts w:eastAsia="Times New Roman" w:cs="Times New Roman"/>
                      <w:color w:val="000000"/>
                      <w:kern w:val="0"/>
                      <w:sz w:val="20"/>
                      <w:szCs w:val="20"/>
                      <w:lang w:eastAsia="en-GB"/>
                      <w14:ligatures w14:val="none"/>
                    </w:rPr>
                  </w:pPr>
                  <w:r w:rsidRPr="00DB0A53">
                    <w:rPr>
                      <w:sz w:val="20"/>
                      <w:szCs w:val="20"/>
                    </w:rPr>
                    <w:t>-4.1, -3.0</w:t>
                  </w:r>
                </w:p>
              </w:tc>
              <w:tc>
                <w:tcPr>
                  <w:tcW w:w="0" w:type="auto"/>
                  <w:tcBorders>
                    <w:right w:val="single" w:sz="4" w:space="0" w:color="auto"/>
                  </w:tcBorders>
                  <w:noWrap/>
                  <w:tcMar>
                    <w:top w:w="15" w:type="dxa"/>
                    <w:left w:w="108" w:type="dxa"/>
                    <w:bottom w:w="15" w:type="dxa"/>
                    <w:right w:w="108" w:type="dxa"/>
                  </w:tcMar>
                  <w:hideMark/>
                </w:tcPr>
                <w:p w14:paraId="50E0D1AB" w14:textId="77777777" w:rsidR="00464E4B" w:rsidRPr="00DB0A53" w:rsidRDefault="00464E4B" w:rsidP="0041177B">
                  <w:pPr>
                    <w:spacing w:after="0" w:line="240" w:lineRule="auto"/>
                    <w:jc w:val="center"/>
                    <w:rPr>
                      <w:rFonts w:eastAsia="Times New Roman" w:cs="Times New Roman"/>
                      <w:color w:val="000000"/>
                      <w:kern w:val="0"/>
                      <w:sz w:val="20"/>
                      <w:szCs w:val="20"/>
                      <w:lang w:eastAsia="en-GB"/>
                      <w14:ligatures w14:val="none"/>
                    </w:rPr>
                  </w:pPr>
                  <w:r w:rsidRPr="00DB0A53">
                    <w:rPr>
                      <w:sz w:val="20"/>
                      <w:szCs w:val="20"/>
                    </w:rPr>
                    <w:t>down </w:t>
                  </w:r>
                </w:p>
              </w:tc>
              <w:tc>
                <w:tcPr>
                  <w:tcW w:w="0" w:type="auto"/>
                  <w:tcBorders>
                    <w:left w:val="single" w:sz="4" w:space="0" w:color="auto"/>
                  </w:tcBorders>
                </w:tcPr>
                <w:p w14:paraId="5BD867EF" w14:textId="77777777" w:rsidR="00464E4B" w:rsidRPr="00DB0A53" w:rsidRDefault="00464E4B" w:rsidP="0041177B">
                  <w:pPr>
                    <w:spacing w:after="0" w:line="240" w:lineRule="auto"/>
                    <w:jc w:val="center"/>
                    <w:rPr>
                      <w:sz w:val="20"/>
                      <w:szCs w:val="20"/>
                    </w:rPr>
                  </w:pPr>
                </w:p>
              </w:tc>
              <w:tc>
                <w:tcPr>
                  <w:tcW w:w="0" w:type="auto"/>
                </w:tcPr>
                <w:p w14:paraId="18181B5C" w14:textId="77777777" w:rsidR="00464E4B" w:rsidRPr="00DB0A53" w:rsidRDefault="00464E4B" w:rsidP="0041177B">
                  <w:pPr>
                    <w:spacing w:after="0" w:line="240" w:lineRule="auto"/>
                    <w:jc w:val="center"/>
                    <w:rPr>
                      <w:sz w:val="20"/>
                      <w:szCs w:val="20"/>
                    </w:rPr>
                  </w:pPr>
                  <w:r w:rsidRPr="00DB0A53">
                    <w:rPr>
                      <w:sz w:val="20"/>
                      <w:szCs w:val="20"/>
                    </w:rPr>
                    <w:t>2005-2010</w:t>
                  </w:r>
                </w:p>
              </w:tc>
              <w:tc>
                <w:tcPr>
                  <w:tcW w:w="0" w:type="auto"/>
                </w:tcPr>
                <w:p w14:paraId="6FDE6299" w14:textId="77777777" w:rsidR="00464E4B" w:rsidRPr="00DB0A53" w:rsidRDefault="00464E4B" w:rsidP="0041177B">
                  <w:pPr>
                    <w:spacing w:after="0" w:line="240" w:lineRule="auto"/>
                    <w:jc w:val="center"/>
                    <w:rPr>
                      <w:sz w:val="20"/>
                      <w:szCs w:val="20"/>
                    </w:rPr>
                  </w:pPr>
                  <w:r w:rsidRPr="00DB0A53">
                    <w:rPr>
                      <w:sz w:val="20"/>
                      <w:szCs w:val="20"/>
                    </w:rPr>
                    <w:t>2.5</w:t>
                  </w:r>
                </w:p>
              </w:tc>
              <w:tc>
                <w:tcPr>
                  <w:tcW w:w="0" w:type="auto"/>
                </w:tcPr>
                <w:p w14:paraId="4179810B" w14:textId="77777777" w:rsidR="00464E4B" w:rsidRPr="00DB0A53" w:rsidRDefault="00464E4B" w:rsidP="0041177B">
                  <w:pPr>
                    <w:spacing w:after="0" w:line="240" w:lineRule="auto"/>
                    <w:jc w:val="center"/>
                    <w:rPr>
                      <w:sz w:val="20"/>
                      <w:szCs w:val="20"/>
                    </w:rPr>
                  </w:pPr>
                  <w:r w:rsidRPr="00DB0A53">
                    <w:rPr>
                      <w:sz w:val="20"/>
                      <w:szCs w:val="20"/>
                    </w:rPr>
                    <w:t>-3.3, 8.5</w:t>
                  </w:r>
                </w:p>
              </w:tc>
              <w:tc>
                <w:tcPr>
                  <w:tcW w:w="0" w:type="auto"/>
                </w:tcPr>
                <w:p w14:paraId="6D584767" w14:textId="77777777" w:rsidR="00464E4B" w:rsidRPr="00DB0A53" w:rsidRDefault="00464E4B" w:rsidP="0041177B">
                  <w:pPr>
                    <w:spacing w:after="0" w:line="240" w:lineRule="auto"/>
                    <w:jc w:val="center"/>
                    <w:rPr>
                      <w:sz w:val="20"/>
                      <w:szCs w:val="20"/>
                    </w:rPr>
                  </w:pPr>
                  <w:r w:rsidRPr="00DB0A53">
                    <w:rPr>
                      <w:sz w:val="20"/>
                      <w:szCs w:val="20"/>
                    </w:rPr>
                    <w:t>flat</w:t>
                  </w:r>
                </w:p>
              </w:tc>
            </w:tr>
            <w:tr w:rsidR="00464E4B" w:rsidRPr="00F80B0F" w14:paraId="5769F12D" w14:textId="77777777" w:rsidTr="0041177B">
              <w:trPr>
                <w:trHeight w:val="113"/>
              </w:trPr>
              <w:tc>
                <w:tcPr>
                  <w:tcW w:w="0" w:type="auto"/>
                  <w:noWrap/>
                  <w:tcMar>
                    <w:top w:w="15" w:type="dxa"/>
                    <w:left w:w="108" w:type="dxa"/>
                    <w:bottom w:w="15" w:type="dxa"/>
                    <w:right w:w="108" w:type="dxa"/>
                  </w:tcMar>
                </w:tcPr>
                <w:p w14:paraId="2BBF222B" w14:textId="77777777" w:rsidR="00464E4B" w:rsidRPr="00DB0A53" w:rsidRDefault="00464E4B" w:rsidP="0041177B">
                  <w:pPr>
                    <w:spacing w:after="0" w:line="240" w:lineRule="auto"/>
                    <w:jc w:val="center"/>
                    <w:rPr>
                      <w:rFonts w:eastAsia="Times New Roman" w:cs="Times New Roman"/>
                      <w:color w:val="000000"/>
                      <w:kern w:val="0"/>
                      <w:sz w:val="20"/>
                      <w:szCs w:val="20"/>
                      <w:lang w:eastAsia="en-GB"/>
                      <w14:ligatures w14:val="none"/>
                    </w:rPr>
                  </w:pPr>
                </w:p>
              </w:tc>
              <w:tc>
                <w:tcPr>
                  <w:tcW w:w="0" w:type="auto"/>
                  <w:noWrap/>
                  <w:tcMar>
                    <w:top w:w="15" w:type="dxa"/>
                    <w:left w:w="108" w:type="dxa"/>
                    <w:bottom w:w="15" w:type="dxa"/>
                    <w:right w:w="108" w:type="dxa"/>
                  </w:tcMar>
                </w:tcPr>
                <w:p w14:paraId="5E8EA1DD" w14:textId="77777777" w:rsidR="00464E4B" w:rsidRPr="00DB0A53" w:rsidRDefault="00464E4B" w:rsidP="0041177B">
                  <w:pPr>
                    <w:spacing w:after="0" w:line="240" w:lineRule="auto"/>
                    <w:jc w:val="center"/>
                    <w:rPr>
                      <w:rFonts w:eastAsia="Times New Roman" w:cs="Times New Roman"/>
                      <w:color w:val="000000"/>
                      <w:kern w:val="0"/>
                      <w:sz w:val="20"/>
                      <w:szCs w:val="20"/>
                      <w:lang w:eastAsia="en-GB"/>
                      <w14:ligatures w14:val="none"/>
                    </w:rPr>
                  </w:pPr>
                </w:p>
              </w:tc>
              <w:tc>
                <w:tcPr>
                  <w:tcW w:w="0" w:type="auto"/>
                  <w:noWrap/>
                  <w:tcMar>
                    <w:top w:w="15" w:type="dxa"/>
                    <w:left w:w="108" w:type="dxa"/>
                    <w:bottom w:w="15" w:type="dxa"/>
                    <w:right w:w="108" w:type="dxa"/>
                  </w:tcMar>
                </w:tcPr>
                <w:p w14:paraId="20E477C0" w14:textId="77777777" w:rsidR="00464E4B" w:rsidRPr="00DB0A53" w:rsidRDefault="00464E4B" w:rsidP="0041177B">
                  <w:pPr>
                    <w:spacing w:after="0" w:line="240" w:lineRule="auto"/>
                    <w:jc w:val="center"/>
                    <w:rPr>
                      <w:rFonts w:eastAsia="Times New Roman" w:cs="Times New Roman"/>
                      <w:color w:val="000000"/>
                      <w:kern w:val="0"/>
                      <w:sz w:val="20"/>
                      <w:szCs w:val="20"/>
                      <w:lang w:eastAsia="en-GB"/>
                      <w14:ligatures w14:val="none"/>
                    </w:rPr>
                  </w:pPr>
                </w:p>
              </w:tc>
              <w:tc>
                <w:tcPr>
                  <w:tcW w:w="0" w:type="auto"/>
                  <w:noWrap/>
                  <w:tcMar>
                    <w:top w:w="15" w:type="dxa"/>
                    <w:left w:w="108" w:type="dxa"/>
                    <w:bottom w:w="15" w:type="dxa"/>
                    <w:right w:w="108" w:type="dxa"/>
                  </w:tcMar>
                </w:tcPr>
                <w:p w14:paraId="77D2B9C4" w14:textId="77777777" w:rsidR="00464E4B" w:rsidRPr="00DB0A53" w:rsidRDefault="00464E4B" w:rsidP="0041177B">
                  <w:pPr>
                    <w:spacing w:after="0" w:line="240" w:lineRule="auto"/>
                    <w:jc w:val="center"/>
                    <w:rPr>
                      <w:rFonts w:eastAsia="Times New Roman" w:cs="Times New Roman"/>
                      <w:color w:val="000000"/>
                      <w:kern w:val="0"/>
                      <w:sz w:val="20"/>
                      <w:szCs w:val="20"/>
                      <w:lang w:eastAsia="en-GB"/>
                      <w14:ligatures w14:val="none"/>
                    </w:rPr>
                  </w:pPr>
                </w:p>
              </w:tc>
              <w:tc>
                <w:tcPr>
                  <w:tcW w:w="0" w:type="auto"/>
                  <w:tcBorders>
                    <w:right w:val="single" w:sz="4" w:space="0" w:color="auto"/>
                  </w:tcBorders>
                  <w:noWrap/>
                  <w:tcMar>
                    <w:top w:w="15" w:type="dxa"/>
                    <w:left w:w="108" w:type="dxa"/>
                    <w:bottom w:w="15" w:type="dxa"/>
                    <w:right w:w="108" w:type="dxa"/>
                  </w:tcMar>
                </w:tcPr>
                <w:p w14:paraId="6A2D9D2B" w14:textId="77777777" w:rsidR="00464E4B" w:rsidRPr="00DB0A53" w:rsidRDefault="00464E4B" w:rsidP="0041177B">
                  <w:pPr>
                    <w:spacing w:after="0" w:line="240" w:lineRule="auto"/>
                    <w:jc w:val="center"/>
                    <w:rPr>
                      <w:rFonts w:eastAsia="Times New Roman" w:cs="Times New Roman"/>
                      <w:color w:val="000000"/>
                      <w:kern w:val="0"/>
                      <w:sz w:val="20"/>
                      <w:szCs w:val="20"/>
                      <w:lang w:eastAsia="en-GB"/>
                      <w14:ligatures w14:val="none"/>
                    </w:rPr>
                  </w:pPr>
                </w:p>
              </w:tc>
              <w:tc>
                <w:tcPr>
                  <w:tcW w:w="0" w:type="auto"/>
                  <w:tcBorders>
                    <w:left w:val="single" w:sz="4" w:space="0" w:color="auto"/>
                  </w:tcBorders>
                </w:tcPr>
                <w:p w14:paraId="72F37C52" w14:textId="77777777" w:rsidR="00464E4B" w:rsidRPr="00DB0A53" w:rsidRDefault="00464E4B" w:rsidP="0041177B">
                  <w:pPr>
                    <w:spacing w:after="0" w:line="240" w:lineRule="auto"/>
                    <w:jc w:val="center"/>
                    <w:rPr>
                      <w:sz w:val="20"/>
                      <w:szCs w:val="20"/>
                    </w:rPr>
                  </w:pPr>
                </w:p>
              </w:tc>
              <w:tc>
                <w:tcPr>
                  <w:tcW w:w="0" w:type="auto"/>
                </w:tcPr>
                <w:p w14:paraId="01F53FBE" w14:textId="77777777" w:rsidR="00464E4B" w:rsidRPr="00DB0A53" w:rsidRDefault="00464E4B" w:rsidP="0041177B">
                  <w:pPr>
                    <w:spacing w:after="0" w:line="240" w:lineRule="auto"/>
                    <w:jc w:val="center"/>
                    <w:rPr>
                      <w:sz w:val="20"/>
                      <w:szCs w:val="20"/>
                    </w:rPr>
                  </w:pPr>
                  <w:r w:rsidRPr="00DB0A53">
                    <w:rPr>
                      <w:sz w:val="20"/>
                      <w:szCs w:val="20"/>
                    </w:rPr>
                    <w:t>2010-2022</w:t>
                  </w:r>
                </w:p>
              </w:tc>
              <w:tc>
                <w:tcPr>
                  <w:tcW w:w="0" w:type="auto"/>
                </w:tcPr>
                <w:p w14:paraId="389B0981" w14:textId="77777777" w:rsidR="00464E4B" w:rsidRPr="00DB0A53" w:rsidRDefault="00464E4B" w:rsidP="0041177B">
                  <w:pPr>
                    <w:spacing w:after="0" w:line="240" w:lineRule="auto"/>
                    <w:jc w:val="center"/>
                    <w:rPr>
                      <w:sz w:val="20"/>
                      <w:szCs w:val="20"/>
                    </w:rPr>
                  </w:pPr>
                  <w:r w:rsidRPr="00DB0A53">
                    <w:rPr>
                      <w:sz w:val="20"/>
                      <w:szCs w:val="20"/>
                    </w:rPr>
                    <w:t>-2.2</w:t>
                  </w:r>
                </w:p>
              </w:tc>
              <w:tc>
                <w:tcPr>
                  <w:tcW w:w="0" w:type="auto"/>
                </w:tcPr>
                <w:p w14:paraId="2EC87D86" w14:textId="77777777" w:rsidR="00464E4B" w:rsidRPr="00DB0A53" w:rsidRDefault="00464E4B" w:rsidP="0041177B">
                  <w:pPr>
                    <w:spacing w:after="0" w:line="240" w:lineRule="auto"/>
                    <w:jc w:val="center"/>
                    <w:rPr>
                      <w:sz w:val="20"/>
                      <w:szCs w:val="20"/>
                    </w:rPr>
                  </w:pPr>
                  <w:r w:rsidRPr="00DB0A53">
                    <w:rPr>
                      <w:sz w:val="20"/>
                      <w:szCs w:val="20"/>
                    </w:rPr>
                    <w:t>-3.1, -1.2</w:t>
                  </w:r>
                </w:p>
              </w:tc>
              <w:tc>
                <w:tcPr>
                  <w:tcW w:w="0" w:type="auto"/>
                </w:tcPr>
                <w:p w14:paraId="5C84381F" w14:textId="77777777" w:rsidR="00464E4B" w:rsidRPr="00DB0A53" w:rsidRDefault="00464E4B" w:rsidP="0041177B">
                  <w:pPr>
                    <w:spacing w:after="0" w:line="240" w:lineRule="auto"/>
                    <w:jc w:val="center"/>
                    <w:rPr>
                      <w:sz w:val="20"/>
                      <w:szCs w:val="20"/>
                    </w:rPr>
                  </w:pPr>
                  <w:r w:rsidRPr="00DB0A53">
                    <w:rPr>
                      <w:sz w:val="20"/>
                      <w:szCs w:val="20"/>
                    </w:rPr>
                    <w:t>down </w:t>
                  </w:r>
                </w:p>
              </w:tc>
            </w:tr>
          </w:tbl>
          <w:p w14:paraId="1656251D" w14:textId="77777777" w:rsidR="00464E4B" w:rsidRPr="00F80B0F" w:rsidRDefault="00464E4B" w:rsidP="0041177B">
            <w:pPr>
              <w:jc w:val="center"/>
              <w:rPr>
                <w:rFonts w:eastAsia="Times New Roman" w:cs="Times New Roman"/>
                <w:b/>
                <w:bCs/>
                <w:color w:val="000000"/>
                <w:sz w:val="14"/>
                <w:szCs w:val="14"/>
                <w:u w:val="single"/>
                <w:lang w:eastAsia="en-GB"/>
              </w:rPr>
            </w:pPr>
          </w:p>
        </w:tc>
      </w:tr>
      <w:tr w:rsidR="00464E4B" w:rsidRPr="00F80B0F" w14:paraId="3CFE3A85" w14:textId="77777777" w:rsidTr="0041177B">
        <w:trPr>
          <w:trHeight w:val="113"/>
        </w:trPr>
        <w:tc>
          <w:tcPr>
            <w:tcW w:w="9634" w:type="dxa"/>
            <w:vAlign w:val="center"/>
          </w:tcPr>
          <w:p w14:paraId="3975C5AC" w14:textId="77777777" w:rsidR="00464E4B" w:rsidRPr="00F80B0F" w:rsidRDefault="00464E4B" w:rsidP="0041177B">
            <w:pPr>
              <w:pBdr>
                <w:bottom w:val="single" w:sz="4" w:space="1" w:color="auto"/>
              </w:pBdr>
              <w:rPr>
                <w:rFonts w:asciiTheme="minorHAnsi" w:hAnsiTheme="minorHAnsi"/>
                <w:bCs/>
                <w:sz w:val="18"/>
                <w:szCs w:val="16"/>
                <w:lang w:val="en-GB"/>
              </w:rPr>
            </w:pPr>
            <w:r w:rsidRPr="00F80B0F">
              <w:rPr>
                <w:rFonts w:asciiTheme="minorHAnsi" w:hAnsiTheme="minorHAnsi"/>
                <w:bCs/>
                <w:sz w:val="18"/>
                <w:szCs w:val="16"/>
                <w:lang w:val="en-GB"/>
              </w:rPr>
              <w:t>APC%: average annual percentage change in rate over period and 95% confidence interval (95%CI) based on annual data points fitted with Joinpoint regression. Trend: ‘up’=significant increase, ‘down’=significant decrease, ‘flat’=no change (static), at the 95% level.</w:t>
            </w:r>
          </w:p>
          <w:p w14:paraId="762D2556" w14:textId="77777777" w:rsidR="00464E4B" w:rsidRPr="00F80B0F" w:rsidRDefault="00464E4B" w:rsidP="0041177B">
            <w:pPr>
              <w:rPr>
                <w:rFonts w:asciiTheme="minorHAnsi" w:hAnsiTheme="minorHAnsi"/>
                <w:b/>
                <w:bCs/>
                <w:noProof/>
                <w:sz w:val="14"/>
                <w:szCs w:val="14"/>
                <w:u w:val="single"/>
                <w:lang w:val="en-GB"/>
              </w:rPr>
            </w:pPr>
          </w:p>
        </w:tc>
      </w:tr>
    </w:tbl>
    <w:p w14:paraId="0017D7E9" w14:textId="77777777" w:rsidR="00464E4B" w:rsidRPr="00FC5D6E" w:rsidRDefault="00464E4B" w:rsidP="00464E4B">
      <w:pPr>
        <w:spacing w:after="0" w:line="240" w:lineRule="auto"/>
      </w:pPr>
    </w:p>
    <w:p w14:paraId="2DC2C616" w14:textId="77777777" w:rsidR="00464E4B" w:rsidRPr="00FC5D6E" w:rsidRDefault="00464E4B" w:rsidP="00464E4B">
      <w:pPr>
        <w:spacing w:after="0" w:line="240" w:lineRule="auto"/>
        <w:sectPr w:rsidR="00464E4B" w:rsidRPr="00FC5D6E" w:rsidSect="002746C0">
          <w:pgSz w:w="11906" w:h="16838"/>
          <w:pgMar w:top="1440" w:right="1440" w:bottom="1440" w:left="1440" w:header="708" w:footer="708" w:gutter="0"/>
          <w:cols w:space="708"/>
          <w:docGrid w:linePitch="360"/>
        </w:sectPr>
      </w:pPr>
    </w:p>
    <w:p w14:paraId="2435F590" w14:textId="77777777" w:rsidR="00464E4B" w:rsidRPr="00FC5D6E" w:rsidRDefault="00464E4B" w:rsidP="00464E4B">
      <w:pPr>
        <w:pStyle w:val="Heading3"/>
        <w:spacing w:before="0" w:after="0" w:line="240" w:lineRule="auto"/>
      </w:pPr>
      <w:bookmarkStart w:id="180" w:name="_Toc197557093"/>
      <w:bookmarkStart w:id="181" w:name="_Toc201512486"/>
      <w:r w:rsidRPr="00FC5D6E">
        <w:t>Survival</w:t>
      </w:r>
      <w:bookmarkEnd w:id="176"/>
      <w:bookmarkEnd w:id="180"/>
      <w:bookmarkEnd w:id="181"/>
      <w:r w:rsidRPr="00FC5D6E">
        <w:t xml:space="preserve"> </w:t>
      </w:r>
    </w:p>
    <w:p w14:paraId="451A65EF" w14:textId="2DFF11E9" w:rsidR="00464E4B" w:rsidRDefault="00464E4B" w:rsidP="00464E4B">
      <w:pPr>
        <w:spacing w:after="0" w:line="240" w:lineRule="auto"/>
        <w:rPr>
          <w:rFonts w:cstheme="minorHAnsi"/>
        </w:rPr>
      </w:pPr>
      <w:r w:rsidRPr="00FC5D6E">
        <w:rPr>
          <w:rFonts w:cstheme="minorHAnsi"/>
        </w:rPr>
        <w:t>Overall</w:t>
      </w:r>
      <w:r>
        <w:rPr>
          <w:rFonts w:cstheme="minorHAnsi"/>
        </w:rPr>
        <w:t>,</w:t>
      </w:r>
      <w:r w:rsidRPr="00FC5D6E">
        <w:rPr>
          <w:rFonts w:cstheme="minorHAnsi"/>
        </w:rPr>
        <w:t xml:space="preserve"> 5-year net survival was 65% for cases diagnosed during 2019-2022 (Figure </w:t>
      </w:r>
      <w:r w:rsidR="00CD7E7C">
        <w:rPr>
          <w:rFonts w:cstheme="minorHAnsi"/>
        </w:rPr>
        <w:t>10.6</w:t>
      </w:r>
      <w:r w:rsidRPr="00FC5D6E">
        <w:rPr>
          <w:rFonts w:cstheme="minorHAnsi"/>
        </w:rPr>
        <w:t xml:space="preserve">). </w:t>
      </w:r>
      <w:r>
        <w:rPr>
          <w:rFonts w:cstheme="minorHAnsi"/>
        </w:rPr>
        <w:t>Five</w:t>
      </w:r>
      <w:r w:rsidRPr="00FC5D6E">
        <w:rPr>
          <w:rFonts w:cstheme="minorHAnsi"/>
        </w:rPr>
        <w:t>-year net survival for 2019-2022 was 65% for both males and females during the 2019-2022 period.</w:t>
      </w:r>
    </w:p>
    <w:p w14:paraId="20C56CC0" w14:textId="77777777" w:rsidR="00464E4B" w:rsidRPr="00FC5D6E" w:rsidRDefault="00464E4B" w:rsidP="00464E4B">
      <w:pPr>
        <w:spacing w:after="0" w:line="240" w:lineRule="auto"/>
        <w:rPr>
          <w:rFonts w:cstheme="minorHAnsi"/>
          <w:highlight w:val="yellow"/>
        </w:rPr>
      </w:pPr>
    </w:p>
    <w:tbl>
      <w:tblPr>
        <w:tblW w:w="9442" w:type="dxa"/>
        <w:tblInd w:w="-426" w:type="dxa"/>
        <w:tblBorders>
          <w:bottom w:val="single" w:sz="4" w:space="0" w:color="auto"/>
        </w:tblBorders>
        <w:tblLook w:val="04A0" w:firstRow="1" w:lastRow="0" w:firstColumn="1" w:lastColumn="0" w:noHBand="0" w:noVBand="1"/>
      </w:tblPr>
      <w:tblGrid>
        <w:gridCol w:w="3198"/>
        <w:gridCol w:w="3104"/>
        <w:gridCol w:w="3140"/>
      </w:tblGrid>
      <w:tr w:rsidR="00464E4B" w:rsidRPr="00FC5D6E" w14:paraId="3202566C" w14:textId="77777777" w:rsidTr="0041177B">
        <w:trPr>
          <w:trHeight w:val="113"/>
        </w:trPr>
        <w:tc>
          <w:tcPr>
            <w:tcW w:w="9442" w:type="dxa"/>
            <w:gridSpan w:val="3"/>
            <w:shd w:val="clear" w:color="auto" w:fill="002060"/>
            <w:hideMark/>
          </w:tcPr>
          <w:p w14:paraId="50E9BCF1" w14:textId="51E22CC3" w:rsidR="00464E4B" w:rsidRPr="00CD7E7C" w:rsidRDefault="00464E4B" w:rsidP="0041177B">
            <w:pPr>
              <w:spacing w:after="0" w:line="240" w:lineRule="auto"/>
              <w:rPr>
                <w:rFonts w:cstheme="minorHAnsi"/>
                <w:b/>
                <w:bCs/>
              </w:rPr>
            </w:pPr>
            <w:r w:rsidRPr="00CD7E7C">
              <w:rPr>
                <w:rFonts w:cstheme="minorHAnsi"/>
                <w:b/>
                <w:bCs/>
              </w:rPr>
              <w:t xml:space="preserve">Figure </w:t>
            </w:r>
            <w:r w:rsidR="00CD7E7C" w:rsidRPr="00CD7E7C">
              <w:rPr>
                <w:rFonts w:cstheme="minorHAnsi"/>
                <w:b/>
                <w:bCs/>
              </w:rPr>
              <w:t>10.6:</w:t>
            </w:r>
            <w:r w:rsidRPr="00CD7E7C">
              <w:rPr>
                <w:rFonts w:cstheme="minorHAnsi"/>
                <w:b/>
                <w:bCs/>
              </w:rPr>
              <w:t xml:space="preserve"> Age-standardised 5-year net survival (%) for colon and rectosigmoid junction cancer over six consecutive diagnosis periods</w:t>
            </w:r>
          </w:p>
        </w:tc>
      </w:tr>
      <w:tr w:rsidR="00464E4B" w:rsidRPr="00FC5D6E" w14:paraId="6F603F36" w14:textId="77777777" w:rsidTr="0041177B">
        <w:trPr>
          <w:trHeight w:val="113"/>
        </w:trPr>
        <w:tc>
          <w:tcPr>
            <w:tcW w:w="3016" w:type="dxa"/>
            <w:hideMark/>
          </w:tcPr>
          <w:p w14:paraId="1EBA4427" w14:textId="77777777" w:rsidR="00464E4B" w:rsidRPr="00FC5D6E" w:rsidRDefault="00464E4B" w:rsidP="0041177B">
            <w:pPr>
              <w:spacing w:after="0" w:line="240" w:lineRule="auto"/>
              <w:jc w:val="center"/>
              <w:rPr>
                <w:rFonts w:cstheme="minorHAnsi"/>
                <w:color w:val="000000" w:themeColor="text1"/>
              </w:rPr>
            </w:pPr>
            <w:r w:rsidRPr="00FC5D6E">
              <w:rPr>
                <w:rFonts w:cstheme="minorHAnsi"/>
                <w:color w:val="000000" w:themeColor="text1"/>
              </w:rPr>
              <w:t>Total</w:t>
            </w:r>
          </w:p>
        </w:tc>
        <w:tc>
          <w:tcPr>
            <w:tcW w:w="3190" w:type="dxa"/>
          </w:tcPr>
          <w:p w14:paraId="6AD55A9E" w14:textId="77777777" w:rsidR="00464E4B" w:rsidRPr="00FC5D6E" w:rsidRDefault="00464E4B" w:rsidP="0041177B">
            <w:pPr>
              <w:spacing w:after="0" w:line="240" w:lineRule="auto"/>
              <w:jc w:val="center"/>
              <w:rPr>
                <w:rFonts w:cstheme="minorHAnsi"/>
                <w:color w:val="000000" w:themeColor="text1"/>
              </w:rPr>
            </w:pPr>
            <w:r>
              <w:rPr>
                <w:rFonts w:cstheme="minorHAnsi"/>
                <w:color w:val="000000" w:themeColor="text1"/>
              </w:rPr>
              <w:t>Males</w:t>
            </w:r>
          </w:p>
        </w:tc>
        <w:tc>
          <w:tcPr>
            <w:tcW w:w="3236" w:type="dxa"/>
          </w:tcPr>
          <w:p w14:paraId="1602400F" w14:textId="77777777" w:rsidR="00464E4B" w:rsidRPr="00FC5D6E" w:rsidRDefault="00464E4B" w:rsidP="0041177B">
            <w:pPr>
              <w:spacing w:after="0" w:line="240" w:lineRule="auto"/>
              <w:jc w:val="center"/>
              <w:rPr>
                <w:rFonts w:cstheme="minorHAnsi"/>
                <w:color w:val="000000" w:themeColor="text1"/>
              </w:rPr>
            </w:pPr>
            <w:r>
              <w:rPr>
                <w:rFonts w:cstheme="minorHAnsi"/>
                <w:color w:val="000000" w:themeColor="text1"/>
              </w:rPr>
              <w:t>Females</w:t>
            </w:r>
          </w:p>
        </w:tc>
      </w:tr>
      <w:tr w:rsidR="00464E4B" w:rsidRPr="00FC5D6E" w14:paraId="6A12097B" w14:textId="77777777" w:rsidTr="0041177B">
        <w:trPr>
          <w:trHeight w:val="2287"/>
        </w:trPr>
        <w:tc>
          <w:tcPr>
            <w:tcW w:w="3016" w:type="dxa"/>
          </w:tcPr>
          <w:p w14:paraId="5A65EA8F" w14:textId="77777777" w:rsidR="00464E4B" w:rsidRPr="00FC5D6E" w:rsidRDefault="00464E4B" w:rsidP="0041177B">
            <w:pPr>
              <w:spacing w:after="0" w:line="240" w:lineRule="auto"/>
              <w:rPr>
                <w:rFonts w:cstheme="minorHAnsi"/>
                <w:color w:val="000000" w:themeColor="text1"/>
              </w:rPr>
            </w:pPr>
            <w:r>
              <w:rPr>
                <w:rFonts w:cstheme="minorHAnsi"/>
                <w:noProof/>
                <w:color w:val="000000" w:themeColor="text1"/>
              </w:rPr>
              <w:drawing>
                <wp:inline distT="0" distB="0" distL="0" distR="0" wp14:anchorId="49C87C8B" wp14:editId="1E5C350F">
                  <wp:extent cx="1893973" cy="1260000"/>
                  <wp:effectExtent l="0" t="0" r="0" b="0"/>
                  <wp:docPr id="1310146328" name="Picture 22" descr="A graph of numbers and percent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6328" name="Picture 22" descr="A graph of numbers and percentages&#10;&#10;AI-generated content may be incorrect."/>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893973" cy="1260000"/>
                          </a:xfrm>
                          <a:prstGeom prst="rect">
                            <a:avLst/>
                          </a:prstGeom>
                          <a:noFill/>
                        </pic:spPr>
                      </pic:pic>
                    </a:graphicData>
                  </a:graphic>
                </wp:inline>
              </w:drawing>
            </w:r>
          </w:p>
        </w:tc>
        <w:tc>
          <w:tcPr>
            <w:tcW w:w="3190" w:type="dxa"/>
          </w:tcPr>
          <w:p w14:paraId="12E4582D" w14:textId="77777777" w:rsidR="00464E4B" w:rsidRPr="00FC5D6E" w:rsidRDefault="00464E4B" w:rsidP="0041177B">
            <w:pPr>
              <w:spacing w:after="0" w:line="240" w:lineRule="auto"/>
              <w:rPr>
                <w:rFonts w:cstheme="minorHAnsi"/>
                <w:color w:val="000000" w:themeColor="text1"/>
              </w:rPr>
            </w:pPr>
            <w:r>
              <w:rPr>
                <w:rFonts w:eastAsia="Times New Roman" w:cs="Times New Roman"/>
                <w:noProof/>
                <w:lang w:eastAsia="en-GB"/>
              </w:rPr>
              <w:drawing>
                <wp:inline distT="0" distB="0" distL="0" distR="0" wp14:anchorId="6DE5727A" wp14:editId="526C4874">
                  <wp:extent cx="1802500" cy="1260000"/>
                  <wp:effectExtent l="0" t="0" r="7620" b="0"/>
                  <wp:docPr id="1213791398" name="Picture 23" descr="A graph with numbers and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791398" name="Picture 23" descr="A graph with numbers and a number of objects&#10;&#10;AI-generated content may be incorrect."/>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802500" cy="1260000"/>
                          </a:xfrm>
                          <a:prstGeom prst="rect">
                            <a:avLst/>
                          </a:prstGeom>
                          <a:noFill/>
                        </pic:spPr>
                      </pic:pic>
                    </a:graphicData>
                  </a:graphic>
                </wp:inline>
              </w:drawing>
            </w:r>
          </w:p>
        </w:tc>
        <w:tc>
          <w:tcPr>
            <w:tcW w:w="3236" w:type="dxa"/>
          </w:tcPr>
          <w:p w14:paraId="5D178339" w14:textId="77777777" w:rsidR="00464E4B" w:rsidRPr="00FC5D6E" w:rsidRDefault="00464E4B" w:rsidP="0041177B">
            <w:pPr>
              <w:spacing w:after="0" w:line="240" w:lineRule="auto"/>
              <w:rPr>
                <w:rFonts w:cstheme="minorHAnsi"/>
                <w:color w:val="000000" w:themeColor="text1"/>
              </w:rPr>
            </w:pPr>
            <w:r>
              <w:rPr>
                <w:rFonts w:cstheme="minorHAnsi"/>
                <w:noProof/>
                <w:color w:val="000000" w:themeColor="text1"/>
              </w:rPr>
              <w:drawing>
                <wp:inline distT="0" distB="0" distL="0" distR="0" wp14:anchorId="56958F64" wp14:editId="42AAD515">
                  <wp:extent cx="1830231" cy="1260000"/>
                  <wp:effectExtent l="0" t="0" r="0" b="0"/>
                  <wp:docPr id="8481458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830231" cy="1260000"/>
                          </a:xfrm>
                          <a:prstGeom prst="rect">
                            <a:avLst/>
                          </a:prstGeom>
                          <a:noFill/>
                        </pic:spPr>
                      </pic:pic>
                    </a:graphicData>
                  </a:graphic>
                </wp:inline>
              </w:drawing>
            </w:r>
          </w:p>
        </w:tc>
      </w:tr>
    </w:tbl>
    <w:p w14:paraId="1D3BFB4B" w14:textId="77777777" w:rsidR="00CC3B9A" w:rsidRDefault="00CC3B9A" w:rsidP="00CC3B9A">
      <w:bookmarkStart w:id="182" w:name="_Toc196914590"/>
    </w:p>
    <w:p w14:paraId="6D465975" w14:textId="5A278FB0" w:rsidR="00464E4B" w:rsidRPr="00FC5D6E" w:rsidRDefault="0088553E" w:rsidP="00464E4B">
      <w:pPr>
        <w:pStyle w:val="Heading3"/>
        <w:spacing w:before="0" w:after="0" w:line="240" w:lineRule="auto"/>
      </w:pPr>
      <w:bookmarkStart w:id="183" w:name="_Toc197557094"/>
      <w:bookmarkStart w:id="184" w:name="_Toc201512487"/>
      <w:r>
        <w:t>P</w:t>
      </w:r>
      <w:r w:rsidR="00464E4B" w:rsidRPr="00FC5D6E">
        <w:t>opulation Attributable Fraction</w:t>
      </w:r>
      <w:bookmarkEnd w:id="182"/>
      <w:bookmarkEnd w:id="183"/>
      <w:bookmarkEnd w:id="184"/>
    </w:p>
    <w:p w14:paraId="3EE2CB0D" w14:textId="2A7DA7C6" w:rsidR="00464E4B" w:rsidRDefault="00464E4B" w:rsidP="00464E4B">
      <w:pPr>
        <w:spacing w:after="0" w:line="240" w:lineRule="auto"/>
        <w:rPr>
          <w:rFonts w:cstheme="minorHAnsi"/>
        </w:rPr>
      </w:pPr>
      <w:r w:rsidRPr="00FC5D6E">
        <w:rPr>
          <w:rFonts w:cstheme="minorHAnsi"/>
        </w:rPr>
        <w:t>In 2022, 1</w:t>
      </w:r>
      <w:r>
        <w:rPr>
          <w:rFonts w:cstheme="minorHAnsi"/>
        </w:rPr>
        <w:t>,</w:t>
      </w:r>
      <w:r w:rsidRPr="00FC5D6E">
        <w:rPr>
          <w:rFonts w:cstheme="minorHAnsi"/>
        </w:rPr>
        <w:t>977 cases were recorded (1</w:t>
      </w:r>
      <w:r>
        <w:rPr>
          <w:rFonts w:cstheme="minorHAnsi"/>
        </w:rPr>
        <w:t>,</w:t>
      </w:r>
      <w:r w:rsidRPr="00FC5D6E">
        <w:rPr>
          <w:rFonts w:cstheme="minorHAnsi"/>
        </w:rPr>
        <w:t xml:space="preserve">097 males, 880 females). The estimated total number of cases attributable to smoking in Ireland in 2022 was 107 (PAF 5.4%). Table </w:t>
      </w:r>
      <w:r w:rsidR="00CD7E7C">
        <w:rPr>
          <w:rFonts w:cstheme="minorHAnsi"/>
        </w:rPr>
        <w:t>10.1</w:t>
      </w:r>
      <w:r w:rsidRPr="00FC5D6E">
        <w:rPr>
          <w:rFonts w:cstheme="minorHAnsi"/>
        </w:rPr>
        <w:t xml:space="preserve"> presents the difference between male and female incidence related to smoking. Males had a slightly higher PAF than females, 5.7 % vs 5.0%.</w:t>
      </w:r>
    </w:p>
    <w:p w14:paraId="1D947AC8" w14:textId="77777777" w:rsidR="00464E4B" w:rsidRPr="00FC5D6E" w:rsidRDefault="00464E4B" w:rsidP="00464E4B">
      <w:pPr>
        <w:spacing w:after="0" w:line="240" w:lineRule="auto"/>
        <w:rPr>
          <w:rFonts w:cstheme="minorHAnsi"/>
        </w:rPr>
      </w:pPr>
    </w:p>
    <w:tbl>
      <w:tblPr>
        <w:tblW w:w="9585" w:type="dxa"/>
        <w:tblInd w:w="-5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00"/>
        <w:gridCol w:w="2293"/>
        <w:gridCol w:w="2428"/>
        <w:gridCol w:w="2264"/>
      </w:tblGrid>
      <w:tr w:rsidR="00464E4B" w:rsidRPr="00FC5D6E" w14:paraId="2D52C96E" w14:textId="77777777" w:rsidTr="0041177B">
        <w:trPr>
          <w:trHeight w:val="300"/>
        </w:trPr>
        <w:tc>
          <w:tcPr>
            <w:tcW w:w="9585" w:type="dxa"/>
            <w:gridSpan w:val="4"/>
            <w:tcBorders>
              <w:top w:val="single" w:sz="6" w:space="0" w:color="auto"/>
              <w:left w:val="single" w:sz="6" w:space="0" w:color="auto"/>
              <w:bottom w:val="single" w:sz="6" w:space="0" w:color="auto"/>
              <w:right w:val="single" w:sz="6" w:space="0" w:color="auto"/>
            </w:tcBorders>
            <w:shd w:val="clear" w:color="auto" w:fill="002060"/>
            <w:hideMark/>
          </w:tcPr>
          <w:p w14:paraId="643701F4" w14:textId="0C548FD4" w:rsidR="00464E4B" w:rsidRPr="00CD7E7C" w:rsidRDefault="00464E4B" w:rsidP="0041177B">
            <w:pPr>
              <w:spacing w:after="0" w:line="240" w:lineRule="auto"/>
              <w:textAlignment w:val="baseline"/>
              <w:rPr>
                <w:rFonts w:ascii="Segoe UI" w:eastAsia="Times New Roman" w:hAnsi="Segoe UI" w:cs="Segoe UI"/>
                <w:b/>
                <w:bCs/>
                <w:kern w:val="0"/>
                <w:sz w:val="18"/>
                <w:szCs w:val="18"/>
                <w:lang w:eastAsia="en-GB"/>
                <w14:ligatures w14:val="none"/>
              </w:rPr>
            </w:pPr>
            <w:r w:rsidRPr="00CD7E7C">
              <w:rPr>
                <w:rFonts w:ascii="Aptos" w:eastAsia="Times New Roman" w:hAnsi="Aptos" w:cs="Segoe UI"/>
                <w:b/>
                <w:bCs/>
                <w:color w:val="FFFFFF"/>
                <w:kern w:val="0"/>
                <w:lang w:eastAsia="en-GB"/>
                <w14:ligatures w14:val="none"/>
              </w:rPr>
              <w:t xml:space="preserve">Table </w:t>
            </w:r>
            <w:r w:rsidR="00CD7E7C" w:rsidRPr="00CD7E7C">
              <w:rPr>
                <w:rFonts w:ascii="Aptos" w:eastAsia="Times New Roman" w:hAnsi="Aptos" w:cs="Segoe UI"/>
                <w:b/>
                <w:bCs/>
                <w:color w:val="FFFFFF"/>
                <w:kern w:val="0"/>
                <w:lang w:eastAsia="en-GB"/>
                <w14:ligatures w14:val="none"/>
              </w:rPr>
              <w:t>10.1</w:t>
            </w:r>
            <w:r w:rsidRPr="00CD7E7C">
              <w:rPr>
                <w:rFonts w:ascii="Aptos" w:eastAsia="Times New Roman" w:hAnsi="Aptos" w:cs="Segoe UI"/>
                <w:b/>
                <w:bCs/>
                <w:color w:val="FFFFFF"/>
                <w:kern w:val="0"/>
                <w:lang w:eastAsia="en-GB"/>
                <w14:ligatures w14:val="none"/>
              </w:rPr>
              <w:t>: Population attributable fraction and attributable cases for colon &amp; rectosigmoid junction cancer in 2022 </w:t>
            </w:r>
          </w:p>
        </w:tc>
      </w:tr>
      <w:tr w:rsidR="00464E4B" w:rsidRPr="00FC5D6E" w14:paraId="487F812F" w14:textId="77777777" w:rsidTr="0041177B">
        <w:trPr>
          <w:trHeight w:val="300"/>
        </w:trPr>
        <w:tc>
          <w:tcPr>
            <w:tcW w:w="2600" w:type="dxa"/>
            <w:tcBorders>
              <w:top w:val="single" w:sz="6" w:space="0" w:color="auto"/>
              <w:left w:val="single" w:sz="6" w:space="0" w:color="auto"/>
              <w:bottom w:val="single" w:sz="6" w:space="0" w:color="auto"/>
              <w:right w:val="single" w:sz="6" w:space="0" w:color="auto"/>
            </w:tcBorders>
            <w:shd w:val="clear" w:color="auto" w:fill="auto"/>
            <w:hideMark/>
          </w:tcPr>
          <w:p w14:paraId="5C0647FE" w14:textId="77777777" w:rsidR="00464E4B" w:rsidRPr="00FC5D6E" w:rsidRDefault="00464E4B" w:rsidP="0041177B">
            <w:pPr>
              <w:spacing w:after="0" w:line="240" w:lineRule="auto"/>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7804BC9A"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Total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68C45E46"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Males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506186DC"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Females </w:t>
            </w:r>
          </w:p>
        </w:tc>
      </w:tr>
      <w:tr w:rsidR="00464E4B" w:rsidRPr="00FC5D6E" w14:paraId="565967C1" w14:textId="77777777" w:rsidTr="0041177B">
        <w:trPr>
          <w:trHeight w:val="300"/>
        </w:trPr>
        <w:tc>
          <w:tcPr>
            <w:tcW w:w="2600" w:type="dxa"/>
            <w:tcBorders>
              <w:top w:val="single" w:sz="6" w:space="0" w:color="auto"/>
              <w:left w:val="single" w:sz="6" w:space="0" w:color="auto"/>
              <w:bottom w:val="single" w:sz="6" w:space="0" w:color="auto"/>
              <w:right w:val="single" w:sz="6" w:space="0" w:color="auto"/>
            </w:tcBorders>
            <w:shd w:val="clear" w:color="auto" w:fill="auto"/>
            <w:hideMark/>
          </w:tcPr>
          <w:p w14:paraId="5E8BCB0E" w14:textId="77777777" w:rsidR="00464E4B" w:rsidRPr="00FC5D6E" w:rsidRDefault="00464E4B" w:rsidP="0041177B">
            <w:pPr>
              <w:spacing w:after="0" w:line="240" w:lineRule="auto"/>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PAF (%)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33F9AFE7"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5.4 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0CDE0644"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5.7 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3CA30DE9"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5.0 </w:t>
            </w:r>
          </w:p>
        </w:tc>
      </w:tr>
      <w:tr w:rsidR="00DF58EB" w:rsidRPr="00FC5D6E" w14:paraId="41526B54" w14:textId="77777777" w:rsidTr="0041177B">
        <w:trPr>
          <w:trHeight w:val="300"/>
        </w:trPr>
        <w:tc>
          <w:tcPr>
            <w:tcW w:w="2600" w:type="dxa"/>
            <w:tcBorders>
              <w:top w:val="single" w:sz="6" w:space="0" w:color="auto"/>
              <w:left w:val="single" w:sz="6" w:space="0" w:color="auto"/>
              <w:bottom w:val="single" w:sz="6" w:space="0" w:color="auto"/>
              <w:right w:val="single" w:sz="6" w:space="0" w:color="auto"/>
            </w:tcBorders>
            <w:shd w:val="clear" w:color="auto" w:fill="auto"/>
          </w:tcPr>
          <w:p w14:paraId="2C907EDA" w14:textId="05FC8CA6" w:rsidR="00DF58EB" w:rsidRPr="00FC5D6E" w:rsidRDefault="00DF58EB" w:rsidP="0041177B">
            <w:pPr>
              <w:spacing w:after="0" w:line="240" w:lineRule="auto"/>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Total cases</w:t>
            </w:r>
          </w:p>
        </w:tc>
        <w:tc>
          <w:tcPr>
            <w:tcW w:w="2293" w:type="dxa"/>
            <w:tcBorders>
              <w:top w:val="single" w:sz="6" w:space="0" w:color="auto"/>
              <w:left w:val="single" w:sz="6" w:space="0" w:color="auto"/>
              <w:bottom w:val="single" w:sz="6" w:space="0" w:color="auto"/>
              <w:right w:val="single" w:sz="6" w:space="0" w:color="auto"/>
            </w:tcBorders>
            <w:shd w:val="clear" w:color="auto" w:fill="auto"/>
          </w:tcPr>
          <w:p w14:paraId="3E5F3980" w14:textId="799E0EA9" w:rsidR="00DF58EB" w:rsidRPr="00FC5D6E" w:rsidRDefault="00DF58EB"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1,977</w:t>
            </w:r>
          </w:p>
        </w:tc>
        <w:tc>
          <w:tcPr>
            <w:tcW w:w="2428" w:type="dxa"/>
            <w:tcBorders>
              <w:top w:val="single" w:sz="6" w:space="0" w:color="auto"/>
              <w:left w:val="single" w:sz="6" w:space="0" w:color="auto"/>
              <w:bottom w:val="single" w:sz="6" w:space="0" w:color="auto"/>
              <w:right w:val="single" w:sz="6" w:space="0" w:color="auto"/>
            </w:tcBorders>
            <w:shd w:val="clear" w:color="auto" w:fill="auto"/>
          </w:tcPr>
          <w:p w14:paraId="662DC834" w14:textId="7236E54B" w:rsidR="00DF58EB" w:rsidRPr="00FC5D6E" w:rsidRDefault="00DF58EB"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1,097</w:t>
            </w:r>
          </w:p>
        </w:tc>
        <w:tc>
          <w:tcPr>
            <w:tcW w:w="2264" w:type="dxa"/>
            <w:tcBorders>
              <w:top w:val="single" w:sz="6" w:space="0" w:color="auto"/>
              <w:left w:val="single" w:sz="6" w:space="0" w:color="auto"/>
              <w:bottom w:val="single" w:sz="6" w:space="0" w:color="auto"/>
              <w:right w:val="single" w:sz="6" w:space="0" w:color="auto"/>
            </w:tcBorders>
            <w:shd w:val="clear" w:color="auto" w:fill="auto"/>
          </w:tcPr>
          <w:p w14:paraId="05665187" w14:textId="6717D1D1" w:rsidR="00DF58EB" w:rsidRPr="00FC5D6E" w:rsidRDefault="00DF58EB"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880</w:t>
            </w:r>
          </w:p>
        </w:tc>
      </w:tr>
      <w:tr w:rsidR="00464E4B" w:rsidRPr="00FC5D6E" w14:paraId="48CC6602" w14:textId="77777777" w:rsidTr="0041177B">
        <w:trPr>
          <w:trHeight w:val="300"/>
        </w:trPr>
        <w:tc>
          <w:tcPr>
            <w:tcW w:w="2600" w:type="dxa"/>
            <w:tcBorders>
              <w:top w:val="single" w:sz="6" w:space="0" w:color="auto"/>
              <w:left w:val="single" w:sz="6" w:space="0" w:color="auto"/>
              <w:bottom w:val="single" w:sz="6" w:space="0" w:color="auto"/>
              <w:right w:val="single" w:sz="6" w:space="0" w:color="auto"/>
            </w:tcBorders>
            <w:shd w:val="clear" w:color="auto" w:fill="auto"/>
            <w:hideMark/>
          </w:tcPr>
          <w:p w14:paraId="3EEE3539" w14:textId="77777777" w:rsidR="00464E4B" w:rsidRPr="00FC5D6E" w:rsidRDefault="00464E4B" w:rsidP="0041177B">
            <w:pPr>
              <w:spacing w:after="0" w:line="240" w:lineRule="auto"/>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Attributable cases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537CAAF1"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107 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70B6B438"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63 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2C2CABED"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44 </w:t>
            </w:r>
          </w:p>
        </w:tc>
      </w:tr>
    </w:tbl>
    <w:p w14:paraId="64723C6E" w14:textId="77777777" w:rsidR="00464E4B" w:rsidRPr="00FC5D6E" w:rsidRDefault="00464E4B" w:rsidP="00464E4B">
      <w:pPr>
        <w:spacing w:after="0" w:line="240" w:lineRule="auto"/>
        <w:sectPr w:rsidR="00464E4B" w:rsidRPr="00FC5D6E" w:rsidSect="002746C0">
          <w:pgSz w:w="11906" w:h="16838"/>
          <w:pgMar w:top="1440" w:right="1440" w:bottom="1440" w:left="1440" w:header="708" w:footer="708" w:gutter="0"/>
          <w:cols w:space="708"/>
          <w:docGrid w:linePitch="360"/>
        </w:sectPr>
      </w:pPr>
    </w:p>
    <w:p w14:paraId="0D8542C6" w14:textId="77777777" w:rsidR="00464E4B" w:rsidRPr="00C033E5" w:rsidRDefault="00464E4B" w:rsidP="00C65D1E">
      <w:pPr>
        <w:pStyle w:val="Heading2"/>
        <w:spacing w:before="0" w:after="0" w:line="240" w:lineRule="auto"/>
      </w:pPr>
      <w:bookmarkStart w:id="185" w:name="_Toc196914591"/>
      <w:bookmarkStart w:id="186" w:name="_Toc197557095"/>
      <w:bookmarkStart w:id="187" w:name="_Toc201512488"/>
      <w:r w:rsidRPr="00C033E5">
        <w:t>Rectum</w:t>
      </w:r>
      <w:r w:rsidRPr="00C033E5">
        <w:tab/>
        <w:t>C20</w:t>
      </w:r>
      <w:bookmarkEnd w:id="185"/>
      <w:bookmarkEnd w:id="186"/>
      <w:bookmarkEnd w:id="187"/>
    </w:p>
    <w:p w14:paraId="4C5F4E3E" w14:textId="77777777" w:rsidR="00464E4B" w:rsidRPr="00FC5D6E" w:rsidRDefault="00464E4B" w:rsidP="00C65D1E">
      <w:pPr>
        <w:numPr>
          <w:ilvl w:val="1"/>
          <w:numId w:val="0"/>
        </w:numPr>
        <w:spacing w:after="0" w:line="240" w:lineRule="auto"/>
        <w:rPr>
          <w:rFonts w:eastAsiaTheme="majorEastAsia" w:cstheme="minorHAnsi"/>
          <w:i/>
          <w:iCs/>
          <w:color w:val="0F4761" w:themeColor="accent1" w:themeShade="BF"/>
          <w:spacing w:val="15"/>
          <w:sz w:val="28"/>
          <w:szCs w:val="28"/>
        </w:rPr>
      </w:pPr>
      <w:r w:rsidRPr="00FC5D6E">
        <w:rPr>
          <w:rFonts w:eastAsiaTheme="majorEastAsia" w:cstheme="minorHAnsi"/>
          <w:i/>
          <w:iCs/>
          <w:color w:val="0F4761" w:themeColor="accent1" w:themeShade="BF"/>
          <w:spacing w:val="15"/>
          <w:sz w:val="28"/>
          <w:szCs w:val="28"/>
        </w:rPr>
        <w:t>Key points</w:t>
      </w:r>
    </w:p>
    <w:p w14:paraId="7F496FB8" w14:textId="77777777" w:rsidR="00464E4B" w:rsidRPr="00FC5D6E" w:rsidRDefault="00464E4B" w:rsidP="00C65D1E">
      <w:pPr>
        <w:numPr>
          <w:ilvl w:val="1"/>
          <w:numId w:val="0"/>
        </w:numPr>
        <w:spacing w:after="0" w:line="240" w:lineRule="auto"/>
        <w:rPr>
          <w:rFonts w:eastAsiaTheme="majorEastAsia" w:cstheme="minorHAnsi"/>
          <w:i/>
          <w:iCs/>
          <w:color w:val="595959" w:themeColor="text1" w:themeTint="A6"/>
          <w:spacing w:val="15"/>
        </w:rPr>
      </w:pPr>
      <w:r w:rsidRPr="00FC5D6E">
        <w:rPr>
          <w:rFonts w:eastAsiaTheme="majorEastAsia" w:cstheme="minorHAnsi"/>
          <w:i/>
          <w:iCs/>
          <w:color w:val="595959" w:themeColor="text1" w:themeTint="A6"/>
          <w:spacing w:val="15"/>
        </w:rPr>
        <w:t>Incidence</w:t>
      </w:r>
    </w:p>
    <w:p w14:paraId="77308C6B" w14:textId="343EDDDA" w:rsidR="00464E4B" w:rsidRPr="00FC5D6E" w:rsidRDefault="00464E4B" w:rsidP="00C65D1E">
      <w:pPr>
        <w:numPr>
          <w:ilvl w:val="0"/>
          <w:numId w:val="29"/>
        </w:numPr>
        <w:spacing w:after="0" w:line="240" w:lineRule="auto"/>
        <w:contextualSpacing/>
        <w:jc w:val="both"/>
        <w:rPr>
          <w:rFonts w:cstheme="minorHAnsi"/>
        </w:rPr>
      </w:pPr>
      <w:r w:rsidRPr="00FC5D6E">
        <w:rPr>
          <w:rFonts w:cstheme="minorHAnsi"/>
        </w:rPr>
        <w:t>Incidence</w:t>
      </w:r>
      <w:r w:rsidR="0088553E">
        <w:rPr>
          <w:rFonts w:cstheme="minorHAnsi"/>
        </w:rPr>
        <w:t xml:space="preserve"> rated</w:t>
      </w:r>
      <w:r w:rsidRPr="00FC5D6E">
        <w:rPr>
          <w:rFonts w:cstheme="minorHAnsi"/>
        </w:rPr>
        <w:t xml:space="preserve"> remained stable for males from 1994 to 2001 before a period of steady decrease from 2001 to 2022. </w:t>
      </w:r>
    </w:p>
    <w:p w14:paraId="1C87CAA0" w14:textId="1FA44CB6" w:rsidR="00464E4B" w:rsidRPr="00FC5D6E" w:rsidRDefault="00464E4B" w:rsidP="00C65D1E">
      <w:pPr>
        <w:numPr>
          <w:ilvl w:val="0"/>
          <w:numId w:val="29"/>
        </w:numPr>
        <w:spacing w:after="0" w:line="240" w:lineRule="auto"/>
        <w:contextualSpacing/>
        <w:jc w:val="both"/>
        <w:rPr>
          <w:rFonts w:cstheme="minorHAnsi"/>
        </w:rPr>
      </w:pPr>
      <w:r w:rsidRPr="00FC5D6E">
        <w:rPr>
          <w:rFonts w:cstheme="minorHAnsi"/>
        </w:rPr>
        <w:t xml:space="preserve">Across the period </w:t>
      </w:r>
      <w:r w:rsidR="0088553E">
        <w:rPr>
          <w:rFonts w:cstheme="minorHAnsi"/>
        </w:rPr>
        <w:t xml:space="preserve">1994-2022 incidence </w:t>
      </w:r>
      <w:r w:rsidRPr="00FC5D6E">
        <w:rPr>
          <w:rFonts w:cstheme="minorHAnsi"/>
        </w:rPr>
        <w:t xml:space="preserve">rates decreased steadily among </w:t>
      </w:r>
      <w:r w:rsidR="00BC7D1F">
        <w:rPr>
          <w:rFonts w:cstheme="minorHAnsi"/>
        </w:rPr>
        <w:t>females</w:t>
      </w:r>
      <w:r w:rsidRPr="00FC5D6E">
        <w:rPr>
          <w:rFonts w:cstheme="minorHAnsi"/>
        </w:rPr>
        <w:t>.</w:t>
      </w:r>
    </w:p>
    <w:p w14:paraId="0060A50B" w14:textId="77777777" w:rsidR="002149D7" w:rsidRPr="002149D7" w:rsidRDefault="002149D7" w:rsidP="00C65D1E">
      <w:pPr>
        <w:pStyle w:val="ListParagraph"/>
        <w:numPr>
          <w:ilvl w:val="0"/>
          <w:numId w:val="29"/>
        </w:numPr>
        <w:spacing w:after="0" w:line="240" w:lineRule="auto"/>
        <w:rPr>
          <w:rFonts w:cstheme="minorHAnsi"/>
          <w:color w:val="000000" w:themeColor="text1"/>
        </w:rPr>
      </w:pPr>
      <w:r w:rsidRPr="002149D7">
        <w:rPr>
          <w:rFonts w:cstheme="minorHAnsi"/>
          <w:color w:val="000000" w:themeColor="text1"/>
        </w:rPr>
        <w:t>Incidence rates in the diagnosis period 2014-2018 were similar across deprivation quintiles.</w:t>
      </w:r>
    </w:p>
    <w:p w14:paraId="49C12C21" w14:textId="77777777" w:rsidR="00464E4B" w:rsidRPr="00FC5D6E" w:rsidRDefault="00464E4B" w:rsidP="00C65D1E">
      <w:pPr>
        <w:spacing w:after="0" w:line="240" w:lineRule="auto"/>
        <w:jc w:val="both"/>
        <w:rPr>
          <w:rFonts w:cstheme="minorHAnsi"/>
          <w:i/>
          <w:iCs/>
          <w:color w:val="808080" w:themeColor="background1" w:themeShade="80"/>
        </w:rPr>
      </w:pPr>
      <w:r w:rsidRPr="00FC5D6E">
        <w:rPr>
          <w:rFonts w:cstheme="minorHAnsi"/>
          <w:i/>
          <w:iCs/>
          <w:color w:val="808080" w:themeColor="background1" w:themeShade="80"/>
        </w:rPr>
        <w:t>Mortality</w:t>
      </w:r>
    </w:p>
    <w:p w14:paraId="6F209F5B" w14:textId="6D6BDDDF" w:rsidR="00464E4B" w:rsidRPr="00FC5D6E" w:rsidRDefault="00464E4B" w:rsidP="00C65D1E">
      <w:pPr>
        <w:numPr>
          <w:ilvl w:val="0"/>
          <w:numId w:val="30"/>
        </w:numPr>
        <w:spacing w:after="0" w:line="240" w:lineRule="auto"/>
        <w:contextualSpacing/>
        <w:jc w:val="both"/>
        <w:rPr>
          <w:rFonts w:eastAsia="Times New Roman" w:cstheme="minorHAnsi"/>
        </w:rPr>
      </w:pPr>
      <w:r w:rsidRPr="00FC5D6E">
        <w:rPr>
          <w:rFonts w:eastAsia="Times New Roman" w:cstheme="minorHAnsi"/>
        </w:rPr>
        <w:t xml:space="preserve">Among males </w:t>
      </w:r>
      <w:r w:rsidR="002F396D">
        <w:rPr>
          <w:rFonts w:eastAsia="Times New Roman" w:cstheme="minorHAnsi"/>
        </w:rPr>
        <w:t xml:space="preserve">and females </w:t>
      </w:r>
      <w:r w:rsidRPr="00FC5D6E">
        <w:rPr>
          <w:rFonts w:eastAsia="Times New Roman" w:cstheme="minorHAnsi"/>
        </w:rPr>
        <w:t xml:space="preserve">mortality rates </w:t>
      </w:r>
      <w:r w:rsidR="002F396D">
        <w:rPr>
          <w:rFonts w:eastAsia="Times New Roman" w:cstheme="minorHAnsi"/>
        </w:rPr>
        <w:t>decreased from 2007-2022.</w:t>
      </w:r>
    </w:p>
    <w:p w14:paraId="2AD5C34A" w14:textId="485637A4" w:rsidR="00464E4B" w:rsidRPr="00FC5D6E" w:rsidRDefault="00464E4B" w:rsidP="00C65D1E">
      <w:pPr>
        <w:spacing w:after="0" w:line="240" w:lineRule="auto"/>
        <w:contextualSpacing/>
        <w:jc w:val="both"/>
        <w:rPr>
          <w:rFonts w:eastAsiaTheme="majorEastAsia" w:cstheme="minorHAnsi"/>
          <w:i/>
          <w:iCs/>
          <w:color w:val="595959" w:themeColor="text1" w:themeTint="A6"/>
          <w:spacing w:val="15"/>
        </w:rPr>
      </w:pPr>
      <w:r w:rsidRPr="00FC5D6E">
        <w:rPr>
          <w:rFonts w:eastAsiaTheme="majorEastAsia" w:cstheme="minorHAnsi"/>
          <w:i/>
          <w:iCs/>
          <w:color w:val="595959" w:themeColor="text1" w:themeTint="A6"/>
          <w:spacing w:val="15"/>
        </w:rPr>
        <w:t>Survival</w:t>
      </w:r>
    </w:p>
    <w:p w14:paraId="65B1C27A" w14:textId="0A961FD5" w:rsidR="00464E4B" w:rsidRPr="00560200" w:rsidRDefault="00464E4B" w:rsidP="00C65D1E">
      <w:pPr>
        <w:numPr>
          <w:ilvl w:val="0"/>
          <w:numId w:val="30"/>
        </w:numPr>
        <w:spacing w:after="0" w:line="240" w:lineRule="auto"/>
        <w:contextualSpacing/>
        <w:jc w:val="both"/>
        <w:rPr>
          <w:rFonts w:eastAsia="Times New Roman" w:cstheme="minorHAnsi"/>
        </w:rPr>
      </w:pPr>
      <w:r w:rsidRPr="00560200">
        <w:rPr>
          <w:rFonts w:eastAsia="Times New Roman" w:cstheme="minorHAnsi"/>
        </w:rPr>
        <w:t xml:space="preserve">5-year net survival was 67% for cases diagnosed during 2019-2022. </w:t>
      </w:r>
    </w:p>
    <w:p w14:paraId="67A3FDC7" w14:textId="77777777" w:rsidR="00464E4B" w:rsidRPr="00FC5D6E" w:rsidRDefault="00464E4B" w:rsidP="00C65D1E">
      <w:pPr>
        <w:numPr>
          <w:ilvl w:val="1"/>
          <w:numId w:val="0"/>
        </w:numPr>
        <w:spacing w:after="0" w:line="240" w:lineRule="auto"/>
        <w:rPr>
          <w:rFonts w:cstheme="minorHAnsi"/>
          <w:i/>
          <w:iCs/>
        </w:rPr>
      </w:pPr>
      <w:r w:rsidRPr="00FC5D6E">
        <w:rPr>
          <w:rFonts w:eastAsiaTheme="majorEastAsia" w:cstheme="minorHAnsi"/>
          <w:i/>
          <w:iCs/>
          <w:color w:val="595959" w:themeColor="text1" w:themeTint="A6"/>
          <w:spacing w:val="15"/>
        </w:rPr>
        <w:t>Population attributable fraction</w:t>
      </w:r>
    </w:p>
    <w:p w14:paraId="194BBC19" w14:textId="77777777" w:rsidR="00464E4B" w:rsidRPr="00FC5D6E" w:rsidRDefault="00464E4B" w:rsidP="00C65D1E">
      <w:pPr>
        <w:numPr>
          <w:ilvl w:val="0"/>
          <w:numId w:val="31"/>
        </w:numPr>
        <w:spacing w:after="0" w:line="240" w:lineRule="auto"/>
        <w:contextualSpacing/>
      </w:pPr>
      <w:r w:rsidRPr="00FC5D6E">
        <w:t>The estimated total number of rect</w:t>
      </w:r>
      <w:r>
        <w:t>al</w:t>
      </w:r>
      <w:r w:rsidRPr="00FC5D6E">
        <w:t xml:space="preserve"> cancer cases attributable to smoking in Ireland in 2022 was 68 (PAF 8.3%). </w:t>
      </w:r>
    </w:p>
    <w:p w14:paraId="6CABD5B6" w14:textId="77777777" w:rsidR="00464E4B" w:rsidRPr="00FC5D6E" w:rsidRDefault="00464E4B" w:rsidP="00464E4B">
      <w:pPr>
        <w:spacing w:after="0" w:line="240" w:lineRule="auto"/>
      </w:pPr>
    </w:p>
    <w:p w14:paraId="17329EB5" w14:textId="77777777" w:rsidR="00464E4B" w:rsidRPr="00FC5D6E" w:rsidRDefault="00464E4B" w:rsidP="00464E4B">
      <w:pPr>
        <w:spacing w:after="0" w:line="240" w:lineRule="auto"/>
        <w:sectPr w:rsidR="00464E4B" w:rsidRPr="00FC5D6E" w:rsidSect="002746C0">
          <w:pgSz w:w="11906" w:h="16838"/>
          <w:pgMar w:top="1440" w:right="1440" w:bottom="1440" w:left="1440" w:header="708" w:footer="708" w:gutter="0"/>
          <w:cols w:space="708"/>
          <w:docGrid w:linePitch="360"/>
        </w:sectPr>
      </w:pPr>
    </w:p>
    <w:p w14:paraId="0BFF3556" w14:textId="77777777" w:rsidR="00464E4B" w:rsidRPr="007D3FC8" w:rsidRDefault="00464E4B" w:rsidP="00464E4B">
      <w:pPr>
        <w:pStyle w:val="Heading3"/>
        <w:spacing w:before="0" w:after="0" w:line="240" w:lineRule="auto"/>
      </w:pPr>
      <w:bookmarkStart w:id="188" w:name="_Toc197557096"/>
      <w:bookmarkStart w:id="189" w:name="_Toc201512489"/>
      <w:bookmarkStart w:id="190" w:name="_Toc196914594"/>
      <w:r w:rsidRPr="007D3FC8">
        <w:t>Incidence</w:t>
      </w:r>
      <w:bookmarkEnd w:id="188"/>
      <w:bookmarkEnd w:id="189"/>
    </w:p>
    <w:p w14:paraId="58ADE4D4" w14:textId="2ED6509C" w:rsidR="00464E4B" w:rsidRDefault="00464E4B" w:rsidP="00464E4B">
      <w:pPr>
        <w:spacing w:after="0" w:line="240" w:lineRule="auto"/>
        <w:rPr>
          <w:rFonts w:cstheme="minorHAnsi"/>
        </w:rPr>
      </w:pPr>
      <w:r>
        <w:t xml:space="preserve">Between </w:t>
      </w:r>
      <w:r w:rsidRPr="00FC5D6E">
        <w:t>1994-2022</w:t>
      </w:r>
      <w:r>
        <w:t>,</w:t>
      </w:r>
      <w:r w:rsidRPr="00FC5D6E">
        <w:t xml:space="preserve"> 18,150 cases of rect</w:t>
      </w:r>
      <w:r>
        <w:t>al</w:t>
      </w:r>
      <w:r w:rsidRPr="00FC5D6E">
        <w:t xml:space="preserve"> cancer </w:t>
      </w:r>
      <w:r>
        <w:t>were</w:t>
      </w:r>
      <w:r w:rsidRPr="00FC5D6E">
        <w:t xml:space="preserve"> reported (11,857 </w:t>
      </w:r>
      <w:r w:rsidR="00CD7E7C">
        <w:t>m</w:t>
      </w:r>
      <w:r w:rsidRPr="00FC5D6E">
        <w:t xml:space="preserve">ales, 6,293 </w:t>
      </w:r>
      <w:r w:rsidR="00CD7E7C">
        <w:t>f</w:t>
      </w:r>
      <w:r w:rsidRPr="00FC5D6E">
        <w:t>emales). The median age at diagnosis was 68 years (</w:t>
      </w:r>
      <w:r>
        <w:t xml:space="preserve">IQR: </w:t>
      </w:r>
      <w:r w:rsidRPr="00FC5D6E">
        <w:t>60-76) for males and 68 (</w:t>
      </w:r>
      <w:r>
        <w:t xml:space="preserve">IQR: </w:t>
      </w:r>
      <w:r w:rsidRPr="00FC5D6E">
        <w:t>58-78) for females.</w:t>
      </w:r>
      <w:r>
        <w:t xml:space="preserve"> </w:t>
      </w:r>
      <w:r w:rsidRPr="00FC5D6E">
        <w:rPr>
          <w:rFonts w:cstheme="minorHAnsi"/>
        </w:rPr>
        <w:t xml:space="preserve">Age-standardised incidence rates of </w:t>
      </w:r>
      <w:r w:rsidR="002C41FA">
        <w:rPr>
          <w:rFonts w:cstheme="minorHAnsi"/>
        </w:rPr>
        <w:t>rectal</w:t>
      </w:r>
      <w:r w:rsidRPr="00FC5D6E">
        <w:rPr>
          <w:rFonts w:cstheme="minorHAnsi"/>
        </w:rPr>
        <w:t xml:space="preserve"> cancer</w:t>
      </w:r>
      <w:r>
        <w:rPr>
          <w:rFonts w:cstheme="minorHAnsi"/>
        </w:rPr>
        <w:t xml:space="preserve"> </w:t>
      </w:r>
      <w:r w:rsidR="0088553E">
        <w:rPr>
          <w:rFonts w:cstheme="minorHAnsi"/>
        </w:rPr>
        <w:t xml:space="preserve">during the period </w:t>
      </w:r>
      <w:r w:rsidRPr="00FC5D6E">
        <w:rPr>
          <w:rFonts w:cstheme="minorHAnsi"/>
        </w:rPr>
        <w:t>1994-2022 were 30.6 cases per 100,000 males and 13.6 cases per 100,000 females</w:t>
      </w:r>
      <w:r w:rsidR="0088553E">
        <w:rPr>
          <w:rFonts w:cstheme="minorHAnsi"/>
        </w:rPr>
        <w:t xml:space="preserve"> per year</w:t>
      </w:r>
      <w:r>
        <w:rPr>
          <w:rFonts w:cstheme="minorHAnsi"/>
        </w:rPr>
        <w:t xml:space="preserve">. </w:t>
      </w:r>
      <w:r w:rsidRPr="00FC5D6E">
        <w:rPr>
          <w:rFonts w:cstheme="minorHAnsi"/>
        </w:rPr>
        <w:t xml:space="preserve">Figure </w:t>
      </w:r>
      <w:r w:rsidR="00CD7E7C">
        <w:rPr>
          <w:rFonts w:cstheme="minorHAnsi"/>
        </w:rPr>
        <w:t>10.7</w:t>
      </w:r>
      <w:r w:rsidRPr="00FC5D6E">
        <w:rPr>
          <w:rFonts w:cstheme="minorHAnsi"/>
        </w:rPr>
        <w:t xml:space="preserve"> breaks this down further by sex and age group.</w:t>
      </w:r>
    </w:p>
    <w:p w14:paraId="223088E3" w14:textId="77777777" w:rsidR="00464E4B" w:rsidRPr="00FC5D6E" w:rsidRDefault="00464E4B" w:rsidP="00464E4B">
      <w:pPr>
        <w:spacing w:after="0" w:line="240" w:lineRule="auto"/>
        <w:rPr>
          <w:rFonts w:cstheme="minorHAnsi"/>
        </w:rPr>
      </w:pPr>
    </w:p>
    <w:tbl>
      <w:tblPr>
        <w:tblW w:w="9768" w:type="dxa"/>
        <w:tblInd w:w="-752" w:type="dxa"/>
        <w:tblBorders>
          <w:bottom w:val="single" w:sz="4" w:space="0" w:color="auto"/>
        </w:tblBorders>
        <w:tblLook w:val="04A0" w:firstRow="1" w:lastRow="0" w:firstColumn="1" w:lastColumn="0" w:noHBand="0" w:noVBand="1"/>
      </w:tblPr>
      <w:tblGrid>
        <w:gridCol w:w="3260"/>
        <w:gridCol w:w="3259"/>
        <w:gridCol w:w="3259"/>
      </w:tblGrid>
      <w:tr w:rsidR="00464E4B" w:rsidRPr="00FC5D6E" w14:paraId="0FED05AE" w14:textId="77777777" w:rsidTr="0041177B">
        <w:trPr>
          <w:trHeight w:val="113"/>
        </w:trPr>
        <w:tc>
          <w:tcPr>
            <w:tcW w:w="9768" w:type="dxa"/>
            <w:gridSpan w:val="3"/>
            <w:shd w:val="clear" w:color="auto" w:fill="002060"/>
            <w:hideMark/>
          </w:tcPr>
          <w:p w14:paraId="3B002736" w14:textId="66D29F50" w:rsidR="00464E4B" w:rsidRPr="00CD7E7C" w:rsidRDefault="00464E4B" w:rsidP="0041177B">
            <w:pPr>
              <w:spacing w:after="0" w:line="240" w:lineRule="auto"/>
              <w:rPr>
                <w:rFonts w:cstheme="minorHAnsi"/>
                <w:b/>
                <w:bCs/>
                <w:color w:val="FFFFFF" w:themeColor="background1"/>
              </w:rPr>
            </w:pPr>
            <w:r w:rsidRPr="00CD7E7C">
              <w:rPr>
                <w:rFonts w:cstheme="minorHAnsi"/>
                <w:b/>
                <w:bCs/>
                <w:color w:val="FFFFFF" w:themeColor="background1"/>
              </w:rPr>
              <w:t xml:space="preserve">Figure </w:t>
            </w:r>
            <w:r w:rsidR="00CD7E7C">
              <w:rPr>
                <w:rFonts w:cstheme="minorHAnsi"/>
                <w:b/>
                <w:bCs/>
                <w:color w:val="FFFFFF" w:themeColor="background1"/>
              </w:rPr>
              <w:t xml:space="preserve">10.7: </w:t>
            </w:r>
            <w:r w:rsidRPr="00CD7E7C">
              <w:rPr>
                <w:rFonts w:cstheme="minorHAnsi"/>
                <w:b/>
                <w:bCs/>
                <w:color w:val="FFFFFF" w:themeColor="background1"/>
              </w:rPr>
              <w:t xml:space="preserve">Incidence rate (per 100,000) for rectal cancer by </w:t>
            </w:r>
            <w:r w:rsidR="00366242">
              <w:rPr>
                <w:rFonts w:cstheme="minorHAnsi"/>
                <w:b/>
                <w:bCs/>
                <w:color w:val="FFFFFF" w:themeColor="background1"/>
              </w:rPr>
              <w:t>age group</w:t>
            </w:r>
            <w:r w:rsidRPr="00CD7E7C">
              <w:rPr>
                <w:rFonts w:cstheme="minorHAnsi"/>
                <w:b/>
                <w:bCs/>
                <w:color w:val="FFFFFF" w:themeColor="background1"/>
              </w:rPr>
              <w:t>,1994-2022</w:t>
            </w:r>
          </w:p>
        </w:tc>
      </w:tr>
      <w:tr w:rsidR="00464E4B" w:rsidRPr="00FC5D6E" w14:paraId="697BDD0A" w14:textId="77777777" w:rsidTr="0041177B">
        <w:trPr>
          <w:trHeight w:val="113"/>
        </w:trPr>
        <w:tc>
          <w:tcPr>
            <w:tcW w:w="3256" w:type="dxa"/>
            <w:hideMark/>
          </w:tcPr>
          <w:p w14:paraId="12FFAD7E" w14:textId="77777777" w:rsidR="00464E4B" w:rsidRPr="00FC5D6E" w:rsidRDefault="00464E4B" w:rsidP="0041177B">
            <w:pPr>
              <w:spacing w:after="0" w:line="240" w:lineRule="auto"/>
              <w:jc w:val="center"/>
              <w:rPr>
                <w:rFonts w:cstheme="minorHAnsi"/>
                <w:color w:val="000000" w:themeColor="text1"/>
              </w:rPr>
            </w:pPr>
            <w:r w:rsidRPr="00FC5D6E">
              <w:rPr>
                <w:rFonts w:cstheme="minorHAnsi"/>
                <w:color w:val="000000" w:themeColor="text1"/>
              </w:rPr>
              <w:t>Total</w:t>
            </w:r>
          </w:p>
        </w:tc>
        <w:tc>
          <w:tcPr>
            <w:tcW w:w="3256" w:type="dxa"/>
          </w:tcPr>
          <w:p w14:paraId="75AF86F9" w14:textId="77777777" w:rsidR="00464E4B" w:rsidRPr="00FC5D6E" w:rsidRDefault="00464E4B" w:rsidP="0041177B">
            <w:pPr>
              <w:spacing w:after="0" w:line="240" w:lineRule="auto"/>
              <w:jc w:val="center"/>
              <w:rPr>
                <w:rFonts w:cstheme="minorHAnsi"/>
                <w:color w:val="000000" w:themeColor="text1"/>
              </w:rPr>
            </w:pPr>
            <w:r>
              <w:rPr>
                <w:rFonts w:cstheme="minorHAnsi"/>
                <w:color w:val="000000" w:themeColor="text1"/>
              </w:rPr>
              <w:t>Males</w:t>
            </w:r>
          </w:p>
        </w:tc>
        <w:tc>
          <w:tcPr>
            <w:tcW w:w="3256" w:type="dxa"/>
          </w:tcPr>
          <w:p w14:paraId="69D9F43E" w14:textId="77777777" w:rsidR="00464E4B" w:rsidRPr="00FC5D6E" w:rsidRDefault="00464E4B" w:rsidP="0041177B">
            <w:pPr>
              <w:spacing w:after="0" w:line="240" w:lineRule="auto"/>
              <w:jc w:val="center"/>
              <w:rPr>
                <w:rFonts w:cstheme="minorHAnsi"/>
                <w:color w:val="000000" w:themeColor="text1"/>
              </w:rPr>
            </w:pPr>
            <w:r>
              <w:rPr>
                <w:rFonts w:cstheme="minorHAnsi"/>
                <w:color w:val="000000" w:themeColor="text1"/>
              </w:rPr>
              <w:t>Females</w:t>
            </w:r>
          </w:p>
        </w:tc>
      </w:tr>
      <w:tr w:rsidR="00464E4B" w:rsidRPr="00FC5D6E" w14:paraId="23887F78" w14:textId="77777777" w:rsidTr="0041177B">
        <w:trPr>
          <w:trHeight w:val="113"/>
        </w:trPr>
        <w:tc>
          <w:tcPr>
            <w:tcW w:w="3256" w:type="dxa"/>
          </w:tcPr>
          <w:p w14:paraId="4FDBC5C3" w14:textId="77777777" w:rsidR="00464E4B" w:rsidRPr="00FC5D6E" w:rsidRDefault="00464E4B" w:rsidP="0041177B">
            <w:pPr>
              <w:spacing w:after="0" w:line="240" w:lineRule="auto"/>
              <w:rPr>
                <w:rFonts w:eastAsia="Times New Roman" w:cs="Times New Roman"/>
                <w:lang w:eastAsia="en-GB"/>
              </w:rPr>
            </w:pPr>
            <w:r>
              <w:rPr>
                <w:rFonts w:eastAsia="Times New Roman" w:cs="Times New Roman"/>
                <w:noProof/>
                <w:lang w:eastAsia="en-GB"/>
              </w:rPr>
              <w:drawing>
                <wp:inline distT="0" distB="0" distL="0" distR="0" wp14:anchorId="2EBD53BB" wp14:editId="30420341">
                  <wp:extent cx="1989714" cy="1692000"/>
                  <wp:effectExtent l="0" t="0" r="0" b="3810"/>
                  <wp:docPr id="6343437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989714" cy="1692000"/>
                          </a:xfrm>
                          <a:prstGeom prst="rect">
                            <a:avLst/>
                          </a:prstGeom>
                          <a:noFill/>
                        </pic:spPr>
                      </pic:pic>
                    </a:graphicData>
                  </a:graphic>
                </wp:inline>
              </w:drawing>
            </w:r>
          </w:p>
        </w:tc>
        <w:tc>
          <w:tcPr>
            <w:tcW w:w="3256" w:type="dxa"/>
          </w:tcPr>
          <w:p w14:paraId="3D3EB0B8" w14:textId="77777777" w:rsidR="00464E4B" w:rsidRPr="00FC5D6E" w:rsidRDefault="00464E4B" w:rsidP="0041177B">
            <w:pPr>
              <w:spacing w:after="0" w:line="240" w:lineRule="auto"/>
              <w:rPr>
                <w:rFonts w:cstheme="minorHAnsi"/>
                <w:color w:val="000000" w:themeColor="text1"/>
              </w:rPr>
            </w:pPr>
            <w:r>
              <w:rPr>
                <w:rFonts w:eastAsia="Times New Roman" w:cs="Times New Roman"/>
                <w:noProof/>
                <w:lang w:eastAsia="en-GB"/>
              </w:rPr>
              <w:drawing>
                <wp:inline distT="0" distB="0" distL="0" distR="0" wp14:anchorId="6F8391AD" wp14:editId="25789B7A">
                  <wp:extent cx="1989714" cy="1692000"/>
                  <wp:effectExtent l="0" t="0" r="0" b="3810"/>
                  <wp:docPr id="14134962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989714" cy="1692000"/>
                          </a:xfrm>
                          <a:prstGeom prst="rect">
                            <a:avLst/>
                          </a:prstGeom>
                          <a:noFill/>
                        </pic:spPr>
                      </pic:pic>
                    </a:graphicData>
                  </a:graphic>
                </wp:inline>
              </w:drawing>
            </w:r>
          </w:p>
        </w:tc>
        <w:tc>
          <w:tcPr>
            <w:tcW w:w="3256" w:type="dxa"/>
          </w:tcPr>
          <w:p w14:paraId="290E4562" w14:textId="406C772F" w:rsidR="00464E4B" w:rsidRPr="00FC5D6E" w:rsidRDefault="00464E4B" w:rsidP="0041177B">
            <w:pPr>
              <w:spacing w:after="0" w:line="240" w:lineRule="auto"/>
              <w:rPr>
                <w:rFonts w:cstheme="minorHAnsi"/>
                <w:color w:val="000000" w:themeColor="text1"/>
              </w:rPr>
            </w:pPr>
            <w:r>
              <w:rPr>
                <w:rFonts w:cstheme="minorHAnsi"/>
                <w:noProof/>
                <w:color w:val="000000" w:themeColor="text1"/>
              </w:rPr>
              <w:drawing>
                <wp:inline distT="0" distB="0" distL="0" distR="0" wp14:anchorId="1EF15417" wp14:editId="2B33B5BF">
                  <wp:extent cx="1989714" cy="1692000"/>
                  <wp:effectExtent l="0" t="0" r="0" b="3810"/>
                  <wp:docPr id="167319339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89714" cy="1692000"/>
                          </a:xfrm>
                          <a:prstGeom prst="rect">
                            <a:avLst/>
                          </a:prstGeom>
                          <a:noFill/>
                        </pic:spPr>
                      </pic:pic>
                    </a:graphicData>
                  </a:graphic>
                </wp:inline>
              </w:drawing>
            </w:r>
          </w:p>
        </w:tc>
      </w:tr>
    </w:tbl>
    <w:p w14:paraId="468EE148" w14:textId="77777777" w:rsidR="00464E4B" w:rsidRDefault="00464E4B" w:rsidP="00464E4B">
      <w:pPr>
        <w:spacing w:after="0" w:line="240" w:lineRule="auto"/>
        <w:sectPr w:rsidR="00464E4B" w:rsidSect="002746C0">
          <w:pgSz w:w="11906" w:h="16838"/>
          <w:pgMar w:top="1440" w:right="1440" w:bottom="1440" w:left="1440" w:header="708" w:footer="708" w:gutter="0"/>
          <w:cols w:space="708"/>
          <w:docGrid w:linePitch="360"/>
        </w:sectPr>
      </w:pPr>
    </w:p>
    <w:p w14:paraId="726553F4" w14:textId="77777777" w:rsidR="00464E4B" w:rsidRPr="007D3FC8" w:rsidRDefault="00464E4B" w:rsidP="00464E4B">
      <w:pPr>
        <w:pStyle w:val="Heading4"/>
      </w:pPr>
      <w:bookmarkStart w:id="191" w:name="_Toc197557097"/>
      <w:r w:rsidRPr="007D3FC8">
        <w:t>Trends over time</w:t>
      </w:r>
      <w:bookmarkEnd w:id="191"/>
    </w:p>
    <w:p w14:paraId="3452BED0" w14:textId="2F0E4745" w:rsidR="00464E4B" w:rsidRPr="00FC5D6E" w:rsidRDefault="00464E4B" w:rsidP="00464E4B">
      <w:pPr>
        <w:spacing w:after="0" w:line="240" w:lineRule="auto"/>
        <w:rPr>
          <w:rFonts w:cstheme="minorHAnsi"/>
        </w:rPr>
      </w:pPr>
      <w:r w:rsidRPr="00FC5D6E">
        <w:rPr>
          <w:rFonts w:cstheme="minorHAnsi"/>
        </w:rPr>
        <w:t xml:space="preserve">Figure </w:t>
      </w:r>
      <w:r w:rsidR="00665B3F">
        <w:rPr>
          <w:rFonts w:cstheme="minorHAnsi"/>
        </w:rPr>
        <w:t>10.8</w:t>
      </w:r>
      <w:r w:rsidRPr="00FC5D6E">
        <w:rPr>
          <w:rFonts w:cstheme="minorHAnsi"/>
        </w:rPr>
        <w:t xml:space="preserve"> shows the incidence of rect</w:t>
      </w:r>
      <w:r>
        <w:rPr>
          <w:rFonts w:cstheme="minorHAnsi"/>
        </w:rPr>
        <w:t xml:space="preserve">al </w:t>
      </w:r>
      <w:r w:rsidRPr="00FC5D6E">
        <w:rPr>
          <w:rFonts w:cstheme="minorHAnsi"/>
        </w:rPr>
        <w:t xml:space="preserve">cancer from 1994 to 2022. Incidence remained stable for males from 1994 to 2001 before a period of steady decrease from 2001 to 2022 (-1.6 % decrease per year (95%CI -2.1; -1.2)). Across the period </w:t>
      </w:r>
      <w:r>
        <w:rPr>
          <w:rFonts w:cstheme="minorHAnsi"/>
        </w:rPr>
        <w:t>incidence</w:t>
      </w:r>
      <w:r w:rsidRPr="00FC5D6E">
        <w:rPr>
          <w:rFonts w:cstheme="minorHAnsi"/>
        </w:rPr>
        <w:t xml:space="preserve"> decreased steadily among </w:t>
      </w:r>
      <w:r w:rsidR="00BC7D1F">
        <w:rPr>
          <w:rFonts w:cstheme="minorHAnsi"/>
        </w:rPr>
        <w:t>females</w:t>
      </w:r>
      <w:r w:rsidRPr="00FC5D6E">
        <w:rPr>
          <w:rFonts w:cstheme="minorHAnsi"/>
        </w:rPr>
        <w:t xml:space="preserve"> by -0.7% per year (95%CI -1.1; -0.3).</w:t>
      </w:r>
    </w:p>
    <w:p w14:paraId="656EFF1C" w14:textId="77777777" w:rsidR="00464E4B" w:rsidRPr="00FC5D6E" w:rsidRDefault="00464E4B" w:rsidP="00464E4B">
      <w:pPr>
        <w:spacing w:after="0" w:line="240" w:lineRule="auto"/>
        <w:rPr>
          <w:rFonts w:cstheme="minorHAnsi"/>
        </w:rPr>
      </w:pPr>
      <w:r w:rsidRPr="00FC5D6E">
        <w:rPr>
          <w:rFonts w:cstheme="minorHAnsi"/>
        </w:rPr>
        <w:t xml:space="preserve"> </w:t>
      </w:r>
    </w:p>
    <w:tbl>
      <w:tblPr>
        <w:tblW w:w="9800" w:type="dxa"/>
        <w:tblInd w:w="-431" w:type="dxa"/>
        <w:tblLook w:val="04A0" w:firstRow="1" w:lastRow="0" w:firstColumn="1" w:lastColumn="0" w:noHBand="0" w:noVBand="1"/>
      </w:tblPr>
      <w:tblGrid>
        <w:gridCol w:w="9800"/>
      </w:tblGrid>
      <w:tr w:rsidR="00464E4B" w:rsidRPr="00E91F29" w14:paraId="552CB5AD" w14:textId="77777777" w:rsidTr="0041177B">
        <w:trPr>
          <w:trHeight w:val="113"/>
        </w:trPr>
        <w:tc>
          <w:tcPr>
            <w:tcW w:w="9800" w:type="dxa"/>
            <w:shd w:val="clear" w:color="auto" w:fill="002060"/>
            <w:vAlign w:val="center"/>
            <w:hideMark/>
          </w:tcPr>
          <w:p w14:paraId="6E3DD54C" w14:textId="3207DFC7" w:rsidR="00464E4B" w:rsidRPr="00E91F29" w:rsidRDefault="00464E4B" w:rsidP="0041177B">
            <w:pPr>
              <w:spacing w:after="0" w:line="240" w:lineRule="auto"/>
              <w:rPr>
                <w:b/>
                <w:bCs/>
              </w:rPr>
            </w:pPr>
            <w:r w:rsidRPr="00E91F29">
              <w:rPr>
                <w:b/>
                <w:bCs/>
              </w:rPr>
              <w:t xml:space="preserve">Figure </w:t>
            </w:r>
            <w:r w:rsidR="00665B3F">
              <w:rPr>
                <w:b/>
                <w:bCs/>
              </w:rPr>
              <w:t>10.8:</w:t>
            </w:r>
            <w:r w:rsidRPr="00E91F29">
              <w:rPr>
                <w:b/>
                <w:bCs/>
              </w:rPr>
              <w:t xml:space="preserve"> Age-</w:t>
            </w:r>
            <w:r w:rsidRPr="00E91F29">
              <w:rPr>
                <w:b/>
                <w:bCs/>
                <w:bdr w:val="single" w:sz="4" w:space="0" w:color="auto" w:frame="1"/>
              </w:rPr>
              <w:t>standardised incidence rate 1994-2022, rectum</w:t>
            </w:r>
          </w:p>
        </w:tc>
      </w:tr>
      <w:tr w:rsidR="00464E4B" w:rsidRPr="00E91F29" w14:paraId="26EBF625" w14:textId="77777777" w:rsidTr="0041177B">
        <w:trPr>
          <w:trHeight w:val="113"/>
        </w:trPr>
        <w:tc>
          <w:tcPr>
            <w:tcW w:w="9800" w:type="dxa"/>
            <w:vAlign w:val="center"/>
          </w:tcPr>
          <w:p w14:paraId="2F428B6F" w14:textId="77777777" w:rsidR="00464E4B" w:rsidRPr="00E91F29" w:rsidRDefault="00464E4B" w:rsidP="0041177B">
            <w:pPr>
              <w:spacing w:after="0" w:line="240" w:lineRule="auto"/>
              <w:jc w:val="center"/>
            </w:pPr>
            <w:r>
              <w:rPr>
                <w:noProof/>
              </w:rPr>
              <w:drawing>
                <wp:inline distT="0" distB="0" distL="0" distR="0" wp14:anchorId="79D02D7C" wp14:editId="426DEABA">
                  <wp:extent cx="5755005" cy="3017520"/>
                  <wp:effectExtent l="0" t="0" r="0" b="0"/>
                  <wp:docPr id="2471688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55005" cy="3017520"/>
                          </a:xfrm>
                          <a:prstGeom prst="rect">
                            <a:avLst/>
                          </a:prstGeom>
                          <a:noFill/>
                        </pic:spPr>
                      </pic:pic>
                    </a:graphicData>
                  </a:graphic>
                </wp:inline>
              </w:drawing>
            </w:r>
          </w:p>
        </w:tc>
      </w:tr>
      <w:tr w:rsidR="00464E4B" w:rsidRPr="00E91F29" w14:paraId="7765931F" w14:textId="77777777" w:rsidTr="0041177B">
        <w:trPr>
          <w:trHeight w:val="113"/>
        </w:trPr>
        <w:tc>
          <w:tcPr>
            <w:tcW w:w="9800" w:type="dxa"/>
            <w:vAlign w:val="center"/>
          </w:tcPr>
          <w:tbl>
            <w:tblPr>
              <w:tblW w:w="0" w:type="auto"/>
              <w:jc w:val="center"/>
              <w:tblLook w:val="04A0" w:firstRow="1" w:lastRow="0" w:firstColumn="1" w:lastColumn="0" w:noHBand="0" w:noVBand="1"/>
            </w:tblPr>
            <w:tblGrid>
              <w:gridCol w:w="399"/>
              <w:gridCol w:w="1008"/>
              <w:gridCol w:w="640"/>
              <w:gridCol w:w="846"/>
              <w:gridCol w:w="575"/>
              <w:gridCol w:w="530"/>
              <w:gridCol w:w="1139"/>
              <w:gridCol w:w="771"/>
              <w:gridCol w:w="977"/>
              <w:gridCol w:w="706"/>
            </w:tblGrid>
            <w:tr w:rsidR="00464E4B" w:rsidRPr="009B0DBE" w14:paraId="3FCE4316" w14:textId="77777777" w:rsidTr="0041177B">
              <w:trPr>
                <w:trHeight w:val="57"/>
                <w:jc w:val="center"/>
              </w:trPr>
              <w:tc>
                <w:tcPr>
                  <w:tcW w:w="0" w:type="auto"/>
                  <w:noWrap/>
                  <w:tcMar>
                    <w:top w:w="0" w:type="dxa"/>
                    <w:left w:w="28" w:type="dxa"/>
                    <w:bottom w:w="0" w:type="dxa"/>
                    <w:right w:w="57" w:type="dxa"/>
                  </w:tcMar>
                  <w:hideMark/>
                </w:tcPr>
                <w:p w14:paraId="454EB498" w14:textId="77777777" w:rsidR="00464E4B" w:rsidRPr="009B0DBE"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9B0DBE">
                    <w:rPr>
                      <w:rFonts w:eastAsia="Times New Roman" w:cs="Times New Roman"/>
                      <w:b/>
                      <w:bCs/>
                      <w:color w:val="000000"/>
                      <w:kern w:val="0"/>
                      <w:sz w:val="20"/>
                      <w:szCs w:val="20"/>
                      <w:u w:val="single"/>
                      <w:lang w:eastAsia="en-GB"/>
                      <w14:ligatures w14:val="none"/>
                    </w:rPr>
                    <w:t>sex</w:t>
                  </w:r>
                </w:p>
              </w:tc>
              <w:tc>
                <w:tcPr>
                  <w:tcW w:w="0" w:type="auto"/>
                  <w:noWrap/>
                  <w:tcMar>
                    <w:top w:w="0" w:type="dxa"/>
                    <w:left w:w="28" w:type="dxa"/>
                    <w:bottom w:w="0" w:type="dxa"/>
                    <w:right w:w="57" w:type="dxa"/>
                  </w:tcMar>
                  <w:hideMark/>
                </w:tcPr>
                <w:p w14:paraId="77730C2C" w14:textId="77777777" w:rsidR="00464E4B" w:rsidRPr="009B0DBE"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9B0DBE">
                    <w:rPr>
                      <w:rFonts w:eastAsia="Times New Roman" w:cs="Times New Roman"/>
                      <w:b/>
                      <w:bCs/>
                      <w:color w:val="000000"/>
                      <w:kern w:val="0"/>
                      <w:sz w:val="20"/>
                      <w:szCs w:val="20"/>
                      <w:u w:val="single"/>
                      <w:lang w:eastAsia="en-GB"/>
                      <w14:ligatures w14:val="none"/>
                    </w:rPr>
                    <w:t>period</w:t>
                  </w:r>
                </w:p>
              </w:tc>
              <w:tc>
                <w:tcPr>
                  <w:tcW w:w="0" w:type="auto"/>
                  <w:noWrap/>
                  <w:tcMar>
                    <w:top w:w="0" w:type="dxa"/>
                    <w:left w:w="28" w:type="dxa"/>
                    <w:bottom w:w="0" w:type="dxa"/>
                    <w:right w:w="57" w:type="dxa"/>
                  </w:tcMar>
                  <w:hideMark/>
                </w:tcPr>
                <w:p w14:paraId="13A6F5D7" w14:textId="77777777" w:rsidR="00464E4B" w:rsidRPr="009B0DBE"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9B0DBE">
                    <w:rPr>
                      <w:rFonts w:eastAsia="Times New Roman" w:cs="Times New Roman"/>
                      <w:b/>
                      <w:bCs/>
                      <w:color w:val="000000"/>
                      <w:kern w:val="0"/>
                      <w:sz w:val="20"/>
                      <w:szCs w:val="20"/>
                      <w:u w:val="single"/>
                      <w:lang w:eastAsia="en-GB"/>
                      <w14:ligatures w14:val="none"/>
                    </w:rPr>
                    <w:t>APC%</w:t>
                  </w:r>
                </w:p>
              </w:tc>
              <w:tc>
                <w:tcPr>
                  <w:tcW w:w="0" w:type="auto"/>
                  <w:noWrap/>
                  <w:tcMar>
                    <w:top w:w="0" w:type="dxa"/>
                    <w:left w:w="28" w:type="dxa"/>
                    <w:bottom w:w="0" w:type="dxa"/>
                    <w:right w:w="57" w:type="dxa"/>
                  </w:tcMar>
                  <w:hideMark/>
                </w:tcPr>
                <w:p w14:paraId="0731E458" w14:textId="77777777" w:rsidR="00464E4B" w:rsidRPr="009B0DBE"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9B0DBE">
                    <w:rPr>
                      <w:rFonts w:eastAsia="Times New Roman" w:cs="Times New Roman"/>
                      <w:b/>
                      <w:bCs/>
                      <w:color w:val="000000"/>
                      <w:kern w:val="0"/>
                      <w:sz w:val="20"/>
                      <w:szCs w:val="20"/>
                      <w:u w:val="single"/>
                      <w:lang w:eastAsia="en-GB"/>
                      <w14:ligatures w14:val="none"/>
                    </w:rPr>
                    <w:t>95%CI</w:t>
                  </w:r>
                </w:p>
              </w:tc>
              <w:tc>
                <w:tcPr>
                  <w:tcW w:w="0" w:type="auto"/>
                  <w:tcBorders>
                    <w:right w:val="single" w:sz="4" w:space="0" w:color="auto"/>
                  </w:tcBorders>
                  <w:noWrap/>
                  <w:tcMar>
                    <w:top w:w="0" w:type="dxa"/>
                    <w:left w:w="28" w:type="dxa"/>
                    <w:bottom w:w="0" w:type="dxa"/>
                    <w:right w:w="57" w:type="dxa"/>
                  </w:tcMar>
                  <w:hideMark/>
                </w:tcPr>
                <w:p w14:paraId="2011B007" w14:textId="77777777" w:rsidR="00464E4B" w:rsidRPr="009B0DBE"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9B0DBE">
                    <w:rPr>
                      <w:rFonts w:eastAsia="Times New Roman" w:cs="Times New Roman"/>
                      <w:b/>
                      <w:bCs/>
                      <w:color w:val="000000"/>
                      <w:kern w:val="0"/>
                      <w:sz w:val="20"/>
                      <w:szCs w:val="20"/>
                      <w:u w:val="single"/>
                      <w:lang w:eastAsia="en-GB"/>
                      <w14:ligatures w14:val="none"/>
                    </w:rPr>
                    <w:t>trend</w:t>
                  </w:r>
                </w:p>
              </w:tc>
              <w:tc>
                <w:tcPr>
                  <w:tcW w:w="0" w:type="auto"/>
                </w:tcPr>
                <w:p w14:paraId="619ACEE3" w14:textId="77777777" w:rsidR="00464E4B" w:rsidRPr="009B0DBE"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9B0DBE">
                    <w:rPr>
                      <w:rFonts w:eastAsia="Times New Roman" w:cs="Times New Roman"/>
                      <w:b/>
                      <w:bCs/>
                      <w:color w:val="000000"/>
                      <w:kern w:val="0"/>
                      <w:sz w:val="20"/>
                      <w:szCs w:val="20"/>
                      <w:u w:val="single"/>
                      <w:lang w:eastAsia="en-GB"/>
                      <w14:ligatures w14:val="none"/>
                    </w:rPr>
                    <w:t>sex</w:t>
                  </w:r>
                </w:p>
              </w:tc>
              <w:tc>
                <w:tcPr>
                  <w:tcW w:w="0" w:type="auto"/>
                </w:tcPr>
                <w:p w14:paraId="0AFFCC36" w14:textId="77777777" w:rsidR="00464E4B" w:rsidRPr="009B0DBE"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9B0DBE">
                    <w:rPr>
                      <w:rFonts w:eastAsia="Times New Roman" w:cs="Times New Roman"/>
                      <w:b/>
                      <w:bCs/>
                      <w:color w:val="000000"/>
                      <w:kern w:val="0"/>
                      <w:sz w:val="20"/>
                      <w:szCs w:val="20"/>
                      <w:u w:val="single"/>
                      <w:lang w:eastAsia="en-GB"/>
                      <w14:ligatures w14:val="none"/>
                    </w:rPr>
                    <w:t>period</w:t>
                  </w:r>
                </w:p>
              </w:tc>
              <w:tc>
                <w:tcPr>
                  <w:tcW w:w="0" w:type="auto"/>
                </w:tcPr>
                <w:p w14:paraId="1249DCC2" w14:textId="77777777" w:rsidR="00464E4B" w:rsidRPr="009B0DBE"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9B0DBE">
                    <w:rPr>
                      <w:rFonts w:eastAsia="Times New Roman" w:cs="Times New Roman"/>
                      <w:b/>
                      <w:bCs/>
                      <w:color w:val="000000"/>
                      <w:kern w:val="0"/>
                      <w:sz w:val="20"/>
                      <w:szCs w:val="20"/>
                      <w:u w:val="single"/>
                      <w:lang w:eastAsia="en-GB"/>
                      <w14:ligatures w14:val="none"/>
                    </w:rPr>
                    <w:t>APC%</w:t>
                  </w:r>
                </w:p>
              </w:tc>
              <w:tc>
                <w:tcPr>
                  <w:tcW w:w="0" w:type="auto"/>
                </w:tcPr>
                <w:p w14:paraId="36A6A73D" w14:textId="77777777" w:rsidR="00464E4B" w:rsidRPr="009B0DBE"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9B0DBE">
                    <w:rPr>
                      <w:rFonts w:eastAsia="Times New Roman" w:cs="Times New Roman"/>
                      <w:b/>
                      <w:bCs/>
                      <w:color w:val="000000"/>
                      <w:kern w:val="0"/>
                      <w:sz w:val="20"/>
                      <w:szCs w:val="20"/>
                      <w:u w:val="single"/>
                      <w:lang w:eastAsia="en-GB"/>
                      <w14:ligatures w14:val="none"/>
                    </w:rPr>
                    <w:t>95%CI</w:t>
                  </w:r>
                </w:p>
              </w:tc>
              <w:tc>
                <w:tcPr>
                  <w:tcW w:w="0" w:type="auto"/>
                  <w:tcBorders>
                    <w:right w:val="single" w:sz="4" w:space="0" w:color="auto"/>
                  </w:tcBorders>
                </w:tcPr>
                <w:p w14:paraId="326AA1CF" w14:textId="77777777" w:rsidR="00464E4B" w:rsidRPr="009B0DBE"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9B0DBE">
                    <w:rPr>
                      <w:rFonts w:eastAsia="Times New Roman" w:cs="Times New Roman"/>
                      <w:b/>
                      <w:bCs/>
                      <w:color w:val="000000"/>
                      <w:kern w:val="0"/>
                      <w:sz w:val="20"/>
                      <w:szCs w:val="20"/>
                      <w:u w:val="single"/>
                      <w:lang w:eastAsia="en-GB"/>
                      <w14:ligatures w14:val="none"/>
                    </w:rPr>
                    <w:t>trend</w:t>
                  </w:r>
                </w:p>
              </w:tc>
            </w:tr>
            <w:tr w:rsidR="00464E4B" w:rsidRPr="009B0DBE" w14:paraId="52203825" w14:textId="77777777" w:rsidTr="0041177B">
              <w:trPr>
                <w:trHeight w:val="57"/>
                <w:jc w:val="center"/>
              </w:trPr>
              <w:tc>
                <w:tcPr>
                  <w:tcW w:w="0" w:type="auto"/>
                  <w:noWrap/>
                  <w:tcMar>
                    <w:top w:w="0" w:type="dxa"/>
                    <w:left w:w="28" w:type="dxa"/>
                    <w:bottom w:w="0" w:type="dxa"/>
                    <w:right w:w="57" w:type="dxa"/>
                  </w:tcMar>
                  <w:hideMark/>
                </w:tcPr>
                <w:p w14:paraId="66F0885E" w14:textId="77777777" w:rsidR="00464E4B" w:rsidRPr="009B0DBE" w:rsidRDefault="00464E4B" w:rsidP="0041177B">
                  <w:pPr>
                    <w:spacing w:after="0" w:line="240" w:lineRule="auto"/>
                    <w:jc w:val="center"/>
                    <w:rPr>
                      <w:rFonts w:eastAsia="Times New Roman" w:cs="Times New Roman"/>
                      <w:color w:val="000000"/>
                      <w:kern w:val="0"/>
                      <w:sz w:val="20"/>
                      <w:szCs w:val="20"/>
                      <w:lang w:eastAsia="en-GB"/>
                      <w14:ligatures w14:val="none"/>
                    </w:rPr>
                  </w:pPr>
                  <w:r w:rsidRPr="009B0DBE">
                    <w:rPr>
                      <w:sz w:val="20"/>
                      <w:szCs w:val="20"/>
                    </w:rPr>
                    <w:t>M</w:t>
                  </w:r>
                </w:p>
              </w:tc>
              <w:tc>
                <w:tcPr>
                  <w:tcW w:w="0" w:type="auto"/>
                  <w:noWrap/>
                  <w:tcMar>
                    <w:top w:w="0" w:type="dxa"/>
                    <w:left w:w="28" w:type="dxa"/>
                    <w:bottom w:w="0" w:type="dxa"/>
                    <w:right w:w="57" w:type="dxa"/>
                  </w:tcMar>
                  <w:hideMark/>
                </w:tcPr>
                <w:p w14:paraId="34AC7523" w14:textId="77777777" w:rsidR="00464E4B" w:rsidRPr="009B0DBE" w:rsidRDefault="00464E4B" w:rsidP="0041177B">
                  <w:pPr>
                    <w:spacing w:after="0" w:line="240" w:lineRule="auto"/>
                    <w:jc w:val="center"/>
                    <w:rPr>
                      <w:rFonts w:eastAsia="Times New Roman" w:cs="Times New Roman"/>
                      <w:color w:val="000000"/>
                      <w:kern w:val="0"/>
                      <w:sz w:val="20"/>
                      <w:szCs w:val="20"/>
                      <w:lang w:eastAsia="en-GB"/>
                      <w14:ligatures w14:val="none"/>
                    </w:rPr>
                  </w:pPr>
                  <w:r w:rsidRPr="009B0DBE">
                    <w:rPr>
                      <w:sz w:val="20"/>
                      <w:szCs w:val="20"/>
                    </w:rPr>
                    <w:t>1994-2001</w:t>
                  </w:r>
                </w:p>
              </w:tc>
              <w:tc>
                <w:tcPr>
                  <w:tcW w:w="0" w:type="auto"/>
                  <w:noWrap/>
                  <w:tcMar>
                    <w:top w:w="0" w:type="dxa"/>
                    <w:left w:w="28" w:type="dxa"/>
                    <w:bottom w:w="0" w:type="dxa"/>
                    <w:right w:w="57" w:type="dxa"/>
                  </w:tcMar>
                  <w:hideMark/>
                </w:tcPr>
                <w:p w14:paraId="57168446" w14:textId="77777777" w:rsidR="00464E4B" w:rsidRPr="009B0DBE" w:rsidRDefault="00464E4B" w:rsidP="0041177B">
                  <w:pPr>
                    <w:spacing w:after="0" w:line="240" w:lineRule="auto"/>
                    <w:jc w:val="center"/>
                    <w:rPr>
                      <w:rFonts w:eastAsia="Times New Roman" w:cs="Times New Roman"/>
                      <w:color w:val="000000"/>
                      <w:kern w:val="0"/>
                      <w:sz w:val="20"/>
                      <w:szCs w:val="20"/>
                      <w:lang w:eastAsia="en-GB"/>
                      <w14:ligatures w14:val="none"/>
                    </w:rPr>
                  </w:pPr>
                  <w:r w:rsidRPr="009B0DBE">
                    <w:rPr>
                      <w:sz w:val="20"/>
                      <w:szCs w:val="20"/>
                    </w:rPr>
                    <w:t>2.2</w:t>
                  </w:r>
                </w:p>
              </w:tc>
              <w:tc>
                <w:tcPr>
                  <w:tcW w:w="0" w:type="auto"/>
                  <w:noWrap/>
                  <w:tcMar>
                    <w:top w:w="0" w:type="dxa"/>
                    <w:left w:w="28" w:type="dxa"/>
                    <w:bottom w:w="0" w:type="dxa"/>
                    <w:right w:w="57" w:type="dxa"/>
                  </w:tcMar>
                  <w:hideMark/>
                </w:tcPr>
                <w:p w14:paraId="15DD52FD" w14:textId="77777777" w:rsidR="00464E4B" w:rsidRPr="009B0DBE" w:rsidRDefault="00464E4B" w:rsidP="0041177B">
                  <w:pPr>
                    <w:spacing w:after="0" w:line="240" w:lineRule="auto"/>
                    <w:jc w:val="center"/>
                    <w:rPr>
                      <w:rFonts w:eastAsia="Times New Roman" w:cs="Times New Roman"/>
                      <w:color w:val="000000"/>
                      <w:kern w:val="0"/>
                      <w:sz w:val="20"/>
                      <w:szCs w:val="20"/>
                      <w:lang w:eastAsia="en-GB"/>
                      <w14:ligatures w14:val="none"/>
                    </w:rPr>
                  </w:pPr>
                  <w:r w:rsidRPr="009B0DBE">
                    <w:rPr>
                      <w:sz w:val="20"/>
                      <w:szCs w:val="20"/>
                    </w:rPr>
                    <w:t>-0.7, 5.2</w:t>
                  </w:r>
                </w:p>
              </w:tc>
              <w:tc>
                <w:tcPr>
                  <w:tcW w:w="0" w:type="auto"/>
                  <w:tcBorders>
                    <w:right w:val="single" w:sz="4" w:space="0" w:color="auto"/>
                  </w:tcBorders>
                  <w:noWrap/>
                  <w:tcMar>
                    <w:top w:w="0" w:type="dxa"/>
                    <w:left w:w="28" w:type="dxa"/>
                    <w:bottom w:w="0" w:type="dxa"/>
                    <w:right w:w="57" w:type="dxa"/>
                  </w:tcMar>
                  <w:hideMark/>
                </w:tcPr>
                <w:p w14:paraId="66C57A6A" w14:textId="77777777" w:rsidR="00464E4B" w:rsidRPr="009B0DBE" w:rsidRDefault="00464E4B" w:rsidP="0041177B">
                  <w:pPr>
                    <w:spacing w:after="0" w:line="240" w:lineRule="auto"/>
                    <w:jc w:val="center"/>
                    <w:rPr>
                      <w:rFonts w:eastAsia="Times New Roman" w:cs="Times New Roman"/>
                      <w:color w:val="000000"/>
                      <w:kern w:val="0"/>
                      <w:sz w:val="20"/>
                      <w:szCs w:val="20"/>
                      <w:lang w:eastAsia="en-GB"/>
                      <w14:ligatures w14:val="none"/>
                    </w:rPr>
                  </w:pPr>
                  <w:r w:rsidRPr="009B0DBE">
                    <w:rPr>
                      <w:sz w:val="20"/>
                      <w:szCs w:val="20"/>
                    </w:rPr>
                    <w:t>flat</w:t>
                  </w:r>
                </w:p>
              </w:tc>
              <w:tc>
                <w:tcPr>
                  <w:tcW w:w="0" w:type="auto"/>
                  <w:tcBorders>
                    <w:left w:val="single" w:sz="4" w:space="0" w:color="auto"/>
                  </w:tcBorders>
                </w:tcPr>
                <w:p w14:paraId="40F631CA" w14:textId="77777777" w:rsidR="00464E4B" w:rsidRPr="009B0DBE" w:rsidRDefault="00464E4B" w:rsidP="0041177B">
                  <w:pPr>
                    <w:spacing w:after="0" w:line="240" w:lineRule="auto"/>
                    <w:jc w:val="center"/>
                    <w:rPr>
                      <w:sz w:val="20"/>
                      <w:szCs w:val="20"/>
                    </w:rPr>
                  </w:pPr>
                  <w:r w:rsidRPr="009B0DBE">
                    <w:rPr>
                      <w:sz w:val="20"/>
                      <w:szCs w:val="20"/>
                    </w:rPr>
                    <w:t>F</w:t>
                  </w:r>
                </w:p>
              </w:tc>
              <w:tc>
                <w:tcPr>
                  <w:tcW w:w="0" w:type="auto"/>
                </w:tcPr>
                <w:p w14:paraId="3FE0E0D5" w14:textId="77777777" w:rsidR="00464E4B" w:rsidRPr="009B0DBE" w:rsidRDefault="00464E4B" w:rsidP="0041177B">
                  <w:pPr>
                    <w:spacing w:after="0" w:line="240" w:lineRule="auto"/>
                    <w:jc w:val="center"/>
                    <w:rPr>
                      <w:sz w:val="20"/>
                      <w:szCs w:val="20"/>
                    </w:rPr>
                  </w:pPr>
                  <w:r w:rsidRPr="009B0DBE">
                    <w:rPr>
                      <w:sz w:val="20"/>
                      <w:szCs w:val="20"/>
                    </w:rPr>
                    <w:t>1994-2022</w:t>
                  </w:r>
                </w:p>
              </w:tc>
              <w:tc>
                <w:tcPr>
                  <w:tcW w:w="0" w:type="auto"/>
                </w:tcPr>
                <w:p w14:paraId="311E2C0A" w14:textId="77777777" w:rsidR="00464E4B" w:rsidRPr="009B0DBE" w:rsidRDefault="00464E4B" w:rsidP="0041177B">
                  <w:pPr>
                    <w:spacing w:after="0" w:line="240" w:lineRule="auto"/>
                    <w:jc w:val="center"/>
                    <w:rPr>
                      <w:sz w:val="20"/>
                      <w:szCs w:val="20"/>
                    </w:rPr>
                  </w:pPr>
                  <w:r w:rsidRPr="009B0DBE">
                    <w:rPr>
                      <w:sz w:val="20"/>
                      <w:szCs w:val="20"/>
                    </w:rPr>
                    <w:t>-0.7</w:t>
                  </w:r>
                </w:p>
              </w:tc>
              <w:tc>
                <w:tcPr>
                  <w:tcW w:w="0" w:type="auto"/>
                </w:tcPr>
                <w:p w14:paraId="6D8C3B3F" w14:textId="77777777" w:rsidR="00464E4B" w:rsidRPr="009B0DBE" w:rsidRDefault="00464E4B" w:rsidP="0041177B">
                  <w:pPr>
                    <w:spacing w:after="0" w:line="240" w:lineRule="auto"/>
                    <w:jc w:val="center"/>
                    <w:rPr>
                      <w:sz w:val="20"/>
                      <w:szCs w:val="20"/>
                    </w:rPr>
                  </w:pPr>
                  <w:r w:rsidRPr="009B0DBE">
                    <w:rPr>
                      <w:sz w:val="20"/>
                      <w:szCs w:val="20"/>
                    </w:rPr>
                    <w:t>-1.1, -0.3</w:t>
                  </w:r>
                </w:p>
              </w:tc>
              <w:tc>
                <w:tcPr>
                  <w:tcW w:w="0" w:type="auto"/>
                </w:tcPr>
                <w:p w14:paraId="37C9C1E5" w14:textId="77777777" w:rsidR="00464E4B" w:rsidRPr="009B0DBE" w:rsidRDefault="00464E4B" w:rsidP="0041177B">
                  <w:pPr>
                    <w:spacing w:after="0" w:line="240" w:lineRule="auto"/>
                    <w:jc w:val="center"/>
                    <w:rPr>
                      <w:sz w:val="20"/>
                      <w:szCs w:val="20"/>
                    </w:rPr>
                  </w:pPr>
                  <w:r w:rsidRPr="009B0DBE">
                    <w:rPr>
                      <w:sz w:val="20"/>
                      <w:szCs w:val="20"/>
                    </w:rPr>
                    <w:t>down</w:t>
                  </w:r>
                </w:p>
              </w:tc>
            </w:tr>
            <w:tr w:rsidR="00464E4B" w:rsidRPr="009B0DBE" w14:paraId="2DDD830F" w14:textId="77777777" w:rsidTr="0041177B">
              <w:trPr>
                <w:trHeight w:val="321"/>
                <w:jc w:val="center"/>
              </w:trPr>
              <w:tc>
                <w:tcPr>
                  <w:tcW w:w="0" w:type="auto"/>
                  <w:noWrap/>
                  <w:tcMar>
                    <w:top w:w="0" w:type="dxa"/>
                    <w:left w:w="28" w:type="dxa"/>
                    <w:bottom w:w="0" w:type="dxa"/>
                    <w:right w:w="57" w:type="dxa"/>
                  </w:tcMar>
                </w:tcPr>
                <w:p w14:paraId="3916C7FF" w14:textId="77777777" w:rsidR="00464E4B" w:rsidRPr="009B0DBE" w:rsidRDefault="00464E4B" w:rsidP="0041177B">
                  <w:pPr>
                    <w:spacing w:after="0" w:line="240" w:lineRule="auto"/>
                    <w:jc w:val="center"/>
                    <w:rPr>
                      <w:rFonts w:eastAsia="Times New Roman" w:cs="Times New Roman"/>
                      <w:color w:val="000000"/>
                      <w:kern w:val="0"/>
                      <w:sz w:val="20"/>
                      <w:szCs w:val="20"/>
                      <w:lang w:eastAsia="en-GB"/>
                      <w14:ligatures w14:val="none"/>
                    </w:rPr>
                  </w:pPr>
                </w:p>
              </w:tc>
              <w:tc>
                <w:tcPr>
                  <w:tcW w:w="0" w:type="auto"/>
                  <w:noWrap/>
                  <w:tcMar>
                    <w:top w:w="0" w:type="dxa"/>
                    <w:left w:w="28" w:type="dxa"/>
                    <w:bottom w:w="0" w:type="dxa"/>
                    <w:right w:w="57" w:type="dxa"/>
                  </w:tcMar>
                </w:tcPr>
                <w:p w14:paraId="3A035256" w14:textId="77777777" w:rsidR="00464E4B" w:rsidRPr="009B0DBE" w:rsidRDefault="00464E4B" w:rsidP="0041177B">
                  <w:pPr>
                    <w:spacing w:after="0" w:line="240" w:lineRule="auto"/>
                    <w:jc w:val="center"/>
                    <w:rPr>
                      <w:rFonts w:eastAsia="Times New Roman" w:cs="Times New Roman"/>
                      <w:color w:val="000000"/>
                      <w:kern w:val="0"/>
                      <w:sz w:val="20"/>
                      <w:szCs w:val="20"/>
                      <w:lang w:eastAsia="en-GB"/>
                      <w14:ligatures w14:val="none"/>
                    </w:rPr>
                  </w:pPr>
                  <w:r w:rsidRPr="009B0DBE">
                    <w:rPr>
                      <w:sz w:val="20"/>
                      <w:szCs w:val="20"/>
                    </w:rPr>
                    <w:t>2001-2022</w:t>
                  </w:r>
                </w:p>
              </w:tc>
              <w:tc>
                <w:tcPr>
                  <w:tcW w:w="0" w:type="auto"/>
                  <w:noWrap/>
                  <w:tcMar>
                    <w:top w:w="0" w:type="dxa"/>
                    <w:left w:w="28" w:type="dxa"/>
                    <w:bottom w:w="0" w:type="dxa"/>
                    <w:right w:w="57" w:type="dxa"/>
                  </w:tcMar>
                </w:tcPr>
                <w:p w14:paraId="2C7A78C5" w14:textId="77777777" w:rsidR="00464E4B" w:rsidRPr="009B0DBE" w:rsidRDefault="00464E4B" w:rsidP="0041177B">
                  <w:pPr>
                    <w:spacing w:after="0" w:line="240" w:lineRule="auto"/>
                    <w:jc w:val="center"/>
                    <w:rPr>
                      <w:rFonts w:eastAsia="Times New Roman" w:cs="Times New Roman"/>
                      <w:color w:val="000000"/>
                      <w:kern w:val="0"/>
                      <w:sz w:val="20"/>
                      <w:szCs w:val="20"/>
                      <w:lang w:eastAsia="en-GB"/>
                      <w14:ligatures w14:val="none"/>
                    </w:rPr>
                  </w:pPr>
                  <w:r w:rsidRPr="009B0DBE">
                    <w:rPr>
                      <w:sz w:val="20"/>
                      <w:szCs w:val="20"/>
                    </w:rPr>
                    <w:t>-1.6</w:t>
                  </w:r>
                </w:p>
              </w:tc>
              <w:tc>
                <w:tcPr>
                  <w:tcW w:w="0" w:type="auto"/>
                  <w:noWrap/>
                  <w:tcMar>
                    <w:top w:w="0" w:type="dxa"/>
                    <w:left w:w="28" w:type="dxa"/>
                    <w:bottom w:w="0" w:type="dxa"/>
                    <w:right w:w="57" w:type="dxa"/>
                  </w:tcMar>
                </w:tcPr>
                <w:p w14:paraId="7177FB00" w14:textId="77777777" w:rsidR="00464E4B" w:rsidRPr="009B0DBE" w:rsidRDefault="00464E4B" w:rsidP="0041177B">
                  <w:pPr>
                    <w:spacing w:after="0" w:line="240" w:lineRule="auto"/>
                    <w:jc w:val="center"/>
                    <w:rPr>
                      <w:rFonts w:eastAsia="Times New Roman" w:cs="Times New Roman"/>
                      <w:color w:val="000000"/>
                      <w:kern w:val="0"/>
                      <w:sz w:val="20"/>
                      <w:szCs w:val="20"/>
                      <w:lang w:eastAsia="en-GB"/>
                      <w14:ligatures w14:val="none"/>
                    </w:rPr>
                  </w:pPr>
                  <w:r w:rsidRPr="009B0DBE">
                    <w:rPr>
                      <w:sz w:val="20"/>
                      <w:szCs w:val="20"/>
                    </w:rPr>
                    <w:t>-2.1, -1.2</w:t>
                  </w:r>
                </w:p>
              </w:tc>
              <w:tc>
                <w:tcPr>
                  <w:tcW w:w="0" w:type="auto"/>
                  <w:tcBorders>
                    <w:right w:val="single" w:sz="4" w:space="0" w:color="auto"/>
                  </w:tcBorders>
                  <w:noWrap/>
                  <w:tcMar>
                    <w:top w:w="0" w:type="dxa"/>
                    <w:left w:w="28" w:type="dxa"/>
                    <w:bottom w:w="0" w:type="dxa"/>
                    <w:right w:w="57" w:type="dxa"/>
                  </w:tcMar>
                </w:tcPr>
                <w:p w14:paraId="22E51C3F" w14:textId="77777777" w:rsidR="00464E4B" w:rsidRPr="009B0DBE" w:rsidRDefault="00464E4B" w:rsidP="0041177B">
                  <w:pPr>
                    <w:spacing w:after="0" w:line="240" w:lineRule="auto"/>
                    <w:jc w:val="center"/>
                    <w:rPr>
                      <w:rFonts w:eastAsia="Times New Roman" w:cs="Times New Roman"/>
                      <w:color w:val="000000"/>
                      <w:kern w:val="0"/>
                      <w:sz w:val="20"/>
                      <w:szCs w:val="20"/>
                      <w:lang w:eastAsia="en-GB"/>
                      <w14:ligatures w14:val="none"/>
                    </w:rPr>
                  </w:pPr>
                  <w:r w:rsidRPr="009B0DBE">
                    <w:rPr>
                      <w:sz w:val="20"/>
                      <w:szCs w:val="20"/>
                    </w:rPr>
                    <w:t>down</w:t>
                  </w:r>
                </w:p>
              </w:tc>
              <w:tc>
                <w:tcPr>
                  <w:tcW w:w="0" w:type="auto"/>
                  <w:tcBorders>
                    <w:left w:val="single" w:sz="4" w:space="0" w:color="auto"/>
                  </w:tcBorders>
                </w:tcPr>
                <w:p w14:paraId="4A79706E" w14:textId="77777777" w:rsidR="00464E4B" w:rsidRPr="009B0DBE" w:rsidRDefault="00464E4B" w:rsidP="0041177B">
                  <w:pPr>
                    <w:spacing w:after="0" w:line="240" w:lineRule="auto"/>
                    <w:jc w:val="center"/>
                    <w:rPr>
                      <w:sz w:val="20"/>
                      <w:szCs w:val="20"/>
                    </w:rPr>
                  </w:pPr>
                </w:p>
              </w:tc>
              <w:tc>
                <w:tcPr>
                  <w:tcW w:w="0" w:type="auto"/>
                </w:tcPr>
                <w:p w14:paraId="2FDB1A1B" w14:textId="77777777" w:rsidR="00464E4B" w:rsidRPr="009B0DBE" w:rsidRDefault="00464E4B" w:rsidP="0041177B">
                  <w:pPr>
                    <w:spacing w:after="0" w:line="240" w:lineRule="auto"/>
                    <w:jc w:val="center"/>
                    <w:rPr>
                      <w:sz w:val="20"/>
                      <w:szCs w:val="20"/>
                    </w:rPr>
                  </w:pPr>
                </w:p>
              </w:tc>
              <w:tc>
                <w:tcPr>
                  <w:tcW w:w="0" w:type="auto"/>
                </w:tcPr>
                <w:p w14:paraId="0385581A" w14:textId="77777777" w:rsidR="00464E4B" w:rsidRPr="009B0DBE" w:rsidRDefault="00464E4B" w:rsidP="0041177B">
                  <w:pPr>
                    <w:spacing w:after="0" w:line="240" w:lineRule="auto"/>
                    <w:jc w:val="center"/>
                    <w:rPr>
                      <w:sz w:val="20"/>
                      <w:szCs w:val="20"/>
                    </w:rPr>
                  </w:pPr>
                </w:p>
              </w:tc>
              <w:tc>
                <w:tcPr>
                  <w:tcW w:w="0" w:type="auto"/>
                </w:tcPr>
                <w:p w14:paraId="2D918C34" w14:textId="77777777" w:rsidR="00464E4B" w:rsidRPr="009B0DBE" w:rsidRDefault="00464E4B" w:rsidP="0041177B">
                  <w:pPr>
                    <w:spacing w:after="0" w:line="240" w:lineRule="auto"/>
                    <w:jc w:val="center"/>
                    <w:rPr>
                      <w:sz w:val="20"/>
                      <w:szCs w:val="20"/>
                    </w:rPr>
                  </w:pPr>
                </w:p>
              </w:tc>
              <w:tc>
                <w:tcPr>
                  <w:tcW w:w="0" w:type="auto"/>
                </w:tcPr>
                <w:p w14:paraId="43BC678E" w14:textId="77777777" w:rsidR="00464E4B" w:rsidRPr="009B0DBE" w:rsidRDefault="00464E4B" w:rsidP="0041177B">
                  <w:pPr>
                    <w:spacing w:after="0" w:line="240" w:lineRule="auto"/>
                    <w:jc w:val="center"/>
                    <w:rPr>
                      <w:sz w:val="20"/>
                      <w:szCs w:val="20"/>
                    </w:rPr>
                  </w:pPr>
                </w:p>
              </w:tc>
            </w:tr>
          </w:tbl>
          <w:p w14:paraId="25F9B370" w14:textId="77777777" w:rsidR="00464E4B" w:rsidRPr="00E91F29" w:rsidRDefault="00464E4B" w:rsidP="0041177B">
            <w:pPr>
              <w:spacing w:after="0" w:line="240" w:lineRule="auto"/>
              <w:jc w:val="center"/>
              <w:rPr>
                <w:rFonts w:eastAsia="Times New Roman" w:cs="Times New Roman"/>
                <w:b/>
                <w:bCs/>
                <w:color w:val="000000"/>
                <w:kern w:val="0"/>
                <w:sz w:val="14"/>
                <w:szCs w:val="14"/>
                <w:u w:val="single"/>
                <w:lang w:eastAsia="en-GB"/>
                <w14:ligatures w14:val="none"/>
              </w:rPr>
            </w:pPr>
          </w:p>
        </w:tc>
      </w:tr>
      <w:tr w:rsidR="00464E4B" w:rsidRPr="00E91F29" w14:paraId="4BC1367B" w14:textId="77777777" w:rsidTr="0041177B">
        <w:trPr>
          <w:trHeight w:val="113"/>
        </w:trPr>
        <w:tc>
          <w:tcPr>
            <w:tcW w:w="9800" w:type="dxa"/>
            <w:vAlign w:val="center"/>
          </w:tcPr>
          <w:p w14:paraId="0EC9F863" w14:textId="77777777" w:rsidR="00464E4B" w:rsidRPr="00E91F29" w:rsidRDefault="00464E4B" w:rsidP="0041177B">
            <w:pPr>
              <w:pBdr>
                <w:bottom w:val="single" w:sz="4" w:space="1" w:color="auto"/>
              </w:pBdr>
              <w:spacing w:after="0" w:line="240" w:lineRule="auto"/>
              <w:rPr>
                <w:bCs/>
                <w:sz w:val="18"/>
                <w:szCs w:val="16"/>
              </w:rPr>
            </w:pPr>
            <w:r w:rsidRPr="00E91F29">
              <w:rPr>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754AA5A2" w14:textId="77777777" w:rsidR="00464E4B" w:rsidRPr="00E91F29" w:rsidRDefault="00464E4B" w:rsidP="0041177B">
            <w:pPr>
              <w:spacing w:after="0" w:line="240" w:lineRule="auto"/>
              <w:rPr>
                <w:b/>
                <w:bCs/>
                <w:noProof/>
                <w:sz w:val="14"/>
                <w:szCs w:val="14"/>
                <w:u w:val="single"/>
              </w:rPr>
            </w:pPr>
          </w:p>
        </w:tc>
      </w:tr>
    </w:tbl>
    <w:p w14:paraId="4E53E59F" w14:textId="77777777" w:rsidR="00464E4B" w:rsidRPr="00FC5D6E" w:rsidRDefault="00464E4B" w:rsidP="00464E4B">
      <w:pPr>
        <w:spacing w:after="0" w:line="240" w:lineRule="auto"/>
        <w:sectPr w:rsidR="00464E4B" w:rsidRPr="00FC5D6E" w:rsidSect="002746C0">
          <w:pgSz w:w="11906" w:h="16838"/>
          <w:pgMar w:top="1440" w:right="1440" w:bottom="1440" w:left="1440" w:header="708" w:footer="708" w:gutter="0"/>
          <w:cols w:space="708"/>
          <w:docGrid w:linePitch="360"/>
        </w:sectPr>
      </w:pPr>
    </w:p>
    <w:p w14:paraId="039CF5E8" w14:textId="77777777" w:rsidR="00464E4B" w:rsidRPr="007D3FC8" w:rsidRDefault="00464E4B" w:rsidP="00464E4B">
      <w:pPr>
        <w:pStyle w:val="Heading4"/>
      </w:pPr>
      <w:bookmarkStart w:id="192" w:name="_Toc197557098"/>
      <w:r w:rsidRPr="007D3FC8">
        <w:t>Variation by deprivation quintile</w:t>
      </w:r>
      <w:bookmarkEnd w:id="192"/>
    </w:p>
    <w:p w14:paraId="37928366" w14:textId="18A769D2" w:rsidR="00464E4B" w:rsidRDefault="00464E4B" w:rsidP="00464E4B">
      <w:pPr>
        <w:spacing w:after="0" w:line="240" w:lineRule="auto"/>
        <w:rPr>
          <w:rFonts w:cstheme="minorHAnsi"/>
          <w:color w:val="000000" w:themeColor="text1"/>
        </w:rPr>
      </w:pPr>
      <w:r w:rsidRPr="00FC5D6E">
        <w:rPr>
          <w:rFonts w:cstheme="minorHAnsi"/>
          <w:color w:val="000000" w:themeColor="text1"/>
        </w:rPr>
        <w:t xml:space="preserve">Age-standardised incidence rates of </w:t>
      </w:r>
      <w:r w:rsidRPr="00FC5D6E">
        <w:rPr>
          <w:rFonts w:cstheme="minorHAnsi"/>
        </w:rPr>
        <w:t>rect</w:t>
      </w:r>
      <w:r>
        <w:rPr>
          <w:rFonts w:cstheme="minorHAnsi"/>
        </w:rPr>
        <w:t>al</w:t>
      </w:r>
      <w:r w:rsidRPr="00FC5D6E">
        <w:rPr>
          <w:rFonts w:cstheme="minorHAnsi"/>
        </w:rPr>
        <w:t xml:space="preserve"> cancer </w:t>
      </w:r>
      <w:r w:rsidRPr="00FC5D6E">
        <w:rPr>
          <w:rFonts w:cstheme="minorHAnsi"/>
          <w:color w:val="000000" w:themeColor="text1"/>
        </w:rPr>
        <w:t>in 2014-2018 ranged 20.</w:t>
      </w:r>
      <w:r>
        <w:rPr>
          <w:rFonts w:cstheme="minorHAnsi"/>
          <w:color w:val="000000" w:themeColor="text1"/>
        </w:rPr>
        <w:t>2</w:t>
      </w:r>
      <w:r w:rsidRPr="00FC5D6E">
        <w:rPr>
          <w:rFonts w:cstheme="minorHAnsi"/>
          <w:color w:val="000000" w:themeColor="text1"/>
        </w:rPr>
        <w:t>-20.</w:t>
      </w:r>
      <w:r>
        <w:rPr>
          <w:rFonts w:cstheme="minorHAnsi"/>
          <w:color w:val="000000" w:themeColor="text1"/>
        </w:rPr>
        <w:t>9</w:t>
      </w:r>
      <w:r w:rsidRPr="00FC5D6E">
        <w:rPr>
          <w:rFonts w:cstheme="minorHAnsi"/>
          <w:color w:val="000000" w:themeColor="text1"/>
        </w:rPr>
        <w:t xml:space="preserve"> cases per 100,000 </w:t>
      </w:r>
      <w:r>
        <w:rPr>
          <w:rFonts w:cstheme="minorHAnsi"/>
          <w:color w:val="000000" w:themeColor="text1"/>
        </w:rPr>
        <w:t>in</w:t>
      </w:r>
      <w:r w:rsidRPr="00FC5D6E">
        <w:rPr>
          <w:rFonts w:cstheme="minorHAnsi"/>
          <w:color w:val="000000" w:themeColor="text1"/>
        </w:rPr>
        <w:t xml:space="preserve"> the least to the most deprived quintiles (Figure </w:t>
      </w:r>
      <w:r w:rsidR="00665B3F">
        <w:rPr>
          <w:rFonts w:cstheme="minorHAnsi"/>
          <w:color w:val="000000" w:themeColor="text1"/>
        </w:rPr>
        <w:t>10.9</w:t>
      </w:r>
      <w:r w:rsidRPr="00FC5D6E">
        <w:rPr>
          <w:rFonts w:cstheme="minorHAnsi"/>
          <w:color w:val="000000" w:themeColor="text1"/>
        </w:rPr>
        <w:t>).</w:t>
      </w:r>
      <w:r>
        <w:rPr>
          <w:rFonts w:cstheme="minorHAnsi"/>
          <w:color w:val="000000" w:themeColor="text1"/>
        </w:rPr>
        <w:t xml:space="preserve"> </w:t>
      </w:r>
      <w:r w:rsidRPr="00FC5D6E">
        <w:rPr>
          <w:rFonts w:cstheme="minorHAnsi"/>
          <w:color w:val="000000" w:themeColor="text1"/>
        </w:rPr>
        <w:t xml:space="preserve">Very little difference was </w:t>
      </w:r>
      <w:r>
        <w:rPr>
          <w:rFonts w:cstheme="minorHAnsi"/>
          <w:color w:val="000000" w:themeColor="text1"/>
        </w:rPr>
        <w:t>evident</w:t>
      </w:r>
      <w:r w:rsidRPr="00FC5D6E">
        <w:rPr>
          <w:rFonts w:cstheme="minorHAnsi"/>
          <w:color w:val="000000" w:themeColor="text1"/>
        </w:rPr>
        <w:t xml:space="preserve"> in rates of rect</w:t>
      </w:r>
      <w:r>
        <w:rPr>
          <w:rFonts w:cstheme="minorHAnsi"/>
          <w:color w:val="000000" w:themeColor="text1"/>
        </w:rPr>
        <w:t>al</w:t>
      </w:r>
      <w:r w:rsidRPr="00FC5D6E">
        <w:rPr>
          <w:rFonts w:cstheme="minorHAnsi"/>
          <w:color w:val="000000" w:themeColor="text1"/>
        </w:rPr>
        <w:t xml:space="preserve"> cancer between the most and least deprived quintiles for males (28.</w:t>
      </w:r>
      <w:r>
        <w:rPr>
          <w:rFonts w:cstheme="minorHAnsi"/>
          <w:color w:val="000000" w:themeColor="text1"/>
        </w:rPr>
        <w:t>8</w:t>
      </w:r>
      <w:r w:rsidRPr="00FC5D6E">
        <w:rPr>
          <w:rFonts w:cstheme="minorHAnsi"/>
          <w:color w:val="000000" w:themeColor="text1"/>
        </w:rPr>
        <w:t xml:space="preserve"> for least deprived and 30.2 for most deprived).</w:t>
      </w:r>
      <w:r>
        <w:rPr>
          <w:rFonts w:cstheme="minorHAnsi"/>
          <w:color w:val="000000" w:themeColor="text1"/>
        </w:rPr>
        <w:t xml:space="preserve"> Similarly, v</w:t>
      </w:r>
      <w:r w:rsidRPr="00FC5D6E">
        <w:rPr>
          <w:rFonts w:cstheme="minorHAnsi"/>
          <w:color w:val="000000" w:themeColor="text1"/>
        </w:rPr>
        <w:t>ery little difference was seen in rates between the most and least deprived quintiles in females (13.</w:t>
      </w:r>
      <w:r>
        <w:rPr>
          <w:rFonts w:cstheme="minorHAnsi"/>
          <w:color w:val="000000" w:themeColor="text1"/>
        </w:rPr>
        <w:t>5</w:t>
      </w:r>
      <w:r w:rsidRPr="00FC5D6E">
        <w:rPr>
          <w:rFonts w:cstheme="minorHAnsi"/>
          <w:color w:val="000000" w:themeColor="text1"/>
        </w:rPr>
        <w:t xml:space="preserve"> for least deprived and </w:t>
      </w:r>
      <w:r>
        <w:rPr>
          <w:rFonts w:cstheme="minorHAnsi"/>
          <w:color w:val="000000" w:themeColor="text1"/>
        </w:rPr>
        <w:t>13.0</w:t>
      </w:r>
      <w:r w:rsidRPr="00FC5D6E">
        <w:rPr>
          <w:rFonts w:cstheme="minorHAnsi"/>
          <w:color w:val="000000" w:themeColor="text1"/>
        </w:rPr>
        <w:t xml:space="preserve"> for most deprived).</w:t>
      </w:r>
    </w:p>
    <w:p w14:paraId="0AC7A9CA" w14:textId="77777777" w:rsidR="00464E4B" w:rsidRPr="00FC5D6E" w:rsidRDefault="00464E4B" w:rsidP="00464E4B">
      <w:pPr>
        <w:spacing w:after="0" w:line="240" w:lineRule="auto"/>
        <w:rPr>
          <w:rFonts w:cstheme="minorHAnsi"/>
          <w:color w:val="000000" w:themeColor="text1"/>
        </w:rPr>
      </w:pPr>
    </w:p>
    <w:tbl>
      <w:tblPr>
        <w:tblW w:w="9778" w:type="dxa"/>
        <w:tblInd w:w="-752" w:type="dxa"/>
        <w:tblBorders>
          <w:bottom w:val="single" w:sz="4" w:space="0" w:color="auto"/>
        </w:tblBorders>
        <w:tblLook w:val="04A0" w:firstRow="1" w:lastRow="0" w:firstColumn="1" w:lastColumn="0" w:noHBand="0" w:noVBand="1"/>
      </w:tblPr>
      <w:tblGrid>
        <w:gridCol w:w="3260"/>
        <w:gridCol w:w="3259"/>
        <w:gridCol w:w="3259"/>
      </w:tblGrid>
      <w:tr w:rsidR="00464E4B" w:rsidRPr="00FC5D6E" w14:paraId="4E9BA42E" w14:textId="77777777" w:rsidTr="0041177B">
        <w:trPr>
          <w:trHeight w:val="113"/>
        </w:trPr>
        <w:tc>
          <w:tcPr>
            <w:tcW w:w="9778" w:type="dxa"/>
            <w:gridSpan w:val="3"/>
            <w:shd w:val="clear" w:color="auto" w:fill="002060"/>
            <w:hideMark/>
          </w:tcPr>
          <w:p w14:paraId="28C953AC" w14:textId="4F7212F2" w:rsidR="00464E4B" w:rsidRPr="00665B3F" w:rsidRDefault="00464E4B" w:rsidP="0041177B">
            <w:pPr>
              <w:spacing w:after="0" w:line="240" w:lineRule="auto"/>
              <w:rPr>
                <w:rFonts w:cstheme="minorHAnsi"/>
                <w:b/>
                <w:bCs/>
                <w:color w:val="FFFFFF" w:themeColor="background1"/>
              </w:rPr>
            </w:pPr>
            <w:r w:rsidRPr="00665B3F">
              <w:rPr>
                <w:rFonts w:cstheme="minorHAnsi"/>
                <w:b/>
                <w:bCs/>
                <w:color w:val="FFFFFF" w:themeColor="background1"/>
              </w:rPr>
              <w:t xml:space="preserve">Figure </w:t>
            </w:r>
            <w:r w:rsidR="00665B3F" w:rsidRPr="00665B3F">
              <w:rPr>
                <w:rFonts w:cstheme="minorHAnsi"/>
                <w:b/>
                <w:bCs/>
                <w:color w:val="FFFFFF" w:themeColor="background1"/>
              </w:rPr>
              <w:t>10.9:</w:t>
            </w:r>
            <w:r w:rsidRPr="00665B3F">
              <w:rPr>
                <w:rFonts w:cstheme="minorHAnsi"/>
                <w:b/>
                <w:bCs/>
                <w:color w:val="FFFFFF" w:themeColor="background1"/>
              </w:rPr>
              <w:t xml:space="preserve"> Incidence rate (per 100,000) for rectal cancer by deprivation quintile, 2014-2018</w:t>
            </w:r>
          </w:p>
        </w:tc>
      </w:tr>
      <w:tr w:rsidR="00464E4B" w:rsidRPr="00FC5D6E" w14:paraId="31E9DE67" w14:textId="77777777" w:rsidTr="0041177B">
        <w:trPr>
          <w:trHeight w:val="113"/>
        </w:trPr>
        <w:tc>
          <w:tcPr>
            <w:tcW w:w="3260" w:type="dxa"/>
            <w:hideMark/>
          </w:tcPr>
          <w:p w14:paraId="43F6697A" w14:textId="77777777" w:rsidR="00464E4B" w:rsidRPr="00FC5D6E" w:rsidRDefault="00464E4B" w:rsidP="0041177B">
            <w:pPr>
              <w:spacing w:after="0" w:line="240" w:lineRule="auto"/>
              <w:jc w:val="center"/>
              <w:rPr>
                <w:rFonts w:cstheme="minorHAnsi"/>
                <w:color w:val="000000" w:themeColor="text1"/>
              </w:rPr>
            </w:pPr>
            <w:r w:rsidRPr="00FC5D6E">
              <w:rPr>
                <w:rFonts w:cstheme="minorHAnsi"/>
                <w:color w:val="000000" w:themeColor="text1"/>
              </w:rPr>
              <w:t>Total</w:t>
            </w:r>
          </w:p>
        </w:tc>
        <w:tc>
          <w:tcPr>
            <w:tcW w:w="3259" w:type="dxa"/>
          </w:tcPr>
          <w:p w14:paraId="5F395552" w14:textId="77777777" w:rsidR="00464E4B" w:rsidRPr="00FC5D6E" w:rsidRDefault="00464E4B" w:rsidP="0041177B">
            <w:pPr>
              <w:spacing w:after="0" w:line="240" w:lineRule="auto"/>
              <w:jc w:val="center"/>
              <w:rPr>
                <w:rFonts w:cstheme="minorHAnsi"/>
                <w:color w:val="000000" w:themeColor="text1"/>
              </w:rPr>
            </w:pPr>
            <w:r>
              <w:rPr>
                <w:rFonts w:cstheme="minorHAnsi"/>
                <w:color w:val="000000" w:themeColor="text1"/>
              </w:rPr>
              <w:t>Males</w:t>
            </w:r>
          </w:p>
        </w:tc>
        <w:tc>
          <w:tcPr>
            <w:tcW w:w="3259" w:type="dxa"/>
          </w:tcPr>
          <w:p w14:paraId="358B0920" w14:textId="77777777" w:rsidR="00464E4B" w:rsidRPr="00FC5D6E" w:rsidRDefault="00464E4B" w:rsidP="0041177B">
            <w:pPr>
              <w:spacing w:after="0" w:line="240" w:lineRule="auto"/>
              <w:jc w:val="center"/>
              <w:rPr>
                <w:rFonts w:cstheme="minorHAnsi"/>
                <w:color w:val="000000" w:themeColor="text1"/>
              </w:rPr>
            </w:pPr>
            <w:r>
              <w:rPr>
                <w:rFonts w:cstheme="minorHAnsi"/>
                <w:color w:val="000000" w:themeColor="text1"/>
              </w:rPr>
              <w:t>Females</w:t>
            </w:r>
          </w:p>
        </w:tc>
      </w:tr>
      <w:tr w:rsidR="00464E4B" w:rsidRPr="00E508D5" w14:paraId="04DB2872" w14:textId="77777777" w:rsidTr="0041177B">
        <w:trPr>
          <w:trHeight w:val="113"/>
        </w:trPr>
        <w:tc>
          <w:tcPr>
            <w:tcW w:w="3260" w:type="dxa"/>
          </w:tcPr>
          <w:p w14:paraId="7405DDB9" w14:textId="77777777" w:rsidR="00464E4B" w:rsidRPr="00E508D5" w:rsidRDefault="00464E4B" w:rsidP="0041177B">
            <w:pPr>
              <w:spacing w:after="0" w:line="240" w:lineRule="auto"/>
              <w:rPr>
                <w:rFonts w:eastAsia="Times New Roman" w:cs="Times New Roman"/>
                <w:lang w:eastAsia="en-GB"/>
              </w:rPr>
            </w:pPr>
            <w:r>
              <w:rPr>
                <w:rFonts w:eastAsia="Times New Roman" w:cs="Times New Roman"/>
                <w:noProof/>
                <w:lang w:eastAsia="en-GB"/>
              </w:rPr>
              <w:drawing>
                <wp:inline distT="0" distB="0" distL="0" distR="0" wp14:anchorId="0DD2C501" wp14:editId="69DC6C43">
                  <wp:extent cx="1932305" cy="1505585"/>
                  <wp:effectExtent l="0" t="0" r="0" b="0"/>
                  <wp:docPr id="11482207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932305" cy="1505585"/>
                          </a:xfrm>
                          <a:prstGeom prst="rect">
                            <a:avLst/>
                          </a:prstGeom>
                          <a:noFill/>
                        </pic:spPr>
                      </pic:pic>
                    </a:graphicData>
                  </a:graphic>
                </wp:inline>
              </w:drawing>
            </w:r>
          </w:p>
        </w:tc>
        <w:tc>
          <w:tcPr>
            <w:tcW w:w="3259" w:type="dxa"/>
          </w:tcPr>
          <w:p w14:paraId="2017E6EA" w14:textId="77777777" w:rsidR="00464E4B" w:rsidRPr="00E508D5" w:rsidRDefault="00464E4B" w:rsidP="0041177B">
            <w:pPr>
              <w:spacing w:after="0" w:line="240" w:lineRule="auto"/>
              <w:rPr>
                <w:rFonts w:cstheme="minorHAnsi"/>
                <w:color w:val="000000" w:themeColor="text1"/>
              </w:rPr>
            </w:pPr>
            <w:r>
              <w:rPr>
                <w:rFonts w:cstheme="minorHAnsi"/>
                <w:noProof/>
                <w:color w:val="000000" w:themeColor="text1"/>
              </w:rPr>
              <w:drawing>
                <wp:inline distT="0" distB="0" distL="0" distR="0" wp14:anchorId="48322952" wp14:editId="4768069B">
                  <wp:extent cx="1932305" cy="1505585"/>
                  <wp:effectExtent l="0" t="0" r="0" b="0"/>
                  <wp:docPr id="2807901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32305" cy="1505585"/>
                          </a:xfrm>
                          <a:prstGeom prst="rect">
                            <a:avLst/>
                          </a:prstGeom>
                          <a:noFill/>
                        </pic:spPr>
                      </pic:pic>
                    </a:graphicData>
                  </a:graphic>
                </wp:inline>
              </w:drawing>
            </w:r>
          </w:p>
        </w:tc>
        <w:tc>
          <w:tcPr>
            <w:tcW w:w="3259" w:type="dxa"/>
          </w:tcPr>
          <w:p w14:paraId="50025747" w14:textId="77777777" w:rsidR="00464E4B" w:rsidRPr="00E508D5" w:rsidRDefault="00464E4B" w:rsidP="0041177B">
            <w:pPr>
              <w:spacing w:after="0" w:line="240" w:lineRule="auto"/>
              <w:jc w:val="center"/>
              <w:rPr>
                <w:rFonts w:cstheme="minorHAnsi"/>
                <w:color w:val="000000" w:themeColor="text1"/>
              </w:rPr>
            </w:pPr>
            <w:r>
              <w:rPr>
                <w:rFonts w:cstheme="minorHAnsi"/>
                <w:noProof/>
                <w:color w:val="000000" w:themeColor="text1"/>
              </w:rPr>
              <w:drawing>
                <wp:inline distT="0" distB="0" distL="0" distR="0" wp14:anchorId="7CD23DA6" wp14:editId="2894053D">
                  <wp:extent cx="1932305" cy="1505585"/>
                  <wp:effectExtent l="0" t="0" r="0" b="0"/>
                  <wp:docPr id="11334507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32305" cy="1505585"/>
                          </a:xfrm>
                          <a:prstGeom prst="rect">
                            <a:avLst/>
                          </a:prstGeom>
                          <a:noFill/>
                        </pic:spPr>
                      </pic:pic>
                    </a:graphicData>
                  </a:graphic>
                </wp:inline>
              </w:drawing>
            </w:r>
          </w:p>
        </w:tc>
      </w:tr>
    </w:tbl>
    <w:p w14:paraId="3C93344F" w14:textId="77777777" w:rsidR="001A3B02" w:rsidRPr="001A3B02" w:rsidRDefault="001A3B02" w:rsidP="001A3B02">
      <w:bookmarkStart w:id="193" w:name="_Toc197557099"/>
    </w:p>
    <w:p w14:paraId="55F1C500" w14:textId="77777777" w:rsidR="00464E4B" w:rsidRPr="00FC5D6E" w:rsidRDefault="00464E4B" w:rsidP="00464E4B">
      <w:pPr>
        <w:pStyle w:val="Heading3"/>
        <w:spacing w:before="0" w:after="0" w:line="240" w:lineRule="auto"/>
      </w:pPr>
      <w:bookmarkStart w:id="194" w:name="_Toc201512490"/>
      <w:r w:rsidRPr="00FC5D6E">
        <w:t>Mortality</w:t>
      </w:r>
      <w:bookmarkEnd w:id="193"/>
      <w:bookmarkEnd w:id="194"/>
    </w:p>
    <w:p w14:paraId="371F618C" w14:textId="6892F5D8" w:rsidR="00464E4B" w:rsidRPr="00FC5D6E" w:rsidRDefault="00464E4B" w:rsidP="00464E4B">
      <w:pPr>
        <w:spacing w:after="0" w:line="240" w:lineRule="auto"/>
      </w:pPr>
      <w:r w:rsidRPr="00FC5D6E">
        <w:t>Age-standardised mortality rates of rect</w:t>
      </w:r>
      <w:r>
        <w:t>al</w:t>
      </w:r>
      <w:r w:rsidRPr="00FC5D6E">
        <w:t xml:space="preserve"> cancer </w:t>
      </w:r>
      <w:r w:rsidR="0054706C">
        <w:t xml:space="preserve">during the period </w:t>
      </w:r>
      <w:r w:rsidR="003F1574">
        <w:t>2007</w:t>
      </w:r>
      <w:r w:rsidR="0054706C">
        <w:t xml:space="preserve"> to </w:t>
      </w:r>
      <w:r w:rsidRPr="00FC5D6E">
        <w:t>2022 were 4.4 deaths per 100,000 males and 5.5 deaths per 100,000 females per year</w:t>
      </w:r>
      <w:r w:rsidR="001F2300">
        <w:t>.</w:t>
      </w:r>
      <w:r w:rsidR="002324A7">
        <w:rPr>
          <w:rStyle w:val="FootnoteReference"/>
        </w:rPr>
        <w:footnoteReference w:id="1"/>
      </w:r>
      <w:r>
        <w:t xml:space="preserve"> </w:t>
      </w:r>
      <w:r w:rsidRPr="00FC5D6E">
        <w:t xml:space="preserve">Figure </w:t>
      </w:r>
      <w:r w:rsidR="00665B3F">
        <w:t>10.10</w:t>
      </w:r>
      <w:r w:rsidRPr="00FC5D6E">
        <w:t xml:space="preserve"> breaks this down further by sex and age group. </w:t>
      </w:r>
      <w:r>
        <w:t>Mortality increased with increasing age in both males and females.</w:t>
      </w:r>
    </w:p>
    <w:p w14:paraId="49EE1BD0" w14:textId="77777777" w:rsidR="00464E4B" w:rsidRPr="00FC5D6E" w:rsidRDefault="00464E4B" w:rsidP="00464E4B">
      <w:pPr>
        <w:spacing w:after="0" w:line="240" w:lineRule="auto"/>
        <w:rPr>
          <w:highlight w:val="yellow"/>
        </w:rPr>
      </w:pPr>
    </w:p>
    <w:tbl>
      <w:tblPr>
        <w:tblW w:w="9777" w:type="dxa"/>
        <w:tblInd w:w="-752" w:type="dxa"/>
        <w:tblBorders>
          <w:bottom w:val="single" w:sz="4" w:space="0" w:color="auto"/>
        </w:tblBorders>
        <w:tblLayout w:type="fixed"/>
        <w:tblLook w:val="04A0" w:firstRow="1" w:lastRow="0" w:firstColumn="1" w:lastColumn="0" w:noHBand="0" w:noVBand="1"/>
      </w:tblPr>
      <w:tblGrid>
        <w:gridCol w:w="3259"/>
        <w:gridCol w:w="3259"/>
        <w:gridCol w:w="3259"/>
      </w:tblGrid>
      <w:tr w:rsidR="00464E4B" w:rsidRPr="00FC5D6E" w14:paraId="7F8070A7" w14:textId="77777777" w:rsidTr="0041177B">
        <w:trPr>
          <w:trHeight w:val="113"/>
        </w:trPr>
        <w:tc>
          <w:tcPr>
            <w:tcW w:w="9777" w:type="dxa"/>
            <w:gridSpan w:val="3"/>
            <w:shd w:val="clear" w:color="auto" w:fill="002060"/>
            <w:hideMark/>
          </w:tcPr>
          <w:p w14:paraId="4EADE03D" w14:textId="3A8B3CFE" w:rsidR="00464E4B" w:rsidRPr="00665B3F" w:rsidRDefault="00464E4B" w:rsidP="0041177B">
            <w:pPr>
              <w:spacing w:after="0" w:line="240" w:lineRule="auto"/>
              <w:rPr>
                <w:rFonts w:cstheme="minorHAnsi"/>
                <w:b/>
                <w:bCs/>
                <w:color w:val="FFFFFF" w:themeColor="background1"/>
              </w:rPr>
            </w:pPr>
            <w:r w:rsidRPr="00665B3F">
              <w:rPr>
                <w:rFonts w:cstheme="minorHAnsi"/>
                <w:b/>
                <w:bCs/>
                <w:color w:val="FFFFFF" w:themeColor="background1"/>
              </w:rPr>
              <w:t xml:space="preserve">Figure </w:t>
            </w:r>
            <w:r w:rsidR="00665B3F">
              <w:rPr>
                <w:rFonts w:cstheme="minorHAnsi"/>
                <w:b/>
                <w:bCs/>
                <w:color w:val="FFFFFF" w:themeColor="background1"/>
              </w:rPr>
              <w:t>10.10:</w:t>
            </w:r>
            <w:r w:rsidRPr="00665B3F">
              <w:rPr>
                <w:rFonts w:cstheme="minorHAnsi"/>
                <w:b/>
                <w:bCs/>
                <w:color w:val="FFFFFF" w:themeColor="background1"/>
              </w:rPr>
              <w:t xml:space="preserve"> Mortality rate (per 100,000) rectal cancer by </w:t>
            </w:r>
            <w:r w:rsidR="00366242">
              <w:rPr>
                <w:rFonts w:cstheme="minorHAnsi"/>
                <w:b/>
                <w:bCs/>
                <w:color w:val="FFFFFF" w:themeColor="background1"/>
              </w:rPr>
              <w:t>age group</w:t>
            </w:r>
            <w:r w:rsidRPr="00665B3F">
              <w:rPr>
                <w:rFonts w:cstheme="minorHAnsi"/>
                <w:b/>
                <w:bCs/>
                <w:color w:val="FFFFFF" w:themeColor="background1"/>
              </w:rPr>
              <w:t xml:space="preserve">, </w:t>
            </w:r>
            <w:r w:rsidR="00F72ACC">
              <w:rPr>
                <w:rFonts w:cstheme="minorHAnsi"/>
                <w:b/>
                <w:bCs/>
                <w:color w:val="FFFFFF" w:themeColor="background1"/>
              </w:rPr>
              <w:t>2007</w:t>
            </w:r>
            <w:r w:rsidRPr="00665B3F">
              <w:rPr>
                <w:rFonts w:cstheme="minorHAnsi"/>
                <w:b/>
                <w:bCs/>
                <w:color w:val="FFFFFF" w:themeColor="background1"/>
              </w:rPr>
              <w:t>-2022</w:t>
            </w:r>
          </w:p>
        </w:tc>
      </w:tr>
      <w:tr w:rsidR="00464E4B" w:rsidRPr="00FC5D6E" w14:paraId="7EADD156" w14:textId="77777777" w:rsidTr="0041177B">
        <w:trPr>
          <w:trHeight w:val="113"/>
        </w:trPr>
        <w:tc>
          <w:tcPr>
            <w:tcW w:w="3259" w:type="dxa"/>
            <w:hideMark/>
          </w:tcPr>
          <w:p w14:paraId="7D6EB777" w14:textId="77777777" w:rsidR="00464E4B" w:rsidRPr="00FC5D6E" w:rsidRDefault="00464E4B" w:rsidP="0041177B">
            <w:pPr>
              <w:spacing w:after="0" w:line="240" w:lineRule="auto"/>
              <w:jc w:val="center"/>
              <w:rPr>
                <w:rFonts w:cstheme="minorHAnsi"/>
                <w:color w:val="000000" w:themeColor="text1"/>
              </w:rPr>
            </w:pPr>
            <w:r w:rsidRPr="00FC5D6E">
              <w:rPr>
                <w:rFonts w:cstheme="minorHAnsi"/>
                <w:color w:val="000000" w:themeColor="text1"/>
              </w:rPr>
              <w:t>Total</w:t>
            </w:r>
          </w:p>
        </w:tc>
        <w:tc>
          <w:tcPr>
            <w:tcW w:w="3259" w:type="dxa"/>
          </w:tcPr>
          <w:p w14:paraId="1B8159BA" w14:textId="77777777" w:rsidR="00464E4B" w:rsidRPr="00FC5D6E" w:rsidRDefault="00464E4B" w:rsidP="0041177B">
            <w:pPr>
              <w:spacing w:after="0" w:line="240" w:lineRule="auto"/>
              <w:jc w:val="center"/>
              <w:rPr>
                <w:rFonts w:cstheme="minorHAnsi"/>
                <w:color w:val="000000" w:themeColor="text1"/>
              </w:rPr>
            </w:pPr>
            <w:r>
              <w:rPr>
                <w:rFonts w:cstheme="minorHAnsi"/>
                <w:color w:val="000000" w:themeColor="text1"/>
              </w:rPr>
              <w:t>Males</w:t>
            </w:r>
          </w:p>
        </w:tc>
        <w:tc>
          <w:tcPr>
            <w:tcW w:w="3259" w:type="dxa"/>
          </w:tcPr>
          <w:p w14:paraId="4C5BF409" w14:textId="77777777" w:rsidR="00464E4B" w:rsidRPr="00FC5D6E" w:rsidRDefault="00464E4B" w:rsidP="0041177B">
            <w:pPr>
              <w:spacing w:after="0" w:line="240" w:lineRule="auto"/>
              <w:jc w:val="center"/>
              <w:rPr>
                <w:rFonts w:cstheme="minorHAnsi"/>
                <w:color w:val="000000" w:themeColor="text1"/>
              </w:rPr>
            </w:pPr>
            <w:r>
              <w:rPr>
                <w:rFonts w:cstheme="minorHAnsi"/>
                <w:color w:val="000000" w:themeColor="text1"/>
              </w:rPr>
              <w:t>Females</w:t>
            </w:r>
          </w:p>
        </w:tc>
      </w:tr>
      <w:tr w:rsidR="00464E4B" w:rsidRPr="00E508D5" w14:paraId="7F35B2E8" w14:textId="77777777" w:rsidTr="0041177B">
        <w:trPr>
          <w:trHeight w:val="113"/>
        </w:trPr>
        <w:tc>
          <w:tcPr>
            <w:tcW w:w="3259" w:type="dxa"/>
          </w:tcPr>
          <w:p w14:paraId="6D44C8CD" w14:textId="77777777" w:rsidR="00464E4B" w:rsidRPr="00E508D5" w:rsidRDefault="00464E4B" w:rsidP="0041177B">
            <w:pPr>
              <w:spacing w:after="0" w:line="240" w:lineRule="auto"/>
              <w:rPr>
                <w:rFonts w:eastAsia="Times New Roman" w:cs="Times New Roman"/>
                <w:lang w:eastAsia="en-GB"/>
              </w:rPr>
            </w:pPr>
            <w:r w:rsidRPr="00E508D5">
              <w:rPr>
                <w:rFonts w:eastAsia="Times New Roman" w:cs="Times New Roman"/>
                <w:noProof/>
                <w:lang w:eastAsia="en-GB"/>
              </w:rPr>
              <w:drawing>
                <wp:inline distT="0" distB="0" distL="0" distR="0" wp14:anchorId="5199B96B" wp14:editId="116B29EC">
                  <wp:extent cx="1932804" cy="1692000"/>
                  <wp:effectExtent l="0" t="0" r="0" b="3810"/>
                  <wp:docPr id="60853547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32804" cy="1692000"/>
                          </a:xfrm>
                          <a:prstGeom prst="rect">
                            <a:avLst/>
                          </a:prstGeom>
                          <a:noFill/>
                        </pic:spPr>
                      </pic:pic>
                    </a:graphicData>
                  </a:graphic>
                </wp:inline>
              </w:drawing>
            </w:r>
          </w:p>
        </w:tc>
        <w:tc>
          <w:tcPr>
            <w:tcW w:w="3259" w:type="dxa"/>
          </w:tcPr>
          <w:p w14:paraId="02D8445B" w14:textId="77777777" w:rsidR="00464E4B" w:rsidRPr="00E508D5" w:rsidRDefault="00464E4B" w:rsidP="0041177B">
            <w:pPr>
              <w:spacing w:after="0" w:line="240" w:lineRule="auto"/>
              <w:rPr>
                <w:rFonts w:cstheme="minorHAnsi"/>
                <w:color w:val="000000" w:themeColor="text1"/>
              </w:rPr>
            </w:pPr>
            <w:r w:rsidRPr="00E508D5">
              <w:rPr>
                <w:rFonts w:eastAsia="Times New Roman" w:cs="Times New Roman"/>
                <w:noProof/>
                <w:lang w:eastAsia="en-GB"/>
              </w:rPr>
              <w:drawing>
                <wp:inline distT="0" distB="0" distL="0" distR="0" wp14:anchorId="5733F35D" wp14:editId="7F0C0C33">
                  <wp:extent cx="1932804" cy="1692000"/>
                  <wp:effectExtent l="0" t="0" r="0" b="3810"/>
                  <wp:docPr id="4489863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932804" cy="1692000"/>
                          </a:xfrm>
                          <a:prstGeom prst="rect">
                            <a:avLst/>
                          </a:prstGeom>
                          <a:noFill/>
                        </pic:spPr>
                      </pic:pic>
                    </a:graphicData>
                  </a:graphic>
                </wp:inline>
              </w:drawing>
            </w:r>
          </w:p>
        </w:tc>
        <w:tc>
          <w:tcPr>
            <w:tcW w:w="3259" w:type="dxa"/>
          </w:tcPr>
          <w:p w14:paraId="3DC30F7B" w14:textId="77777777" w:rsidR="00464E4B" w:rsidRPr="00E508D5" w:rsidRDefault="00464E4B" w:rsidP="0041177B">
            <w:pPr>
              <w:spacing w:after="0" w:line="240" w:lineRule="auto"/>
              <w:rPr>
                <w:rFonts w:cstheme="minorHAnsi"/>
                <w:color w:val="000000" w:themeColor="text1"/>
              </w:rPr>
            </w:pPr>
            <w:r w:rsidRPr="00E508D5">
              <w:rPr>
                <w:rFonts w:cstheme="minorHAnsi"/>
                <w:noProof/>
                <w:color w:val="000000" w:themeColor="text1"/>
              </w:rPr>
              <w:drawing>
                <wp:inline distT="0" distB="0" distL="0" distR="0" wp14:anchorId="0C3D036E" wp14:editId="1BB95307">
                  <wp:extent cx="1932804" cy="1692000"/>
                  <wp:effectExtent l="0" t="0" r="0" b="3810"/>
                  <wp:docPr id="59032704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932804" cy="1692000"/>
                          </a:xfrm>
                          <a:prstGeom prst="rect">
                            <a:avLst/>
                          </a:prstGeom>
                          <a:noFill/>
                        </pic:spPr>
                      </pic:pic>
                    </a:graphicData>
                  </a:graphic>
                </wp:inline>
              </w:drawing>
            </w:r>
          </w:p>
        </w:tc>
      </w:tr>
    </w:tbl>
    <w:p w14:paraId="675B4A12" w14:textId="77777777" w:rsidR="00464E4B" w:rsidRPr="00FC5D6E" w:rsidRDefault="00464E4B" w:rsidP="00464E4B">
      <w:pPr>
        <w:pStyle w:val="Heading4"/>
        <w:spacing w:before="0" w:after="0" w:line="240" w:lineRule="auto"/>
      </w:pPr>
      <w:r w:rsidRPr="00FC5D6E">
        <w:t>Trends over time</w:t>
      </w:r>
    </w:p>
    <w:p w14:paraId="343593B2" w14:textId="48F501A8" w:rsidR="00464E4B" w:rsidRDefault="00464E4B" w:rsidP="00464E4B">
      <w:pPr>
        <w:spacing w:after="0" w:line="240" w:lineRule="auto"/>
      </w:pPr>
      <w:r w:rsidRPr="00FC5D6E">
        <w:t xml:space="preserve">Figure </w:t>
      </w:r>
      <w:r w:rsidR="00665B3F">
        <w:t>10.11</w:t>
      </w:r>
      <w:r w:rsidRPr="00FC5D6E">
        <w:t xml:space="preserve"> shows the </w:t>
      </w:r>
      <w:r>
        <w:t>age-standardised mortality rates for</w:t>
      </w:r>
      <w:r w:rsidRPr="00FC5D6E">
        <w:t xml:space="preserve"> rect</w:t>
      </w:r>
      <w:r>
        <w:t>al</w:t>
      </w:r>
      <w:r w:rsidRPr="00FC5D6E">
        <w:t xml:space="preserve"> cancer from </w:t>
      </w:r>
      <w:r>
        <w:t xml:space="preserve">2007 </w:t>
      </w:r>
      <w:r w:rsidRPr="00FC5D6E">
        <w:t>to 2022</w:t>
      </w:r>
      <w:r>
        <w:t xml:space="preserve"> among males and females. </w:t>
      </w:r>
      <w:r w:rsidRPr="00FC5D6E">
        <w:t xml:space="preserve">In females, mortality (APC) </w:t>
      </w:r>
      <w:r>
        <w:t>decreased</w:t>
      </w:r>
      <w:r w:rsidRPr="00FC5D6E">
        <w:t xml:space="preserve"> from </w:t>
      </w:r>
      <w:r>
        <w:t>2007</w:t>
      </w:r>
      <w:r w:rsidRPr="00FC5D6E">
        <w:t xml:space="preserve"> to </w:t>
      </w:r>
      <w:r>
        <w:t>2022</w:t>
      </w:r>
      <w:r w:rsidRPr="00FC5D6E">
        <w:t xml:space="preserve"> (</w:t>
      </w:r>
      <w:r>
        <w:t>-3.1</w:t>
      </w:r>
      <w:r w:rsidRPr="00FC5D6E">
        <w:t xml:space="preserve">% per year (95%CI </w:t>
      </w:r>
      <w:r w:rsidRPr="00327CC8">
        <w:t>-4.3, -1.9</w:t>
      </w:r>
      <w:r>
        <w:t>)</w:t>
      </w:r>
      <w:r w:rsidR="007535AF">
        <w:t>)</w:t>
      </w:r>
      <w:r w:rsidRPr="00FC5D6E">
        <w:t xml:space="preserve">. Mortality rate </w:t>
      </w:r>
      <w:r>
        <w:t>for males decreased</w:t>
      </w:r>
      <w:r w:rsidRPr="00FC5D6E">
        <w:t xml:space="preserve"> from 20</w:t>
      </w:r>
      <w:r>
        <w:t>07</w:t>
      </w:r>
      <w:r w:rsidRPr="00FC5D6E">
        <w:t xml:space="preserve"> to 2022</w:t>
      </w:r>
      <w:r>
        <w:t xml:space="preserve"> (</w:t>
      </w:r>
      <w:r w:rsidRPr="00327CC8">
        <w:t xml:space="preserve"> </w:t>
      </w:r>
      <w:r>
        <w:t>-3.2</w:t>
      </w:r>
      <w:r w:rsidRPr="00FC5D6E">
        <w:t xml:space="preserve">% per year (95%CI </w:t>
      </w:r>
      <w:r w:rsidRPr="00327CC8">
        <w:t>-4.3, -</w:t>
      </w:r>
      <w:r>
        <w:t>2</w:t>
      </w:r>
      <w:r w:rsidRPr="00327CC8">
        <w:t>.</w:t>
      </w:r>
      <w:r w:rsidR="00A7511F">
        <w:t>0</w:t>
      </w:r>
      <w:r>
        <w:t>)</w:t>
      </w:r>
      <w:r w:rsidR="007535AF">
        <w:t>)</w:t>
      </w:r>
      <w:r>
        <w:t>.</w:t>
      </w:r>
    </w:p>
    <w:p w14:paraId="066FD082" w14:textId="77777777" w:rsidR="00464E4B" w:rsidRDefault="00464E4B" w:rsidP="00464E4B">
      <w:pPr>
        <w:spacing w:after="0" w:line="240" w:lineRule="auto"/>
      </w:pPr>
    </w:p>
    <w:p w14:paraId="09DB307A" w14:textId="7844B666" w:rsidR="00464E4B" w:rsidRPr="00FC5D6E" w:rsidRDefault="00464E4B" w:rsidP="00464E4B">
      <w:pPr>
        <w:spacing w:after="0" w:line="240" w:lineRule="auto"/>
      </w:pPr>
    </w:p>
    <w:tbl>
      <w:tblPr>
        <w:tblStyle w:val="TableGrid"/>
        <w:tblW w:w="950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3"/>
      </w:tblGrid>
      <w:tr w:rsidR="00464E4B" w:rsidRPr="009767B9" w14:paraId="6DBE8836" w14:textId="77777777" w:rsidTr="0041177B">
        <w:trPr>
          <w:trHeight w:val="113"/>
        </w:trPr>
        <w:tc>
          <w:tcPr>
            <w:tcW w:w="9503" w:type="dxa"/>
            <w:shd w:val="clear" w:color="auto" w:fill="002060"/>
            <w:vAlign w:val="center"/>
            <w:hideMark/>
          </w:tcPr>
          <w:p w14:paraId="38DF68A6" w14:textId="7F166D19" w:rsidR="00464E4B" w:rsidRPr="009767B9" w:rsidRDefault="00464E4B" w:rsidP="0041177B">
            <w:pPr>
              <w:rPr>
                <w:rFonts w:asciiTheme="minorHAnsi" w:hAnsiTheme="minorHAnsi"/>
                <w:b/>
                <w:bCs/>
                <w:lang w:val="en-GB"/>
              </w:rPr>
            </w:pPr>
            <w:r w:rsidRPr="009767B9">
              <w:rPr>
                <w:rFonts w:asciiTheme="minorHAnsi" w:hAnsiTheme="minorHAnsi"/>
                <w:b/>
                <w:bCs/>
                <w:lang w:val="en-GB"/>
              </w:rPr>
              <w:t xml:space="preserve">Figure </w:t>
            </w:r>
            <w:r w:rsidR="00665B3F">
              <w:rPr>
                <w:rFonts w:asciiTheme="minorHAnsi" w:hAnsiTheme="minorHAnsi"/>
                <w:b/>
                <w:bCs/>
                <w:lang w:val="en-GB"/>
              </w:rPr>
              <w:t>10.11:</w:t>
            </w:r>
            <w:r w:rsidRPr="009767B9">
              <w:rPr>
                <w:rFonts w:asciiTheme="minorHAnsi" w:hAnsiTheme="minorHAnsi"/>
                <w:b/>
                <w:bCs/>
                <w:lang w:val="en-GB"/>
              </w:rPr>
              <w:t xml:space="preserve"> Age-</w:t>
            </w:r>
            <w:r w:rsidRPr="009767B9">
              <w:rPr>
                <w:rFonts w:asciiTheme="minorHAnsi" w:hAnsiTheme="minorHAnsi"/>
                <w:b/>
                <w:bCs/>
                <w:bdr w:val="single" w:sz="4" w:space="0" w:color="auto" w:frame="1"/>
                <w:lang w:val="en-GB"/>
              </w:rPr>
              <w:t xml:space="preserve">standardised mortality rate </w:t>
            </w:r>
            <w:r w:rsidR="00F72ACC">
              <w:rPr>
                <w:rFonts w:asciiTheme="minorHAnsi" w:hAnsiTheme="minorHAnsi"/>
                <w:b/>
                <w:bCs/>
                <w:bdr w:val="single" w:sz="4" w:space="0" w:color="auto" w:frame="1"/>
                <w:lang w:val="en-GB"/>
              </w:rPr>
              <w:t>2007</w:t>
            </w:r>
            <w:r w:rsidRPr="009767B9">
              <w:rPr>
                <w:rFonts w:asciiTheme="minorHAnsi" w:hAnsiTheme="minorHAnsi"/>
                <w:b/>
                <w:bCs/>
                <w:bdr w:val="single" w:sz="4" w:space="0" w:color="auto" w:frame="1"/>
                <w:lang w:val="en-GB"/>
              </w:rPr>
              <w:t xml:space="preserve">-2022, </w:t>
            </w:r>
            <w:r w:rsidRPr="009767B9">
              <w:rPr>
                <w:rFonts w:asciiTheme="minorHAnsi" w:hAnsiTheme="minorHAnsi"/>
                <w:b/>
                <w:bCs/>
                <w:kern w:val="2"/>
                <w:sz w:val="24"/>
                <w:szCs w:val="24"/>
                <w:bdr w:val="single" w:sz="4" w:space="0" w:color="auto" w:frame="1"/>
                <w:lang w:val="en-GB"/>
                <w14:ligatures w14:val="standardContextual"/>
              </w:rPr>
              <w:t xml:space="preserve">rectum </w:t>
            </w:r>
          </w:p>
        </w:tc>
      </w:tr>
      <w:tr w:rsidR="00464E4B" w:rsidRPr="009767B9" w14:paraId="5D608E24" w14:textId="77777777" w:rsidTr="0041177B">
        <w:trPr>
          <w:trHeight w:val="113"/>
        </w:trPr>
        <w:tc>
          <w:tcPr>
            <w:tcW w:w="9503" w:type="dxa"/>
            <w:vAlign w:val="center"/>
          </w:tcPr>
          <w:p w14:paraId="417C6CA3" w14:textId="77777777" w:rsidR="00464E4B" w:rsidRPr="009767B9" w:rsidRDefault="00464E4B" w:rsidP="0041177B">
            <w:pPr>
              <w:jc w:val="center"/>
              <w:rPr>
                <w:rFonts w:asciiTheme="minorHAnsi" w:hAnsiTheme="minorHAnsi"/>
                <w:lang w:val="en-GB"/>
              </w:rPr>
            </w:pPr>
            <w:r>
              <w:rPr>
                <w:noProof/>
              </w:rPr>
              <w:drawing>
                <wp:inline distT="0" distB="0" distL="0" distR="0" wp14:anchorId="2FB2F2A2" wp14:editId="7F130870">
                  <wp:extent cx="5761355" cy="2664460"/>
                  <wp:effectExtent l="0" t="0" r="0" b="2540"/>
                  <wp:docPr id="2135956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61355" cy="2664460"/>
                          </a:xfrm>
                          <a:prstGeom prst="rect">
                            <a:avLst/>
                          </a:prstGeom>
                          <a:noFill/>
                        </pic:spPr>
                      </pic:pic>
                    </a:graphicData>
                  </a:graphic>
                </wp:inline>
              </w:drawing>
            </w:r>
          </w:p>
        </w:tc>
      </w:tr>
      <w:tr w:rsidR="00464E4B" w:rsidRPr="009767B9" w14:paraId="2D1536A2" w14:textId="77777777" w:rsidTr="0041177B">
        <w:trPr>
          <w:trHeight w:val="113"/>
        </w:trPr>
        <w:tc>
          <w:tcPr>
            <w:tcW w:w="9503" w:type="dxa"/>
            <w:vAlign w:val="center"/>
          </w:tcPr>
          <w:tbl>
            <w:tblPr>
              <w:tblpPr w:leftFromText="180" w:rightFromText="180" w:bottomFromText="160" w:vertAnchor="page" w:horzAnchor="margin" w:tblpXSpec="center" w:tblpY="1"/>
              <w:tblOverlap w:val="never"/>
              <w:tblW w:w="0" w:type="auto"/>
              <w:tblLook w:val="04A0" w:firstRow="1" w:lastRow="0" w:firstColumn="1" w:lastColumn="0" w:noHBand="0" w:noVBand="1"/>
            </w:tblPr>
            <w:tblGrid>
              <w:gridCol w:w="1134"/>
              <w:gridCol w:w="1327"/>
              <w:gridCol w:w="771"/>
              <w:gridCol w:w="992"/>
              <w:gridCol w:w="706"/>
              <w:gridCol w:w="530"/>
              <w:gridCol w:w="1180"/>
              <w:gridCol w:w="771"/>
              <w:gridCol w:w="977"/>
              <w:gridCol w:w="706"/>
            </w:tblGrid>
            <w:tr w:rsidR="00464E4B" w:rsidRPr="00B6736E" w14:paraId="72143B17" w14:textId="77777777" w:rsidTr="0041177B">
              <w:trPr>
                <w:trHeight w:val="113"/>
              </w:trPr>
              <w:tc>
                <w:tcPr>
                  <w:tcW w:w="1134" w:type="dxa"/>
                  <w:noWrap/>
                  <w:tcMar>
                    <w:top w:w="15" w:type="dxa"/>
                    <w:left w:w="108" w:type="dxa"/>
                    <w:bottom w:w="15" w:type="dxa"/>
                    <w:right w:w="108" w:type="dxa"/>
                  </w:tcMar>
                  <w:vAlign w:val="center"/>
                  <w:hideMark/>
                </w:tcPr>
                <w:p w14:paraId="5C39EE9E" w14:textId="77777777" w:rsidR="00464E4B" w:rsidRPr="00B6736E"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B6736E">
                    <w:rPr>
                      <w:rFonts w:eastAsia="Times New Roman" w:cs="Times New Roman"/>
                      <w:b/>
                      <w:bCs/>
                      <w:color w:val="000000"/>
                      <w:kern w:val="0"/>
                      <w:sz w:val="20"/>
                      <w:szCs w:val="20"/>
                      <w:u w:val="single"/>
                      <w:lang w:eastAsia="en-GB"/>
                      <w14:ligatures w14:val="none"/>
                    </w:rPr>
                    <w:t>sex</w:t>
                  </w:r>
                </w:p>
              </w:tc>
              <w:tc>
                <w:tcPr>
                  <w:tcW w:w="1327" w:type="dxa"/>
                  <w:noWrap/>
                  <w:tcMar>
                    <w:top w:w="15" w:type="dxa"/>
                    <w:left w:w="108" w:type="dxa"/>
                    <w:bottom w:w="15" w:type="dxa"/>
                    <w:right w:w="108" w:type="dxa"/>
                  </w:tcMar>
                  <w:vAlign w:val="center"/>
                  <w:hideMark/>
                </w:tcPr>
                <w:p w14:paraId="358400AF" w14:textId="77777777" w:rsidR="00464E4B" w:rsidRPr="00B6736E"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B6736E">
                    <w:rPr>
                      <w:rFonts w:eastAsia="Times New Roman" w:cs="Times New Roman"/>
                      <w:b/>
                      <w:bCs/>
                      <w:color w:val="000000"/>
                      <w:kern w:val="0"/>
                      <w:sz w:val="20"/>
                      <w:szCs w:val="20"/>
                      <w:u w:val="single"/>
                      <w:lang w:eastAsia="en-GB"/>
                      <w14:ligatures w14:val="none"/>
                    </w:rPr>
                    <w:t>period</w:t>
                  </w:r>
                </w:p>
              </w:tc>
              <w:tc>
                <w:tcPr>
                  <w:tcW w:w="0" w:type="auto"/>
                  <w:noWrap/>
                  <w:tcMar>
                    <w:top w:w="15" w:type="dxa"/>
                    <w:left w:w="108" w:type="dxa"/>
                    <w:bottom w:w="15" w:type="dxa"/>
                    <w:right w:w="108" w:type="dxa"/>
                  </w:tcMar>
                  <w:vAlign w:val="center"/>
                  <w:hideMark/>
                </w:tcPr>
                <w:p w14:paraId="241B18E3" w14:textId="77777777" w:rsidR="00464E4B" w:rsidRPr="00B6736E"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B6736E">
                    <w:rPr>
                      <w:rFonts w:eastAsia="Times New Roman" w:cs="Times New Roman"/>
                      <w:b/>
                      <w:bCs/>
                      <w:color w:val="000000"/>
                      <w:kern w:val="0"/>
                      <w:sz w:val="20"/>
                      <w:szCs w:val="20"/>
                      <w:u w:val="single"/>
                      <w:lang w:eastAsia="en-GB"/>
                      <w14:ligatures w14:val="none"/>
                    </w:rPr>
                    <w:t>APC%</w:t>
                  </w:r>
                </w:p>
              </w:tc>
              <w:tc>
                <w:tcPr>
                  <w:tcW w:w="0" w:type="auto"/>
                  <w:noWrap/>
                  <w:tcMar>
                    <w:top w:w="15" w:type="dxa"/>
                    <w:left w:w="108" w:type="dxa"/>
                    <w:bottom w:w="15" w:type="dxa"/>
                    <w:right w:w="108" w:type="dxa"/>
                  </w:tcMar>
                  <w:vAlign w:val="center"/>
                  <w:hideMark/>
                </w:tcPr>
                <w:p w14:paraId="3E9671BD" w14:textId="77777777" w:rsidR="00464E4B" w:rsidRPr="00B6736E"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B6736E">
                    <w:rPr>
                      <w:rFonts w:eastAsia="Times New Roman" w:cs="Times New Roman"/>
                      <w:b/>
                      <w:bCs/>
                      <w:color w:val="000000"/>
                      <w:kern w:val="0"/>
                      <w:sz w:val="20"/>
                      <w:szCs w:val="20"/>
                      <w:u w:val="single"/>
                      <w:lang w:eastAsia="en-GB"/>
                      <w14:ligatures w14:val="none"/>
                    </w:rPr>
                    <w:t>95%CI</w:t>
                  </w:r>
                </w:p>
              </w:tc>
              <w:tc>
                <w:tcPr>
                  <w:tcW w:w="0" w:type="auto"/>
                  <w:tcBorders>
                    <w:right w:val="single" w:sz="4" w:space="0" w:color="auto"/>
                  </w:tcBorders>
                  <w:noWrap/>
                  <w:tcMar>
                    <w:top w:w="15" w:type="dxa"/>
                    <w:left w:w="108" w:type="dxa"/>
                    <w:bottom w:w="15" w:type="dxa"/>
                    <w:right w:w="108" w:type="dxa"/>
                  </w:tcMar>
                  <w:vAlign w:val="center"/>
                  <w:hideMark/>
                </w:tcPr>
                <w:p w14:paraId="2C963F1F" w14:textId="77777777" w:rsidR="00464E4B" w:rsidRPr="00B6736E"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B6736E">
                    <w:rPr>
                      <w:rFonts w:eastAsia="Times New Roman" w:cs="Times New Roman"/>
                      <w:b/>
                      <w:bCs/>
                      <w:color w:val="000000"/>
                      <w:kern w:val="0"/>
                      <w:sz w:val="20"/>
                      <w:szCs w:val="20"/>
                      <w:u w:val="single"/>
                      <w:lang w:eastAsia="en-GB"/>
                      <w14:ligatures w14:val="none"/>
                    </w:rPr>
                    <w:t>trend</w:t>
                  </w:r>
                </w:p>
              </w:tc>
              <w:tc>
                <w:tcPr>
                  <w:tcW w:w="0" w:type="auto"/>
                  <w:vAlign w:val="center"/>
                </w:tcPr>
                <w:p w14:paraId="1B004B7A" w14:textId="77777777" w:rsidR="00464E4B" w:rsidRPr="00B6736E"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B6736E">
                    <w:rPr>
                      <w:rFonts w:eastAsia="Times New Roman" w:cs="Times New Roman"/>
                      <w:b/>
                      <w:bCs/>
                      <w:color w:val="000000"/>
                      <w:kern w:val="0"/>
                      <w:sz w:val="20"/>
                      <w:szCs w:val="20"/>
                      <w:u w:val="single"/>
                      <w:lang w:eastAsia="en-GB"/>
                      <w14:ligatures w14:val="none"/>
                    </w:rPr>
                    <w:t>sex</w:t>
                  </w:r>
                </w:p>
              </w:tc>
              <w:tc>
                <w:tcPr>
                  <w:tcW w:w="0" w:type="auto"/>
                  <w:vAlign w:val="center"/>
                </w:tcPr>
                <w:p w14:paraId="755C382C" w14:textId="77777777" w:rsidR="00464E4B" w:rsidRPr="00B6736E"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B6736E">
                    <w:rPr>
                      <w:rFonts w:eastAsia="Times New Roman" w:cs="Times New Roman"/>
                      <w:b/>
                      <w:bCs/>
                      <w:color w:val="000000"/>
                      <w:kern w:val="0"/>
                      <w:sz w:val="20"/>
                      <w:szCs w:val="20"/>
                      <w:u w:val="single"/>
                      <w:lang w:eastAsia="en-GB"/>
                      <w14:ligatures w14:val="none"/>
                    </w:rPr>
                    <w:t>period</w:t>
                  </w:r>
                </w:p>
              </w:tc>
              <w:tc>
                <w:tcPr>
                  <w:tcW w:w="0" w:type="auto"/>
                  <w:vAlign w:val="center"/>
                </w:tcPr>
                <w:p w14:paraId="6DE3DA4E" w14:textId="77777777" w:rsidR="00464E4B" w:rsidRPr="00B6736E"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B6736E">
                    <w:rPr>
                      <w:rFonts w:eastAsia="Times New Roman" w:cs="Times New Roman"/>
                      <w:b/>
                      <w:bCs/>
                      <w:color w:val="000000"/>
                      <w:kern w:val="0"/>
                      <w:sz w:val="20"/>
                      <w:szCs w:val="20"/>
                      <w:u w:val="single"/>
                      <w:lang w:eastAsia="en-GB"/>
                      <w14:ligatures w14:val="none"/>
                    </w:rPr>
                    <w:t>APC%</w:t>
                  </w:r>
                </w:p>
              </w:tc>
              <w:tc>
                <w:tcPr>
                  <w:tcW w:w="0" w:type="auto"/>
                  <w:vAlign w:val="center"/>
                </w:tcPr>
                <w:p w14:paraId="593AD8F2" w14:textId="77777777" w:rsidR="00464E4B" w:rsidRPr="00B6736E"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B6736E">
                    <w:rPr>
                      <w:rFonts w:eastAsia="Times New Roman" w:cs="Times New Roman"/>
                      <w:b/>
                      <w:bCs/>
                      <w:color w:val="000000"/>
                      <w:kern w:val="0"/>
                      <w:sz w:val="20"/>
                      <w:szCs w:val="20"/>
                      <w:u w:val="single"/>
                      <w:lang w:eastAsia="en-GB"/>
                      <w14:ligatures w14:val="none"/>
                    </w:rPr>
                    <w:t>95%CI</w:t>
                  </w:r>
                </w:p>
              </w:tc>
              <w:tc>
                <w:tcPr>
                  <w:tcW w:w="0" w:type="auto"/>
                  <w:tcBorders>
                    <w:right w:val="single" w:sz="4" w:space="0" w:color="auto"/>
                  </w:tcBorders>
                  <w:vAlign w:val="center"/>
                </w:tcPr>
                <w:p w14:paraId="41A1AA6F" w14:textId="77777777" w:rsidR="00464E4B" w:rsidRPr="00B6736E"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B6736E">
                    <w:rPr>
                      <w:rFonts w:eastAsia="Times New Roman" w:cs="Times New Roman"/>
                      <w:b/>
                      <w:bCs/>
                      <w:color w:val="000000"/>
                      <w:kern w:val="0"/>
                      <w:sz w:val="20"/>
                      <w:szCs w:val="20"/>
                      <w:u w:val="single"/>
                      <w:lang w:eastAsia="en-GB"/>
                      <w14:ligatures w14:val="none"/>
                    </w:rPr>
                    <w:t>trend</w:t>
                  </w:r>
                </w:p>
              </w:tc>
            </w:tr>
            <w:tr w:rsidR="00464E4B" w:rsidRPr="00B6736E" w14:paraId="72B5D3E3" w14:textId="77777777" w:rsidTr="0041177B">
              <w:trPr>
                <w:trHeight w:val="113"/>
              </w:trPr>
              <w:tc>
                <w:tcPr>
                  <w:tcW w:w="1134" w:type="dxa"/>
                  <w:noWrap/>
                  <w:tcMar>
                    <w:top w:w="15" w:type="dxa"/>
                    <w:left w:w="108" w:type="dxa"/>
                    <w:bottom w:w="15" w:type="dxa"/>
                    <w:right w:w="108" w:type="dxa"/>
                  </w:tcMar>
                  <w:hideMark/>
                </w:tcPr>
                <w:p w14:paraId="0D2BC83C" w14:textId="77777777" w:rsidR="00464E4B" w:rsidRPr="00B6736E" w:rsidRDefault="00464E4B" w:rsidP="0041177B">
                  <w:pPr>
                    <w:spacing w:after="0" w:line="240" w:lineRule="auto"/>
                    <w:jc w:val="center"/>
                    <w:rPr>
                      <w:rFonts w:eastAsia="Times New Roman" w:cs="Times New Roman"/>
                      <w:color w:val="000000"/>
                      <w:kern w:val="0"/>
                      <w:sz w:val="20"/>
                      <w:szCs w:val="20"/>
                      <w:lang w:eastAsia="en-GB"/>
                      <w14:ligatures w14:val="none"/>
                    </w:rPr>
                  </w:pPr>
                  <w:r w:rsidRPr="00B6736E">
                    <w:rPr>
                      <w:sz w:val="20"/>
                      <w:szCs w:val="20"/>
                    </w:rPr>
                    <w:t>M </w:t>
                  </w:r>
                </w:p>
              </w:tc>
              <w:tc>
                <w:tcPr>
                  <w:tcW w:w="1327" w:type="dxa"/>
                  <w:noWrap/>
                  <w:tcMar>
                    <w:top w:w="15" w:type="dxa"/>
                    <w:left w:w="108" w:type="dxa"/>
                    <w:bottom w:w="15" w:type="dxa"/>
                    <w:right w:w="108" w:type="dxa"/>
                  </w:tcMar>
                  <w:hideMark/>
                </w:tcPr>
                <w:p w14:paraId="63AD6868" w14:textId="77777777" w:rsidR="00464E4B" w:rsidRPr="00B6736E" w:rsidRDefault="00464E4B" w:rsidP="0041177B">
                  <w:pPr>
                    <w:spacing w:after="0" w:line="240" w:lineRule="auto"/>
                    <w:jc w:val="center"/>
                    <w:rPr>
                      <w:rFonts w:eastAsia="Times New Roman" w:cs="Times New Roman"/>
                      <w:color w:val="000000"/>
                      <w:kern w:val="0"/>
                      <w:sz w:val="20"/>
                      <w:szCs w:val="20"/>
                      <w:lang w:eastAsia="en-GB"/>
                      <w14:ligatures w14:val="none"/>
                    </w:rPr>
                  </w:pPr>
                  <w:r>
                    <w:rPr>
                      <w:sz w:val="20"/>
                      <w:szCs w:val="20"/>
                    </w:rPr>
                    <w:t>2007</w:t>
                  </w:r>
                  <w:r w:rsidRPr="00B6736E">
                    <w:rPr>
                      <w:sz w:val="20"/>
                      <w:szCs w:val="20"/>
                    </w:rPr>
                    <w:t>-2022 </w:t>
                  </w:r>
                </w:p>
              </w:tc>
              <w:tc>
                <w:tcPr>
                  <w:tcW w:w="0" w:type="auto"/>
                  <w:noWrap/>
                  <w:tcMar>
                    <w:top w:w="15" w:type="dxa"/>
                    <w:left w:w="108" w:type="dxa"/>
                    <w:bottom w:w="15" w:type="dxa"/>
                    <w:right w:w="108" w:type="dxa"/>
                  </w:tcMar>
                  <w:hideMark/>
                </w:tcPr>
                <w:p w14:paraId="0E8B49FB" w14:textId="77777777" w:rsidR="00464E4B" w:rsidRPr="00B6736E" w:rsidRDefault="00464E4B" w:rsidP="0041177B">
                  <w:pPr>
                    <w:spacing w:after="0" w:line="240" w:lineRule="auto"/>
                    <w:jc w:val="center"/>
                    <w:rPr>
                      <w:rFonts w:eastAsia="Times New Roman" w:cs="Times New Roman"/>
                      <w:color w:val="000000"/>
                      <w:kern w:val="0"/>
                      <w:sz w:val="20"/>
                      <w:szCs w:val="20"/>
                      <w:lang w:eastAsia="en-GB"/>
                      <w14:ligatures w14:val="none"/>
                    </w:rPr>
                  </w:pPr>
                  <w:r w:rsidRPr="00B6736E">
                    <w:rPr>
                      <w:sz w:val="20"/>
                      <w:szCs w:val="20"/>
                    </w:rPr>
                    <w:t>-3.2</w:t>
                  </w:r>
                </w:p>
              </w:tc>
              <w:tc>
                <w:tcPr>
                  <w:tcW w:w="0" w:type="auto"/>
                  <w:noWrap/>
                  <w:tcMar>
                    <w:top w:w="15" w:type="dxa"/>
                    <w:left w:w="108" w:type="dxa"/>
                    <w:bottom w:w="15" w:type="dxa"/>
                    <w:right w:w="108" w:type="dxa"/>
                  </w:tcMar>
                  <w:hideMark/>
                </w:tcPr>
                <w:p w14:paraId="10A1E0C0" w14:textId="1A6456A3" w:rsidR="00464E4B" w:rsidRPr="00B6736E" w:rsidRDefault="00464E4B" w:rsidP="0041177B">
                  <w:pPr>
                    <w:spacing w:after="0" w:line="240" w:lineRule="auto"/>
                    <w:jc w:val="center"/>
                    <w:rPr>
                      <w:rFonts w:eastAsia="Times New Roman" w:cs="Times New Roman"/>
                      <w:color w:val="000000"/>
                      <w:kern w:val="0"/>
                      <w:sz w:val="20"/>
                      <w:szCs w:val="20"/>
                      <w:lang w:eastAsia="en-GB"/>
                      <w14:ligatures w14:val="none"/>
                    </w:rPr>
                  </w:pPr>
                  <w:r w:rsidRPr="00B6736E">
                    <w:rPr>
                      <w:sz w:val="20"/>
                      <w:szCs w:val="20"/>
                    </w:rPr>
                    <w:t>-4.3, -2.</w:t>
                  </w:r>
                  <w:r w:rsidR="00A7511F">
                    <w:rPr>
                      <w:sz w:val="20"/>
                      <w:szCs w:val="20"/>
                    </w:rPr>
                    <w:t>0</w:t>
                  </w:r>
                </w:p>
              </w:tc>
              <w:tc>
                <w:tcPr>
                  <w:tcW w:w="0" w:type="auto"/>
                  <w:tcBorders>
                    <w:right w:val="single" w:sz="4" w:space="0" w:color="auto"/>
                  </w:tcBorders>
                  <w:noWrap/>
                  <w:tcMar>
                    <w:top w:w="15" w:type="dxa"/>
                    <w:left w:w="108" w:type="dxa"/>
                    <w:bottom w:w="15" w:type="dxa"/>
                    <w:right w:w="108" w:type="dxa"/>
                  </w:tcMar>
                  <w:hideMark/>
                </w:tcPr>
                <w:p w14:paraId="2D37F2ED" w14:textId="77777777" w:rsidR="00464E4B" w:rsidRPr="00B6736E" w:rsidRDefault="00464E4B" w:rsidP="0041177B">
                  <w:pPr>
                    <w:spacing w:after="0" w:line="240" w:lineRule="auto"/>
                    <w:jc w:val="center"/>
                    <w:rPr>
                      <w:rFonts w:eastAsia="Times New Roman" w:cs="Times New Roman"/>
                      <w:color w:val="000000"/>
                      <w:kern w:val="0"/>
                      <w:sz w:val="20"/>
                      <w:szCs w:val="20"/>
                      <w:lang w:eastAsia="en-GB"/>
                      <w14:ligatures w14:val="none"/>
                    </w:rPr>
                  </w:pPr>
                  <w:r w:rsidRPr="00B6736E">
                    <w:rPr>
                      <w:sz w:val="20"/>
                      <w:szCs w:val="20"/>
                    </w:rPr>
                    <w:t>down</w:t>
                  </w:r>
                </w:p>
              </w:tc>
              <w:tc>
                <w:tcPr>
                  <w:tcW w:w="0" w:type="auto"/>
                  <w:tcBorders>
                    <w:left w:val="single" w:sz="4" w:space="0" w:color="auto"/>
                  </w:tcBorders>
                </w:tcPr>
                <w:p w14:paraId="566F4B62" w14:textId="77777777" w:rsidR="00464E4B" w:rsidRPr="00B6736E" w:rsidRDefault="00464E4B" w:rsidP="0041177B">
                  <w:pPr>
                    <w:spacing w:after="0" w:line="240" w:lineRule="auto"/>
                    <w:jc w:val="center"/>
                    <w:rPr>
                      <w:sz w:val="20"/>
                      <w:szCs w:val="20"/>
                    </w:rPr>
                  </w:pPr>
                  <w:r w:rsidRPr="00B6736E">
                    <w:rPr>
                      <w:sz w:val="20"/>
                      <w:szCs w:val="20"/>
                    </w:rPr>
                    <w:t>F </w:t>
                  </w:r>
                </w:p>
              </w:tc>
              <w:tc>
                <w:tcPr>
                  <w:tcW w:w="0" w:type="auto"/>
                </w:tcPr>
                <w:p w14:paraId="06ABCDEA" w14:textId="77777777" w:rsidR="00464E4B" w:rsidRPr="00B6736E" w:rsidRDefault="00464E4B" w:rsidP="0041177B">
                  <w:pPr>
                    <w:spacing w:after="0" w:line="240" w:lineRule="auto"/>
                    <w:jc w:val="center"/>
                    <w:rPr>
                      <w:sz w:val="20"/>
                      <w:szCs w:val="20"/>
                    </w:rPr>
                  </w:pPr>
                  <w:r>
                    <w:rPr>
                      <w:sz w:val="20"/>
                      <w:szCs w:val="20"/>
                    </w:rPr>
                    <w:t>2007-2022</w:t>
                  </w:r>
                  <w:r w:rsidRPr="00B6736E">
                    <w:rPr>
                      <w:sz w:val="20"/>
                      <w:szCs w:val="20"/>
                    </w:rPr>
                    <w:t> </w:t>
                  </w:r>
                </w:p>
              </w:tc>
              <w:tc>
                <w:tcPr>
                  <w:tcW w:w="0" w:type="auto"/>
                </w:tcPr>
                <w:p w14:paraId="08073F49" w14:textId="77777777" w:rsidR="00464E4B" w:rsidRPr="00B6736E" w:rsidRDefault="00464E4B" w:rsidP="0041177B">
                  <w:pPr>
                    <w:spacing w:after="0" w:line="240" w:lineRule="auto"/>
                    <w:jc w:val="center"/>
                    <w:rPr>
                      <w:sz w:val="20"/>
                      <w:szCs w:val="20"/>
                    </w:rPr>
                  </w:pPr>
                  <w:r w:rsidRPr="00B6736E">
                    <w:rPr>
                      <w:sz w:val="20"/>
                      <w:szCs w:val="20"/>
                    </w:rPr>
                    <w:t>-3.1</w:t>
                  </w:r>
                </w:p>
              </w:tc>
              <w:tc>
                <w:tcPr>
                  <w:tcW w:w="0" w:type="auto"/>
                </w:tcPr>
                <w:p w14:paraId="19138C9E" w14:textId="77777777" w:rsidR="00464E4B" w:rsidRPr="00B6736E" w:rsidRDefault="00464E4B" w:rsidP="0041177B">
                  <w:pPr>
                    <w:spacing w:after="0" w:line="240" w:lineRule="auto"/>
                    <w:jc w:val="center"/>
                    <w:rPr>
                      <w:sz w:val="20"/>
                      <w:szCs w:val="20"/>
                    </w:rPr>
                  </w:pPr>
                  <w:r w:rsidRPr="00B6736E">
                    <w:rPr>
                      <w:sz w:val="20"/>
                      <w:szCs w:val="20"/>
                    </w:rPr>
                    <w:t>-4.3, -1.9</w:t>
                  </w:r>
                </w:p>
              </w:tc>
              <w:tc>
                <w:tcPr>
                  <w:tcW w:w="0" w:type="auto"/>
                </w:tcPr>
                <w:p w14:paraId="1E064C9D" w14:textId="77777777" w:rsidR="00464E4B" w:rsidRPr="00B6736E" w:rsidRDefault="00464E4B" w:rsidP="0041177B">
                  <w:pPr>
                    <w:spacing w:after="0" w:line="240" w:lineRule="auto"/>
                    <w:jc w:val="center"/>
                    <w:rPr>
                      <w:sz w:val="20"/>
                      <w:szCs w:val="20"/>
                    </w:rPr>
                  </w:pPr>
                  <w:r w:rsidRPr="00B6736E">
                    <w:rPr>
                      <w:sz w:val="20"/>
                      <w:szCs w:val="20"/>
                    </w:rPr>
                    <w:t>down</w:t>
                  </w:r>
                </w:p>
              </w:tc>
            </w:tr>
          </w:tbl>
          <w:p w14:paraId="448E95CA" w14:textId="77777777" w:rsidR="00464E4B" w:rsidRPr="009767B9" w:rsidRDefault="00464E4B" w:rsidP="0041177B">
            <w:pPr>
              <w:jc w:val="center"/>
              <w:rPr>
                <w:rFonts w:eastAsia="Times New Roman" w:cs="Times New Roman"/>
                <w:b/>
                <w:bCs/>
                <w:color w:val="000000"/>
                <w:sz w:val="14"/>
                <w:szCs w:val="14"/>
                <w:u w:val="single"/>
                <w:lang w:eastAsia="en-GB"/>
              </w:rPr>
            </w:pPr>
          </w:p>
        </w:tc>
      </w:tr>
      <w:tr w:rsidR="00464E4B" w:rsidRPr="009767B9" w14:paraId="4696EAC2" w14:textId="77777777" w:rsidTr="0041177B">
        <w:trPr>
          <w:trHeight w:val="113"/>
        </w:trPr>
        <w:tc>
          <w:tcPr>
            <w:tcW w:w="9503" w:type="dxa"/>
            <w:vAlign w:val="center"/>
          </w:tcPr>
          <w:p w14:paraId="21DDACEF" w14:textId="77777777" w:rsidR="00464E4B" w:rsidRPr="009767B9" w:rsidRDefault="00464E4B" w:rsidP="0041177B">
            <w:pPr>
              <w:pBdr>
                <w:bottom w:val="single" w:sz="4" w:space="1" w:color="auto"/>
              </w:pBdr>
              <w:rPr>
                <w:rFonts w:asciiTheme="minorHAnsi" w:hAnsiTheme="minorHAnsi"/>
                <w:bCs/>
                <w:sz w:val="18"/>
                <w:szCs w:val="16"/>
                <w:lang w:val="en-GB"/>
              </w:rPr>
            </w:pPr>
            <w:r w:rsidRPr="009767B9">
              <w:rPr>
                <w:rFonts w:asciiTheme="minorHAnsi" w:hAnsiTheme="minorHAnsi"/>
                <w:bCs/>
                <w:sz w:val="18"/>
                <w:szCs w:val="16"/>
                <w:lang w:val="en-GB"/>
              </w:rPr>
              <w:t>APC%: average annual percentage change in rate over period and 95% confidence interval (95%CI) based on annual data points fitted with Joinpoint regression. Trend: ‘up’=significant increase, ‘down’=significant decrease, ‘flat’=no change (static), at the 95% level.</w:t>
            </w:r>
          </w:p>
          <w:p w14:paraId="50401C9F" w14:textId="77777777" w:rsidR="00464E4B" w:rsidRPr="009767B9" w:rsidRDefault="00464E4B" w:rsidP="0041177B">
            <w:pPr>
              <w:rPr>
                <w:rFonts w:asciiTheme="minorHAnsi" w:hAnsiTheme="minorHAnsi"/>
                <w:b/>
                <w:bCs/>
                <w:noProof/>
                <w:sz w:val="14"/>
                <w:szCs w:val="14"/>
                <w:u w:val="single"/>
                <w:lang w:val="en-GB"/>
              </w:rPr>
            </w:pPr>
          </w:p>
        </w:tc>
      </w:tr>
    </w:tbl>
    <w:p w14:paraId="26B8FD01" w14:textId="77777777" w:rsidR="00464E4B" w:rsidRPr="00FC5D6E" w:rsidRDefault="00464E4B" w:rsidP="00464E4B">
      <w:pPr>
        <w:spacing w:after="0" w:line="240" w:lineRule="auto"/>
        <w:sectPr w:rsidR="00464E4B" w:rsidRPr="00FC5D6E" w:rsidSect="002746C0">
          <w:pgSz w:w="11906" w:h="16838"/>
          <w:pgMar w:top="1440" w:right="1440" w:bottom="1440" w:left="1440" w:header="708" w:footer="708" w:gutter="0"/>
          <w:cols w:space="708"/>
          <w:docGrid w:linePitch="360"/>
        </w:sectPr>
      </w:pPr>
    </w:p>
    <w:p w14:paraId="21CED1C0" w14:textId="77777777" w:rsidR="00464E4B" w:rsidRPr="00FC5D6E" w:rsidRDefault="00464E4B" w:rsidP="00464E4B">
      <w:pPr>
        <w:pStyle w:val="Heading3"/>
        <w:spacing w:before="0" w:after="0" w:line="240" w:lineRule="auto"/>
      </w:pPr>
      <w:bookmarkStart w:id="195" w:name="_Toc197557100"/>
      <w:bookmarkStart w:id="196" w:name="_Toc201512491"/>
      <w:r w:rsidRPr="00FC5D6E">
        <w:t>Survival</w:t>
      </w:r>
      <w:bookmarkEnd w:id="190"/>
      <w:bookmarkEnd w:id="195"/>
      <w:bookmarkEnd w:id="196"/>
      <w:r w:rsidRPr="00FC5D6E">
        <w:t xml:space="preserve"> </w:t>
      </w:r>
    </w:p>
    <w:p w14:paraId="16518A0B" w14:textId="12DC60D6" w:rsidR="00464E4B" w:rsidRDefault="00464E4B" w:rsidP="00464E4B">
      <w:pPr>
        <w:spacing w:after="0" w:line="240" w:lineRule="auto"/>
        <w:rPr>
          <w:rFonts w:cstheme="minorHAnsi"/>
        </w:rPr>
      </w:pPr>
      <w:r w:rsidRPr="00FC5D6E">
        <w:rPr>
          <w:rFonts w:cstheme="minorHAnsi"/>
        </w:rPr>
        <w:t>For rect</w:t>
      </w:r>
      <w:r>
        <w:rPr>
          <w:rFonts w:cstheme="minorHAnsi"/>
        </w:rPr>
        <w:t>al</w:t>
      </w:r>
      <w:r w:rsidRPr="00FC5D6E">
        <w:rPr>
          <w:rFonts w:cstheme="minorHAnsi"/>
        </w:rPr>
        <w:t xml:space="preserve"> cancer in Ireland overall 5-year net survival was 67% for cases diagnosed during 2019-2022 (Figure </w:t>
      </w:r>
      <w:r w:rsidR="00665B3F">
        <w:rPr>
          <w:rFonts w:cstheme="minorHAnsi"/>
        </w:rPr>
        <w:t>10.12</w:t>
      </w:r>
      <w:r w:rsidRPr="00FC5D6E">
        <w:rPr>
          <w:rFonts w:cstheme="minorHAnsi"/>
        </w:rPr>
        <w:t xml:space="preserve">). </w:t>
      </w:r>
      <w:r>
        <w:rPr>
          <w:rFonts w:cstheme="minorHAnsi"/>
        </w:rPr>
        <w:t>Five</w:t>
      </w:r>
      <w:r w:rsidRPr="00FC5D6E">
        <w:rPr>
          <w:rFonts w:cstheme="minorHAnsi"/>
        </w:rPr>
        <w:t>-year net survival for 2019-2022 w</w:t>
      </w:r>
      <w:r w:rsidR="00D32FA6">
        <w:rPr>
          <w:rFonts w:cstheme="minorHAnsi"/>
        </w:rPr>
        <w:t>as</w:t>
      </w:r>
      <w:r w:rsidRPr="00FC5D6E">
        <w:rPr>
          <w:rFonts w:cstheme="minorHAnsi"/>
        </w:rPr>
        <w:t xml:space="preserve"> similar for females (66%) and males (67%). </w:t>
      </w:r>
    </w:p>
    <w:p w14:paraId="512992EC" w14:textId="77777777" w:rsidR="00464E4B" w:rsidRPr="00FC5D6E" w:rsidRDefault="00464E4B" w:rsidP="00464E4B">
      <w:pPr>
        <w:spacing w:after="0" w:line="240" w:lineRule="auto"/>
        <w:rPr>
          <w:rFonts w:cstheme="minorHAnsi"/>
        </w:rPr>
      </w:pPr>
    </w:p>
    <w:tbl>
      <w:tblPr>
        <w:tblW w:w="9593" w:type="dxa"/>
        <w:tblInd w:w="-567" w:type="dxa"/>
        <w:tblBorders>
          <w:bottom w:val="single" w:sz="4" w:space="0" w:color="auto"/>
        </w:tblBorders>
        <w:tblLook w:val="04A0" w:firstRow="1" w:lastRow="0" w:firstColumn="1" w:lastColumn="0" w:noHBand="0" w:noVBand="1"/>
      </w:tblPr>
      <w:tblGrid>
        <w:gridCol w:w="3310"/>
        <w:gridCol w:w="3164"/>
        <w:gridCol w:w="3119"/>
      </w:tblGrid>
      <w:tr w:rsidR="00665B3F" w:rsidRPr="00FC5D6E" w14:paraId="4D7C3C6E" w14:textId="77777777" w:rsidTr="00665B3F">
        <w:trPr>
          <w:trHeight w:val="113"/>
        </w:trPr>
        <w:tc>
          <w:tcPr>
            <w:tcW w:w="9593" w:type="dxa"/>
            <w:gridSpan w:val="3"/>
            <w:shd w:val="clear" w:color="auto" w:fill="002060"/>
            <w:hideMark/>
          </w:tcPr>
          <w:p w14:paraId="7FED4BA7" w14:textId="102EB7C4" w:rsidR="00665B3F" w:rsidRPr="00665B3F" w:rsidRDefault="00665B3F" w:rsidP="0041177B">
            <w:pPr>
              <w:spacing w:after="0" w:line="240" w:lineRule="auto"/>
              <w:rPr>
                <w:rFonts w:cstheme="minorHAnsi"/>
                <w:b/>
                <w:bCs/>
                <w:sz w:val="22"/>
                <w:szCs w:val="22"/>
              </w:rPr>
            </w:pPr>
            <w:r w:rsidRPr="00665B3F">
              <w:rPr>
                <w:rFonts w:cstheme="minorHAnsi"/>
                <w:b/>
                <w:bCs/>
                <w:sz w:val="22"/>
                <w:szCs w:val="22"/>
              </w:rPr>
              <w:t>Figure 10.12: Age-standardised 5-year net survival (%) for rect</w:t>
            </w:r>
            <w:r w:rsidR="007535AF">
              <w:rPr>
                <w:rFonts w:cstheme="minorHAnsi"/>
                <w:b/>
                <w:bCs/>
                <w:sz w:val="22"/>
                <w:szCs w:val="22"/>
              </w:rPr>
              <w:t>al</w:t>
            </w:r>
            <w:r w:rsidR="00EF57E1">
              <w:rPr>
                <w:rFonts w:cstheme="minorHAnsi"/>
                <w:b/>
                <w:bCs/>
                <w:sz w:val="22"/>
                <w:szCs w:val="22"/>
              </w:rPr>
              <w:t xml:space="preserve"> </w:t>
            </w:r>
            <w:r w:rsidRPr="00665B3F">
              <w:rPr>
                <w:rFonts w:cstheme="minorHAnsi"/>
                <w:b/>
                <w:bCs/>
                <w:sz w:val="22"/>
                <w:szCs w:val="22"/>
              </w:rPr>
              <w:t>cancer over six consecutive diagnosis periods</w:t>
            </w:r>
          </w:p>
        </w:tc>
      </w:tr>
      <w:tr w:rsidR="00464E4B" w:rsidRPr="00FC5D6E" w14:paraId="36686277" w14:textId="77777777" w:rsidTr="00665B3F">
        <w:trPr>
          <w:trHeight w:val="113"/>
        </w:trPr>
        <w:tc>
          <w:tcPr>
            <w:tcW w:w="3310" w:type="dxa"/>
            <w:hideMark/>
          </w:tcPr>
          <w:p w14:paraId="32271E0E" w14:textId="77777777" w:rsidR="00464E4B" w:rsidRPr="00FC5D6E" w:rsidRDefault="00464E4B" w:rsidP="0041177B">
            <w:pPr>
              <w:spacing w:after="0" w:line="240" w:lineRule="auto"/>
              <w:jc w:val="center"/>
              <w:rPr>
                <w:rFonts w:cstheme="minorHAnsi"/>
                <w:color w:val="000000" w:themeColor="text1"/>
              </w:rPr>
            </w:pPr>
            <w:r w:rsidRPr="00FC5D6E">
              <w:rPr>
                <w:rFonts w:cstheme="minorHAnsi"/>
                <w:color w:val="000000" w:themeColor="text1"/>
              </w:rPr>
              <w:t>Total</w:t>
            </w:r>
          </w:p>
        </w:tc>
        <w:tc>
          <w:tcPr>
            <w:tcW w:w="3164" w:type="dxa"/>
          </w:tcPr>
          <w:p w14:paraId="21B8CD9D" w14:textId="77777777" w:rsidR="00464E4B" w:rsidRPr="00FC5D6E" w:rsidRDefault="00464E4B" w:rsidP="0041177B">
            <w:pPr>
              <w:spacing w:after="0" w:line="240" w:lineRule="auto"/>
              <w:jc w:val="center"/>
              <w:rPr>
                <w:rFonts w:cstheme="minorHAnsi"/>
                <w:color w:val="000000" w:themeColor="text1"/>
              </w:rPr>
            </w:pPr>
            <w:r>
              <w:rPr>
                <w:rFonts w:cstheme="minorHAnsi"/>
                <w:color w:val="000000" w:themeColor="text1"/>
              </w:rPr>
              <w:t>Males</w:t>
            </w:r>
          </w:p>
        </w:tc>
        <w:tc>
          <w:tcPr>
            <w:tcW w:w="3119" w:type="dxa"/>
          </w:tcPr>
          <w:p w14:paraId="49B4C14C" w14:textId="77777777" w:rsidR="00464E4B" w:rsidRPr="00FC5D6E" w:rsidRDefault="00464E4B" w:rsidP="0041177B">
            <w:pPr>
              <w:spacing w:after="0" w:line="240" w:lineRule="auto"/>
              <w:jc w:val="center"/>
              <w:rPr>
                <w:rFonts w:cstheme="minorHAnsi"/>
                <w:color w:val="000000" w:themeColor="text1"/>
              </w:rPr>
            </w:pPr>
            <w:r>
              <w:rPr>
                <w:rFonts w:cstheme="minorHAnsi"/>
                <w:color w:val="000000" w:themeColor="text1"/>
              </w:rPr>
              <w:t>Females</w:t>
            </w:r>
          </w:p>
        </w:tc>
      </w:tr>
      <w:tr w:rsidR="00464E4B" w:rsidRPr="00FC5D6E" w14:paraId="1D047025" w14:textId="77777777" w:rsidTr="00665B3F">
        <w:trPr>
          <w:trHeight w:val="2146"/>
        </w:trPr>
        <w:tc>
          <w:tcPr>
            <w:tcW w:w="3310" w:type="dxa"/>
          </w:tcPr>
          <w:p w14:paraId="5D96519C" w14:textId="77777777" w:rsidR="00464E4B" w:rsidRPr="00FC5D6E" w:rsidRDefault="00464E4B" w:rsidP="0041177B">
            <w:pPr>
              <w:spacing w:after="0" w:line="240" w:lineRule="auto"/>
              <w:rPr>
                <w:rFonts w:cstheme="minorHAnsi"/>
                <w:color w:val="000000" w:themeColor="text1"/>
              </w:rPr>
            </w:pPr>
            <w:r>
              <w:rPr>
                <w:rFonts w:cstheme="minorHAnsi"/>
                <w:noProof/>
                <w:color w:val="000000" w:themeColor="text1"/>
              </w:rPr>
              <w:drawing>
                <wp:inline distT="0" distB="0" distL="0" distR="0" wp14:anchorId="1837BDDB" wp14:editId="2D7B3621">
                  <wp:extent cx="1969755" cy="1260000"/>
                  <wp:effectExtent l="0" t="0" r="0" b="0"/>
                  <wp:docPr id="27745846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969755" cy="1260000"/>
                          </a:xfrm>
                          <a:prstGeom prst="rect">
                            <a:avLst/>
                          </a:prstGeom>
                          <a:noFill/>
                        </pic:spPr>
                      </pic:pic>
                    </a:graphicData>
                  </a:graphic>
                </wp:inline>
              </w:drawing>
            </w:r>
          </w:p>
        </w:tc>
        <w:tc>
          <w:tcPr>
            <w:tcW w:w="3164" w:type="dxa"/>
          </w:tcPr>
          <w:p w14:paraId="6AC5BA77" w14:textId="77777777" w:rsidR="00464E4B" w:rsidRPr="00FC5D6E" w:rsidRDefault="00464E4B" w:rsidP="0041177B">
            <w:pPr>
              <w:spacing w:after="0" w:line="240" w:lineRule="auto"/>
              <w:rPr>
                <w:rFonts w:cstheme="minorHAnsi"/>
                <w:color w:val="000000" w:themeColor="text1"/>
              </w:rPr>
            </w:pPr>
            <w:r>
              <w:rPr>
                <w:rFonts w:eastAsia="Times New Roman" w:cs="Times New Roman"/>
                <w:noProof/>
                <w:lang w:eastAsia="en-GB"/>
              </w:rPr>
              <w:drawing>
                <wp:inline distT="0" distB="0" distL="0" distR="0" wp14:anchorId="6AD852F9" wp14:editId="07F40323">
                  <wp:extent cx="1876543" cy="1260000"/>
                  <wp:effectExtent l="0" t="0" r="0" b="0"/>
                  <wp:docPr id="202690779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876543" cy="1260000"/>
                          </a:xfrm>
                          <a:prstGeom prst="rect">
                            <a:avLst/>
                          </a:prstGeom>
                          <a:noFill/>
                        </pic:spPr>
                      </pic:pic>
                    </a:graphicData>
                  </a:graphic>
                </wp:inline>
              </w:drawing>
            </w:r>
          </w:p>
        </w:tc>
        <w:tc>
          <w:tcPr>
            <w:tcW w:w="3119" w:type="dxa"/>
          </w:tcPr>
          <w:p w14:paraId="3E8F5D8B" w14:textId="77777777" w:rsidR="00464E4B" w:rsidRPr="00FC5D6E" w:rsidRDefault="00464E4B" w:rsidP="0041177B">
            <w:pPr>
              <w:spacing w:after="0" w:line="240" w:lineRule="auto"/>
              <w:rPr>
                <w:rFonts w:cstheme="minorHAnsi"/>
                <w:color w:val="000000" w:themeColor="text1"/>
              </w:rPr>
            </w:pPr>
            <w:r>
              <w:rPr>
                <w:rFonts w:cstheme="minorHAnsi"/>
                <w:noProof/>
                <w:color w:val="000000" w:themeColor="text1"/>
              </w:rPr>
              <w:drawing>
                <wp:inline distT="0" distB="0" distL="0" distR="0" wp14:anchorId="3728FFC0" wp14:editId="3AE83EC5">
                  <wp:extent cx="1841445" cy="1260000"/>
                  <wp:effectExtent l="0" t="0" r="6985" b="0"/>
                  <wp:docPr id="179714056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841445" cy="1260000"/>
                          </a:xfrm>
                          <a:prstGeom prst="rect">
                            <a:avLst/>
                          </a:prstGeom>
                          <a:noFill/>
                        </pic:spPr>
                      </pic:pic>
                    </a:graphicData>
                  </a:graphic>
                </wp:inline>
              </w:drawing>
            </w:r>
          </w:p>
        </w:tc>
      </w:tr>
    </w:tbl>
    <w:p w14:paraId="39F020C5" w14:textId="77777777" w:rsidR="001A3B02" w:rsidRDefault="001A3B02" w:rsidP="001A3B02">
      <w:bookmarkStart w:id="197" w:name="_Toc196914595"/>
      <w:bookmarkStart w:id="198" w:name="_Toc197557101"/>
    </w:p>
    <w:p w14:paraId="473307E5" w14:textId="77777777" w:rsidR="00464E4B" w:rsidRPr="00FC5D6E" w:rsidRDefault="00464E4B" w:rsidP="00464E4B">
      <w:pPr>
        <w:pStyle w:val="Heading3"/>
        <w:spacing w:before="0" w:after="0" w:line="240" w:lineRule="auto"/>
      </w:pPr>
      <w:bookmarkStart w:id="199" w:name="_Toc201512492"/>
      <w:r w:rsidRPr="00FC5D6E">
        <w:t>Population Attributable Fraction</w:t>
      </w:r>
      <w:bookmarkEnd w:id="197"/>
      <w:bookmarkEnd w:id="198"/>
      <w:bookmarkEnd w:id="199"/>
    </w:p>
    <w:p w14:paraId="0BC2ACD1" w14:textId="774DFDB7" w:rsidR="00464E4B" w:rsidRDefault="00464E4B" w:rsidP="00464E4B">
      <w:pPr>
        <w:spacing w:after="0" w:line="240" w:lineRule="auto"/>
        <w:rPr>
          <w:rFonts w:ascii="Aptos" w:hAnsi="Aptos"/>
          <w:color w:val="000000"/>
          <w:shd w:val="clear" w:color="auto" w:fill="FFFFFF"/>
        </w:rPr>
      </w:pPr>
      <w:r w:rsidRPr="00FC5D6E">
        <w:rPr>
          <w:rFonts w:ascii="Aptos" w:hAnsi="Aptos"/>
          <w:color w:val="000000"/>
          <w:shd w:val="clear" w:color="auto" w:fill="FFFFFF"/>
        </w:rPr>
        <w:t>In 2022, 819 cases of rect</w:t>
      </w:r>
      <w:r>
        <w:rPr>
          <w:rFonts w:ascii="Aptos" w:hAnsi="Aptos"/>
          <w:color w:val="000000"/>
          <w:shd w:val="clear" w:color="auto" w:fill="FFFFFF"/>
        </w:rPr>
        <w:t>al</w:t>
      </w:r>
      <w:r w:rsidRPr="00FC5D6E">
        <w:rPr>
          <w:rFonts w:ascii="Aptos" w:hAnsi="Aptos"/>
          <w:color w:val="000000"/>
          <w:shd w:val="clear" w:color="auto" w:fill="FFFFFF"/>
        </w:rPr>
        <w:t xml:space="preserve"> cancer were recorded (528 males, 291 females). The estimated total number of cases attributable to smoking in Ireland in 2022 was 68 (PAF 8.3%). Table </w:t>
      </w:r>
      <w:r w:rsidR="00665B3F">
        <w:rPr>
          <w:rFonts w:ascii="Aptos" w:hAnsi="Aptos"/>
          <w:color w:val="000000"/>
          <w:shd w:val="clear" w:color="auto" w:fill="FFFFFF"/>
        </w:rPr>
        <w:t>10.2</w:t>
      </w:r>
      <w:r w:rsidRPr="00FC5D6E">
        <w:rPr>
          <w:rFonts w:ascii="Aptos" w:hAnsi="Aptos"/>
          <w:color w:val="000000"/>
          <w:shd w:val="clear" w:color="auto" w:fill="FFFFFF"/>
        </w:rPr>
        <w:t xml:space="preserve"> presents the difference between male and female rect</w:t>
      </w:r>
      <w:r>
        <w:rPr>
          <w:rFonts w:ascii="Aptos" w:hAnsi="Aptos"/>
          <w:color w:val="000000"/>
          <w:shd w:val="clear" w:color="auto" w:fill="FFFFFF"/>
        </w:rPr>
        <w:t>al</w:t>
      </w:r>
      <w:r w:rsidRPr="00FC5D6E">
        <w:rPr>
          <w:rFonts w:ascii="Aptos" w:hAnsi="Aptos"/>
          <w:color w:val="000000"/>
          <w:shd w:val="clear" w:color="auto" w:fill="FFFFFF"/>
        </w:rPr>
        <w:t xml:space="preserve"> cancer incidence related to smoking. Males had a higher PAF than females, 8.7% vs 7.6%. </w:t>
      </w:r>
    </w:p>
    <w:p w14:paraId="466C927C" w14:textId="77777777" w:rsidR="00464E4B" w:rsidRPr="00FC5D6E" w:rsidRDefault="00464E4B" w:rsidP="00464E4B">
      <w:pPr>
        <w:spacing w:after="0" w:line="240" w:lineRule="auto"/>
        <w:rPr>
          <w:rFonts w:cstheme="minorHAnsi"/>
        </w:rPr>
      </w:pPr>
    </w:p>
    <w:tbl>
      <w:tblPr>
        <w:tblW w:w="9585" w:type="dxa"/>
        <w:tblInd w:w="-5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00"/>
        <w:gridCol w:w="2293"/>
        <w:gridCol w:w="2428"/>
        <w:gridCol w:w="2264"/>
      </w:tblGrid>
      <w:tr w:rsidR="00464E4B" w:rsidRPr="00FC5D6E" w14:paraId="021E80D2" w14:textId="77777777" w:rsidTr="0041177B">
        <w:trPr>
          <w:trHeight w:val="300"/>
        </w:trPr>
        <w:tc>
          <w:tcPr>
            <w:tcW w:w="9585" w:type="dxa"/>
            <w:gridSpan w:val="4"/>
            <w:tcBorders>
              <w:top w:val="single" w:sz="6" w:space="0" w:color="auto"/>
              <w:left w:val="single" w:sz="6" w:space="0" w:color="auto"/>
              <w:bottom w:val="single" w:sz="6" w:space="0" w:color="auto"/>
              <w:right w:val="single" w:sz="6" w:space="0" w:color="auto"/>
            </w:tcBorders>
            <w:shd w:val="clear" w:color="auto" w:fill="002060"/>
            <w:hideMark/>
          </w:tcPr>
          <w:p w14:paraId="4E3C809A" w14:textId="1F798233" w:rsidR="00464E4B" w:rsidRPr="00665B3F" w:rsidRDefault="00464E4B" w:rsidP="0041177B">
            <w:pPr>
              <w:spacing w:after="0" w:line="240" w:lineRule="auto"/>
              <w:textAlignment w:val="baseline"/>
              <w:rPr>
                <w:rFonts w:ascii="Segoe UI" w:eastAsia="Times New Roman" w:hAnsi="Segoe UI" w:cs="Segoe UI"/>
                <w:b/>
                <w:bCs/>
                <w:kern w:val="0"/>
                <w:sz w:val="22"/>
                <w:szCs w:val="22"/>
                <w:lang w:eastAsia="en-GB"/>
                <w14:ligatures w14:val="none"/>
              </w:rPr>
            </w:pPr>
            <w:r w:rsidRPr="00665B3F">
              <w:rPr>
                <w:rFonts w:ascii="Aptos" w:eastAsia="Times New Roman" w:hAnsi="Aptos" w:cs="Segoe UI"/>
                <w:b/>
                <w:bCs/>
                <w:color w:val="FFFFFF"/>
                <w:kern w:val="0"/>
                <w:sz w:val="22"/>
                <w:szCs w:val="22"/>
                <w:lang w:eastAsia="en-GB"/>
                <w14:ligatures w14:val="none"/>
              </w:rPr>
              <w:t xml:space="preserve">Table </w:t>
            </w:r>
            <w:r w:rsidR="00665B3F" w:rsidRPr="00665B3F">
              <w:rPr>
                <w:rFonts w:ascii="Aptos" w:eastAsia="Times New Roman" w:hAnsi="Aptos" w:cs="Segoe UI"/>
                <w:b/>
                <w:bCs/>
                <w:color w:val="FFFFFF"/>
                <w:kern w:val="0"/>
                <w:sz w:val="22"/>
                <w:szCs w:val="22"/>
                <w:lang w:eastAsia="en-GB"/>
                <w14:ligatures w14:val="none"/>
              </w:rPr>
              <w:t>10.</w:t>
            </w:r>
            <w:r w:rsidR="00665B3F">
              <w:rPr>
                <w:rFonts w:ascii="Aptos" w:eastAsia="Times New Roman" w:hAnsi="Aptos" w:cs="Segoe UI"/>
                <w:b/>
                <w:bCs/>
                <w:color w:val="FFFFFF"/>
                <w:kern w:val="0"/>
                <w:sz w:val="22"/>
                <w:szCs w:val="22"/>
                <w:lang w:eastAsia="en-GB"/>
                <w14:ligatures w14:val="none"/>
              </w:rPr>
              <w:t>2</w:t>
            </w:r>
            <w:r w:rsidRPr="00665B3F">
              <w:rPr>
                <w:rFonts w:ascii="Aptos" w:eastAsia="Times New Roman" w:hAnsi="Aptos" w:cs="Segoe UI"/>
                <w:b/>
                <w:bCs/>
                <w:color w:val="FFFFFF"/>
                <w:kern w:val="0"/>
                <w:sz w:val="22"/>
                <w:szCs w:val="22"/>
                <w:lang w:eastAsia="en-GB"/>
                <w14:ligatures w14:val="none"/>
              </w:rPr>
              <w:t>: Population attributable fraction and attributable cases for rectal cancer in 2022 </w:t>
            </w:r>
          </w:p>
        </w:tc>
      </w:tr>
      <w:tr w:rsidR="00464E4B" w:rsidRPr="00FC5D6E" w14:paraId="67AC92C1" w14:textId="77777777" w:rsidTr="0041177B">
        <w:trPr>
          <w:trHeight w:val="300"/>
        </w:trPr>
        <w:tc>
          <w:tcPr>
            <w:tcW w:w="2600" w:type="dxa"/>
            <w:tcBorders>
              <w:top w:val="single" w:sz="6" w:space="0" w:color="auto"/>
              <w:left w:val="single" w:sz="6" w:space="0" w:color="auto"/>
              <w:bottom w:val="single" w:sz="6" w:space="0" w:color="auto"/>
              <w:right w:val="single" w:sz="6" w:space="0" w:color="auto"/>
            </w:tcBorders>
            <w:shd w:val="clear" w:color="auto" w:fill="auto"/>
            <w:hideMark/>
          </w:tcPr>
          <w:p w14:paraId="6740A8D7" w14:textId="77777777" w:rsidR="00464E4B" w:rsidRPr="00FC5D6E" w:rsidRDefault="00464E4B" w:rsidP="0041177B">
            <w:pPr>
              <w:spacing w:after="0" w:line="240" w:lineRule="auto"/>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369A34EC"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Total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54ED1308"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Males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25FFF6D2"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Females </w:t>
            </w:r>
          </w:p>
        </w:tc>
      </w:tr>
      <w:tr w:rsidR="00464E4B" w:rsidRPr="00FC5D6E" w14:paraId="646ACC4E" w14:textId="77777777" w:rsidTr="0041177B">
        <w:trPr>
          <w:trHeight w:val="300"/>
        </w:trPr>
        <w:tc>
          <w:tcPr>
            <w:tcW w:w="2600" w:type="dxa"/>
            <w:tcBorders>
              <w:top w:val="single" w:sz="6" w:space="0" w:color="auto"/>
              <w:left w:val="single" w:sz="6" w:space="0" w:color="auto"/>
              <w:bottom w:val="single" w:sz="6" w:space="0" w:color="auto"/>
              <w:right w:val="single" w:sz="6" w:space="0" w:color="auto"/>
            </w:tcBorders>
            <w:shd w:val="clear" w:color="auto" w:fill="auto"/>
            <w:hideMark/>
          </w:tcPr>
          <w:p w14:paraId="6286E65B" w14:textId="77777777" w:rsidR="00464E4B" w:rsidRPr="00FC5D6E" w:rsidRDefault="00464E4B" w:rsidP="0041177B">
            <w:pPr>
              <w:spacing w:after="0" w:line="240" w:lineRule="auto"/>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PAF (%)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6C400EA4"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8.3 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707EA4C2"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8.7 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458397FE"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7.6 </w:t>
            </w:r>
          </w:p>
        </w:tc>
      </w:tr>
      <w:tr w:rsidR="0085763B" w:rsidRPr="00FC5D6E" w14:paraId="38F217AD" w14:textId="77777777" w:rsidTr="0041177B">
        <w:trPr>
          <w:trHeight w:val="300"/>
        </w:trPr>
        <w:tc>
          <w:tcPr>
            <w:tcW w:w="2600" w:type="dxa"/>
            <w:tcBorders>
              <w:top w:val="single" w:sz="6" w:space="0" w:color="auto"/>
              <w:left w:val="single" w:sz="6" w:space="0" w:color="auto"/>
              <w:bottom w:val="single" w:sz="6" w:space="0" w:color="auto"/>
              <w:right w:val="single" w:sz="6" w:space="0" w:color="auto"/>
            </w:tcBorders>
            <w:shd w:val="clear" w:color="auto" w:fill="auto"/>
          </w:tcPr>
          <w:p w14:paraId="4E668529" w14:textId="5CD8E56D" w:rsidR="0085763B" w:rsidRPr="00FC5D6E" w:rsidRDefault="0085763B" w:rsidP="0041177B">
            <w:pPr>
              <w:spacing w:after="0" w:line="240" w:lineRule="auto"/>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Total cases</w:t>
            </w:r>
          </w:p>
        </w:tc>
        <w:tc>
          <w:tcPr>
            <w:tcW w:w="2293" w:type="dxa"/>
            <w:tcBorders>
              <w:top w:val="single" w:sz="6" w:space="0" w:color="auto"/>
              <w:left w:val="single" w:sz="6" w:space="0" w:color="auto"/>
              <w:bottom w:val="single" w:sz="6" w:space="0" w:color="auto"/>
              <w:right w:val="single" w:sz="6" w:space="0" w:color="auto"/>
            </w:tcBorders>
            <w:shd w:val="clear" w:color="auto" w:fill="auto"/>
          </w:tcPr>
          <w:p w14:paraId="4E0F5A99" w14:textId="6A4F0845" w:rsidR="0085763B" w:rsidRPr="00FC5D6E" w:rsidRDefault="0085763B"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819</w:t>
            </w:r>
          </w:p>
        </w:tc>
        <w:tc>
          <w:tcPr>
            <w:tcW w:w="2428" w:type="dxa"/>
            <w:tcBorders>
              <w:top w:val="single" w:sz="6" w:space="0" w:color="auto"/>
              <w:left w:val="single" w:sz="6" w:space="0" w:color="auto"/>
              <w:bottom w:val="single" w:sz="6" w:space="0" w:color="auto"/>
              <w:right w:val="single" w:sz="6" w:space="0" w:color="auto"/>
            </w:tcBorders>
            <w:shd w:val="clear" w:color="auto" w:fill="auto"/>
          </w:tcPr>
          <w:p w14:paraId="3E137E38" w14:textId="3EA9CD6C" w:rsidR="0085763B" w:rsidRPr="00FC5D6E" w:rsidRDefault="0085763B"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528</w:t>
            </w:r>
          </w:p>
        </w:tc>
        <w:tc>
          <w:tcPr>
            <w:tcW w:w="2264" w:type="dxa"/>
            <w:tcBorders>
              <w:top w:val="single" w:sz="6" w:space="0" w:color="auto"/>
              <w:left w:val="single" w:sz="6" w:space="0" w:color="auto"/>
              <w:bottom w:val="single" w:sz="6" w:space="0" w:color="auto"/>
              <w:right w:val="single" w:sz="6" w:space="0" w:color="auto"/>
            </w:tcBorders>
            <w:shd w:val="clear" w:color="auto" w:fill="auto"/>
          </w:tcPr>
          <w:p w14:paraId="0CDDEDA2" w14:textId="79A48EC2" w:rsidR="0085763B" w:rsidRPr="00FC5D6E" w:rsidRDefault="0085763B"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291</w:t>
            </w:r>
          </w:p>
        </w:tc>
      </w:tr>
      <w:tr w:rsidR="00464E4B" w:rsidRPr="00FC5D6E" w14:paraId="284E1DA2" w14:textId="77777777" w:rsidTr="0041177B">
        <w:trPr>
          <w:trHeight w:val="300"/>
        </w:trPr>
        <w:tc>
          <w:tcPr>
            <w:tcW w:w="2600" w:type="dxa"/>
            <w:tcBorders>
              <w:top w:val="single" w:sz="6" w:space="0" w:color="auto"/>
              <w:left w:val="single" w:sz="6" w:space="0" w:color="auto"/>
              <w:bottom w:val="single" w:sz="6" w:space="0" w:color="auto"/>
              <w:right w:val="single" w:sz="6" w:space="0" w:color="auto"/>
            </w:tcBorders>
            <w:shd w:val="clear" w:color="auto" w:fill="auto"/>
            <w:hideMark/>
          </w:tcPr>
          <w:p w14:paraId="702CAECA" w14:textId="77777777" w:rsidR="00464E4B" w:rsidRPr="00FC5D6E" w:rsidRDefault="00464E4B" w:rsidP="0041177B">
            <w:pPr>
              <w:spacing w:after="0" w:line="240" w:lineRule="auto"/>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Attributable cases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7D3A6F25"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68 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45C6D0B5"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46 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774189BD"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22 </w:t>
            </w:r>
          </w:p>
        </w:tc>
      </w:tr>
    </w:tbl>
    <w:p w14:paraId="3098D866" w14:textId="77777777" w:rsidR="00464E4B" w:rsidRDefault="00464E4B" w:rsidP="003E2932">
      <w:pPr>
        <w:pStyle w:val="Heading1"/>
        <w:spacing w:before="0" w:after="0" w:line="240" w:lineRule="auto"/>
        <w:sectPr w:rsidR="00464E4B" w:rsidSect="002746C0">
          <w:pgSz w:w="11906" w:h="16838"/>
          <w:pgMar w:top="1440" w:right="1440" w:bottom="1440" w:left="1440" w:header="708" w:footer="708" w:gutter="0"/>
          <w:cols w:space="708"/>
          <w:docGrid w:linePitch="360"/>
        </w:sectPr>
      </w:pPr>
    </w:p>
    <w:p w14:paraId="6BC5EA25" w14:textId="77777777" w:rsidR="00464E4B" w:rsidRDefault="00464E4B" w:rsidP="00C13E0E">
      <w:pPr>
        <w:pStyle w:val="Heading1"/>
        <w:spacing w:before="0"/>
      </w:pPr>
      <w:bookmarkStart w:id="200" w:name="_Toc197557102"/>
      <w:bookmarkStart w:id="201" w:name="_Toc201512493"/>
      <w:r>
        <w:t>Liver (primary)</w:t>
      </w:r>
      <w:r>
        <w:tab/>
        <w:t>C22</w:t>
      </w:r>
      <w:bookmarkEnd w:id="200"/>
      <w:bookmarkEnd w:id="201"/>
    </w:p>
    <w:p w14:paraId="22B47ECF" w14:textId="77777777" w:rsidR="00464E4B" w:rsidRPr="00FC5D6E" w:rsidRDefault="00464E4B" w:rsidP="00626017">
      <w:pPr>
        <w:numPr>
          <w:ilvl w:val="1"/>
          <w:numId w:val="0"/>
        </w:numPr>
        <w:spacing w:after="0" w:line="240" w:lineRule="auto"/>
        <w:rPr>
          <w:rFonts w:eastAsiaTheme="majorEastAsia" w:cstheme="minorHAnsi"/>
          <w:i/>
          <w:iCs/>
          <w:color w:val="0F4761" w:themeColor="accent1" w:themeShade="BF"/>
          <w:spacing w:val="15"/>
          <w:sz w:val="28"/>
          <w:szCs w:val="28"/>
        </w:rPr>
      </w:pPr>
      <w:r w:rsidRPr="00FC5D6E">
        <w:rPr>
          <w:rFonts w:eastAsiaTheme="majorEastAsia" w:cstheme="minorHAnsi"/>
          <w:i/>
          <w:iCs/>
          <w:color w:val="0F4761" w:themeColor="accent1" w:themeShade="BF"/>
          <w:spacing w:val="15"/>
          <w:sz w:val="28"/>
          <w:szCs w:val="28"/>
        </w:rPr>
        <w:t>Key points</w:t>
      </w:r>
    </w:p>
    <w:p w14:paraId="01719E4D" w14:textId="77777777" w:rsidR="00464E4B" w:rsidRPr="00FC5D6E" w:rsidRDefault="00464E4B" w:rsidP="00626017">
      <w:pPr>
        <w:numPr>
          <w:ilvl w:val="1"/>
          <w:numId w:val="0"/>
        </w:numPr>
        <w:spacing w:after="0" w:line="240" w:lineRule="auto"/>
        <w:rPr>
          <w:rFonts w:eastAsiaTheme="majorEastAsia" w:cstheme="minorHAnsi"/>
          <w:i/>
          <w:iCs/>
          <w:color w:val="595959" w:themeColor="text1" w:themeTint="A6"/>
          <w:spacing w:val="15"/>
        </w:rPr>
      </w:pPr>
      <w:r w:rsidRPr="00FC5D6E">
        <w:rPr>
          <w:rFonts w:eastAsiaTheme="majorEastAsia" w:cstheme="minorHAnsi"/>
          <w:i/>
          <w:iCs/>
          <w:color w:val="595959" w:themeColor="text1" w:themeTint="A6"/>
          <w:spacing w:val="15"/>
        </w:rPr>
        <w:t>Incidence</w:t>
      </w:r>
    </w:p>
    <w:p w14:paraId="6E9C4990" w14:textId="3DE306A5" w:rsidR="00464E4B" w:rsidRPr="00FC5D6E" w:rsidRDefault="00464E4B" w:rsidP="00626017">
      <w:pPr>
        <w:numPr>
          <w:ilvl w:val="0"/>
          <w:numId w:val="36"/>
        </w:numPr>
        <w:spacing w:after="0" w:line="240" w:lineRule="auto"/>
        <w:contextualSpacing/>
        <w:jc w:val="both"/>
        <w:rPr>
          <w:rFonts w:cstheme="minorHAnsi"/>
        </w:rPr>
      </w:pPr>
      <w:r w:rsidRPr="00FC5D6E">
        <w:rPr>
          <w:rFonts w:cstheme="minorHAnsi"/>
        </w:rPr>
        <w:t>Incidence</w:t>
      </w:r>
      <w:r w:rsidR="00626017">
        <w:rPr>
          <w:rFonts w:cstheme="minorHAnsi"/>
        </w:rPr>
        <w:t xml:space="preserve"> rates</w:t>
      </w:r>
      <w:r w:rsidRPr="00FC5D6E">
        <w:rPr>
          <w:rFonts w:cstheme="minorHAnsi"/>
        </w:rPr>
        <w:t xml:space="preserve"> increased </w:t>
      </w:r>
      <w:r>
        <w:rPr>
          <w:rFonts w:cstheme="minorHAnsi"/>
        </w:rPr>
        <w:t>among</w:t>
      </w:r>
      <w:r w:rsidRPr="00FC5D6E">
        <w:rPr>
          <w:rFonts w:cstheme="minorHAnsi"/>
        </w:rPr>
        <w:t xml:space="preserve"> males from 1994 to 2017</w:t>
      </w:r>
      <w:r w:rsidR="00626017">
        <w:rPr>
          <w:rFonts w:cstheme="minorHAnsi"/>
        </w:rPr>
        <w:t xml:space="preserve"> </w:t>
      </w:r>
      <w:r w:rsidRPr="00FC5D6E">
        <w:rPr>
          <w:rFonts w:cstheme="minorHAnsi"/>
        </w:rPr>
        <w:t xml:space="preserve">before a period of </w:t>
      </w:r>
      <w:r>
        <w:rPr>
          <w:rFonts w:cstheme="minorHAnsi"/>
        </w:rPr>
        <w:t>decline</w:t>
      </w:r>
      <w:r w:rsidRPr="00FC5D6E">
        <w:rPr>
          <w:rFonts w:cstheme="minorHAnsi"/>
        </w:rPr>
        <w:t xml:space="preserve"> from 2017 to 2022</w:t>
      </w:r>
      <w:r w:rsidR="001760EA">
        <w:rPr>
          <w:rFonts w:cstheme="minorHAnsi"/>
        </w:rPr>
        <w:t>.</w:t>
      </w:r>
    </w:p>
    <w:p w14:paraId="31292219" w14:textId="473A2E18" w:rsidR="00FF4333" w:rsidRDefault="00464E4B" w:rsidP="00626017">
      <w:pPr>
        <w:numPr>
          <w:ilvl w:val="0"/>
          <w:numId w:val="36"/>
        </w:numPr>
        <w:spacing w:after="0" w:line="240" w:lineRule="auto"/>
        <w:contextualSpacing/>
        <w:jc w:val="both"/>
        <w:rPr>
          <w:rFonts w:cstheme="minorHAnsi"/>
        </w:rPr>
      </w:pPr>
      <w:r w:rsidRPr="00FC5D6E">
        <w:rPr>
          <w:rFonts w:cstheme="minorHAnsi"/>
        </w:rPr>
        <w:t xml:space="preserve">Incidence </w:t>
      </w:r>
      <w:r w:rsidR="00626017">
        <w:rPr>
          <w:rFonts w:cstheme="minorHAnsi"/>
        </w:rPr>
        <w:t xml:space="preserve">rates </w:t>
      </w:r>
      <w:r w:rsidRPr="00FC5D6E">
        <w:rPr>
          <w:rFonts w:cstheme="minorHAnsi"/>
        </w:rPr>
        <w:t xml:space="preserve">increased </w:t>
      </w:r>
      <w:r>
        <w:rPr>
          <w:rFonts w:cstheme="minorHAnsi"/>
        </w:rPr>
        <w:t>among</w:t>
      </w:r>
      <w:r w:rsidRPr="00FC5D6E">
        <w:rPr>
          <w:rFonts w:cstheme="minorHAnsi"/>
        </w:rPr>
        <w:t xml:space="preserve"> females from 1994 to </w:t>
      </w:r>
      <w:r w:rsidR="001760EA" w:rsidRPr="001760EA">
        <w:rPr>
          <w:rFonts w:cstheme="minorHAnsi"/>
        </w:rPr>
        <w:t>2022</w:t>
      </w:r>
      <w:r w:rsidR="00626017">
        <w:rPr>
          <w:rFonts w:cstheme="minorHAnsi"/>
        </w:rPr>
        <w:t>.</w:t>
      </w:r>
    </w:p>
    <w:p w14:paraId="53979358" w14:textId="77777777" w:rsidR="00FF4333" w:rsidRPr="00FF4333" w:rsidRDefault="00FF4333" w:rsidP="00626017">
      <w:pPr>
        <w:pStyle w:val="ListParagraph"/>
        <w:numPr>
          <w:ilvl w:val="0"/>
          <w:numId w:val="36"/>
        </w:numPr>
        <w:spacing w:after="0" w:line="240" w:lineRule="auto"/>
        <w:rPr>
          <w:rFonts w:cstheme="minorHAnsi"/>
        </w:rPr>
      </w:pPr>
      <w:r w:rsidRPr="00FF4333">
        <w:rPr>
          <w:rFonts w:cstheme="minorHAnsi"/>
        </w:rPr>
        <w:t>Incidence rates in the diagnosis period 2014-2018 were similar across deprivation quintiles.</w:t>
      </w:r>
    </w:p>
    <w:p w14:paraId="30428EAF" w14:textId="77777777" w:rsidR="00464E4B" w:rsidRPr="00FC5D6E" w:rsidRDefault="00464E4B" w:rsidP="00626017">
      <w:pPr>
        <w:spacing w:after="0" w:line="240" w:lineRule="auto"/>
        <w:jc w:val="both"/>
        <w:rPr>
          <w:rFonts w:eastAsia="Times New Roman" w:cstheme="minorHAnsi"/>
          <w:i/>
          <w:iCs/>
          <w:color w:val="747474" w:themeColor="background2" w:themeShade="80"/>
        </w:rPr>
      </w:pPr>
      <w:r w:rsidRPr="00FC5D6E">
        <w:rPr>
          <w:rFonts w:cstheme="minorHAnsi"/>
          <w:i/>
          <w:iCs/>
          <w:color w:val="747474" w:themeColor="background2" w:themeShade="80"/>
        </w:rPr>
        <w:t>Mortality</w:t>
      </w:r>
    </w:p>
    <w:p w14:paraId="61D1D1A3" w14:textId="28C63D1A" w:rsidR="00580181" w:rsidRPr="00CA4E90" w:rsidRDefault="00580181" w:rsidP="00626017">
      <w:pPr>
        <w:numPr>
          <w:ilvl w:val="0"/>
          <w:numId w:val="5"/>
        </w:numPr>
        <w:spacing w:after="0" w:line="240" w:lineRule="auto"/>
        <w:ind w:left="709" w:hanging="283"/>
        <w:contextualSpacing/>
        <w:jc w:val="both"/>
        <w:rPr>
          <w:rFonts w:ascii="Aptos" w:hAnsi="Aptos"/>
          <w:color w:val="000000"/>
          <w:shd w:val="clear" w:color="auto" w:fill="FFFFFF"/>
        </w:rPr>
      </w:pPr>
      <w:r w:rsidRPr="00CA4E90">
        <w:rPr>
          <w:rFonts w:ascii="Aptos" w:hAnsi="Aptos"/>
          <w:color w:val="000000"/>
          <w:shd w:val="clear" w:color="auto" w:fill="FFFFFF"/>
        </w:rPr>
        <w:t>Age</w:t>
      </w:r>
      <w:r w:rsidR="00366242">
        <w:rPr>
          <w:rFonts w:ascii="Aptos" w:hAnsi="Aptos"/>
          <w:color w:val="000000"/>
          <w:shd w:val="clear" w:color="auto" w:fill="FFFFFF"/>
        </w:rPr>
        <w:t>-</w:t>
      </w:r>
      <w:r w:rsidRPr="00CA4E90">
        <w:rPr>
          <w:rFonts w:ascii="Aptos" w:hAnsi="Aptos"/>
          <w:color w:val="000000"/>
          <w:shd w:val="clear" w:color="auto" w:fill="FFFFFF"/>
        </w:rPr>
        <w:t xml:space="preserve">standardised mortality rates </w:t>
      </w:r>
      <w:r>
        <w:rPr>
          <w:rFonts w:ascii="Aptos" w:hAnsi="Aptos"/>
          <w:color w:val="000000"/>
          <w:shd w:val="clear" w:color="auto" w:fill="FFFFFF"/>
        </w:rPr>
        <w:t>increased for both males and females</w:t>
      </w:r>
      <w:r w:rsidRPr="00CA4E90">
        <w:rPr>
          <w:rFonts w:ascii="Aptos" w:hAnsi="Aptos"/>
          <w:color w:val="000000"/>
          <w:shd w:val="clear" w:color="auto" w:fill="FFFFFF"/>
        </w:rPr>
        <w:t xml:space="preserve"> from 1994 to 2022</w:t>
      </w:r>
      <w:r w:rsidR="00626017">
        <w:rPr>
          <w:rFonts w:ascii="Aptos" w:hAnsi="Aptos"/>
          <w:color w:val="000000"/>
          <w:shd w:val="clear" w:color="auto" w:fill="FFFFFF"/>
        </w:rPr>
        <w:t>.</w:t>
      </w:r>
      <w:r w:rsidRPr="00CA4E90">
        <w:rPr>
          <w:rFonts w:ascii="Aptos" w:hAnsi="Aptos"/>
          <w:color w:val="000000"/>
          <w:shd w:val="clear" w:color="auto" w:fill="FFFFFF"/>
        </w:rPr>
        <w:t xml:space="preserve"> </w:t>
      </w:r>
    </w:p>
    <w:p w14:paraId="65C3E586" w14:textId="77777777" w:rsidR="00464E4B" w:rsidRPr="00FC5D6E" w:rsidRDefault="00464E4B" w:rsidP="00626017">
      <w:pPr>
        <w:spacing w:after="0" w:line="240" w:lineRule="auto"/>
        <w:rPr>
          <w:rFonts w:eastAsiaTheme="majorEastAsia" w:cstheme="minorHAnsi"/>
          <w:spacing w:val="15"/>
        </w:rPr>
      </w:pPr>
      <w:r w:rsidRPr="00FC5D6E">
        <w:rPr>
          <w:rFonts w:eastAsiaTheme="majorEastAsia" w:cstheme="minorHAnsi"/>
          <w:i/>
          <w:iCs/>
          <w:color w:val="595959" w:themeColor="text1" w:themeTint="A6"/>
          <w:spacing w:val="15"/>
        </w:rPr>
        <w:t>Survival</w:t>
      </w:r>
      <w:r w:rsidRPr="00FC5D6E">
        <w:rPr>
          <w:rFonts w:eastAsiaTheme="majorEastAsia" w:cstheme="minorHAnsi"/>
          <w:spacing w:val="15"/>
        </w:rPr>
        <w:t xml:space="preserve"> </w:t>
      </w:r>
    </w:p>
    <w:p w14:paraId="274944FC" w14:textId="3B52CF98" w:rsidR="00464E4B" w:rsidRPr="00560200" w:rsidRDefault="00464E4B" w:rsidP="00626017">
      <w:pPr>
        <w:numPr>
          <w:ilvl w:val="0"/>
          <w:numId w:val="38"/>
        </w:numPr>
        <w:spacing w:after="0" w:line="240" w:lineRule="auto"/>
        <w:contextualSpacing/>
        <w:rPr>
          <w:rFonts w:eastAsia="Calibri" w:cstheme="minorHAnsi"/>
          <w:color w:val="000000" w:themeColor="text1"/>
        </w:rPr>
      </w:pPr>
      <w:r w:rsidRPr="00560200">
        <w:rPr>
          <w:rFonts w:eastAsia="Calibri" w:cstheme="minorHAnsi"/>
          <w:color w:val="000000" w:themeColor="text1"/>
        </w:rPr>
        <w:t xml:space="preserve">5-year net survival was 16% for cases diagnosed during 2019-2022. </w:t>
      </w:r>
    </w:p>
    <w:p w14:paraId="29454EA2" w14:textId="77777777" w:rsidR="00464E4B" w:rsidRPr="00FC5D6E" w:rsidRDefault="00464E4B" w:rsidP="00626017">
      <w:pPr>
        <w:numPr>
          <w:ilvl w:val="1"/>
          <w:numId w:val="0"/>
        </w:numPr>
        <w:spacing w:after="0" w:line="240" w:lineRule="auto"/>
        <w:rPr>
          <w:rFonts w:cstheme="minorHAnsi"/>
          <w:i/>
          <w:iCs/>
        </w:rPr>
      </w:pPr>
      <w:r w:rsidRPr="00FC5D6E">
        <w:rPr>
          <w:rFonts w:eastAsiaTheme="majorEastAsia" w:cstheme="minorHAnsi"/>
          <w:i/>
          <w:iCs/>
          <w:color w:val="595959" w:themeColor="text1" w:themeTint="A6"/>
          <w:spacing w:val="15"/>
        </w:rPr>
        <w:t>Population attributable fraction</w:t>
      </w:r>
    </w:p>
    <w:p w14:paraId="62E66694" w14:textId="77777777" w:rsidR="00464E4B" w:rsidRPr="00FC5D6E" w:rsidRDefault="00464E4B" w:rsidP="00626017">
      <w:pPr>
        <w:numPr>
          <w:ilvl w:val="0"/>
          <w:numId w:val="39"/>
        </w:numPr>
        <w:spacing w:after="0" w:line="240" w:lineRule="auto"/>
        <w:contextualSpacing/>
      </w:pPr>
      <w:r w:rsidRPr="00FC5D6E">
        <w:t xml:space="preserve">The estimated total number of liver cancer cases attributable to smoking in Ireland in 2022 was 61 (PAF 18.0%). </w:t>
      </w:r>
    </w:p>
    <w:p w14:paraId="08547C5C" w14:textId="77777777" w:rsidR="00464E4B" w:rsidRPr="00FC5D6E" w:rsidRDefault="00464E4B" w:rsidP="00626017">
      <w:pPr>
        <w:spacing w:after="0" w:line="240" w:lineRule="auto"/>
      </w:pPr>
    </w:p>
    <w:p w14:paraId="2C337977" w14:textId="77777777" w:rsidR="00464E4B" w:rsidRDefault="00464E4B" w:rsidP="00464E4B">
      <w:pPr>
        <w:spacing w:after="0" w:line="240" w:lineRule="auto"/>
        <w:sectPr w:rsidR="00464E4B" w:rsidSect="002746C0">
          <w:footerReference w:type="default" r:id="rId154"/>
          <w:pgSz w:w="11906" w:h="16838"/>
          <w:pgMar w:top="1440" w:right="1440" w:bottom="1440" w:left="1440" w:header="708" w:footer="708" w:gutter="0"/>
          <w:cols w:space="708"/>
          <w:docGrid w:linePitch="360"/>
        </w:sectPr>
      </w:pPr>
    </w:p>
    <w:p w14:paraId="4DC78BDE" w14:textId="77777777" w:rsidR="00464E4B" w:rsidRPr="00FC5D6E" w:rsidRDefault="00464E4B" w:rsidP="00464E4B">
      <w:pPr>
        <w:pStyle w:val="Heading2"/>
        <w:spacing w:before="0" w:after="0" w:line="240" w:lineRule="auto"/>
      </w:pPr>
      <w:bookmarkStart w:id="202" w:name="_Toc196914597"/>
      <w:r w:rsidRPr="00FC5D6E">
        <w:t xml:space="preserve"> </w:t>
      </w:r>
      <w:bookmarkStart w:id="203" w:name="_Toc197557103"/>
      <w:bookmarkStart w:id="204" w:name="_Toc201512494"/>
      <w:r w:rsidRPr="00FC5D6E">
        <w:t>Incidence</w:t>
      </w:r>
      <w:bookmarkEnd w:id="202"/>
      <w:bookmarkEnd w:id="203"/>
      <w:bookmarkEnd w:id="204"/>
    </w:p>
    <w:p w14:paraId="7B4DA1FB" w14:textId="7F093682" w:rsidR="00464E4B" w:rsidRPr="00FC5D6E" w:rsidRDefault="00464E4B" w:rsidP="00464E4B">
      <w:pPr>
        <w:spacing w:after="0" w:line="240" w:lineRule="auto"/>
      </w:pPr>
      <w:r>
        <w:t>Between</w:t>
      </w:r>
      <w:r w:rsidRPr="00FC5D6E">
        <w:t xml:space="preserve"> 1994-2022, 5,701 cases of liver cancer have been reported (3,867 </w:t>
      </w:r>
      <w:r>
        <w:t>m</w:t>
      </w:r>
      <w:r w:rsidRPr="00FC5D6E">
        <w:t xml:space="preserve">ales, 1,834 </w:t>
      </w:r>
      <w:r>
        <w:t>f</w:t>
      </w:r>
      <w:r w:rsidRPr="00FC5D6E">
        <w:t>emales). The median age at diagnosis was 69 years (</w:t>
      </w:r>
      <w:r>
        <w:t xml:space="preserve">IQR: </w:t>
      </w:r>
      <w:r w:rsidRPr="00FC5D6E">
        <w:t>61-77) for males and 72 (</w:t>
      </w:r>
      <w:r>
        <w:t xml:space="preserve">IQR: </w:t>
      </w:r>
      <w:r w:rsidRPr="00FC5D6E">
        <w:t>62-80) for females.</w:t>
      </w:r>
      <w:r>
        <w:t xml:space="preserve"> </w:t>
      </w:r>
      <w:r w:rsidRPr="00FC5D6E">
        <w:t xml:space="preserve">Age-standardised incidence rates of </w:t>
      </w:r>
      <w:r w:rsidR="007535AF">
        <w:t>liver</w:t>
      </w:r>
      <w:r w:rsidRPr="00FC5D6E">
        <w:t xml:space="preserve"> cancer</w:t>
      </w:r>
      <w:r>
        <w:t xml:space="preserve"> </w:t>
      </w:r>
      <w:r w:rsidR="00626017">
        <w:t xml:space="preserve">during the period </w:t>
      </w:r>
      <w:r w:rsidRPr="00FC5D6E">
        <w:t xml:space="preserve">1994-2022 were 9.2 cases per 100,000 males and 3.8 cases per 100,000 females. Figure </w:t>
      </w:r>
      <w:r w:rsidR="00B47D7E">
        <w:t>11.1</w:t>
      </w:r>
      <w:r w:rsidRPr="00FC5D6E">
        <w:t xml:space="preserve"> breaks this down further by sex and age group.</w:t>
      </w:r>
    </w:p>
    <w:p w14:paraId="6C4C0E52" w14:textId="77777777" w:rsidR="00464E4B" w:rsidRPr="00FC5D6E" w:rsidRDefault="00464E4B" w:rsidP="00464E4B">
      <w:pPr>
        <w:spacing w:after="0" w:line="240" w:lineRule="auto"/>
      </w:pPr>
    </w:p>
    <w:tbl>
      <w:tblPr>
        <w:tblW w:w="9768" w:type="dxa"/>
        <w:tblInd w:w="-752" w:type="dxa"/>
        <w:tblBorders>
          <w:bottom w:val="single" w:sz="4" w:space="0" w:color="auto"/>
        </w:tblBorders>
        <w:tblLook w:val="04A0" w:firstRow="1" w:lastRow="0" w:firstColumn="1" w:lastColumn="0" w:noHBand="0" w:noVBand="1"/>
      </w:tblPr>
      <w:tblGrid>
        <w:gridCol w:w="3126"/>
        <w:gridCol w:w="3289"/>
        <w:gridCol w:w="3353"/>
      </w:tblGrid>
      <w:tr w:rsidR="00464E4B" w:rsidRPr="00FC5D6E" w14:paraId="51AA8306" w14:textId="77777777" w:rsidTr="0041177B">
        <w:trPr>
          <w:trHeight w:val="113"/>
        </w:trPr>
        <w:tc>
          <w:tcPr>
            <w:tcW w:w="9768" w:type="dxa"/>
            <w:gridSpan w:val="3"/>
            <w:shd w:val="clear" w:color="auto" w:fill="002060"/>
            <w:hideMark/>
          </w:tcPr>
          <w:p w14:paraId="3CCE4E9C" w14:textId="7F78BFC4" w:rsidR="00464E4B" w:rsidRPr="00B47D7E" w:rsidRDefault="00464E4B" w:rsidP="0041177B">
            <w:pPr>
              <w:spacing w:after="0" w:line="240" w:lineRule="auto"/>
              <w:rPr>
                <w:rFonts w:cstheme="minorHAnsi"/>
                <w:b/>
                <w:bCs/>
                <w:color w:val="FFFFFF" w:themeColor="background1"/>
                <w:sz w:val="22"/>
                <w:szCs w:val="22"/>
              </w:rPr>
            </w:pPr>
            <w:r w:rsidRPr="00B47D7E">
              <w:rPr>
                <w:rFonts w:cstheme="minorHAnsi"/>
                <w:b/>
                <w:bCs/>
                <w:color w:val="FFFFFF" w:themeColor="background1"/>
                <w:sz w:val="22"/>
                <w:szCs w:val="22"/>
              </w:rPr>
              <w:t xml:space="preserve">Figure </w:t>
            </w:r>
            <w:r w:rsidR="00B47D7E" w:rsidRPr="00B47D7E">
              <w:rPr>
                <w:rFonts w:cstheme="minorHAnsi"/>
                <w:b/>
                <w:bCs/>
                <w:color w:val="FFFFFF" w:themeColor="background1"/>
                <w:sz w:val="22"/>
                <w:szCs w:val="22"/>
              </w:rPr>
              <w:t xml:space="preserve">11.1 </w:t>
            </w:r>
            <w:r w:rsidRPr="00B47D7E">
              <w:rPr>
                <w:rFonts w:cstheme="minorHAnsi"/>
                <w:b/>
                <w:bCs/>
                <w:color w:val="FFFFFF" w:themeColor="background1"/>
                <w:sz w:val="22"/>
                <w:szCs w:val="22"/>
              </w:rPr>
              <w:t xml:space="preserve">Incidence rate (per 100,000) for liver cancer by </w:t>
            </w:r>
            <w:r w:rsidR="00366242">
              <w:rPr>
                <w:rFonts w:cstheme="minorHAnsi"/>
                <w:b/>
                <w:bCs/>
                <w:color w:val="FFFFFF" w:themeColor="background1"/>
                <w:sz w:val="22"/>
                <w:szCs w:val="22"/>
              </w:rPr>
              <w:t>age group</w:t>
            </w:r>
            <w:r w:rsidRPr="00B47D7E">
              <w:rPr>
                <w:rFonts w:cstheme="minorHAnsi"/>
                <w:b/>
                <w:bCs/>
                <w:color w:val="FFFFFF" w:themeColor="background1"/>
                <w:sz w:val="22"/>
                <w:szCs w:val="22"/>
              </w:rPr>
              <w:t>,1994-2022</w:t>
            </w:r>
          </w:p>
        </w:tc>
      </w:tr>
      <w:tr w:rsidR="00464E4B" w:rsidRPr="00FC5D6E" w14:paraId="5D81903A" w14:textId="77777777" w:rsidTr="0041177B">
        <w:trPr>
          <w:trHeight w:val="113"/>
        </w:trPr>
        <w:tc>
          <w:tcPr>
            <w:tcW w:w="3126" w:type="dxa"/>
            <w:hideMark/>
          </w:tcPr>
          <w:p w14:paraId="15715A8B" w14:textId="77777777" w:rsidR="00464E4B" w:rsidRPr="00FC5D6E" w:rsidRDefault="00464E4B" w:rsidP="0041177B">
            <w:pPr>
              <w:spacing w:after="0" w:line="240" w:lineRule="auto"/>
              <w:jc w:val="center"/>
              <w:rPr>
                <w:rFonts w:cstheme="minorHAnsi"/>
                <w:color w:val="000000" w:themeColor="text1"/>
                <w:sz w:val="22"/>
                <w:szCs w:val="22"/>
              </w:rPr>
            </w:pPr>
            <w:r w:rsidRPr="00FC5D6E">
              <w:rPr>
                <w:rFonts w:cstheme="minorHAnsi"/>
                <w:color w:val="000000" w:themeColor="text1"/>
                <w:sz w:val="22"/>
                <w:szCs w:val="22"/>
              </w:rPr>
              <w:t>Total</w:t>
            </w:r>
          </w:p>
        </w:tc>
        <w:tc>
          <w:tcPr>
            <w:tcW w:w="3289" w:type="dxa"/>
          </w:tcPr>
          <w:p w14:paraId="38AB4669" w14:textId="77777777" w:rsidR="00464E4B" w:rsidRPr="00FC5D6E" w:rsidRDefault="00464E4B" w:rsidP="0041177B">
            <w:pPr>
              <w:spacing w:after="0" w:line="240" w:lineRule="auto"/>
              <w:jc w:val="center"/>
              <w:rPr>
                <w:rFonts w:cstheme="minorHAnsi"/>
                <w:color w:val="000000" w:themeColor="text1"/>
                <w:sz w:val="22"/>
                <w:szCs w:val="22"/>
              </w:rPr>
            </w:pPr>
            <w:r>
              <w:rPr>
                <w:rFonts w:cstheme="minorHAnsi"/>
                <w:color w:val="000000" w:themeColor="text1"/>
                <w:sz w:val="22"/>
                <w:szCs w:val="22"/>
              </w:rPr>
              <w:t>Males</w:t>
            </w:r>
          </w:p>
        </w:tc>
        <w:tc>
          <w:tcPr>
            <w:tcW w:w="3353" w:type="dxa"/>
          </w:tcPr>
          <w:p w14:paraId="1DB901AA" w14:textId="77777777" w:rsidR="00464E4B" w:rsidRPr="00FC5D6E" w:rsidRDefault="00464E4B" w:rsidP="0041177B">
            <w:pPr>
              <w:spacing w:after="0" w:line="240" w:lineRule="auto"/>
              <w:jc w:val="center"/>
              <w:rPr>
                <w:rFonts w:cstheme="minorHAnsi"/>
                <w:color w:val="000000" w:themeColor="text1"/>
                <w:sz w:val="22"/>
                <w:szCs w:val="22"/>
              </w:rPr>
            </w:pPr>
            <w:r>
              <w:rPr>
                <w:rFonts w:cstheme="minorHAnsi"/>
                <w:color w:val="000000" w:themeColor="text1"/>
                <w:sz w:val="22"/>
                <w:szCs w:val="22"/>
              </w:rPr>
              <w:t>Females</w:t>
            </w:r>
          </w:p>
        </w:tc>
      </w:tr>
      <w:tr w:rsidR="00464E4B" w:rsidRPr="00FC5D6E" w14:paraId="2D779B34" w14:textId="77777777" w:rsidTr="0041177B">
        <w:trPr>
          <w:trHeight w:val="113"/>
        </w:trPr>
        <w:tc>
          <w:tcPr>
            <w:tcW w:w="3126" w:type="dxa"/>
          </w:tcPr>
          <w:p w14:paraId="4E86E71F" w14:textId="77777777" w:rsidR="00464E4B" w:rsidRPr="00FC5D6E" w:rsidRDefault="00464E4B" w:rsidP="0041177B">
            <w:pPr>
              <w:spacing w:after="0" w:line="240" w:lineRule="auto"/>
              <w:rPr>
                <w:rFonts w:cstheme="minorHAnsi"/>
                <w:color w:val="000000" w:themeColor="text1"/>
                <w:sz w:val="22"/>
                <w:szCs w:val="22"/>
              </w:rPr>
            </w:pPr>
            <w:r>
              <w:rPr>
                <w:rFonts w:cstheme="minorHAnsi"/>
                <w:noProof/>
                <w:color w:val="000000" w:themeColor="text1"/>
                <w:sz w:val="22"/>
                <w:szCs w:val="22"/>
              </w:rPr>
              <w:drawing>
                <wp:inline distT="0" distB="0" distL="0" distR="0" wp14:anchorId="7C30FA55" wp14:editId="2B8D5B1C">
                  <wp:extent cx="1844009" cy="1533404"/>
                  <wp:effectExtent l="0" t="0" r="4445" b="0"/>
                  <wp:docPr id="2134518515" name="Picture 1"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518515" name="Picture 1" descr="A graph with numbers and a bar&#10;&#10;AI-generated content may be incorrect."/>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64924" cy="1550796"/>
                          </a:xfrm>
                          <a:prstGeom prst="rect">
                            <a:avLst/>
                          </a:prstGeom>
                          <a:noFill/>
                        </pic:spPr>
                      </pic:pic>
                    </a:graphicData>
                  </a:graphic>
                </wp:inline>
              </w:drawing>
            </w:r>
          </w:p>
        </w:tc>
        <w:tc>
          <w:tcPr>
            <w:tcW w:w="3289" w:type="dxa"/>
          </w:tcPr>
          <w:p w14:paraId="285D793D" w14:textId="77777777" w:rsidR="00464E4B" w:rsidRPr="00FC5D6E" w:rsidRDefault="00464E4B" w:rsidP="0041177B">
            <w:pPr>
              <w:spacing w:after="0" w:line="240" w:lineRule="auto"/>
              <w:rPr>
                <w:rFonts w:cstheme="minorHAnsi"/>
                <w:color w:val="000000" w:themeColor="text1"/>
                <w:sz w:val="22"/>
                <w:szCs w:val="22"/>
              </w:rPr>
            </w:pPr>
            <w:r>
              <w:rPr>
                <w:rFonts w:eastAsia="Times New Roman" w:cs="Times New Roman"/>
                <w:noProof/>
                <w:sz w:val="22"/>
                <w:szCs w:val="22"/>
                <w:lang w:eastAsia="en-GB"/>
              </w:rPr>
              <w:drawing>
                <wp:inline distT="0" distB="0" distL="0" distR="0" wp14:anchorId="774A0144" wp14:editId="68ECF8D7">
                  <wp:extent cx="1910434" cy="1533273"/>
                  <wp:effectExtent l="0" t="0" r="0" b="0"/>
                  <wp:docPr id="289992871" name="Picture 2"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992871" name="Picture 2" descr="A graph with numbers and a bar&#10;&#10;AI-generated content may be incorrect."/>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936867" cy="1554487"/>
                          </a:xfrm>
                          <a:prstGeom prst="rect">
                            <a:avLst/>
                          </a:prstGeom>
                          <a:noFill/>
                        </pic:spPr>
                      </pic:pic>
                    </a:graphicData>
                  </a:graphic>
                </wp:inline>
              </w:drawing>
            </w:r>
          </w:p>
        </w:tc>
        <w:tc>
          <w:tcPr>
            <w:tcW w:w="3353" w:type="dxa"/>
          </w:tcPr>
          <w:p w14:paraId="2500DEFF" w14:textId="77777777" w:rsidR="00464E4B" w:rsidRPr="00FC5D6E" w:rsidRDefault="00464E4B" w:rsidP="0041177B">
            <w:pPr>
              <w:spacing w:after="0" w:line="240" w:lineRule="auto"/>
              <w:jc w:val="center"/>
              <w:rPr>
                <w:rFonts w:cstheme="minorHAnsi"/>
                <w:color w:val="000000" w:themeColor="text1"/>
                <w:sz w:val="22"/>
                <w:szCs w:val="22"/>
              </w:rPr>
            </w:pPr>
            <w:r>
              <w:rPr>
                <w:rFonts w:cstheme="minorHAnsi"/>
                <w:noProof/>
                <w:color w:val="000000" w:themeColor="text1"/>
                <w:sz w:val="22"/>
                <w:szCs w:val="22"/>
              </w:rPr>
              <w:drawing>
                <wp:inline distT="0" distB="0" distL="0" distR="0" wp14:anchorId="6D016122" wp14:editId="66134EBB">
                  <wp:extent cx="1889760" cy="1534611"/>
                  <wp:effectExtent l="0" t="0" r="0" b="8890"/>
                  <wp:docPr id="881472401" name="Picture 3"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72401" name="Picture 3" descr="A graph with numbers and a bar chart&#10;&#10;AI-generated content may be incorrect."/>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29214" cy="1566650"/>
                          </a:xfrm>
                          <a:prstGeom prst="rect">
                            <a:avLst/>
                          </a:prstGeom>
                          <a:noFill/>
                        </pic:spPr>
                      </pic:pic>
                    </a:graphicData>
                  </a:graphic>
                </wp:inline>
              </w:drawing>
            </w:r>
          </w:p>
        </w:tc>
      </w:tr>
    </w:tbl>
    <w:p w14:paraId="6089E711" w14:textId="77777777" w:rsidR="00464E4B" w:rsidRDefault="00464E4B" w:rsidP="00464E4B">
      <w:pPr>
        <w:spacing w:after="0" w:line="240" w:lineRule="auto"/>
        <w:sectPr w:rsidR="00464E4B" w:rsidSect="002746C0">
          <w:pgSz w:w="11906" w:h="16838"/>
          <w:pgMar w:top="1440" w:right="1440" w:bottom="1440" w:left="1440" w:header="708" w:footer="708" w:gutter="0"/>
          <w:cols w:space="708"/>
          <w:docGrid w:linePitch="360"/>
        </w:sectPr>
      </w:pPr>
    </w:p>
    <w:p w14:paraId="25725477" w14:textId="77777777" w:rsidR="00464E4B" w:rsidRPr="00FC5D6E" w:rsidRDefault="00464E4B" w:rsidP="00464E4B">
      <w:pPr>
        <w:pStyle w:val="Heading3"/>
        <w:spacing w:before="0" w:after="0" w:line="240" w:lineRule="auto"/>
      </w:pPr>
      <w:bookmarkStart w:id="205" w:name="_Toc197557104"/>
      <w:bookmarkStart w:id="206" w:name="_Toc201512495"/>
      <w:r w:rsidRPr="00FC5D6E">
        <w:t>Trends over time</w:t>
      </w:r>
      <w:bookmarkEnd w:id="205"/>
      <w:bookmarkEnd w:id="206"/>
    </w:p>
    <w:p w14:paraId="2E1F122D" w14:textId="39EAA573" w:rsidR="00464E4B" w:rsidRPr="00FC5D6E" w:rsidRDefault="00464E4B" w:rsidP="00464E4B">
      <w:pPr>
        <w:spacing w:after="0" w:line="240" w:lineRule="auto"/>
      </w:pPr>
      <w:r w:rsidRPr="60503F1A">
        <w:t xml:space="preserve">Figure </w:t>
      </w:r>
      <w:r w:rsidR="00B47D7E">
        <w:t xml:space="preserve">11.2 </w:t>
      </w:r>
      <w:r w:rsidRPr="60503F1A">
        <w:t xml:space="preserve">shows the incidence of liver cancer from 1994 to 2022. </w:t>
      </w:r>
      <w:r w:rsidR="00626017" w:rsidRPr="60503F1A">
        <w:t>Incidence</w:t>
      </w:r>
      <w:r w:rsidRPr="60503F1A">
        <w:t xml:space="preserve"> increased for males from 1994 to 2017 (6.2 % increase per year (95%CI -5.4; 6.9)), before a period of steady decrease from 2017 to 2022 (-6.7% decrease per year (95%CI -10.6; -2.7)). Incidence increased </w:t>
      </w:r>
      <w:r w:rsidR="00626017">
        <w:t xml:space="preserve">among </w:t>
      </w:r>
      <w:r w:rsidRPr="60503F1A">
        <w:t>females from 1994 to 2007 (7.9% increase per year (95%CI -4.6; 11.3)), before continuing to increase from 2007 to 2022 at a rate of 2.2% per year (95%CI 0.7; 3.7).</w:t>
      </w:r>
    </w:p>
    <w:p w14:paraId="790923FB" w14:textId="77777777" w:rsidR="00464E4B" w:rsidRPr="00FC5D6E" w:rsidRDefault="00464E4B" w:rsidP="00464E4B">
      <w:pPr>
        <w:spacing w:after="0" w:line="240" w:lineRule="auto"/>
        <w:rPr>
          <w:rFonts w:cstheme="minorHAnsi"/>
          <w:highlight w:val="yellow"/>
        </w:rPr>
      </w:pPr>
    </w:p>
    <w:tbl>
      <w:tblPr>
        <w:tblW w:w="9860" w:type="dxa"/>
        <w:tblInd w:w="-431" w:type="dxa"/>
        <w:tblLook w:val="04A0" w:firstRow="1" w:lastRow="0" w:firstColumn="1" w:lastColumn="0" w:noHBand="0" w:noVBand="1"/>
      </w:tblPr>
      <w:tblGrid>
        <w:gridCol w:w="9860"/>
      </w:tblGrid>
      <w:tr w:rsidR="00464E4B" w:rsidRPr="00FC5D6E" w14:paraId="64A7C216" w14:textId="77777777" w:rsidTr="0041177B">
        <w:trPr>
          <w:trHeight w:val="113"/>
        </w:trPr>
        <w:tc>
          <w:tcPr>
            <w:tcW w:w="9860" w:type="dxa"/>
            <w:shd w:val="clear" w:color="auto" w:fill="002060"/>
            <w:vAlign w:val="center"/>
            <w:hideMark/>
          </w:tcPr>
          <w:p w14:paraId="6EB65A01" w14:textId="410E0CB7" w:rsidR="00464E4B" w:rsidRPr="00FC5D6E" w:rsidRDefault="00464E4B" w:rsidP="0041177B">
            <w:pPr>
              <w:spacing w:after="0" w:line="240" w:lineRule="auto"/>
              <w:rPr>
                <w:b/>
                <w:bCs/>
              </w:rPr>
            </w:pPr>
            <w:r w:rsidRPr="00FC5D6E">
              <w:rPr>
                <w:b/>
                <w:bCs/>
              </w:rPr>
              <w:t xml:space="preserve">Figure </w:t>
            </w:r>
            <w:r w:rsidR="00B47D7E">
              <w:rPr>
                <w:b/>
                <w:bCs/>
              </w:rPr>
              <w:t>11.2:</w:t>
            </w:r>
            <w:r w:rsidRPr="00FC5D6E">
              <w:rPr>
                <w:b/>
                <w:bCs/>
              </w:rPr>
              <w:t xml:space="preserve"> Age-</w:t>
            </w:r>
            <w:r w:rsidRPr="00FC5D6E">
              <w:rPr>
                <w:b/>
                <w:bCs/>
                <w:bdr w:val="single" w:sz="4" w:space="0" w:color="auto" w:frame="1"/>
              </w:rPr>
              <w:t>standardised incidence rate 1994-2022, liver</w:t>
            </w:r>
          </w:p>
        </w:tc>
      </w:tr>
      <w:tr w:rsidR="00464E4B" w:rsidRPr="00FC5D6E" w14:paraId="772E6C64" w14:textId="77777777" w:rsidTr="0041177B">
        <w:trPr>
          <w:trHeight w:val="113"/>
        </w:trPr>
        <w:tc>
          <w:tcPr>
            <w:tcW w:w="9860" w:type="dxa"/>
            <w:vAlign w:val="center"/>
          </w:tcPr>
          <w:p w14:paraId="12CDAB39" w14:textId="77777777" w:rsidR="00464E4B" w:rsidRPr="00FC5D6E" w:rsidRDefault="00464E4B" w:rsidP="0041177B">
            <w:pPr>
              <w:spacing w:after="0" w:line="240" w:lineRule="auto"/>
              <w:jc w:val="center"/>
            </w:pPr>
            <w:r>
              <w:rPr>
                <w:noProof/>
              </w:rPr>
              <w:drawing>
                <wp:inline distT="0" distB="0" distL="0" distR="0" wp14:anchorId="156DAE95" wp14:editId="0DC05B17">
                  <wp:extent cx="5755005" cy="3017520"/>
                  <wp:effectExtent l="0" t="0" r="0" b="0"/>
                  <wp:docPr id="1124005076" name="Picture 1" descr="A graph of a number of men and wom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005076" name="Picture 1" descr="A graph of a number of men and women&#10;&#10;AI-generated content may be incorrect."/>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55005" cy="3017520"/>
                          </a:xfrm>
                          <a:prstGeom prst="rect">
                            <a:avLst/>
                          </a:prstGeom>
                          <a:noFill/>
                        </pic:spPr>
                      </pic:pic>
                    </a:graphicData>
                  </a:graphic>
                </wp:inline>
              </w:drawing>
            </w:r>
          </w:p>
        </w:tc>
      </w:tr>
      <w:tr w:rsidR="00464E4B" w:rsidRPr="00FC5D6E" w14:paraId="4AF6DC5A" w14:textId="77777777" w:rsidTr="0041177B">
        <w:trPr>
          <w:trHeight w:val="113"/>
        </w:trPr>
        <w:tc>
          <w:tcPr>
            <w:tcW w:w="9860" w:type="dxa"/>
            <w:vAlign w:val="center"/>
          </w:tcPr>
          <w:tbl>
            <w:tblPr>
              <w:tblW w:w="0" w:type="auto"/>
              <w:tblInd w:w="829" w:type="dxa"/>
              <w:tblLook w:val="04A0" w:firstRow="1" w:lastRow="0" w:firstColumn="1" w:lastColumn="0" w:noHBand="0" w:noVBand="1"/>
            </w:tblPr>
            <w:tblGrid>
              <w:gridCol w:w="498"/>
              <w:gridCol w:w="1126"/>
              <w:gridCol w:w="713"/>
              <w:gridCol w:w="1026"/>
              <w:gridCol w:w="689"/>
              <w:gridCol w:w="498"/>
              <w:gridCol w:w="1126"/>
              <w:gridCol w:w="713"/>
              <w:gridCol w:w="917"/>
              <w:gridCol w:w="660"/>
            </w:tblGrid>
            <w:tr w:rsidR="00464E4B" w:rsidRPr="00F25C11" w14:paraId="66706C94" w14:textId="77777777" w:rsidTr="0041177B">
              <w:trPr>
                <w:trHeight w:val="113"/>
              </w:trPr>
              <w:tc>
                <w:tcPr>
                  <w:tcW w:w="0" w:type="auto"/>
                  <w:noWrap/>
                  <w:tcMar>
                    <w:top w:w="15" w:type="dxa"/>
                    <w:left w:w="108" w:type="dxa"/>
                    <w:bottom w:w="15" w:type="dxa"/>
                    <w:right w:w="108" w:type="dxa"/>
                  </w:tcMar>
                  <w:vAlign w:val="center"/>
                  <w:hideMark/>
                </w:tcPr>
                <w:p w14:paraId="4B012B7E" w14:textId="77777777" w:rsidR="00464E4B" w:rsidRPr="00F25C11"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F25C11">
                    <w:rPr>
                      <w:rFonts w:ascii="Aptos Narrow" w:eastAsia="Times New Roman" w:hAnsi="Aptos Narrow" w:cs="Times New Roman"/>
                      <w:b/>
                      <w:bCs/>
                      <w:color w:val="000000"/>
                      <w:kern w:val="0"/>
                      <w:sz w:val="20"/>
                      <w:szCs w:val="20"/>
                      <w:u w:val="single"/>
                      <w:lang w:eastAsia="en-GB"/>
                      <w14:ligatures w14:val="none"/>
                    </w:rPr>
                    <w:t>sex</w:t>
                  </w:r>
                </w:p>
              </w:tc>
              <w:tc>
                <w:tcPr>
                  <w:tcW w:w="0" w:type="auto"/>
                  <w:noWrap/>
                  <w:tcMar>
                    <w:top w:w="15" w:type="dxa"/>
                    <w:left w:w="108" w:type="dxa"/>
                    <w:bottom w:w="15" w:type="dxa"/>
                    <w:right w:w="108" w:type="dxa"/>
                  </w:tcMar>
                  <w:vAlign w:val="center"/>
                  <w:hideMark/>
                </w:tcPr>
                <w:p w14:paraId="06EE61A9" w14:textId="77777777" w:rsidR="00464E4B" w:rsidRPr="00F25C11"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F25C11">
                    <w:rPr>
                      <w:rFonts w:ascii="Aptos Narrow" w:eastAsia="Times New Roman" w:hAnsi="Aptos Narrow" w:cs="Times New Roman"/>
                      <w:b/>
                      <w:bCs/>
                      <w:color w:val="000000"/>
                      <w:kern w:val="0"/>
                      <w:sz w:val="20"/>
                      <w:szCs w:val="20"/>
                      <w:u w:val="single"/>
                      <w:lang w:eastAsia="en-GB"/>
                      <w14:ligatures w14:val="none"/>
                    </w:rPr>
                    <w:t>period</w:t>
                  </w:r>
                </w:p>
              </w:tc>
              <w:tc>
                <w:tcPr>
                  <w:tcW w:w="0" w:type="auto"/>
                  <w:noWrap/>
                  <w:tcMar>
                    <w:top w:w="15" w:type="dxa"/>
                    <w:left w:w="108" w:type="dxa"/>
                    <w:bottom w:w="15" w:type="dxa"/>
                    <w:right w:w="108" w:type="dxa"/>
                  </w:tcMar>
                  <w:vAlign w:val="center"/>
                  <w:hideMark/>
                </w:tcPr>
                <w:p w14:paraId="02253E8E" w14:textId="77777777" w:rsidR="00464E4B" w:rsidRPr="00F25C11"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F25C11">
                    <w:rPr>
                      <w:rFonts w:ascii="Aptos Narrow" w:eastAsia="Times New Roman" w:hAnsi="Aptos Narrow" w:cs="Times New Roman"/>
                      <w:b/>
                      <w:bCs/>
                      <w:color w:val="000000"/>
                      <w:kern w:val="0"/>
                      <w:sz w:val="20"/>
                      <w:szCs w:val="20"/>
                      <w:u w:val="single"/>
                      <w:lang w:eastAsia="en-GB"/>
                      <w14:ligatures w14:val="none"/>
                    </w:rPr>
                    <w:t>APC%</w:t>
                  </w:r>
                </w:p>
              </w:tc>
              <w:tc>
                <w:tcPr>
                  <w:tcW w:w="0" w:type="auto"/>
                  <w:noWrap/>
                  <w:tcMar>
                    <w:top w:w="15" w:type="dxa"/>
                    <w:left w:w="108" w:type="dxa"/>
                    <w:bottom w:w="15" w:type="dxa"/>
                    <w:right w:w="108" w:type="dxa"/>
                  </w:tcMar>
                  <w:vAlign w:val="center"/>
                  <w:hideMark/>
                </w:tcPr>
                <w:p w14:paraId="69DD7CDD" w14:textId="77777777" w:rsidR="00464E4B" w:rsidRPr="00F25C11"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F25C11">
                    <w:rPr>
                      <w:rFonts w:ascii="Aptos Narrow" w:eastAsia="Times New Roman" w:hAnsi="Aptos Narrow" w:cs="Times New Roman"/>
                      <w:b/>
                      <w:bCs/>
                      <w:color w:val="000000"/>
                      <w:kern w:val="0"/>
                      <w:sz w:val="20"/>
                      <w:szCs w:val="20"/>
                      <w:u w:val="single"/>
                      <w:lang w:eastAsia="en-GB"/>
                      <w14:ligatures w14:val="none"/>
                    </w:rPr>
                    <w:t>95%CI</w:t>
                  </w:r>
                </w:p>
              </w:tc>
              <w:tc>
                <w:tcPr>
                  <w:tcW w:w="0" w:type="auto"/>
                  <w:tcBorders>
                    <w:right w:val="single" w:sz="4" w:space="0" w:color="auto"/>
                  </w:tcBorders>
                  <w:noWrap/>
                  <w:tcMar>
                    <w:top w:w="15" w:type="dxa"/>
                    <w:left w:w="108" w:type="dxa"/>
                    <w:bottom w:w="15" w:type="dxa"/>
                    <w:right w:w="108" w:type="dxa"/>
                  </w:tcMar>
                  <w:vAlign w:val="center"/>
                  <w:hideMark/>
                </w:tcPr>
                <w:p w14:paraId="710C1BBA" w14:textId="77777777" w:rsidR="00464E4B" w:rsidRPr="00F25C11"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F25C11">
                    <w:rPr>
                      <w:rFonts w:ascii="Aptos Narrow" w:eastAsia="Times New Roman" w:hAnsi="Aptos Narrow" w:cs="Times New Roman"/>
                      <w:b/>
                      <w:bCs/>
                      <w:color w:val="000000"/>
                      <w:kern w:val="0"/>
                      <w:sz w:val="20"/>
                      <w:szCs w:val="20"/>
                      <w:u w:val="single"/>
                      <w:lang w:eastAsia="en-GB"/>
                      <w14:ligatures w14:val="none"/>
                    </w:rPr>
                    <w:t>trend</w:t>
                  </w:r>
                </w:p>
              </w:tc>
              <w:tc>
                <w:tcPr>
                  <w:tcW w:w="0" w:type="auto"/>
                  <w:tcBorders>
                    <w:left w:val="single" w:sz="4" w:space="0" w:color="auto"/>
                  </w:tcBorders>
                  <w:vAlign w:val="center"/>
                </w:tcPr>
                <w:p w14:paraId="78909F8F" w14:textId="77777777" w:rsidR="00464E4B" w:rsidRPr="00F25C11"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F25C11">
                    <w:rPr>
                      <w:rFonts w:ascii="Aptos Narrow" w:eastAsia="Times New Roman" w:hAnsi="Aptos Narrow" w:cs="Times New Roman"/>
                      <w:b/>
                      <w:bCs/>
                      <w:color w:val="000000"/>
                      <w:kern w:val="0"/>
                      <w:sz w:val="20"/>
                      <w:szCs w:val="20"/>
                      <w:u w:val="single"/>
                      <w:lang w:eastAsia="en-GB"/>
                      <w14:ligatures w14:val="none"/>
                    </w:rPr>
                    <w:t>sex</w:t>
                  </w:r>
                </w:p>
              </w:tc>
              <w:tc>
                <w:tcPr>
                  <w:tcW w:w="0" w:type="auto"/>
                  <w:vAlign w:val="center"/>
                </w:tcPr>
                <w:p w14:paraId="5F462DDA" w14:textId="77777777" w:rsidR="00464E4B" w:rsidRPr="00F25C11"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F25C11">
                    <w:rPr>
                      <w:rFonts w:ascii="Aptos Narrow" w:eastAsia="Times New Roman" w:hAnsi="Aptos Narrow" w:cs="Times New Roman"/>
                      <w:b/>
                      <w:bCs/>
                      <w:color w:val="000000"/>
                      <w:kern w:val="0"/>
                      <w:sz w:val="20"/>
                      <w:szCs w:val="20"/>
                      <w:u w:val="single"/>
                      <w:lang w:eastAsia="en-GB"/>
                      <w14:ligatures w14:val="none"/>
                    </w:rPr>
                    <w:t>period</w:t>
                  </w:r>
                </w:p>
              </w:tc>
              <w:tc>
                <w:tcPr>
                  <w:tcW w:w="0" w:type="auto"/>
                  <w:vAlign w:val="center"/>
                </w:tcPr>
                <w:p w14:paraId="2259FC9B" w14:textId="77777777" w:rsidR="00464E4B" w:rsidRPr="00F25C11"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F25C11">
                    <w:rPr>
                      <w:rFonts w:ascii="Aptos Narrow" w:eastAsia="Times New Roman" w:hAnsi="Aptos Narrow" w:cs="Times New Roman"/>
                      <w:b/>
                      <w:bCs/>
                      <w:color w:val="000000"/>
                      <w:kern w:val="0"/>
                      <w:sz w:val="20"/>
                      <w:szCs w:val="20"/>
                      <w:u w:val="single"/>
                      <w:lang w:eastAsia="en-GB"/>
                      <w14:ligatures w14:val="none"/>
                    </w:rPr>
                    <w:t>APC%</w:t>
                  </w:r>
                </w:p>
              </w:tc>
              <w:tc>
                <w:tcPr>
                  <w:tcW w:w="0" w:type="auto"/>
                  <w:vAlign w:val="center"/>
                </w:tcPr>
                <w:p w14:paraId="713C9C2C" w14:textId="77777777" w:rsidR="00464E4B" w:rsidRPr="00F25C11"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F25C11">
                    <w:rPr>
                      <w:rFonts w:ascii="Aptos Narrow" w:eastAsia="Times New Roman" w:hAnsi="Aptos Narrow" w:cs="Times New Roman"/>
                      <w:b/>
                      <w:bCs/>
                      <w:color w:val="000000"/>
                      <w:kern w:val="0"/>
                      <w:sz w:val="20"/>
                      <w:szCs w:val="20"/>
                      <w:u w:val="single"/>
                      <w:lang w:eastAsia="en-GB"/>
                      <w14:ligatures w14:val="none"/>
                    </w:rPr>
                    <w:t>95%CI</w:t>
                  </w:r>
                </w:p>
              </w:tc>
              <w:tc>
                <w:tcPr>
                  <w:tcW w:w="0" w:type="auto"/>
                  <w:vAlign w:val="center"/>
                </w:tcPr>
                <w:p w14:paraId="3D404A55" w14:textId="77777777" w:rsidR="00464E4B" w:rsidRPr="00F25C11"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F25C11">
                    <w:rPr>
                      <w:rFonts w:ascii="Aptos Narrow" w:eastAsia="Times New Roman" w:hAnsi="Aptos Narrow" w:cs="Times New Roman"/>
                      <w:b/>
                      <w:bCs/>
                      <w:color w:val="000000"/>
                      <w:kern w:val="0"/>
                      <w:sz w:val="20"/>
                      <w:szCs w:val="20"/>
                      <w:u w:val="single"/>
                      <w:lang w:eastAsia="en-GB"/>
                      <w14:ligatures w14:val="none"/>
                    </w:rPr>
                    <w:t>trend</w:t>
                  </w:r>
                </w:p>
              </w:tc>
            </w:tr>
            <w:tr w:rsidR="00464E4B" w:rsidRPr="00F25C11" w14:paraId="1EACD7F1" w14:textId="77777777" w:rsidTr="0041177B">
              <w:trPr>
                <w:trHeight w:val="113"/>
              </w:trPr>
              <w:tc>
                <w:tcPr>
                  <w:tcW w:w="0" w:type="auto"/>
                  <w:noWrap/>
                  <w:tcMar>
                    <w:top w:w="15" w:type="dxa"/>
                    <w:left w:w="108" w:type="dxa"/>
                    <w:bottom w:w="15" w:type="dxa"/>
                    <w:right w:w="108" w:type="dxa"/>
                  </w:tcMar>
                  <w:hideMark/>
                </w:tcPr>
                <w:p w14:paraId="02025178" w14:textId="77777777" w:rsidR="00464E4B" w:rsidRPr="00F25C11"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F25C11">
                    <w:rPr>
                      <w:rFonts w:ascii="Aptos Narrow" w:hAnsi="Aptos Narrow"/>
                      <w:sz w:val="20"/>
                      <w:szCs w:val="20"/>
                    </w:rPr>
                    <w:t>M </w:t>
                  </w:r>
                </w:p>
              </w:tc>
              <w:tc>
                <w:tcPr>
                  <w:tcW w:w="0" w:type="auto"/>
                  <w:noWrap/>
                  <w:tcMar>
                    <w:top w:w="15" w:type="dxa"/>
                    <w:left w:w="108" w:type="dxa"/>
                    <w:bottom w:w="15" w:type="dxa"/>
                    <w:right w:w="108" w:type="dxa"/>
                  </w:tcMar>
                  <w:hideMark/>
                </w:tcPr>
                <w:p w14:paraId="2DFC2B0E" w14:textId="77777777" w:rsidR="00464E4B" w:rsidRPr="00F25C11"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F25C11">
                    <w:rPr>
                      <w:rFonts w:ascii="Aptos Narrow" w:hAnsi="Aptos Narrow"/>
                      <w:sz w:val="20"/>
                      <w:szCs w:val="20"/>
                    </w:rPr>
                    <w:t>1994-2017 </w:t>
                  </w:r>
                </w:p>
              </w:tc>
              <w:tc>
                <w:tcPr>
                  <w:tcW w:w="0" w:type="auto"/>
                  <w:noWrap/>
                  <w:tcMar>
                    <w:top w:w="15" w:type="dxa"/>
                    <w:left w:w="108" w:type="dxa"/>
                    <w:bottom w:w="15" w:type="dxa"/>
                    <w:right w:w="108" w:type="dxa"/>
                  </w:tcMar>
                  <w:hideMark/>
                </w:tcPr>
                <w:p w14:paraId="3E0C9659" w14:textId="77777777" w:rsidR="00464E4B" w:rsidRPr="00F25C11"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F25C11">
                    <w:rPr>
                      <w:rFonts w:ascii="Aptos Narrow" w:hAnsi="Aptos Narrow"/>
                      <w:sz w:val="20"/>
                      <w:szCs w:val="20"/>
                    </w:rPr>
                    <w:t>6.2</w:t>
                  </w:r>
                </w:p>
              </w:tc>
              <w:tc>
                <w:tcPr>
                  <w:tcW w:w="0" w:type="auto"/>
                  <w:noWrap/>
                  <w:tcMar>
                    <w:top w:w="15" w:type="dxa"/>
                    <w:left w:w="108" w:type="dxa"/>
                    <w:bottom w:w="15" w:type="dxa"/>
                    <w:right w:w="108" w:type="dxa"/>
                  </w:tcMar>
                  <w:hideMark/>
                </w:tcPr>
                <w:p w14:paraId="03F0B225" w14:textId="77777777" w:rsidR="00464E4B" w:rsidRPr="00F25C11"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F25C11">
                    <w:rPr>
                      <w:rFonts w:ascii="Aptos Narrow" w:hAnsi="Aptos Narrow"/>
                      <w:sz w:val="20"/>
                      <w:szCs w:val="20"/>
                    </w:rPr>
                    <w:t>5.4, 6.9</w:t>
                  </w:r>
                </w:p>
              </w:tc>
              <w:tc>
                <w:tcPr>
                  <w:tcW w:w="0" w:type="auto"/>
                  <w:tcBorders>
                    <w:right w:val="single" w:sz="4" w:space="0" w:color="auto"/>
                  </w:tcBorders>
                  <w:noWrap/>
                  <w:tcMar>
                    <w:top w:w="15" w:type="dxa"/>
                    <w:left w:w="108" w:type="dxa"/>
                    <w:bottom w:w="15" w:type="dxa"/>
                    <w:right w:w="108" w:type="dxa"/>
                  </w:tcMar>
                  <w:hideMark/>
                </w:tcPr>
                <w:p w14:paraId="43EEF8CD" w14:textId="77777777" w:rsidR="00464E4B" w:rsidRPr="00F25C11"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F25C11">
                    <w:rPr>
                      <w:rFonts w:ascii="Aptos Narrow" w:hAnsi="Aptos Narrow"/>
                      <w:sz w:val="20"/>
                      <w:szCs w:val="20"/>
                    </w:rPr>
                    <w:t>up </w:t>
                  </w:r>
                </w:p>
              </w:tc>
              <w:tc>
                <w:tcPr>
                  <w:tcW w:w="0" w:type="auto"/>
                  <w:tcBorders>
                    <w:left w:val="single" w:sz="4" w:space="0" w:color="auto"/>
                  </w:tcBorders>
                </w:tcPr>
                <w:p w14:paraId="41CBB5A0" w14:textId="77777777" w:rsidR="00464E4B" w:rsidRPr="00F25C11" w:rsidRDefault="00464E4B" w:rsidP="0041177B">
                  <w:pPr>
                    <w:spacing w:after="0" w:line="240" w:lineRule="auto"/>
                    <w:jc w:val="center"/>
                    <w:rPr>
                      <w:rFonts w:ascii="Aptos Narrow" w:hAnsi="Aptos Narrow"/>
                      <w:sz w:val="20"/>
                      <w:szCs w:val="20"/>
                    </w:rPr>
                  </w:pPr>
                  <w:r w:rsidRPr="00F25C11">
                    <w:rPr>
                      <w:rFonts w:ascii="Aptos Narrow" w:hAnsi="Aptos Narrow"/>
                      <w:sz w:val="20"/>
                      <w:szCs w:val="20"/>
                    </w:rPr>
                    <w:t>F </w:t>
                  </w:r>
                </w:p>
              </w:tc>
              <w:tc>
                <w:tcPr>
                  <w:tcW w:w="0" w:type="auto"/>
                </w:tcPr>
                <w:p w14:paraId="3F039D35" w14:textId="77777777" w:rsidR="00464E4B" w:rsidRPr="00F25C11" w:rsidRDefault="00464E4B" w:rsidP="0041177B">
                  <w:pPr>
                    <w:spacing w:after="0" w:line="240" w:lineRule="auto"/>
                    <w:jc w:val="center"/>
                    <w:rPr>
                      <w:rFonts w:ascii="Aptos Narrow" w:hAnsi="Aptos Narrow"/>
                      <w:sz w:val="20"/>
                      <w:szCs w:val="20"/>
                    </w:rPr>
                  </w:pPr>
                  <w:r w:rsidRPr="00F25C11">
                    <w:rPr>
                      <w:rFonts w:ascii="Aptos Narrow" w:hAnsi="Aptos Narrow"/>
                      <w:sz w:val="20"/>
                      <w:szCs w:val="20"/>
                    </w:rPr>
                    <w:t>1994-2007 </w:t>
                  </w:r>
                </w:p>
              </w:tc>
              <w:tc>
                <w:tcPr>
                  <w:tcW w:w="0" w:type="auto"/>
                </w:tcPr>
                <w:p w14:paraId="08B2CB2E" w14:textId="77777777" w:rsidR="00464E4B" w:rsidRPr="00F25C11" w:rsidRDefault="00464E4B" w:rsidP="0041177B">
                  <w:pPr>
                    <w:spacing w:after="0" w:line="240" w:lineRule="auto"/>
                    <w:jc w:val="center"/>
                    <w:rPr>
                      <w:rFonts w:ascii="Aptos Narrow" w:hAnsi="Aptos Narrow"/>
                      <w:sz w:val="20"/>
                      <w:szCs w:val="20"/>
                    </w:rPr>
                  </w:pPr>
                  <w:r w:rsidRPr="00F25C11">
                    <w:rPr>
                      <w:rFonts w:ascii="Aptos Narrow" w:hAnsi="Aptos Narrow"/>
                      <w:sz w:val="20"/>
                      <w:szCs w:val="20"/>
                    </w:rPr>
                    <w:t>7.9</w:t>
                  </w:r>
                </w:p>
              </w:tc>
              <w:tc>
                <w:tcPr>
                  <w:tcW w:w="0" w:type="auto"/>
                </w:tcPr>
                <w:p w14:paraId="4E295DC8" w14:textId="77777777" w:rsidR="00464E4B" w:rsidRPr="00F25C11" w:rsidRDefault="00464E4B" w:rsidP="0041177B">
                  <w:pPr>
                    <w:spacing w:after="0" w:line="240" w:lineRule="auto"/>
                    <w:jc w:val="center"/>
                    <w:rPr>
                      <w:rFonts w:ascii="Aptos Narrow" w:hAnsi="Aptos Narrow"/>
                      <w:sz w:val="20"/>
                      <w:szCs w:val="20"/>
                    </w:rPr>
                  </w:pPr>
                  <w:r w:rsidRPr="00F25C11">
                    <w:rPr>
                      <w:rFonts w:ascii="Aptos Narrow" w:hAnsi="Aptos Narrow"/>
                      <w:sz w:val="20"/>
                      <w:szCs w:val="20"/>
                    </w:rPr>
                    <w:t>4.6, 11.3</w:t>
                  </w:r>
                </w:p>
              </w:tc>
              <w:tc>
                <w:tcPr>
                  <w:tcW w:w="0" w:type="auto"/>
                </w:tcPr>
                <w:p w14:paraId="23FF92BB" w14:textId="77777777" w:rsidR="00464E4B" w:rsidRPr="00F25C11" w:rsidRDefault="00464E4B" w:rsidP="0041177B">
                  <w:pPr>
                    <w:spacing w:after="0" w:line="240" w:lineRule="auto"/>
                    <w:jc w:val="center"/>
                    <w:rPr>
                      <w:rFonts w:ascii="Aptos Narrow" w:hAnsi="Aptos Narrow"/>
                      <w:sz w:val="20"/>
                      <w:szCs w:val="20"/>
                    </w:rPr>
                  </w:pPr>
                  <w:r w:rsidRPr="00F25C11">
                    <w:rPr>
                      <w:rFonts w:ascii="Aptos Narrow" w:hAnsi="Aptos Narrow"/>
                      <w:sz w:val="20"/>
                      <w:szCs w:val="20"/>
                    </w:rPr>
                    <w:t>up </w:t>
                  </w:r>
                </w:p>
              </w:tc>
            </w:tr>
            <w:tr w:rsidR="00464E4B" w:rsidRPr="00F25C11" w14:paraId="7B8C4FDA" w14:textId="77777777" w:rsidTr="0041177B">
              <w:trPr>
                <w:trHeight w:val="113"/>
              </w:trPr>
              <w:tc>
                <w:tcPr>
                  <w:tcW w:w="0" w:type="auto"/>
                  <w:noWrap/>
                  <w:tcMar>
                    <w:top w:w="15" w:type="dxa"/>
                    <w:left w:w="108" w:type="dxa"/>
                    <w:bottom w:w="15" w:type="dxa"/>
                    <w:right w:w="108" w:type="dxa"/>
                  </w:tcMar>
                </w:tcPr>
                <w:p w14:paraId="67E50161" w14:textId="77777777" w:rsidR="00464E4B" w:rsidRPr="00F25C11"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p>
              </w:tc>
              <w:tc>
                <w:tcPr>
                  <w:tcW w:w="0" w:type="auto"/>
                  <w:noWrap/>
                  <w:tcMar>
                    <w:top w:w="15" w:type="dxa"/>
                    <w:left w:w="108" w:type="dxa"/>
                    <w:bottom w:w="15" w:type="dxa"/>
                    <w:right w:w="108" w:type="dxa"/>
                  </w:tcMar>
                </w:tcPr>
                <w:p w14:paraId="5772D55B" w14:textId="77777777" w:rsidR="00464E4B" w:rsidRPr="00F25C11"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F25C11">
                    <w:rPr>
                      <w:rFonts w:ascii="Aptos Narrow" w:hAnsi="Aptos Narrow"/>
                      <w:sz w:val="20"/>
                      <w:szCs w:val="20"/>
                    </w:rPr>
                    <w:t>2017-2022 </w:t>
                  </w:r>
                </w:p>
              </w:tc>
              <w:tc>
                <w:tcPr>
                  <w:tcW w:w="0" w:type="auto"/>
                  <w:noWrap/>
                  <w:tcMar>
                    <w:top w:w="15" w:type="dxa"/>
                    <w:left w:w="108" w:type="dxa"/>
                    <w:bottom w:w="15" w:type="dxa"/>
                    <w:right w:w="108" w:type="dxa"/>
                  </w:tcMar>
                </w:tcPr>
                <w:p w14:paraId="6B6FEC35" w14:textId="77777777" w:rsidR="00464E4B" w:rsidRPr="00F25C11"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F25C11">
                    <w:rPr>
                      <w:rFonts w:ascii="Aptos Narrow" w:hAnsi="Aptos Narrow"/>
                      <w:sz w:val="20"/>
                      <w:szCs w:val="20"/>
                    </w:rPr>
                    <w:t>-6.7</w:t>
                  </w:r>
                </w:p>
              </w:tc>
              <w:tc>
                <w:tcPr>
                  <w:tcW w:w="0" w:type="auto"/>
                  <w:noWrap/>
                  <w:tcMar>
                    <w:top w:w="15" w:type="dxa"/>
                    <w:left w:w="108" w:type="dxa"/>
                    <w:bottom w:w="15" w:type="dxa"/>
                    <w:right w:w="108" w:type="dxa"/>
                  </w:tcMar>
                </w:tcPr>
                <w:p w14:paraId="3FC59987" w14:textId="77777777" w:rsidR="00464E4B" w:rsidRPr="00F25C11"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F25C11">
                    <w:rPr>
                      <w:rFonts w:ascii="Aptos Narrow" w:hAnsi="Aptos Narrow"/>
                      <w:sz w:val="20"/>
                      <w:szCs w:val="20"/>
                    </w:rPr>
                    <w:t>-10.6, -2.7</w:t>
                  </w:r>
                </w:p>
              </w:tc>
              <w:tc>
                <w:tcPr>
                  <w:tcW w:w="0" w:type="auto"/>
                  <w:tcBorders>
                    <w:right w:val="single" w:sz="4" w:space="0" w:color="auto"/>
                  </w:tcBorders>
                  <w:noWrap/>
                  <w:tcMar>
                    <w:top w:w="15" w:type="dxa"/>
                    <w:left w:w="108" w:type="dxa"/>
                    <w:bottom w:w="15" w:type="dxa"/>
                    <w:right w:w="108" w:type="dxa"/>
                  </w:tcMar>
                </w:tcPr>
                <w:p w14:paraId="1A9F95A7" w14:textId="77777777" w:rsidR="00464E4B" w:rsidRPr="00F25C11"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F25C11">
                    <w:rPr>
                      <w:rFonts w:ascii="Aptos Narrow" w:hAnsi="Aptos Narrow"/>
                      <w:sz w:val="20"/>
                      <w:szCs w:val="20"/>
                    </w:rPr>
                    <w:t>down </w:t>
                  </w:r>
                </w:p>
              </w:tc>
              <w:tc>
                <w:tcPr>
                  <w:tcW w:w="0" w:type="auto"/>
                  <w:tcBorders>
                    <w:left w:val="single" w:sz="4" w:space="0" w:color="auto"/>
                  </w:tcBorders>
                </w:tcPr>
                <w:p w14:paraId="773CF7B0" w14:textId="77777777" w:rsidR="00464E4B" w:rsidRPr="00F25C11" w:rsidRDefault="00464E4B" w:rsidP="0041177B">
                  <w:pPr>
                    <w:spacing w:after="0" w:line="240" w:lineRule="auto"/>
                    <w:jc w:val="center"/>
                    <w:rPr>
                      <w:rFonts w:ascii="Aptos Narrow" w:hAnsi="Aptos Narrow"/>
                      <w:sz w:val="20"/>
                      <w:szCs w:val="20"/>
                    </w:rPr>
                  </w:pPr>
                </w:p>
              </w:tc>
              <w:tc>
                <w:tcPr>
                  <w:tcW w:w="0" w:type="auto"/>
                </w:tcPr>
                <w:p w14:paraId="78F71AD6" w14:textId="77777777" w:rsidR="00464E4B" w:rsidRPr="00F25C11" w:rsidRDefault="00464E4B" w:rsidP="0041177B">
                  <w:pPr>
                    <w:spacing w:after="0" w:line="240" w:lineRule="auto"/>
                    <w:jc w:val="center"/>
                    <w:rPr>
                      <w:rFonts w:ascii="Aptos Narrow" w:hAnsi="Aptos Narrow"/>
                      <w:sz w:val="20"/>
                      <w:szCs w:val="20"/>
                    </w:rPr>
                  </w:pPr>
                  <w:r w:rsidRPr="00F25C11">
                    <w:rPr>
                      <w:rFonts w:ascii="Aptos Narrow" w:hAnsi="Aptos Narrow"/>
                      <w:sz w:val="20"/>
                      <w:szCs w:val="20"/>
                    </w:rPr>
                    <w:t>2007-2022</w:t>
                  </w:r>
                </w:p>
              </w:tc>
              <w:tc>
                <w:tcPr>
                  <w:tcW w:w="0" w:type="auto"/>
                </w:tcPr>
                <w:p w14:paraId="3ACD8658" w14:textId="77777777" w:rsidR="00464E4B" w:rsidRPr="00F25C11" w:rsidRDefault="00464E4B" w:rsidP="0041177B">
                  <w:pPr>
                    <w:spacing w:after="0" w:line="240" w:lineRule="auto"/>
                    <w:jc w:val="center"/>
                    <w:rPr>
                      <w:rFonts w:ascii="Aptos Narrow" w:hAnsi="Aptos Narrow"/>
                      <w:sz w:val="20"/>
                      <w:szCs w:val="20"/>
                    </w:rPr>
                  </w:pPr>
                  <w:r w:rsidRPr="00F25C11">
                    <w:rPr>
                      <w:rFonts w:ascii="Aptos Narrow" w:hAnsi="Aptos Narrow"/>
                      <w:sz w:val="20"/>
                      <w:szCs w:val="20"/>
                    </w:rPr>
                    <w:t>2.2</w:t>
                  </w:r>
                </w:p>
              </w:tc>
              <w:tc>
                <w:tcPr>
                  <w:tcW w:w="0" w:type="auto"/>
                </w:tcPr>
                <w:p w14:paraId="79A7A885" w14:textId="77777777" w:rsidR="00464E4B" w:rsidRPr="00F25C11" w:rsidRDefault="00464E4B" w:rsidP="0041177B">
                  <w:pPr>
                    <w:spacing w:after="0" w:line="240" w:lineRule="auto"/>
                    <w:jc w:val="center"/>
                    <w:rPr>
                      <w:rFonts w:ascii="Aptos Narrow" w:hAnsi="Aptos Narrow"/>
                      <w:sz w:val="20"/>
                      <w:szCs w:val="20"/>
                    </w:rPr>
                  </w:pPr>
                  <w:r w:rsidRPr="00F25C11">
                    <w:rPr>
                      <w:rFonts w:ascii="Aptos Narrow" w:hAnsi="Aptos Narrow"/>
                      <w:sz w:val="20"/>
                      <w:szCs w:val="20"/>
                    </w:rPr>
                    <w:t>0.7, 3.7</w:t>
                  </w:r>
                </w:p>
              </w:tc>
              <w:tc>
                <w:tcPr>
                  <w:tcW w:w="0" w:type="auto"/>
                </w:tcPr>
                <w:p w14:paraId="2FF8EC41" w14:textId="77777777" w:rsidR="00464E4B" w:rsidRPr="00F25C11" w:rsidRDefault="00464E4B" w:rsidP="0041177B">
                  <w:pPr>
                    <w:spacing w:after="0" w:line="240" w:lineRule="auto"/>
                    <w:jc w:val="center"/>
                    <w:rPr>
                      <w:rFonts w:ascii="Aptos Narrow" w:hAnsi="Aptos Narrow"/>
                      <w:sz w:val="20"/>
                      <w:szCs w:val="20"/>
                    </w:rPr>
                  </w:pPr>
                  <w:r w:rsidRPr="00F25C11">
                    <w:rPr>
                      <w:rFonts w:ascii="Aptos Narrow" w:hAnsi="Aptos Narrow"/>
                      <w:sz w:val="20"/>
                      <w:szCs w:val="20"/>
                    </w:rPr>
                    <w:t>up </w:t>
                  </w:r>
                </w:p>
              </w:tc>
            </w:tr>
          </w:tbl>
          <w:p w14:paraId="50E06105" w14:textId="77777777" w:rsidR="00464E4B" w:rsidRPr="00FC5D6E" w:rsidRDefault="00464E4B" w:rsidP="0041177B">
            <w:pPr>
              <w:spacing w:after="0" w:line="240" w:lineRule="auto"/>
              <w:jc w:val="center"/>
              <w:rPr>
                <w:rFonts w:ascii="Aptos Narrow" w:eastAsia="Times New Roman" w:hAnsi="Aptos Narrow" w:cs="Times New Roman"/>
                <w:b/>
                <w:bCs/>
                <w:color w:val="000000"/>
                <w:kern w:val="0"/>
                <w:sz w:val="14"/>
                <w:szCs w:val="14"/>
                <w:u w:val="single"/>
                <w:lang w:eastAsia="en-GB"/>
                <w14:ligatures w14:val="none"/>
              </w:rPr>
            </w:pPr>
          </w:p>
        </w:tc>
      </w:tr>
      <w:tr w:rsidR="00464E4B" w:rsidRPr="00FC5D6E" w14:paraId="6BD27C5D" w14:textId="77777777" w:rsidTr="0041177B">
        <w:trPr>
          <w:trHeight w:val="113"/>
        </w:trPr>
        <w:tc>
          <w:tcPr>
            <w:tcW w:w="9860" w:type="dxa"/>
            <w:vAlign w:val="center"/>
          </w:tcPr>
          <w:p w14:paraId="7B7032DF" w14:textId="77777777" w:rsidR="00464E4B" w:rsidRPr="00FC5D6E" w:rsidRDefault="00464E4B" w:rsidP="0041177B">
            <w:pPr>
              <w:pBdr>
                <w:bottom w:val="single" w:sz="4" w:space="1" w:color="auto"/>
              </w:pBdr>
              <w:spacing w:after="0" w:line="240" w:lineRule="auto"/>
              <w:rPr>
                <w:bCs/>
                <w:sz w:val="18"/>
                <w:szCs w:val="16"/>
              </w:rPr>
            </w:pPr>
            <w:r w:rsidRPr="00FC5D6E">
              <w:rPr>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1A5C8E79" w14:textId="77777777" w:rsidR="00464E4B" w:rsidRPr="00FC5D6E" w:rsidRDefault="00464E4B" w:rsidP="0041177B">
            <w:pPr>
              <w:spacing w:after="0" w:line="240" w:lineRule="auto"/>
              <w:rPr>
                <w:b/>
                <w:bCs/>
                <w:noProof/>
                <w:sz w:val="14"/>
                <w:szCs w:val="14"/>
                <w:u w:val="single"/>
              </w:rPr>
            </w:pPr>
          </w:p>
        </w:tc>
      </w:tr>
    </w:tbl>
    <w:p w14:paraId="04F9F5C6" w14:textId="77777777" w:rsidR="00464E4B" w:rsidRDefault="00464E4B" w:rsidP="00464E4B">
      <w:pPr>
        <w:spacing w:after="0" w:line="240" w:lineRule="auto"/>
      </w:pPr>
    </w:p>
    <w:p w14:paraId="04565552" w14:textId="77777777" w:rsidR="00464E4B" w:rsidRPr="006F58B0" w:rsidRDefault="00464E4B" w:rsidP="00464E4B"/>
    <w:p w14:paraId="7F13DA97" w14:textId="77777777" w:rsidR="00464E4B" w:rsidRPr="006F58B0" w:rsidRDefault="00464E4B" w:rsidP="00464E4B"/>
    <w:p w14:paraId="37B5CEB6" w14:textId="77777777" w:rsidR="00464E4B" w:rsidRDefault="00464E4B" w:rsidP="00464E4B"/>
    <w:p w14:paraId="54C7FFB2" w14:textId="77777777" w:rsidR="00464E4B" w:rsidRDefault="00464E4B" w:rsidP="00464E4B">
      <w:pPr>
        <w:jc w:val="center"/>
      </w:pPr>
    </w:p>
    <w:p w14:paraId="17A938DE" w14:textId="77777777" w:rsidR="00464E4B" w:rsidRPr="006F58B0" w:rsidRDefault="00464E4B" w:rsidP="00464E4B">
      <w:pPr>
        <w:tabs>
          <w:tab w:val="center" w:pos="4513"/>
        </w:tabs>
        <w:sectPr w:rsidR="00464E4B" w:rsidRPr="006F58B0" w:rsidSect="002746C0">
          <w:pgSz w:w="11906" w:h="16838"/>
          <w:pgMar w:top="1440" w:right="1440" w:bottom="1440" w:left="1440" w:header="708" w:footer="708" w:gutter="0"/>
          <w:cols w:space="708"/>
          <w:docGrid w:linePitch="360"/>
        </w:sectPr>
      </w:pPr>
      <w:r>
        <w:tab/>
      </w:r>
    </w:p>
    <w:p w14:paraId="51F75106" w14:textId="77777777" w:rsidR="00464E4B" w:rsidRPr="00FC5D6E" w:rsidRDefault="00464E4B" w:rsidP="00464E4B">
      <w:pPr>
        <w:pStyle w:val="Heading3"/>
        <w:spacing w:before="0" w:after="0" w:line="240" w:lineRule="auto"/>
      </w:pPr>
      <w:bookmarkStart w:id="207" w:name="_Toc197557105"/>
      <w:bookmarkStart w:id="208" w:name="_Toc201512496"/>
      <w:r w:rsidRPr="00FC5D6E">
        <w:t>Variation by deprivation quintile</w:t>
      </w:r>
      <w:bookmarkEnd w:id="207"/>
      <w:bookmarkEnd w:id="208"/>
    </w:p>
    <w:p w14:paraId="17EC2BBF" w14:textId="129A4E83" w:rsidR="00464E4B" w:rsidRDefault="00464E4B" w:rsidP="00464E4B">
      <w:pPr>
        <w:spacing w:after="0" w:line="240" w:lineRule="auto"/>
        <w:rPr>
          <w:rFonts w:cstheme="minorHAnsi"/>
          <w:color w:val="000000" w:themeColor="text1"/>
        </w:rPr>
      </w:pPr>
      <w:r w:rsidRPr="00FC5D6E">
        <w:rPr>
          <w:rFonts w:cstheme="minorHAnsi"/>
          <w:color w:val="000000" w:themeColor="text1"/>
        </w:rPr>
        <w:t xml:space="preserve">Age-standardised incidence rates of </w:t>
      </w:r>
      <w:r w:rsidRPr="00FC5D6E">
        <w:rPr>
          <w:rFonts w:cstheme="minorHAnsi"/>
        </w:rPr>
        <w:t xml:space="preserve">liver cancer </w:t>
      </w:r>
      <w:r w:rsidRPr="00FC5D6E">
        <w:rPr>
          <w:rFonts w:cstheme="minorHAnsi"/>
          <w:color w:val="000000" w:themeColor="text1"/>
        </w:rPr>
        <w:t xml:space="preserve">in 2014-2018 ranged </w:t>
      </w:r>
      <w:r>
        <w:rPr>
          <w:rFonts w:cstheme="minorHAnsi"/>
          <w:color w:val="000000" w:themeColor="text1"/>
        </w:rPr>
        <w:t xml:space="preserve">from </w:t>
      </w:r>
      <w:r w:rsidRPr="00FC5D6E">
        <w:rPr>
          <w:rFonts w:cstheme="minorHAnsi"/>
          <w:color w:val="000000" w:themeColor="text1"/>
        </w:rPr>
        <w:t xml:space="preserve">9.5-10.6 cases per 100,000 from the least to the most deprived quintiles (Figure </w:t>
      </w:r>
      <w:r w:rsidR="00BE4A9F">
        <w:rPr>
          <w:rFonts w:cstheme="minorHAnsi"/>
          <w:color w:val="000000" w:themeColor="text1"/>
        </w:rPr>
        <w:t>11.3</w:t>
      </w:r>
      <w:r w:rsidRPr="00FC5D6E">
        <w:rPr>
          <w:rFonts w:cstheme="minorHAnsi"/>
          <w:color w:val="000000" w:themeColor="text1"/>
        </w:rPr>
        <w:t>).</w:t>
      </w:r>
      <w:r>
        <w:rPr>
          <w:rFonts w:cstheme="minorHAnsi"/>
          <w:color w:val="000000" w:themeColor="text1"/>
        </w:rPr>
        <w:t xml:space="preserve"> L</w:t>
      </w:r>
      <w:r w:rsidRPr="00FC5D6E">
        <w:rPr>
          <w:rFonts w:cstheme="minorHAnsi"/>
          <w:color w:val="000000" w:themeColor="text1"/>
        </w:rPr>
        <w:t>ittle difference was seen in rates of liver cancer between the most and least deprived quintiles for males (15.</w:t>
      </w:r>
      <w:r>
        <w:rPr>
          <w:rFonts w:cstheme="minorHAnsi"/>
          <w:color w:val="000000" w:themeColor="text1"/>
        </w:rPr>
        <w:t>0</w:t>
      </w:r>
      <w:r w:rsidRPr="00FC5D6E">
        <w:rPr>
          <w:rFonts w:cstheme="minorHAnsi"/>
          <w:color w:val="000000" w:themeColor="text1"/>
        </w:rPr>
        <w:t xml:space="preserve"> for least deprived and 16.</w:t>
      </w:r>
      <w:r>
        <w:rPr>
          <w:rFonts w:cstheme="minorHAnsi"/>
          <w:color w:val="000000" w:themeColor="text1"/>
        </w:rPr>
        <w:t>1</w:t>
      </w:r>
      <w:r w:rsidRPr="00FC5D6E">
        <w:rPr>
          <w:rFonts w:cstheme="minorHAnsi"/>
          <w:color w:val="000000" w:themeColor="text1"/>
        </w:rPr>
        <w:t xml:space="preserve"> for most deprived). Similarly, very little difference was seen in rates between the most and least deprived quintiles in females (5.1 for least deprived and 5.7 for most deprived).</w:t>
      </w:r>
    </w:p>
    <w:p w14:paraId="5A570CAF" w14:textId="77777777" w:rsidR="00464E4B" w:rsidRPr="00FC5D6E" w:rsidRDefault="00464E4B" w:rsidP="00464E4B">
      <w:pPr>
        <w:spacing w:after="0" w:line="240" w:lineRule="auto"/>
        <w:rPr>
          <w:rFonts w:cstheme="minorHAnsi"/>
          <w:color w:val="000000" w:themeColor="text1"/>
        </w:rPr>
      </w:pPr>
    </w:p>
    <w:tbl>
      <w:tblPr>
        <w:tblW w:w="9768" w:type="dxa"/>
        <w:tblInd w:w="-752" w:type="dxa"/>
        <w:tblBorders>
          <w:bottom w:val="single" w:sz="4" w:space="0" w:color="auto"/>
        </w:tblBorders>
        <w:tblLook w:val="04A0" w:firstRow="1" w:lastRow="0" w:firstColumn="1" w:lastColumn="0" w:noHBand="0" w:noVBand="1"/>
      </w:tblPr>
      <w:tblGrid>
        <w:gridCol w:w="3112"/>
        <w:gridCol w:w="3443"/>
        <w:gridCol w:w="3213"/>
      </w:tblGrid>
      <w:tr w:rsidR="00464E4B" w:rsidRPr="00FC5D6E" w14:paraId="7003B140" w14:textId="77777777" w:rsidTr="0041177B">
        <w:trPr>
          <w:trHeight w:val="113"/>
        </w:trPr>
        <w:tc>
          <w:tcPr>
            <w:tcW w:w="9768" w:type="dxa"/>
            <w:gridSpan w:val="3"/>
            <w:shd w:val="clear" w:color="auto" w:fill="002060"/>
            <w:hideMark/>
          </w:tcPr>
          <w:p w14:paraId="588E8EA8" w14:textId="27F0F79E" w:rsidR="00464E4B" w:rsidRPr="0027033D" w:rsidRDefault="00464E4B" w:rsidP="0041177B">
            <w:pPr>
              <w:spacing w:after="0" w:line="240" w:lineRule="auto"/>
              <w:rPr>
                <w:rFonts w:cstheme="minorHAnsi"/>
                <w:b/>
                <w:bCs/>
                <w:color w:val="FFFFFF" w:themeColor="background1"/>
                <w:sz w:val="22"/>
                <w:szCs w:val="22"/>
              </w:rPr>
            </w:pPr>
            <w:r w:rsidRPr="0027033D">
              <w:rPr>
                <w:rFonts w:cstheme="minorHAnsi"/>
                <w:b/>
                <w:bCs/>
                <w:color w:val="FFFFFF" w:themeColor="background1"/>
                <w:sz w:val="22"/>
                <w:szCs w:val="22"/>
              </w:rPr>
              <w:t xml:space="preserve">Figure </w:t>
            </w:r>
            <w:r w:rsidR="00BE4A9F" w:rsidRPr="0027033D">
              <w:rPr>
                <w:rFonts w:cstheme="minorHAnsi"/>
                <w:b/>
                <w:bCs/>
                <w:color w:val="FFFFFF" w:themeColor="background1"/>
                <w:sz w:val="22"/>
                <w:szCs w:val="22"/>
              </w:rPr>
              <w:t>11.3:</w:t>
            </w:r>
            <w:r w:rsidRPr="0027033D">
              <w:rPr>
                <w:rFonts w:cstheme="minorHAnsi"/>
                <w:b/>
                <w:bCs/>
                <w:color w:val="FFFFFF" w:themeColor="background1"/>
                <w:sz w:val="22"/>
                <w:szCs w:val="22"/>
              </w:rPr>
              <w:t xml:space="preserve"> Incidence rate (per 100,000) for liver cancer by deprivation quintile, 2014-2018</w:t>
            </w:r>
          </w:p>
        </w:tc>
      </w:tr>
      <w:tr w:rsidR="00464E4B" w:rsidRPr="00FC5D6E" w14:paraId="6236C1E7" w14:textId="77777777" w:rsidTr="0041177B">
        <w:trPr>
          <w:trHeight w:val="113"/>
        </w:trPr>
        <w:tc>
          <w:tcPr>
            <w:tcW w:w="3112" w:type="dxa"/>
            <w:hideMark/>
          </w:tcPr>
          <w:p w14:paraId="58B3C581" w14:textId="77777777" w:rsidR="00464E4B" w:rsidRPr="00FC5D6E" w:rsidRDefault="00464E4B" w:rsidP="0041177B">
            <w:pPr>
              <w:spacing w:after="0" w:line="240" w:lineRule="auto"/>
              <w:jc w:val="center"/>
              <w:rPr>
                <w:rFonts w:cstheme="minorHAnsi"/>
                <w:color w:val="000000" w:themeColor="text1"/>
              </w:rPr>
            </w:pPr>
            <w:r w:rsidRPr="00FC5D6E">
              <w:rPr>
                <w:rFonts w:cstheme="minorHAnsi"/>
                <w:color w:val="000000" w:themeColor="text1"/>
              </w:rPr>
              <w:t>Total</w:t>
            </w:r>
          </w:p>
        </w:tc>
        <w:tc>
          <w:tcPr>
            <w:tcW w:w="3443" w:type="dxa"/>
          </w:tcPr>
          <w:p w14:paraId="03ACDD61" w14:textId="77777777" w:rsidR="00464E4B" w:rsidRPr="00FC5D6E" w:rsidRDefault="00464E4B" w:rsidP="0041177B">
            <w:pPr>
              <w:spacing w:after="0" w:line="240" w:lineRule="auto"/>
              <w:jc w:val="center"/>
              <w:rPr>
                <w:rFonts w:cstheme="minorHAnsi"/>
                <w:color w:val="000000" w:themeColor="text1"/>
              </w:rPr>
            </w:pPr>
            <w:r>
              <w:rPr>
                <w:rFonts w:cstheme="minorHAnsi"/>
                <w:color w:val="000000" w:themeColor="text1"/>
              </w:rPr>
              <w:t xml:space="preserve"> Males</w:t>
            </w:r>
          </w:p>
        </w:tc>
        <w:tc>
          <w:tcPr>
            <w:tcW w:w="3213" w:type="dxa"/>
          </w:tcPr>
          <w:p w14:paraId="19B57ADA" w14:textId="77777777" w:rsidR="00464E4B" w:rsidRPr="00FC5D6E" w:rsidRDefault="00464E4B" w:rsidP="0041177B">
            <w:pPr>
              <w:spacing w:after="0" w:line="240" w:lineRule="auto"/>
              <w:jc w:val="center"/>
              <w:rPr>
                <w:rFonts w:cstheme="minorHAnsi"/>
                <w:color w:val="000000" w:themeColor="text1"/>
              </w:rPr>
            </w:pPr>
            <w:r>
              <w:rPr>
                <w:rFonts w:cstheme="minorHAnsi"/>
                <w:color w:val="000000" w:themeColor="text1"/>
              </w:rPr>
              <w:t>Females</w:t>
            </w:r>
          </w:p>
        </w:tc>
      </w:tr>
      <w:tr w:rsidR="00464E4B" w:rsidRPr="0016259C" w14:paraId="50113DFD" w14:textId="77777777" w:rsidTr="0041177B">
        <w:trPr>
          <w:trHeight w:val="113"/>
        </w:trPr>
        <w:tc>
          <w:tcPr>
            <w:tcW w:w="3112" w:type="dxa"/>
          </w:tcPr>
          <w:p w14:paraId="69B9AA69" w14:textId="77777777" w:rsidR="00464E4B" w:rsidRPr="0016259C" w:rsidRDefault="00464E4B" w:rsidP="0041177B">
            <w:pPr>
              <w:spacing w:after="0" w:line="240" w:lineRule="auto"/>
              <w:rPr>
                <w:rFonts w:eastAsia="Times New Roman" w:cs="Times New Roman"/>
                <w:lang w:eastAsia="en-GB"/>
              </w:rPr>
            </w:pPr>
            <w:r>
              <w:rPr>
                <w:rFonts w:eastAsia="Times New Roman" w:cs="Times New Roman"/>
                <w:noProof/>
                <w:lang w:eastAsia="en-GB"/>
              </w:rPr>
              <w:drawing>
                <wp:inline distT="0" distB="0" distL="0" distR="0" wp14:anchorId="4BBFAF59" wp14:editId="27733E33">
                  <wp:extent cx="1838960" cy="1427463"/>
                  <wp:effectExtent l="0" t="0" r="0" b="1905"/>
                  <wp:docPr id="109946665" name="Picture 3" descr="A graph of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46665" name="Picture 3" descr="A graph of a number of objects&#10;&#10;AI-generated content may be incorrect."/>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849223" cy="1435429"/>
                          </a:xfrm>
                          <a:prstGeom prst="rect">
                            <a:avLst/>
                          </a:prstGeom>
                          <a:noFill/>
                        </pic:spPr>
                      </pic:pic>
                    </a:graphicData>
                  </a:graphic>
                </wp:inline>
              </w:drawing>
            </w:r>
          </w:p>
        </w:tc>
        <w:tc>
          <w:tcPr>
            <w:tcW w:w="3443" w:type="dxa"/>
          </w:tcPr>
          <w:p w14:paraId="12CB62C7" w14:textId="77777777" w:rsidR="00464E4B" w:rsidRPr="0016259C" w:rsidRDefault="00464E4B" w:rsidP="0041177B">
            <w:pPr>
              <w:spacing w:after="0" w:line="240" w:lineRule="auto"/>
              <w:rPr>
                <w:rFonts w:cstheme="minorHAnsi"/>
                <w:color w:val="000000" w:themeColor="text1"/>
              </w:rPr>
            </w:pPr>
            <w:r>
              <w:rPr>
                <w:rFonts w:eastAsia="Times New Roman" w:cs="Times New Roman"/>
                <w:noProof/>
                <w:lang w:eastAsia="en-GB"/>
              </w:rPr>
              <w:drawing>
                <wp:inline distT="0" distB="0" distL="0" distR="0" wp14:anchorId="63DAB2A1" wp14:editId="4996FD72">
                  <wp:extent cx="1838960" cy="1427461"/>
                  <wp:effectExtent l="0" t="0" r="0" b="1905"/>
                  <wp:docPr id="365739867" name="Picture 2"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739867" name="Picture 2" descr="A graph with numbers and a bar&#10;&#10;AI-generated content may be incorrect."/>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887352" cy="1465024"/>
                          </a:xfrm>
                          <a:prstGeom prst="rect">
                            <a:avLst/>
                          </a:prstGeom>
                          <a:noFill/>
                        </pic:spPr>
                      </pic:pic>
                    </a:graphicData>
                  </a:graphic>
                </wp:inline>
              </w:drawing>
            </w:r>
          </w:p>
        </w:tc>
        <w:tc>
          <w:tcPr>
            <w:tcW w:w="3213" w:type="dxa"/>
          </w:tcPr>
          <w:p w14:paraId="1F991D99" w14:textId="77777777" w:rsidR="00464E4B" w:rsidRPr="0016259C" w:rsidRDefault="00464E4B" w:rsidP="0041177B">
            <w:pPr>
              <w:spacing w:after="0" w:line="240" w:lineRule="auto"/>
              <w:jc w:val="center"/>
              <w:rPr>
                <w:rFonts w:cstheme="minorHAnsi"/>
                <w:color w:val="000000" w:themeColor="text1"/>
              </w:rPr>
            </w:pPr>
            <w:r>
              <w:rPr>
                <w:rFonts w:cstheme="minorHAnsi"/>
                <w:noProof/>
                <w:color w:val="000000" w:themeColor="text1"/>
              </w:rPr>
              <w:drawing>
                <wp:inline distT="0" distB="0" distL="0" distR="0" wp14:anchorId="240DDF47" wp14:editId="694D4CB7">
                  <wp:extent cx="1843519" cy="1431000"/>
                  <wp:effectExtent l="0" t="0" r="4445" b="0"/>
                  <wp:docPr id="1077014733"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014733" name="Picture 1" descr="A graph with numbers and lines&#10;&#10;AI-generated content may be incorrect."/>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856589" cy="1441145"/>
                          </a:xfrm>
                          <a:prstGeom prst="rect">
                            <a:avLst/>
                          </a:prstGeom>
                          <a:noFill/>
                        </pic:spPr>
                      </pic:pic>
                    </a:graphicData>
                  </a:graphic>
                </wp:inline>
              </w:drawing>
            </w:r>
          </w:p>
        </w:tc>
      </w:tr>
    </w:tbl>
    <w:p w14:paraId="69906194" w14:textId="77777777" w:rsidR="001A3B02" w:rsidRDefault="001A3B02" w:rsidP="001A3B02">
      <w:bookmarkStart w:id="209" w:name="_Toc197557106"/>
    </w:p>
    <w:p w14:paraId="20B6AC92" w14:textId="77777777" w:rsidR="00464E4B" w:rsidRPr="00FC5D6E" w:rsidRDefault="00464E4B" w:rsidP="00464E4B">
      <w:pPr>
        <w:pStyle w:val="Heading2"/>
        <w:spacing w:before="0" w:after="0" w:line="240" w:lineRule="auto"/>
      </w:pPr>
      <w:bookmarkStart w:id="210" w:name="_Toc201512497"/>
      <w:r w:rsidRPr="00FC5D6E">
        <w:t>Mortality</w:t>
      </w:r>
      <w:bookmarkEnd w:id="209"/>
      <w:bookmarkEnd w:id="210"/>
    </w:p>
    <w:p w14:paraId="1B071BD5" w14:textId="6F12D163" w:rsidR="00464E4B" w:rsidRPr="00FC5D6E" w:rsidRDefault="00464E4B" w:rsidP="00464E4B">
      <w:pPr>
        <w:spacing w:after="0" w:line="240" w:lineRule="auto"/>
      </w:pPr>
      <w:r w:rsidRPr="00FC5D6E">
        <w:t>Age-standardised mortality rates of liver cancer</w:t>
      </w:r>
      <w:r w:rsidR="00626017">
        <w:t xml:space="preserve"> during the period</w:t>
      </w:r>
      <w:r w:rsidRPr="00FC5D6E">
        <w:t xml:space="preserve"> 1994-2022 were 10.8 deaths per 100,000 males and 6.2 deaths per 100,000 females per year</w:t>
      </w:r>
      <w:r>
        <w:t xml:space="preserve">. </w:t>
      </w:r>
      <w:r w:rsidRPr="00FC5D6E">
        <w:t>Figure</w:t>
      </w:r>
      <w:r w:rsidR="003E3888">
        <w:t xml:space="preserve"> 11.4</w:t>
      </w:r>
      <w:r w:rsidRPr="00FC5D6E">
        <w:t xml:space="preserve"> breaks this down further by sex and age group. Older patients had a higher mortality rate regardless of sex.</w:t>
      </w:r>
    </w:p>
    <w:p w14:paraId="7AC37618" w14:textId="77777777" w:rsidR="00464E4B" w:rsidRPr="00FC5D6E" w:rsidRDefault="00464E4B" w:rsidP="00464E4B">
      <w:pPr>
        <w:spacing w:after="0" w:line="240" w:lineRule="auto"/>
        <w:rPr>
          <w:highlight w:val="yellow"/>
        </w:rPr>
      </w:pPr>
    </w:p>
    <w:tbl>
      <w:tblPr>
        <w:tblW w:w="9768" w:type="dxa"/>
        <w:tblInd w:w="-752" w:type="dxa"/>
        <w:tblBorders>
          <w:bottom w:val="single" w:sz="4" w:space="0" w:color="auto"/>
        </w:tblBorders>
        <w:tblLook w:val="04A0" w:firstRow="1" w:lastRow="0" w:firstColumn="1" w:lastColumn="0" w:noHBand="0" w:noVBand="1"/>
      </w:tblPr>
      <w:tblGrid>
        <w:gridCol w:w="3216"/>
        <w:gridCol w:w="3306"/>
        <w:gridCol w:w="3246"/>
      </w:tblGrid>
      <w:tr w:rsidR="00464E4B" w:rsidRPr="00FC5D6E" w14:paraId="2106FCCC" w14:textId="77777777" w:rsidTr="0041177B">
        <w:trPr>
          <w:trHeight w:val="113"/>
        </w:trPr>
        <w:tc>
          <w:tcPr>
            <w:tcW w:w="9768" w:type="dxa"/>
            <w:gridSpan w:val="3"/>
            <w:shd w:val="clear" w:color="auto" w:fill="002060"/>
            <w:hideMark/>
          </w:tcPr>
          <w:p w14:paraId="37966E01" w14:textId="60BAB694" w:rsidR="00464E4B" w:rsidRPr="003E3888" w:rsidRDefault="00464E4B" w:rsidP="0041177B">
            <w:pPr>
              <w:spacing w:after="0" w:line="240" w:lineRule="auto"/>
              <w:rPr>
                <w:rFonts w:cstheme="minorHAnsi"/>
                <w:b/>
                <w:bCs/>
                <w:color w:val="FFFFFF" w:themeColor="background1"/>
              </w:rPr>
            </w:pPr>
            <w:r w:rsidRPr="003E3888">
              <w:rPr>
                <w:rFonts w:cstheme="minorHAnsi"/>
                <w:b/>
                <w:bCs/>
                <w:color w:val="FFFFFF" w:themeColor="background1"/>
              </w:rPr>
              <w:t xml:space="preserve">Figure </w:t>
            </w:r>
            <w:r w:rsidR="003E3888" w:rsidRPr="003E3888">
              <w:rPr>
                <w:rFonts w:cstheme="minorHAnsi"/>
                <w:b/>
                <w:bCs/>
                <w:color w:val="FFFFFF" w:themeColor="background1"/>
              </w:rPr>
              <w:t>11.4:</w:t>
            </w:r>
            <w:r w:rsidRPr="003E3888">
              <w:rPr>
                <w:rFonts w:cstheme="minorHAnsi"/>
                <w:b/>
                <w:bCs/>
                <w:color w:val="FFFFFF" w:themeColor="background1"/>
              </w:rPr>
              <w:t xml:space="preserve"> Mortality rate (per 100,000) for liver cancer by </w:t>
            </w:r>
            <w:r w:rsidR="00366242">
              <w:rPr>
                <w:rFonts w:cstheme="minorHAnsi"/>
                <w:b/>
                <w:bCs/>
                <w:color w:val="FFFFFF" w:themeColor="background1"/>
              </w:rPr>
              <w:t>age group</w:t>
            </w:r>
            <w:r w:rsidRPr="003E3888">
              <w:rPr>
                <w:rFonts w:cstheme="minorHAnsi"/>
                <w:b/>
                <w:bCs/>
                <w:color w:val="FFFFFF" w:themeColor="background1"/>
              </w:rPr>
              <w:t>, 1994-2022</w:t>
            </w:r>
          </w:p>
        </w:tc>
      </w:tr>
      <w:tr w:rsidR="00464E4B" w:rsidRPr="00FC5D6E" w14:paraId="6BDC439F" w14:textId="77777777" w:rsidTr="0041177B">
        <w:trPr>
          <w:trHeight w:val="113"/>
        </w:trPr>
        <w:tc>
          <w:tcPr>
            <w:tcW w:w="3182" w:type="dxa"/>
            <w:hideMark/>
          </w:tcPr>
          <w:p w14:paraId="241CEF2F" w14:textId="77777777" w:rsidR="00464E4B" w:rsidRPr="00FC5D6E" w:rsidRDefault="00464E4B" w:rsidP="0041177B">
            <w:pPr>
              <w:spacing w:after="0" w:line="240" w:lineRule="auto"/>
              <w:jc w:val="center"/>
              <w:rPr>
                <w:rFonts w:cstheme="minorHAnsi"/>
                <w:color w:val="000000" w:themeColor="text1"/>
              </w:rPr>
            </w:pPr>
            <w:r w:rsidRPr="00FC5D6E">
              <w:rPr>
                <w:rFonts w:cstheme="minorHAnsi"/>
                <w:color w:val="000000" w:themeColor="text1"/>
              </w:rPr>
              <w:t>Total</w:t>
            </w:r>
          </w:p>
        </w:tc>
        <w:tc>
          <w:tcPr>
            <w:tcW w:w="3400" w:type="dxa"/>
          </w:tcPr>
          <w:p w14:paraId="0510A616" w14:textId="77777777" w:rsidR="00464E4B" w:rsidRPr="00FC5D6E" w:rsidRDefault="00464E4B" w:rsidP="0041177B">
            <w:pPr>
              <w:spacing w:after="0" w:line="240" w:lineRule="auto"/>
              <w:jc w:val="center"/>
              <w:rPr>
                <w:rFonts w:cstheme="minorHAnsi"/>
                <w:color w:val="000000" w:themeColor="text1"/>
              </w:rPr>
            </w:pPr>
            <w:r>
              <w:rPr>
                <w:rFonts w:cstheme="minorHAnsi"/>
                <w:color w:val="000000" w:themeColor="text1"/>
              </w:rPr>
              <w:t>Males</w:t>
            </w:r>
          </w:p>
        </w:tc>
        <w:tc>
          <w:tcPr>
            <w:tcW w:w="3186" w:type="dxa"/>
          </w:tcPr>
          <w:p w14:paraId="6AC03C75" w14:textId="77777777" w:rsidR="00464E4B" w:rsidRPr="00FC5D6E" w:rsidRDefault="00464E4B" w:rsidP="0041177B">
            <w:pPr>
              <w:spacing w:after="0" w:line="240" w:lineRule="auto"/>
              <w:jc w:val="center"/>
              <w:rPr>
                <w:rFonts w:cstheme="minorHAnsi"/>
                <w:color w:val="000000" w:themeColor="text1"/>
              </w:rPr>
            </w:pPr>
            <w:r>
              <w:rPr>
                <w:rFonts w:cstheme="minorHAnsi"/>
                <w:color w:val="000000" w:themeColor="text1"/>
              </w:rPr>
              <w:t>Females</w:t>
            </w:r>
          </w:p>
        </w:tc>
      </w:tr>
      <w:tr w:rsidR="00464E4B" w:rsidRPr="0016259C" w14:paraId="33BA2CFD" w14:textId="77777777" w:rsidTr="0041177B">
        <w:trPr>
          <w:trHeight w:val="113"/>
        </w:trPr>
        <w:tc>
          <w:tcPr>
            <w:tcW w:w="3182" w:type="dxa"/>
          </w:tcPr>
          <w:p w14:paraId="7C1B12E9" w14:textId="77777777" w:rsidR="00464E4B" w:rsidRPr="0016259C" w:rsidRDefault="00464E4B" w:rsidP="0041177B">
            <w:pPr>
              <w:spacing w:after="0" w:line="240" w:lineRule="auto"/>
              <w:rPr>
                <w:rFonts w:eastAsia="Times New Roman" w:cs="Times New Roman"/>
                <w:lang w:eastAsia="en-GB"/>
              </w:rPr>
            </w:pPr>
            <w:r w:rsidRPr="0016259C">
              <w:rPr>
                <w:rFonts w:eastAsia="Times New Roman" w:cs="Times New Roman"/>
                <w:noProof/>
                <w:lang w:eastAsia="en-GB"/>
              </w:rPr>
              <w:drawing>
                <wp:inline distT="0" distB="0" distL="0" distR="0" wp14:anchorId="5944A0BE" wp14:editId="68CB145A">
                  <wp:extent cx="1905000" cy="1667659"/>
                  <wp:effectExtent l="0" t="0" r="0" b="8890"/>
                  <wp:docPr id="417390478" name="Picture 7"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90478" name="Picture 7" descr="A graph with numbers and a bar&#10;&#10;AI-generated content may be incorrect."/>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912390" cy="1674129"/>
                          </a:xfrm>
                          <a:prstGeom prst="rect">
                            <a:avLst/>
                          </a:prstGeom>
                          <a:noFill/>
                        </pic:spPr>
                      </pic:pic>
                    </a:graphicData>
                  </a:graphic>
                </wp:inline>
              </w:drawing>
            </w:r>
          </w:p>
        </w:tc>
        <w:tc>
          <w:tcPr>
            <w:tcW w:w="3400" w:type="dxa"/>
          </w:tcPr>
          <w:p w14:paraId="35B16111" w14:textId="77777777" w:rsidR="00464E4B" w:rsidRPr="0016259C" w:rsidRDefault="00464E4B" w:rsidP="0041177B">
            <w:pPr>
              <w:spacing w:after="0" w:line="240" w:lineRule="auto"/>
              <w:rPr>
                <w:rFonts w:cstheme="minorHAnsi"/>
                <w:color w:val="000000" w:themeColor="text1"/>
              </w:rPr>
            </w:pPr>
            <w:r w:rsidRPr="0016259C">
              <w:rPr>
                <w:rFonts w:eastAsia="Times New Roman" w:cs="Times New Roman"/>
                <w:noProof/>
                <w:lang w:eastAsia="en-GB"/>
              </w:rPr>
              <w:drawing>
                <wp:inline distT="0" distB="0" distL="0" distR="0" wp14:anchorId="3EA5DFB4" wp14:editId="51D8AD44">
                  <wp:extent cx="1920240" cy="1681001"/>
                  <wp:effectExtent l="0" t="0" r="3810" b="0"/>
                  <wp:docPr id="1123656208" name="Picture 8"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656208" name="Picture 8" descr="A graph with numbers and a bar chart&#10;&#10;AI-generated content may be incorrect."/>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32265" cy="1691528"/>
                          </a:xfrm>
                          <a:prstGeom prst="rect">
                            <a:avLst/>
                          </a:prstGeom>
                          <a:noFill/>
                        </pic:spPr>
                      </pic:pic>
                    </a:graphicData>
                  </a:graphic>
                </wp:inline>
              </w:drawing>
            </w:r>
          </w:p>
        </w:tc>
        <w:tc>
          <w:tcPr>
            <w:tcW w:w="3186" w:type="dxa"/>
          </w:tcPr>
          <w:p w14:paraId="70E59CB8" w14:textId="77777777" w:rsidR="00464E4B" w:rsidRPr="0016259C" w:rsidRDefault="00464E4B" w:rsidP="0041177B">
            <w:pPr>
              <w:spacing w:after="0" w:line="240" w:lineRule="auto"/>
              <w:rPr>
                <w:rFonts w:cstheme="minorHAnsi"/>
                <w:color w:val="000000" w:themeColor="text1"/>
              </w:rPr>
            </w:pPr>
            <w:r w:rsidRPr="0016259C">
              <w:rPr>
                <w:rFonts w:cstheme="minorHAnsi"/>
                <w:noProof/>
                <w:color w:val="000000" w:themeColor="text1"/>
              </w:rPr>
              <w:drawing>
                <wp:inline distT="0" distB="0" distL="0" distR="0" wp14:anchorId="69C9BB13" wp14:editId="007BEB1D">
                  <wp:extent cx="1920787" cy="1681480"/>
                  <wp:effectExtent l="0" t="0" r="3810" b="0"/>
                  <wp:docPr id="1318316745" name="Picture 9"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316745" name="Picture 9" descr="A graph with numbers and a bar chart&#10;&#10;AI-generated content may be incorrect."/>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928594" cy="1688315"/>
                          </a:xfrm>
                          <a:prstGeom prst="rect">
                            <a:avLst/>
                          </a:prstGeom>
                          <a:noFill/>
                        </pic:spPr>
                      </pic:pic>
                    </a:graphicData>
                  </a:graphic>
                </wp:inline>
              </w:drawing>
            </w:r>
          </w:p>
        </w:tc>
      </w:tr>
    </w:tbl>
    <w:p w14:paraId="085CC05A" w14:textId="77777777" w:rsidR="00464E4B" w:rsidRDefault="00464E4B" w:rsidP="00464E4B">
      <w:pPr>
        <w:spacing w:after="0" w:line="240" w:lineRule="auto"/>
        <w:sectPr w:rsidR="00464E4B" w:rsidSect="002746C0">
          <w:pgSz w:w="11906" w:h="16838"/>
          <w:pgMar w:top="1440" w:right="1440" w:bottom="1440" w:left="1440" w:header="708" w:footer="708" w:gutter="0"/>
          <w:cols w:space="708"/>
          <w:docGrid w:linePitch="360"/>
        </w:sectPr>
      </w:pPr>
    </w:p>
    <w:p w14:paraId="694BF963" w14:textId="77777777" w:rsidR="00464E4B" w:rsidRPr="00FC5D6E" w:rsidRDefault="00464E4B" w:rsidP="00464E4B">
      <w:pPr>
        <w:pStyle w:val="Heading3"/>
        <w:spacing w:before="0" w:after="0" w:line="240" w:lineRule="auto"/>
      </w:pPr>
      <w:bookmarkStart w:id="211" w:name="_Toc197557107"/>
      <w:bookmarkStart w:id="212" w:name="_Toc201512498"/>
      <w:r w:rsidRPr="00FC5D6E">
        <w:t>Trends over time</w:t>
      </w:r>
      <w:bookmarkEnd w:id="211"/>
      <w:bookmarkEnd w:id="212"/>
    </w:p>
    <w:p w14:paraId="22AB29C0" w14:textId="3D94FB74" w:rsidR="00464E4B" w:rsidRPr="00FC5D6E" w:rsidRDefault="00464E4B" w:rsidP="00464E4B">
      <w:pPr>
        <w:spacing w:after="0" w:line="240" w:lineRule="auto"/>
      </w:pPr>
      <w:r w:rsidRPr="00FC5D6E">
        <w:t xml:space="preserve">Figure </w:t>
      </w:r>
      <w:r w:rsidR="003E3888">
        <w:t>11.5</w:t>
      </w:r>
      <w:r w:rsidRPr="00FC5D6E">
        <w:t xml:space="preserve"> </w:t>
      </w:r>
      <w:r>
        <w:t>displays age-standardised mortality rates for</w:t>
      </w:r>
      <w:r w:rsidRPr="00FC5D6E">
        <w:t xml:space="preserve"> liver cancer from 1994 to 2022</w:t>
      </w:r>
      <w:r>
        <w:t xml:space="preserve"> for males and females</w:t>
      </w:r>
      <w:r w:rsidRPr="00FC5D6E">
        <w:t>. In males</w:t>
      </w:r>
      <w:r>
        <w:t>,</w:t>
      </w:r>
      <w:r w:rsidRPr="00FC5D6E">
        <w:t xml:space="preserve"> there was an increase in mortality from 1994 to 2022 (2.8% per year (95%CI 2.3;3.2)). In females there was also an increase in mortality from 1994 to 2022 (2.6% per year (95%CI 2.0;3.1)).</w:t>
      </w:r>
    </w:p>
    <w:p w14:paraId="1B6D7BFA" w14:textId="77777777" w:rsidR="00464E4B" w:rsidRPr="00FC5D6E" w:rsidRDefault="00464E4B" w:rsidP="00464E4B">
      <w:pPr>
        <w:spacing w:after="0" w:line="240" w:lineRule="auto"/>
      </w:pPr>
      <w:r w:rsidRPr="00FC5D6E">
        <w:t xml:space="preserve">  </w:t>
      </w:r>
    </w:p>
    <w:tbl>
      <w:tblPr>
        <w:tblStyle w:val="TableGrid"/>
        <w:tblW w:w="963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tblGrid>
      <w:tr w:rsidR="00464E4B" w:rsidRPr="00FC5D6E" w14:paraId="0FBC9102" w14:textId="77777777" w:rsidTr="0041177B">
        <w:trPr>
          <w:trHeight w:val="113"/>
        </w:trPr>
        <w:tc>
          <w:tcPr>
            <w:tcW w:w="9634" w:type="dxa"/>
            <w:shd w:val="clear" w:color="auto" w:fill="002060"/>
            <w:vAlign w:val="center"/>
            <w:hideMark/>
          </w:tcPr>
          <w:p w14:paraId="5239D566" w14:textId="2B83ACAF" w:rsidR="00464E4B" w:rsidRPr="00FC5D6E" w:rsidRDefault="00464E4B" w:rsidP="0041177B">
            <w:pPr>
              <w:rPr>
                <w:rFonts w:asciiTheme="minorHAnsi" w:hAnsiTheme="minorHAnsi"/>
                <w:b/>
                <w:bCs/>
                <w:lang w:val="en-GB"/>
              </w:rPr>
            </w:pPr>
            <w:r w:rsidRPr="00FC5D6E">
              <w:rPr>
                <w:rFonts w:asciiTheme="minorHAnsi" w:hAnsiTheme="minorHAnsi"/>
                <w:b/>
                <w:bCs/>
                <w:lang w:val="en-GB"/>
              </w:rPr>
              <w:t xml:space="preserve">Figure </w:t>
            </w:r>
            <w:r w:rsidR="003E3888">
              <w:rPr>
                <w:rFonts w:asciiTheme="minorHAnsi" w:hAnsiTheme="minorHAnsi"/>
                <w:b/>
                <w:bCs/>
                <w:lang w:val="en-GB"/>
              </w:rPr>
              <w:t xml:space="preserve">11.5: </w:t>
            </w:r>
            <w:r w:rsidRPr="00FC5D6E">
              <w:rPr>
                <w:rFonts w:asciiTheme="minorHAnsi" w:hAnsiTheme="minorHAnsi"/>
                <w:b/>
                <w:bCs/>
                <w:lang w:val="en-GB"/>
              </w:rPr>
              <w:t>Age-</w:t>
            </w:r>
            <w:r w:rsidRPr="00FC5D6E">
              <w:rPr>
                <w:rFonts w:asciiTheme="minorHAnsi" w:hAnsiTheme="minorHAnsi"/>
                <w:b/>
                <w:bCs/>
                <w:bdr w:val="single" w:sz="4" w:space="0" w:color="auto" w:frame="1"/>
                <w:lang w:val="en-GB"/>
              </w:rPr>
              <w:t xml:space="preserve">standardised mortality rate 1994-2022, </w:t>
            </w:r>
            <w:r w:rsidRPr="00FC5D6E">
              <w:rPr>
                <w:rFonts w:asciiTheme="minorHAnsi" w:hAnsiTheme="minorHAnsi"/>
                <w:b/>
                <w:bCs/>
                <w:kern w:val="2"/>
                <w:sz w:val="24"/>
                <w:szCs w:val="24"/>
                <w:bdr w:val="single" w:sz="4" w:space="0" w:color="auto" w:frame="1"/>
                <w:lang w:val="en-GB"/>
                <w14:ligatures w14:val="standardContextual"/>
              </w:rPr>
              <w:t>liver</w:t>
            </w:r>
          </w:p>
        </w:tc>
      </w:tr>
      <w:tr w:rsidR="00464E4B" w:rsidRPr="00FC5D6E" w14:paraId="21358F8B" w14:textId="77777777" w:rsidTr="0041177B">
        <w:trPr>
          <w:trHeight w:val="113"/>
        </w:trPr>
        <w:tc>
          <w:tcPr>
            <w:tcW w:w="9634" w:type="dxa"/>
            <w:vAlign w:val="center"/>
          </w:tcPr>
          <w:p w14:paraId="5013C33B" w14:textId="77777777" w:rsidR="00464E4B" w:rsidRPr="00FC5D6E" w:rsidRDefault="00464E4B" w:rsidP="0041177B">
            <w:pPr>
              <w:jc w:val="center"/>
              <w:rPr>
                <w:lang w:val="en-GB"/>
              </w:rPr>
            </w:pPr>
            <w:r>
              <w:rPr>
                <w:noProof/>
              </w:rPr>
              <w:drawing>
                <wp:inline distT="0" distB="0" distL="0" distR="0" wp14:anchorId="4D7B857B" wp14:editId="2CF7701C">
                  <wp:extent cx="5755005" cy="3017520"/>
                  <wp:effectExtent l="0" t="0" r="0" b="0"/>
                  <wp:docPr id="419963499" name="Picture 2" descr="A graph with blue and orang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63499" name="Picture 2" descr="A graph with blue and orange dots&#10;&#10;AI-generated content may be incorrect."/>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55005" cy="3017520"/>
                          </a:xfrm>
                          <a:prstGeom prst="rect">
                            <a:avLst/>
                          </a:prstGeom>
                          <a:noFill/>
                        </pic:spPr>
                      </pic:pic>
                    </a:graphicData>
                  </a:graphic>
                </wp:inline>
              </w:drawing>
            </w:r>
          </w:p>
        </w:tc>
      </w:tr>
      <w:tr w:rsidR="00464E4B" w:rsidRPr="00FC5D6E" w14:paraId="7A04634E" w14:textId="77777777" w:rsidTr="0041177B">
        <w:trPr>
          <w:trHeight w:val="113"/>
        </w:trPr>
        <w:tc>
          <w:tcPr>
            <w:tcW w:w="9634" w:type="dxa"/>
            <w:vAlign w:val="center"/>
          </w:tcPr>
          <w:tbl>
            <w:tblPr>
              <w:tblpPr w:leftFromText="180" w:rightFromText="180" w:bottomFromText="160" w:vertAnchor="page" w:horzAnchor="margin" w:tblpXSpec="center" w:tblpY="1"/>
              <w:tblOverlap w:val="never"/>
              <w:tblW w:w="0" w:type="auto"/>
              <w:tblLook w:val="04A0" w:firstRow="1" w:lastRow="0" w:firstColumn="1" w:lastColumn="0" w:noHBand="0" w:noVBand="1"/>
            </w:tblPr>
            <w:tblGrid>
              <w:gridCol w:w="498"/>
              <w:gridCol w:w="1126"/>
              <w:gridCol w:w="713"/>
              <w:gridCol w:w="816"/>
              <w:gridCol w:w="660"/>
              <w:gridCol w:w="498"/>
              <w:gridCol w:w="1126"/>
              <w:gridCol w:w="713"/>
              <w:gridCol w:w="816"/>
              <w:gridCol w:w="660"/>
            </w:tblGrid>
            <w:tr w:rsidR="00464E4B" w:rsidRPr="00F25C11" w14:paraId="4170673E" w14:textId="77777777" w:rsidTr="0041177B">
              <w:trPr>
                <w:trHeight w:val="113"/>
              </w:trPr>
              <w:tc>
                <w:tcPr>
                  <w:tcW w:w="0" w:type="auto"/>
                  <w:noWrap/>
                  <w:tcMar>
                    <w:top w:w="15" w:type="dxa"/>
                    <w:left w:w="108" w:type="dxa"/>
                    <w:bottom w:w="15" w:type="dxa"/>
                    <w:right w:w="108" w:type="dxa"/>
                  </w:tcMar>
                  <w:vAlign w:val="center"/>
                  <w:hideMark/>
                </w:tcPr>
                <w:p w14:paraId="1ED08A8F" w14:textId="77777777" w:rsidR="00464E4B" w:rsidRPr="00F25C11"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F25C11">
                    <w:rPr>
                      <w:rFonts w:ascii="Aptos Narrow" w:eastAsia="Times New Roman" w:hAnsi="Aptos Narrow" w:cs="Times New Roman"/>
                      <w:b/>
                      <w:bCs/>
                      <w:color w:val="000000"/>
                      <w:kern w:val="0"/>
                      <w:sz w:val="20"/>
                      <w:szCs w:val="20"/>
                      <w:u w:val="single"/>
                      <w:lang w:eastAsia="en-GB"/>
                      <w14:ligatures w14:val="none"/>
                    </w:rPr>
                    <w:t>sex</w:t>
                  </w:r>
                </w:p>
              </w:tc>
              <w:tc>
                <w:tcPr>
                  <w:tcW w:w="0" w:type="auto"/>
                  <w:noWrap/>
                  <w:tcMar>
                    <w:top w:w="15" w:type="dxa"/>
                    <w:left w:w="108" w:type="dxa"/>
                    <w:bottom w:w="15" w:type="dxa"/>
                    <w:right w:w="108" w:type="dxa"/>
                  </w:tcMar>
                  <w:vAlign w:val="center"/>
                  <w:hideMark/>
                </w:tcPr>
                <w:p w14:paraId="4160593B" w14:textId="77777777" w:rsidR="00464E4B" w:rsidRPr="00F25C11"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F25C11">
                    <w:rPr>
                      <w:rFonts w:ascii="Aptos Narrow" w:eastAsia="Times New Roman" w:hAnsi="Aptos Narrow" w:cs="Times New Roman"/>
                      <w:b/>
                      <w:bCs/>
                      <w:color w:val="000000"/>
                      <w:kern w:val="0"/>
                      <w:sz w:val="20"/>
                      <w:szCs w:val="20"/>
                      <w:u w:val="single"/>
                      <w:lang w:eastAsia="en-GB"/>
                      <w14:ligatures w14:val="none"/>
                    </w:rPr>
                    <w:t>period</w:t>
                  </w:r>
                </w:p>
              </w:tc>
              <w:tc>
                <w:tcPr>
                  <w:tcW w:w="0" w:type="auto"/>
                  <w:noWrap/>
                  <w:tcMar>
                    <w:top w:w="15" w:type="dxa"/>
                    <w:left w:w="108" w:type="dxa"/>
                    <w:bottom w:w="15" w:type="dxa"/>
                    <w:right w:w="108" w:type="dxa"/>
                  </w:tcMar>
                  <w:vAlign w:val="center"/>
                  <w:hideMark/>
                </w:tcPr>
                <w:p w14:paraId="284BF8A3" w14:textId="77777777" w:rsidR="00464E4B" w:rsidRPr="00F25C11"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F25C11">
                    <w:rPr>
                      <w:rFonts w:ascii="Aptos Narrow" w:eastAsia="Times New Roman" w:hAnsi="Aptos Narrow" w:cs="Times New Roman"/>
                      <w:b/>
                      <w:bCs/>
                      <w:color w:val="000000"/>
                      <w:kern w:val="0"/>
                      <w:sz w:val="20"/>
                      <w:szCs w:val="20"/>
                      <w:u w:val="single"/>
                      <w:lang w:eastAsia="en-GB"/>
                      <w14:ligatures w14:val="none"/>
                    </w:rPr>
                    <w:t>APC%</w:t>
                  </w:r>
                </w:p>
              </w:tc>
              <w:tc>
                <w:tcPr>
                  <w:tcW w:w="0" w:type="auto"/>
                  <w:noWrap/>
                  <w:tcMar>
                    <w:top w:w="15" w:type="dxa"/>
                    <w:left w:w="108" w:type="dxa"/>
                    <w:bottom w:w="15" w:type="dxa"/>
                    <w:right w:w="108" w:type="dxa"/>
                  </w:tcMar>
                  <w:vAlign w:val="center"/>
                  <w:hideMark/>
                </w:tcPr>
                <w:p w14:paraId="058E54A5" w14:textId="77777777" w:rsidR="00464E4B" w:rsidRPr="00F25C11"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F25C11">
                    <w:rPr>
                      <w:rFonts w:ascii="Aptos Narrow" w:eastAsia="Times New Roman" w:hAnsi="Aptos Narrow" w:cs="Times New Roman"/>
                      <w:b/>
                      <w:bCs/>
                      <w:color w:val="000000"/>
                      <w:kern w:val="0"/>
                      <w:sz w:val="20"/>
                      <w:szCs w:val="20"/>
                      <w:u w:val="single"/>
                      <w:lang w:eastAsia="en-GB"/>
                      <w14:ligatures w14:val="none"/>
                    </w:rPr>
                    <w:t>95%CI</w:t>
                  </w:r>
                </w:p>
              </w:tc>
              <w:tc>
                <w:tcPr>
                  <w:tcW w:w="0" w:type="auto"/>
                  <w:tcBorders>
                    <w:right w:val="single" w:sz="4" w:space="0" w:color="auto"/>
                  </w:tcBorders>
                  <w:noWrap/>
                  <w:tcMar>
                    <w:top w:w="15" w:type="dxa"/>
                    <w:left w:w="108" w:type="dxa"/>
                    <w:bottom w:w="15" w:type="dxa"/>
                    <w:right w:w="108" w:type="dxa"/>
                  </w:tcMar>
                  <w:vAlign w:val="center"/>
                  <w:hideMark/>
                </w:tcPr>
                <w:p w14:paraId="4051DFBC" w14:textId="77777777" w:rsidR="00464E4B" w:rsidRPr="00F25C11"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F25C11">
                    <w:rPr>
                      <w:rFonts w:ascii="Aptos Narrow" w:eastAsia="Times New Roman" w:hAnsi="Aptos Narrow" w:cs="Times New Roman"/>
                      <w:b/>
                      <w:bCs/>
                      <w:color w:val="000000"/>
                      <w:kern w:val="0"/>
                      <w:sz w:val="20"/>
                      <w:szCs w:val="20"/>
                      <w:u w:val="single"/>
                      <w:lang w:eastAsia="en-GB"/>
                      <w14:ligatures w14:val="none"/>
                    </w:rPr>
                    <w:t>trend</w:t>
                  </w:r>
                </w:p>
              </w:tc>
              <w:tc>
                <w:tcPr>
                  <w:tcW w:w="0" w:type="auto"/>
                  <w:vAlign w:val="center"/>
                </w:tcPr>
                <w:p w14:paraId="20010611" w14:textId="77777777" w:rsidR="00464E4B" w:rsidRPr="00F25C11"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F25C11">
                    <w:rPr>
                      <w:rFonts w:ascii="Aptos Narrow" w:eastAsia="Times New Roman" w:hAnsi="Aptos Narrow" w:cs="Times New Roman"/>
                      <w:b/>
                      <w:bCs/>
                      <w:color w:val="000000"/>
                      <w:kern w:val="0"/>
                      <w:sz w:val="20"/>
                      <w:szCs w:val="20"/>
                      <w:u w:val="single"/>
                      <w:lang w:eastAsia="en-GB"/>
                      <w14:ligatures w14:val="none"/>
                    </w:rPr>
                    <w:t>sex</w:t>
                  </w:r>
                </w:p>
              </w:tc>
              <w:tc>
                <w:tcPr>
                  <w:tcW w:w="0" w:type="auto"/>
                  <w:vAlign w:val="center"/>
                </w:tcPr>
                <w:p w14:paraId="62527AB0" w14:textId="77777777" w:rsidR="00464E4B" w:rsidRPr="00F25C11"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F25C11">
                    <w:rPr>
                      <w:rFonts w:ascii="Aptos Narrow" w:eastAsia="Times New Roman" w:hAnsi="Aptos Narrow" w:cs="Times New Roman"/>
                      <w:b/>
                      <w:bCs/>
                      <w:color w:val="000000"/>
                      <w:kern w:val="0"/>
                      <w:sz w:val="20"/>
                      <w:szCs w:val="20"/>
                      <w:u w:val="single"/>
                      <w:lang w:eastAsia="en-GB"/>
                      <w14:ligatures w14:val="none"/>
                    </w:rPr>
                    <w:t>period</w:t>
                  </w:r>
                </w:p>
              </w:tc>
              <w:tc>
                <w:tcPr>
                  <w:tcW w:w="0" w:type="auto"/>
                  <w:vAlign w:val="center"/>
                </w:tcPr>
                <w:p w14:paraId="11399AD7" w14:textId="77777777" w:rsidR="00464E4B" w:rsidRPr="00F25C11"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F25C11">
                    <w:rPr>
                      <w:rFonts w:ascii="Aptos Narrow" w:eastAsia="Times New Roman" w:hAnsi="Aptos Narrow" w:cs="Times New Roman"/>
                      <w:b/>
                      <w:bCs/>
                      <w:color w:val="000000"/>
                      <w:kern w:val="0"/>
                      <w:sz w:val="20"/>
                      <w:szCs w:val="20"/>
                      <w:u w:val="single"/>
                      <w:lang w:eastAsia="en-GB"/>
                      <w14:ligatures w14:val="none"/>
                    </w:rPr>
                    <w:t>APC%</w:t>
                  </w:r>
                </w:p>
              </w:tc>
              <w:tc>
                <w:tcPr>
                  <w:tcW w:w="0" w:type="auto"/>
                  <w:vAlign w:val="center"/>
                </w:tcPr>
                <w:p w14:paraId="69F5E8F8" w14:textId="77777777" w:rsidR="00464E4B" w:rsidRPr="00F25C11"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F25C11">
                    <w:rPr>
                      <w:rFonts w:ascii="Aptos Narrow" w:eastAsia="Times New Roman" w:hAnsi="Aptos Narrow" w:cs="Times New Roman"/>
                      <w:b/>
                      <w:bCs/>
                      <w:color w:val="000000"/>
                      <w:kern w:val="0"/>
                      <w:sz w:val="20"/>
                      <w:szCs w:val="20"/>
                      <w:u w:val="single"/>
                      <w:lang w:eastAsia="en-GB"/>
                      <w14:ligatures w14:val="none"/>
                    </w:rPr>
                    <w:t>95%CI</w:t>
                  </w:r>
                </w:p>
              </w:tc>
              <w:tc>
                <w:tcPr>
                  <w:tcW w:w="0" w:type="auto"/>
                  <w:tcBorders>
                    <w:right w:val="single" w:sz="4" w:space="0" w:color="auto"/>
                  </w:tcBorders>
                  <w:vAlign w:val="center"/>
                </w:tcPr>
                <w:p w14:paraId="19F75B25" w14:textId="77777777" w:rsidR="00464E4B" w:rsidRPr="00F25C11"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F25C11">
                    <w:rPr>
                      <w:rFonts w:ascii="Aptos Narrow" w:eastAsia="Times New Roman" w:hAnsi="Aptos Narrow" w:cs="Times New Roman"/>
                      <w:b/>
                      <w:bCs/>
                      <w:color w:val="000000"/>
                      <w:kern w:val="0"/>
                      <w:sz w:val="20"/>
                      <w:szCs w:val="20"/>
                      <w:u w:val="single"/>
                      <w:lang w:eastAsia="en-GB"/>
                      <w14:ligatures w14:val="none"/>
                    </w:rPr>
                    <w:t>trend</w:t>
                  </w:r>
                </w:p>
              </w:tc>
            </w:tr>
            <w:tr w:rsidR="00464E4B" w:rsidRPr="00F25C11" w14:paraId="46101EC1" w14:textId="77777777" w:rsidTr="0041177B">
              <w:trPr>
                <w:trHeight w:val="113"/>
              </w:trPr>
              <w:tc>
                <w:tcPr>
                  <w:tcW w:w="0" w:type="auto"/>
                  <w:noWrap/>
                  <w:tcMar>
                    <w:top w:w="15" w:type="dxa"/>
                    <w:left w:w="108" w:type="dxa"/>
                    <w:bottom w:w="15" w:type="dxa"/>
                    <w:right w:w="108" w:type="dxa"/>
                  </w:tcMar>
                  <w:hideMark/>
                </w:tcPr>
                <w:p w14:paraId="10359656" w14:textId="77777777" w:rsidR="00464E4B" w:rsidRPr="00F25C11"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F25C11">
                    <w:rPr>
                      <w:rFonts w:ascii="Aptos Narrow" w:hAnsi="Aptos Narrow"/>
                      <w:sz w:val="20"/>
                      <w:szCs w:val="20"/>
                    </w:rPr>
                    <w:t>M </w:t>
                  </w:r>
                </w:p>
              </w:tc>
              <w:tc>
                <w:tcPr>
                  <w:tcW w:w="0" w:type="auto"/>
                  <w:noWrap/>
                  <w:tcMar>
                    <w:top w:w="15" w:type="dxa"/>
                    <w:left w:w="108" w:type="dxa"/>
                    <w:bottom w:w="15" w:type="dxa"/>
                    <w:right w:w="108" w:type="dxa"/>
                  </w:tcMar>
                  <w:hideMark/>
                </w:tcPr>
                <w:p w14:paraId="72D5086D" w14:textId="77777777" w:rsidR="00464E4B" w:rsidRPr="00F25C11"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F25C11">
                    <w:rPr>
                      <w:rFonts w:ascii="Aptos Narrow" w:hAnsi="Aptos Narrow"/>
                      <w:sz w:val="20"/>
                      <w:szCs w:val="20"/>
                    </w:rPr>
                    <w:t>1994-2022 </w:t>
                  </w:r>
                </w:p>
              </w:tc>
              <w:tc>
                <w:tcPr>
                  <w:tcW w:w="0" w:type="auto"/>
                  <w:noWrap/>
                  <w:tcMar>
                    <w:top w:w="15" w:type="dxa"/>
                    <w:left w:w="108" w:type="dxa"/>
                    <w:bottom w:w="15" w:type="dxa"/>
                    <w:right w:w="108" w:type="dxa"/>
                  </w:tcMar>
                  <w:hideMark/>
                </w:tcPr>
                <w:p w14:paraId="71B13DB9" w14:textId="77777777" w:rsidR="00464E4B" w:rsidRPr="00F25C11"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F25C11">
                    <w:rPr>
                      <w:rFonts w:ascii="Aptos Narrow" w:hAnsi="Aptos Narrow"/>
                      <w:sz w:val="20"/>
                      <w:szCs w:val="20"/>
                    </w:rPr>
                    <w:t>2.8</w:t>
                  </w:r>
                </w:p>
              </w:tc>
              <w:tc>
                <w:tcPr>
                  <w:tcW w:w="0" w:type="auto"/>
                  <w:noWrap/>
                  <w:tcMar>
                    <w:top w:w="15" w:type="dxa"/>
                    <w:left w:w="108" w:type="dxa"/>
                    <w:bottom w:w="15" w:type="dxa"/>
                    <w:right w:w="108" w:type="dxa"/>
                  </w:tcMar>
                  <w:hideMark/>
                </w:tcPr>
                <w:p w14:paraId="3799D36D" w14:textId="77777777" w:rsidR="00464E4B" w:rsidRPr="00F25C11"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F25C11">
                    <w:rPr>
                      <w:rFonts w:ascii="Aptos Narrow" w:hAnsi="Aptos Narrow"/>
                      <w:sz w:val="20"/>
                      <w:szCs w:val="20"/>
                    </w:rPr>
                    <w:t>2.3, 3.2</w:t>
                  </w:r>
                </w:p>
              </w:tc>
              <w:tc>
                <w:tcPr>
                  <w:tcW w:w="0" w:type="auto"/>
                  <w:tcBorders>
                    <w:right w:val="single" w:sz="4" w:space="0" w:color="auto"/>
                  </w:tcBorders>
                  <w:noWrap/>
                  <w:tcMar>
                    <w:top w:w="15" w:type="dxa"/>
                    <w:left w:w="108" w:type="dxa"/>
                    <w:bottom w:w="15" w:type="dxa"/>
                    <w:right w:w="108" w:type="dxa"/>
                  </w:tcMar>
                  <w:hideMark/>
                </w:tcPr>
                <w:p w14:paraId="2350C1C2" w14:textId="5401B4C6" w:rsidR="00464E4B" w:rsidRPr="00F25C11" w:rsidRDefault="007D5CB8"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F25C11">
                    <w:rPr>
                      <w:rFonts w:ascii="Aptos Narrow" w:hAnsi="Aptos Narrow"/>
                      <w:sz w:val="20"/>
                      <w:szCs w:val="20"/>
                    </w:rPr>
                    <w:t>U</w:t>
                  </w:r>
                  <w:r w:rsidR="00464E4B" w:rsidRPr="00F25C11">
                    <w:rPr>
                      <w:rFonts w:ascii="Aptos Narrow" w:hAnsi="Aptos Narrow"/>
                      <w:sz w:val="20"/>
                      <w:szCs w:val="20"/>
                    </w:rPr>
                    <w:t>p</w:t>
                  </w:r>
                </w:p>
              </w:tc>
              <w:tc>
                <w:tcPr>
                  <w:tcW w:w="0" w:type="auto"/>
                  <w:tcBorders>
                    <w:left w:val="single" w:sz="4" w:space="0" w:color="auto"/>
                  </w:tcBorders>
                </w:tcPr>
                <w:p w14:paraId="6C25FC0D" w14:textId="77777777" w:rsidR="00464E4B" w:rsidRPr="00F25C11" w:rsidRDefault="00464E4B" w:rsidP="0041177B">
                  <w:pPr>
                    <w:spacing w:after="0" w:line="240" w:lineRule="auto"/>
                    <w:jc w:val="center"/>
                    <w:rPr>
                      <w:rFonts w:ascii="Aptos Narrow" w:hAnsi="Aptos Narrow"/>
                      <w:sz w:val="20"/>
                      <w:szCs w:val="20"/>
                    </w:rPr>
                  </w:pPr>
                  <w:r w:rsidRPr="00F25C11">
                    <w:rPr>
                      <w:rFonts w:ascii="Aptos Narrow" w:hAnsi="Aptos Narrow"/>
                      <w:sz w:val="20"/>
                      <w:szCs w:val="20"/>
                    </w:rPr>
                    <w:t>F </w:t>
                  </w:r>
                </w:p>
              </w:tc>
              <w:tc>
                <w:tcPr>
                  <w:tcW w:w="0" w:type="auto"/>
                </w:tcPr>
                <w:p w14:paraId="084370FE" w14:textId="77777777" w:rsidR="00464E4B" w:rsidRPr="00F25C11" w:rsidRDefault="00464E4B" w:rsidP="0041177B">
                  <w:pPr>
                    <w:spacing w:after="0" w:line="240" w:lineRule="auto"/>
                    <w:jc w:val="center"/>
                    <w:rPr>
                      <w:rFonts w:ascii="Aptos Narrow" w:hAnsi="Aptos Narrow"/>
                      <w:sz w:val="20"/>
                      <w:szCs w:val="20"/>
                    </w:rPr>
                  </w:pPr>
                  <w:r w:rsidRPr="00F25C11">
                    <w:rPr>
                      <w:rFonts w:ascii="Aptos Narrow" w:hAnsi="Aptos Narrow"/>
                      <w:sz w:val="20"/>
                      <w:szCs w:val="20"/>
                    </w:rPr>
                    <w:t>1994-2022 </w:t>
                  </w:r>
                </w:p>
              </w:tc>
              <w:tc>
                <w:tcPr>
                  <w:tcW w:w="0" w:type="auto"/>
                </w:tcPr>
                <w:p w14:paraId="1E5273E7" w14:textId="77777777" w:rsidR="00464E4B" w:rsidRPr="00F25C11" w:rsidRDefault="00464E4B" w:rsidP="0041177B">
                  <w:pPr>
                    <w:spacing w:after="0" w:line="240" w:lineRule="auto"/>
                    <w:jc w:val="center"/>
                    <w:rPr>
                      <w:rFonts w:ascii="Aptos Narrow" w:hAnsi="Aptos Narrow"/>
                      <w:sz w:val="20"/>
                      <w:szCs w:val="20"/>
                    </w:rPr>
                  </w:pPr>
                  <w:r w:rsidRPr="00F25C11">
                    <w:rPr>
                      <w:rFonts w:ascii="Aptos Narrow" w:hAnsi="Aptos Narrow"/>
                      <w:sz w:val="20"/>
                      <w:szCs w:val="20"/>
                    </w:rPr>
                    <w:t>2.6</w:t>
                  </w:r>
                </w:p>
              </w:tc>
              <w:tc>
                <w:tcPr>
                  <w:tcW w:w="0" w:type="auto"/>
                </w:tcPr>
                <w:p w14:paraId="5C351E29" w14:textId="77777777" w:rsidR="00464E4B" w:rsidRPr="00F25C11" w:rsidRDefault="00464E4B" w:rsidP="0041177B">
                  <w:pPr>
                    <w:spacing w:after="0" w:line="240" w:lineRule="auto"/>
                    <w:jc w:val="center"/>
                    <w:rPr>
                      <w:rFonts w:ascii="Aptos Narrow" w:hAnsi="Aptos Narrow"/>
                      <w:sz w:val="20"/>
                      <w:szCs w:val="20"/>
                    </w:rPr>
                  </w:pPr>
                  <w:r w:rsidRPr="00F25C11">
                    <w:rPr>
                      <w:rFonts w:ascii="Aptos Narrow" w:hAnsi="Aptos Narrow"/>
                      <w:sz w:val="20"/>
                      <w:szCs w:val="20"/>
                    </w:rPr>
                    <w:t>2.0, 3.1</w:t>
                  </w:r>
                </w:p>
              </w:tc>
              <w:tc>
                <w:tcPr>
                  <w:tcW w:w="0" w:type="auto"/>
                </w:tcPr>
                <w:p w14:paraId="7CD30267" w14:textId="77777777" w:rsidR="00464E4B" w:rsidRPr="00F25C11" w:rsidRDefault="00464E4B" w:rsidP="0041177B">
                  <w:pPr>
                    <w:spacing w:after="0" w:line="240" w:lineRule="auto"/>
                    <w:jc w:val="center"/>
                    <w:rPr>
                      <w:rFonts w:ascii="Aptos Narrow" w:hAnsi="Aptos Narrow"/>
                      <w:sz w:val="20"/>
                      <w:szCs w:val="20"/>
                    </w:rPr>
                  </w:pPr>
                  <w:r w:rsidRPr="00F25C11">
                    <w:rPr>
                      <w:rFonts w:ascii="Aptos Narrow" w:hAnsi="Aptos Narrow"/>
                      <w:sz w:val="20"/>
                      <w:szCs w:val="20"/>
                    </w:rPr>
                    <w:t>up</w:t>
                  </w:r>
                </w:p>
              </w:tc>
            </w:tr>
          </w:tbl>
          <w:p w14:paraId="7378BD55" w14:textId="77777777" w:rsidR="00464E4B" w:rsidRPr="00FC5D6E" w:rsidRDefault="00464E4B" w:rsidP="0041177B">
            <w:pPr>
              <w:jc w:val="center"/>
              <w:rPr>
                <w:rFonts w:ascii="Aptos Narrow" w:eastAsia="Times New Roman" w:hAnsi="Aptos Narrow" w:cs="Times New Roman"/>
                <w:b/>
                <w:bCs/>
                <w:color w:val="000000"/>
                <w:sz w:val="14"/>
                <w:szCs w:val="14"/>
                <w:u w:val="single"/>
                <w:lang w:eastAsia="en-GB"/>
              </w:rPr>
            </w:pPr>
          </w:p>
        </w:tc>
      </w:tr>
      <w:tr w:rsidR="00464E4B" w:rsidRPr="00FC5D6E" w14:paraId="29DABE29" w14:textId="77777777" w:rsidTr="0041177B">
        <w:trPr>
          <w:trHeight w:val="113"/>
        </w:trPr>
        <w:tc>
          <w:tcPr>
            <w:tcW w:w="9634" w:type="dxa"/>
            <w:vAlign w:val="center"/>
          </w:tcPr>
          <w:p w14:paraId="1562AA3D" w14:textId="77777777" w:rsidR="00464E4B" w:rsidRPr="00FC5D6E" w:rsidRDefault="00464E4B" w:rsidP="0041177B">
            <w:pPr>
              <w:pBdr>
                <w:bottom w:val="single" w:sz="4" w:space="1" w:color="auto"/>
              </w:pBdr>
              <w:rPr>
                <w:rFonts w:asciiTheme="minorHAnsi" w:hAnsiTheme="minorHAnsi"/>
                <w:bCs/>
                <w:sz w:val="18"/>
                <w:szCs w:val="16"/>
                <w:lang w:val="en-GB"/>
              </w:rPr>
            </w:pPr>
            <w:r w:rsidRPr="00FC5D6E">
              <w:rPr>
                <w:rFonts w:asciiTheme="minorHAnsi" w:hAnsiTheme="minorHAnsi"/>
                <w:bCs/>
                <w:sz w:val="18"/>
                <w:szCs w:val="16"/>
                <w:lang w:val="en-GB"/>
              </w:rPr>
              <w:t>APC%: average annual percentage change in rate over period and 95% confidence interval (95%CI) based on annual data points fitted with Joinpoint regression. Trend: ‘up’=significant increase, ‘down’=significant decrease, ‘flat’=no change (static), at the 95% level.</w:t>
            </w:r>
          </w:p>
          <w:p w14:paraId="0529A63A" w14:textId="77777777" w:rsidR="00464E4B" w:rsidRPr="00FC5D6E" w:rsidRDefault="00464E4B" w:rsidP="0041177B">
            <w:pPr>
              <w:rPr>
                <w:rFonts w:asciiTheme="minorHAnsi" w:hAnsiTheme="minorHAnsi"/>
                <w:b/>
                <w:bCs/>
                <w:noProof/>
                <w:sz w:val="14"/>
                <w:szCs w:val="14"/>
                <w:u w:val="single"/>
                <w:lang w:val="en-GB"/>
              </w:rPr>
            </w:pPr>
          </w:p>
        </w:tc>
      </w:tr>
    </w:tbl>
    <w:p w14:paraId="47BE027C" w14:textId="77777777" w:rsidR="00464E4B" w:rsidRPr="00FC5D6E" w:rsidRDefault="00464E4B" w:rsidP="00464E4B">
      <w:pPr>
        <w:spacing w:after="0" w:line="240" w:lineRule="auto"/>
      </w:pPr>
    </w:p>
    <w:p w14:paraId="5F7235D9" w14:textId="77777777" w:rsidR="00464E4B" w:rsidRPr="00FC5D6E" w:rsidRDefault="00464E4B" w:rsidP="00464E4B">
      <w:pPr>
        <w:spacing w:after="0" w:line="240" w:lineRule="auto"/>
        <w:sectPr w:rsidR="00464E4B" w:rsidRPr="00FC5D6E" w:rsidSect="002746C0">
          <w:pgSz w:w="11906" w:h="16838"/>
          <w:pgMar w:top="1440" w:right="1440" w:bottom="1440" w:left="1440" w:header="708" w:footer="708" w:gutter="0"/>
          <w:cols w:space="708"/>
          <w:docGrid w:linePitch="360"/>
        </w:sectPr>
      </w:pPr>
    </w:p>
    <w:p w14:paraId="3B88A7C4" w14:textId="77777777" w:rsidR="00464E4B" w:rsidRPr="00FC5D6E" w:rsidRDefault="00464E4B" w:rsidP="00464E4B">
      <w:pPr>
        <w:pStyle w:val="Heading2"/>
        <w:spacing w:before="0" w:after="0" w:line="240" w:lineRule="auto"/>
      </w:pPr>
      <w:bookmarkStart w:id="213" w:name="_Toc196914599"/>
      <w:bookmarkStart w:id="214" w:name="_Toc197557108"/>
      <w:bookmarkStart w:id="215" w:name="_Toc201512499"/>
      <w:r w:rsidRPr="00FC5D6E">
        <w:t>Survival</w:t>
      </w:r>
      <w:bookmarkEnd w:id="213"/>
      <w:bookmarkEnd w:id="214"/>
      <w:bookmarkEnd w:id="215"/>
      <w:r w:rsidRPr="00FC5D6E">
        <w:t xml:space="preserve"> </w:t>
      </w:r>
    </w:p>
    <w:p w14:paraId="0498CD31" w14:textId="4CD2A7D8" w:rsidR="00464E4B" w:rsidRDefault="00464E4B" w:rsidP="00464E4B">
      <w:pPr>
        <w:spacing w:after="0" w:line="240" w:lineRule="auto"/>
        <w:rPr>
          <w:rFonts w:cstheme="minorHAnsi"/>
        </w:rPr>
      </w:pPr>
      <w:r w:rsidRPr="00FC5D6E">
        <w:rPr>
          <w:rFonts w:cstheme="minorHAnsi"/>
        </w:rPr>
        <w:t>Overall</w:t>
      </w:r>
      <w:r>
        <w:rPr>
          <w:rFonts w:cstheme="minorHAnsi"/>
        </w:rPr>
        <w:t>,</w:t>
      </w:r>
      <w:r w:rsidRPr="00FC5D6E">
        <w:rPr>
          <w:rFonts w:cstheme="minorHAnsi"/>
        </w:rPr>
        <w:t xml:space="preserve"> 5-year net survival was 16% for cases diagnosed during 2019-2022 (Figure</w:t>
      </w:r>
      <w:r w:rsidR="003E3888">
        <w:rPr>
          <w:rFonts w:cstheme="minorHAnsi"/>
        </w:rPr>
        <w:t xml:space="preserve"> 11.6</w:t>
      </w:r>
      <w:r w:rsidRPr="00FC5D6E">
        <w:rPr>
          <w:rFonts w:cstheme="minorHAnsi"/>
        </w:rPr>
        <w:t xml:space="preserve">). </w:t>
      </w:r>
      <w:r w:rsidR="003E3888">
        <w:rPr>
          <w:rFonts w:cstheme="minorHAnsi"/>
        </w:rPr>
        <w:t>Five</w:t>
      </w:r>
      <w:r w:rsidRPr="00FC5D6E">
        <w:rPr>
          <w:rFonts w:cstheme="minorHAnsi"/>
        </w:rPr>
        <w:t>-year net survival for 2019-2022 w</w:t>
      </w:r>
      <w:r w:rsidR="00D32FA6">
        <w:rPr>
          <w:rFonts w:cstheme="minorHAnsi"/>
        </w:rPr>
        <w:t>as</w:t>
      </w:r>
      <w:r w:rsidRPr="00FC5D6E">
        <w:rPr>
          <w:rFonts w:cstheme="minorHAnsi"/>
        </w:rPr>
        <w:t xml:space="preserve"> similar for females (16%) and males (17%).</w:t>
      </w:r>
    </w:p>
    <w:p w14:paraId="7504931C" w14:textId="77777777" w:rsidR="00464E4B" w:rsidRPr="00FC5D6E" w:rsidRDefault="00464E4B" w:rsidP="00464E4B">
      <w:pPr>
        <w:spacing w:after="0" w:line="240" w:lineRule="auto"/>
        <w:rPr>
          <w:rFonts w:cstheme="minorHAnsi"/>
          <w:highlight w:val="yellow"/>
        </w:rPr>
      </w:pPr>
    </w:p>
    <w:tbl>
      <w:tblPr>
        <w:tblW w:w="9583" w:type="dxa"/>
        <w:tblInd w:w="-567" w:type="dxa"/>
        <w:tblBorders>
          <w:bottom w:val="single" w:sz="4" w:space="0" w:color="auto"/>
        </w:tblBorders>
        <w:tblLook w:val="04A0" w:firstRow="1" w:lastRow="0" w:firstColumn="1" w:lastColumn="0" w:noHBand="0" w:noVBand="1"/>
      </w:tblPr>
      <w:tblGrid>
        <w:gridCol w:w="3246"/>
        <w:gridCol w:w="3160"/>
        <w:gridCol w:w="3177"/>
      </w:tblGrid>
      <w:tr w:rsidR="00464E4B" w:rsidRPr="00FC5D6E" w14:paraId="6A77B9F8" w14:textId="77777777" w:rsidTr="0041177B">
        <w:trPr>
          <w:trHeight w:val="113"/>
        </w:trPr>
        <w:tc>
          <w:tcPr>
            <w:tcW w:w="9583" w:type="dxa"/>
            <w:gridSpan w:val="3"/>
            <w:shd w:val="clear" w:color="auto" w:fill="002060"/>
            <w:hideMark/>
          </w:tcPr>
          <w:p w14:paraId="4B8C8FDC" w14:textId="6A2341F9" w:rsidR="00464E4B" w:rsidRPr="003E3888" w:rsidRDefault="00464E4B" w:rsidP="0041177B">
            <w:pPr>
              <w:spacing w:after="0" w:line="240" w:lineRule="auto"/>
              <w:rPr>
                <w:rFonts w:cstheme="minorHAnsi"/>
                <w:b/>
                <w:bCs/>
                <w:sz w:val="22"/>
                <w:szCs w:val="22"/>
              </w:rPr>
            </w:pPr>
            <w:r w:rsidRPr="003E3888">
              <w:rPr>
                <w:rFonts w:cstheme="minorHAnsi"/>
                <w:b/>
                <w:bCs/>
                <w:sz w:val="22"/>
                <w:szCs w:val="22"/>
              </w:rPr>
              <w:t xml:space="preserve">Figure </w:t>
            </w:r>
            <w:r w:rsidR="003E3888" w:rsidRPr="003E3888">
              <w:rPr>
                <w:rFonts w:cstheme="minorHAnsi"/>
                <w:b/>
                <w:bCs/>
                <w:sz w:val="22"/>
                <w:szCs w:val="22"/>
              </w:rPr>
              <w:t>11.6:</w:t>
            </w:r>
            <w:r w:rsidRPr="003E3888">
              <w:rPr>
                <w:rFonts w:cstheme="minorHAnsi"/>
                <w:b/>
                <w:bCs/>
                <w:sz w:val="22"/>
                <w:szCs w:val="22"/>
              </w:rPr>
              <w:t xml:space="preserve"> Age-standardised 5-year net survival (%) for liver cancer over six consecutive diagnosis periods</w:t>
            </w:r>
          </w:p>
        </w:tc>
      </w:tr>
      <w:tr w:rsidR="00464E4B" w:rsidRPr="00FC5D6E" w14:paraId="43AD41C3" w14:textId="77777777" w:rsidTr="0041177B">
        <w:trPr>
          <w:trHeight w:val="113"/>
        </w:trPr>
        <w:tc>
          <w:tcPr>
            <w:tcW w:w="3061" w:type="dxa"/>
            <w:hideMark/>
          </w:tcPr>
          <w:p w14:paraId="0E265123" w14:textId="77777777" w:rsidR="00464E4B" w:rsidRPr="00FC5D6E" w:rsidRDefault="00464E4B" w:rsidP="0041177B">
            <w:pPr>
              <w:spacing w:after="0" w:line="240" w:lineRule="auto"/>
              <w:jc w:val="center"/>
              <w:rPr>
                <w:rFonts w:cstheme="minorHAnsi"/>
                <w:color w:val="000000" w:themeColor="text1"/>
              </w:rPr>
            </w:pPr>
            <w:r w:rsidRPr="00FC5D6E">
              <w:rPr>
                <w:rFonts w:cstheme="minorHAnsi"/>
                <w:color w:val="000000" w:themeColor="text1"/>
              </w:rPr>
              <w:t>Total</w:t>
            </w:r>
          </w:p>
        </w:tc>
        <w:tc>
          <w:tcPr>
            <w:tcW w:w="3194" w:type="dxa"/>
          </w:tcPr>
          <w:p w14:paraId="6F0370B9" w14:textId="77777777" w:rsidR="00464E4B" w:rsidRPr="00FC5D6E" w:rsidRDefault="00464E4B" w:rsidP="0041177B">
            <w:pPr>
              <w:spacing w:after="0" w:line="240" w:lineRule="auto"/>
              <w:jc w:val="center"/>
              <w:rPr>
                <w:rFonts w:cstheme="minorHAnsi"/>
                <w:color w:val="000000" w:themeColor="text1"/>
              </w:rPr>
            </w:pPr>
            <w:r>
              <w:rPr>
                <w:rFonts w:cstheme="minorHAnsi"/>
                <w:color w:val="000000" w:themeColor="text1"/>
              </w:rPr>
              <w:t>Males</w:t>
            </w:r>
          </w:p>
        </w:tc>
        <w:tc>
          <w:tcPr>
            <w:tcW w:w="3328" w:type="dxa"/>
          </w:tcPr>
          <w:p w14:paraId="72084E35" w14:textId="77777777" w:rsidR="00464E4B" w:rsidRPr="00FC5D6E" w:rsidRDefault="00464E4B" w:rsidP="0041177B">
            <w:pPr>
              <w:spacing w:after="0" w:line="240" w:lineRule="auto"/>
              <w:jc w:val="center"/>
              <w:rPr>
                <w:rFonts w:cstheme="minorHAnsi"/>
                <w:color w:val="000000" w:themeColor="text1"/>
              </w:rPr>
            </w:pPr>
            <w:r>
              <w:rPr>
                <w:rFonts w:cstheme="minorHAnsi"/>
                <w:color w:val="000000" w:themeColor="text1"/>
              </w:rPr>
              <w:t>Females</w:t>
            </w:r>
          </w:p>
        </w:tc>
      </w:tr>
      <w:tr w:rsidR="00464E4B" w:rsidRPr="00FC5D6E" w14:paraId="45381860" w14:textId="77777777" w:rsidTr="0041177B">
        <w:trPr>
          <w:trHeight w:val="113"/>
        </w:trPr>
        <w:tc>
          <w:tcPr>
            <w:tcW w:w="3061" w:type="dxa"/>
          </w:tcPr>
          <w:p w14:paraId="68C0AF14" w14:textId="77777777" w:rsidR="00464E4B" w:rsidRPr="00FC5D6E" w:rsidRDefault="00464E4B" w:rsidP="0041177B">
            <w:pPr>
              <w:spacing w:after="0" w:line="240" w:lineRule="auto"/>
              <w:rPr>
                <w:rFonts w:eastAsia="Times New Roman" w:cs="Times New Roman"/>
                <w:lang w:eastAsia="en-GB"/>
              </w:rPr>
            </w:pPr>
            <w:r>
              <w:rPr>
                <w:rFonts w:eastAsia="Times New Roman" w:cs="Times New Roman"/>
                <w:noProof/>
                <w:lang w:eastAsia="en-GB"/>
              </w:rPr>
              <w:drawing>
                <wp:inline distT="0" distB="0" distL="0" distR="0" wp14:anchorId="5C4EFBDE" wp14:editId="2B949AF8">
                  <wp:extent cx="1921313" cy="1322705"/>
                  <wp:effectExtent l="0" t="0" r="3175" b="0"/>
                  <wp:docPr id="1741540171" name="Picture 10" descr="A graph with numbers and percent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40171" name="Picture 10" descr="A graph with numbers and percentages&#10;&#10;AI-generated content may be incorrect."/>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939225" cy="1335036"/>
                          </a:xfrm>
                          <a:prstGeom prst="rect">
                            <a:avLst/>
                          </a:prstGeom>
                          <a:noFill/>
                        </pic:spPr>
                      </pic:pic>
                    </a:graphicData>
                  </a:graphic>
                </wp:inline>
              </w:drawing>
            </w:r>
          </w:p>
        </w:tc>
        <w:tc>
          <w:tcPr>
            <w:tcW w:w="3194" w:type="dxa"/>
          </w:tcPr>
          <w:p w14:paraId="430978EB" w14:textId="77777777" w:rsidR="00464E4B" w:rsidRPr="00FC5D6E" w:rsidRDefault="00464E4B" w:rsidP="0041177B">
            <w:pPr>
              <w:spacing w:after="0" w:line="240" w:lineRule="auto"/>
              <w:rPr>
                <w:rFonts w:cstheme="minorHAnsi"/>
                <w:color w:val="000000" w:themeColor="text1"/>
              </w:rPr>
            </w:pPr>
            <w:r>
              <w:rPr>
                <w:rFonts w:eastAsia="Times New Roman" w:cs="Times New Roman"/>
                <w:noProof/>
                <w:lang w:eastAsia="en-GB"/>
              </w:rPr>
              <w:drawing>
                <wp:inline distT="0" distB="0" distL="0" distR="0" wp14:anchorId="640DAA68" wp14:editId="3C143499">
                  <wp:extent cx="1858183" cy="1322705"/>
                  <wp:effectExtent l="0" t="0" r="8890" b="0"/>
                  <wp:docPr id="1422273551" name="Picture 11" descr="A graph with numbers and a number of blue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73551" name="Picture 11" descr="A graph with numbers and a number of blue rectangles&#10;&#10;AI-generated content may be incorrect."/>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869430" cy="1330711"/>
                          </a:xfrm>
                          <a:prstGeom prst="rect">
                            <a:avLst/>
                          </a:prstGeom>
                          <a:noFill/>
                        </pic:spPr>
                      </pic:pic>
                    </a:graphicData>
                  </a:graphic>
                </wp:inline>
              </w:drawing>
            </w:r>
          </w:p>
        </w:tc>
        <w:tc>
          <w:tcPr>
            <w:tcW w:w="3328" w:type="dxa"/>
          </w:tcPr>
          <w:p w14:paraId="5D70A35D" w14:textId="77777777" w:rsidR="00464E4B" w:rsidRPr="00FC5D6E" w:rsidRDefault="00464E4B" w:rsidP="0041177B">
            <w:pPr>
              <w:spacing w:after="0" w:line="240" w:lineRule="auto"/>
              <w:rPr>
                <w:rFonts w:cstheme="minorHAnsi"/>
                <w:color w:val="000000" w:themeColor="text1"/>
              </w:rPr>
            </w:pPr>
            <w:r>
              <w:rPr>
                <w:rFonts w:cstheme="minorHAnsi"/>
                <w:noProof/>
                <w:color w:val="000000" w:themeColor="text1"/>
              </w:rPr>
              <w:drawing>
                <wp:inline distT="0" distB="0" distL="0" distR="0" wp14:anchorId="282F726F" wp14:editId="2577877B">
                  <wp:extent cx="1869440" cy="1322880"/>
                  <wp:effectExtent l="0" t="0" r="0" b="0"/>
                  <wp:docPr id="462571388" name="Picture 12" descr="A graph with numbers and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71388" name="Picture 12" descr="A graph with numbers and a number of objects&#10;&#10;AI-generated content may be incorrect."/>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893389" cy="1339827"/>
                          </a:xfrm>
                          <a:prstGeom prst="rect">
                            <a:avLst/>
                          </a:prstGeom>
                          <a:noFill/>
                        </pic:spPr>
                      </pic:pic>
                    </a:graphicData>
                  </a:graphic>
                </wp:inline>
              </w:drawing>
            </w:r>
          </w:p>
        </w:tc>
      </w:tr>
    </w:tbl>
    <w:p w14:paraId="140C02CE" w14:textId="77777777" w:rsidR="001A3B02" w:rsidRPr="001A3B02" w:rsidRDefault="001A3B02" w:rsidP="001A3B02">
      <w:bookmarkStart w:id="216" w:name="_Toc196914600"/>
    </w:p>
    <w:p w14:paraId="2BD449D7" w14:textId="77777777" w:rsidR="00464E4B" w:rsidRPr="00FC5D6E" w:rsidRDefault="00464E4B" w:rsidP="00464E4B">
      <w:pPr>
        <w:pStyle w:val="Heading2"/>
        <w:spacing w:before="0" w:after="0" w:line="240" w:lineRule="auto"/>
      </w:pPr>
      <w:bookmarkStart w:id="217" w:name="_Toc197557109"/>
      <w:bookmarkStart w:id="218" w:name="_Toc201512500"/>
      <w:r w:rsidRPr="00FC5D6E">
        <w:t>Population Attributable Fraction</w:t>
      </w:r>
      <w:bookmarkEnd w:id="216"/>
      <w:bookmarkEnd w:id="217"/>
      <w:bookmarkEnd w:id="218"/>
    </w:p>
    <w:p w14:paraId="0A218F01" w14:textId="67211AA9" w:rsidR="00464E4B" w:rsidRDefault="00464E4B" w:rsidP="00464E4B">
      <w:pPr>
        <w:spacing w:after="0" w:line="240" w:lineRule="auto"/>
        <w:rPr>
          <w:rFonts w:ascii="Aptos" w:hAnsi="Aptos"/>
          <w:color w:val="000000"/>
          <w:shd w:val="clear" w:color="auto" w:fill="FFFFFF"/>
        </w:rPr>
      </w:pPr>
      <w:r w:rsidRPr="00FC5D6E">
        <w:rPr>
          <w:rFonts w:ascii="Aptos" w:hAnsi="Aptos"/>
          <w:color w:val="000000"/>
          <w:shd w:val="clear" w:color="auto" w:fill="FFFFFF"/>
        </w:rPr>
        <w:t xml:space="preserve">In 2022, 343 cases of liver cancer were recorded (220 males, 123 females). The estimated total number of liver cancer cases attributable to smoking in Ireland in 2022 was 61 (PAF 18.0%). Table </w:t>
      </w:r>
      <w:r w:rsidR="003E3888">
        <w:rPr>
          <w:rFonts w:ascii="Aptos" w:hAnsi="Aptos"/>
          <w:color w:val="000000"/>
          <w:shd w:val="clear" w:color="auto" w:fill="FFFFFF"/>
        </w:rPr>
        <w:t>11.1</w:t>
      </w:r>
      <w:r w:rsidRPr="00FC5D6E">
        <w:rPr>
          <w:rFonts w:ascii="Aptos" w:hAnsi="Aptos"/>
          <w:color w:val="000000"/>
          <w:shd w:val="clear" w:color="auto" w:fill="FFFFFF"/>
        </w:rPr>
        <w:t xml:space="preserve"> presents the difference between male and female liver cancer incidence related to smoking. Females had a higher PAF than males, 19.1% vs 17.4%. </w:t>
      </w:r>
    </w:p>
    <w:p w14:paraId="4477E14B" w14:textId="77777777" w:rsidR="00464E4B" w:rsidRPr="00FC5D6E" w:rsidRDefault="00464E4B" w:rsidP="00464E4B">
      <w:pPr>
        <w:spacing w:after="0" w:line="240" w:lineRule="auto"/>
        <w:rPr>
          <w:rFonts w:cstheme="minorHAnsi"/>
          <w:highlight w:val="yellow"/>
        </w:rPr>
      </w:pPr>
    </w:p>
    <w:tbl>
      <w:tblPr>
        <w:tblW w:w="9585" w:type="dxa"/>
        <w:tblInd w:w="-5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00"/>
        <w:gridCol w:w="2293"/>
        <w:gridCol w:w="2428"/>
        <w:gridCol w:w="2264"/>
      </w:tblGrid>
      <w:tr w:rsidR="00464E4B" w:rsidRPr="00FC5D6E" w14:paraId="2A9F08D6" w14:textId="77777777" w:rsidTr="0041177B">
        <w:trPr>
          <w:trHeight w:val="300"/>
        </w:trPr>
        <w:tc>
          <w:tcPr>
            <w:tcW w:w="9585" w:type="dxa"/>
            <w:gridSpan w:val="4"/>
            <w:tcBorders>
              <w:top w:val="single" w:sz="6" w:space="0" w:color="auto"/>
              <w:left w:val="single" w:sz="6" w:space="0" w:color="auto"/>
              <w:bottom w:val="single" w:sz="6" w:space="0" w:color="auto"/>
              <w:right w:val="single" w:sz="6" w:space="0" w:color="auto"/>
            </w:tcBorders>
            <w:shd w:val="clear" w:color="auto" w:fill="002060"/>
            <w:hideMark/>
          </w:tcPr>
          <w:p w14:paraId="460AE279" w14:textId="1654F1DE" w:rsidR="00464E4B" w:rsidRPr="00FC5D6E" w:rsidRDefault="00464E4B" w:rsidP="0041177B">
            <w:pPr>
              <w:spacing w:after="0" w:line="240" w:lineRule="auto"/>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color w:val="FFFFFF"/>
                <w:kern w:val="0"/>
                <w:lang w:eastAsia="en-GB"/>
                <w14:ligatures w14:val="none"/>
              </w:rPr>
              <w:t xml:space="preserve">Table </w:t>
            </w:r>
            <w:r w:rsidR="003E3888">
              <w:rPr>
                <w:rFonts w:ascii="Aptos" w:eastAsia="Times New Roman" w:hAnsi="Aptos" w:cs="Segoe UI"/>
                <w:color w:val="FFFFFF"/>
                <w:kern w:val="0"/>
                <w:lang w:eastAsia="en-GB"/>
                <w14:ligatures w14:val="none"/>
              </w:rPr>
              <w:t>11.1</w:t>
            </w:r>
            <w:r w:rsidRPr="00FC5D6E">
              <w:rPr>
                <w:rFonts w:ascii="Aptos" w:eastAsia="Times New Roman" w:hAnsi="Aptos" w:cs="Segoe UI"/>
                <w:color w:val="FFFFFF"/>
                <w:kern w:val="0"/>
                <w:lang w:eastAsia="en-GB"/>
                <w14:ligatures w14:val="none"/>
              </w:rPr>
              <w:t>: Population attributable fraction and attributable cases for liver cancer in 2022 </w:t>
            </w:r>
          </w:p>
        </w:tc>
      </w:tr>
      <w:tr w:rsidR="00464E4B" w:rsidRPr="00FC5D6E" w14:paraId="56349BEB" w14:textId="77777777" w:rsidTr="0041177B">
        <w:trPr>
          <w:trHeight w:val="300"/>
        </w:trPr>
        <w:tc>
          <w:tcPr>
            <w:tcW w:w="2600" w:type="dxa"/>
            <w:tcBorders>
              <w:top w:val="single" w:sz="6" w:space="0" w:color="auto"/>
              <w:left w:val="single" w:sz="6" w:space="0" w:color="auto"/>
              <w:bottom w:val="single" w:sz="6" w:space="0" w:color="auto"/>
              <w:right w:val="single" w:sz="6" w:space="0" w:color="auto"/>
            </w:tcBorders>
            <w:shd w:val="clear" w:color="auto" w:fill="auto"/>
            <w:hideMark/>
          </w:tcPr>
          <w:p w14:paraId="3222BB28" w14:textId="77777777" w:rsidR="00464E4B" w:rsidRPr="00FC5D6E" w:rsidRDefault="00464E4B" w:rsidP="0041177B">
            <w:pPr>
              <w:spacing w:after="0" w:line="240" w:lineRule="auto"/>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7972B6F5"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Total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40E1D582"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Males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32C8A37C"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Females </w:t>
            </w:r>
          </w:p>
        </w:tc>
      </w:tr>
      <w:tr w:rsidR="00464E4B" w:rsidRPr="00FC5D6E" w14:paraId="1C15799A" w14:textId="77777777" w:rsidTr="0041177B">
        <w:trPr>
          <w:trHeight w:val="300"/>
        </w:trPr>
        <w:tc>
          <w:tcPr>
            <w:tcW w:w="2600" w:type="dxa"/>
            <w:tcBorders>
              <w:top w:val="single" w:sz="6" w:space="0" w:color="auto"/>
              <w:left w:val="single" w:sz="6" w:space="0" w:color="auto"/>
              <w:bottom w:val="single" w:sz="6" w:space="0" w:color="auto"/>
              <w:right w:val="single" w:sz="6" w:space="0" w:color="auto"/>
            </w:tcBorders>
            <w:shd w:val="clear" w:color="auto" w:fill="auto"/>
            <w:hideMark/>
          </w:tcPr>
          <w:p w14:paraId="3B4E7856" w14:textId="77777777" w:rsidR="00464E4B" w:rsidRPr="00FC5D6E" w:rsidRDefault="00464E4B" w:rsidP="0041177B">
            <w:pPr>
              <w:spacing w:after="0" w:line="240" w:lineRule="auto"/>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PAF (%)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4C6B5FA5"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18.0 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4E412611"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17.4 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345E2DF2"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19.1 </w:t>
            </w:r>
          </w:p>
        </w:tc>
      </w:tr>
      <w:tr w:rsidR="003D3478" w:rsidRPr="00FC5D6E" w14:paraId="3A059028" w14:textId="77777777" w:rsidTr="0041177B">
        <w:trPr>
          <w:trHeight w:val="300"/>
        </w:trPr>
        <w:tc>
          <w:tcPr>
            <w:tcW w:w="2600" w:type="dxa"/>
            <w:tcBorders>
              <w:top w:val="single" w:sz="6" w:space="0" w:color="auto"/>
              <w:left w:val="single" w:sz="6" w:space="0" w:color="auto"/>
              <w:bottom w:val="single" w:sz="6" w:space="0" w:color="auto"/>
              <w:right w:val="single" w:sz="6" w:space="0" w:color="auto"/>
            </w:tcBorders>
            <w:shd w:val="clear" w:color="auto" w:fill="auto"/>
          </w:tcPr>
          <w:p w14:paraId="74DDA8F9" w14:textId="2549A634" w:rsidR="003D3478" w:rsidRPr="00FC5D6E" w:rsidRDefault="003D3478" w:rsidP="0041177B">
            <w:pPr>
              <w:spacing w:after="0" w:line="240" w:lineRule="auto"/>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Total cases</w:t>
            </w:r>
          </w:p>
        </w:tc>
        <w:tc>
          <w:tcPr>
            <w:tcW w:w="2293" w:type="dxa"/>
            <w:tcBorders>
              <w:top w:val="single" w:sz="6" w:space="0" w:color="auto"/>
              <w:left w:val="single" w:sz="6" w:space="0" w:color="auto"/>
              <w:bottom w:val="single" w:sz="6" w:space="0" w:color="auto"/>
              <w:right w:val="single" w:sz="6" w:space="0" w:color="auto"/>
            </w:tcBorders>
            <w:shd w:val="clear" w:color="auto" w:fill="auto"/>
          </w:tcPr>
          <w:p w14:paraId="76A84D58" w14:textId="4DECCA75" w:rsidR="003D3478" w:rsidRPr="00FC5D6E" w:rsidRDefault="003D3478"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343</w:t>
            </w:r>
          </w:p>
        </w:tc>
        <w:tc>
          <w:tcPr>
            <w:tcW w:w="2428" w:type="dxa"/>
            <w:tcBorders>
              <w:top w:val="single" w:sz="6" w:space="0" w:color="auto"/>
              <w:left w:val="single" w:sz="6" w:space="0" w:color="auto"/>
              <w:bottom w:val="single" w:sz="6" w:space="0" w:color="auto"/>
              <w:right w:val="single" w:sz="6" w:space="0" w:color="auto"/>
            </w:tcBorders>
            <w:shd w:val="clear" w:color="auto" w:fill="auto"/>
          </w:tcPr>
          <w:p w14:paraId="31AC1099" w14:textId="2D48A5CF" w:rsidR="003D3478" w:rsidRPr="00FC5D6E" w:rsidRDefault="003D3478"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220</w:t>
            </w:r>
          </w:p>
        </w:tc>
        <w:tc>
          <w:tcPr>
            <w:tcW w:w="2264" w:type="dxa"/>
            <w:tcBorders>
              <w:top w:val="single" w:sz="6" w:space="0" w:color="auto"/>
              <w:left w:val="single" w:sz="6" w:space="0" w:color="auto"/>
              <w:bottom w:val="single" w:sz="6" w:space="0" w:color="auto"/>
              <w:right w:val="single" w:sz="6" w:space="0" w:color="auto"/>
            </w:tcBorders>
            <w:shd w:val="clear" w:color="auto" w:fill="auto"/>
          </w:tcPr>
          <w:p w14:paraId="31057927" w14:textId="0B43E456" w:rsidR="003D3478" w:rsidRPr="00FC5D6E" w:rsidRDefault="003D3478"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123</w:t>
            </w:r>
          </w:p>
        </w:tc>
      </w:tr>
      <w:tr w:rsidR="00464E4B" w:rsidRPr="00FC5D6E" w14:paraId="0615D9E4" w14:textId="77777777" w:rsidTr="0041177B">
        <w:trPr>
          <w:trHeight w:val="300"/>
        </w:trPr>
        <w:tc>
          <w:tcPr>
            <w:tcW w:w="2600" w:type="dxa"/>
            <w:tcBorders>
              <w:top w:val="single" w:sz="6" w:space="0" w:color="auto"/>
              <w:left w:val="single" w:sz="6" w:space="0" w:color="auto"/>
              <w:bottom w:val="single" w:sz="6" w:space="0" w:color="auto"/>
              <w:right w:val="single" w:sz="6" w:space="0" w:color="auto"/>
            </w:tcBorders>
            <w:shd w:val="clear" w:color="auto" w:fill="auto"/>
            <w:hideMark/>
          </w:tcPr>
          <w:p w14:paraId="7EE6D6DE" w14:textId="77777777" w:rsidR="00464E4B" w:rsidRPr="00FC5D6E" w:rsidRDefault="00464E4B" w:rsidP="0041177B">
            <w:pPr>
              <w:spacing w:after="0" w:line="240" w:lineRule="auto"/>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Attributable cases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78CDFF40"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61 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11C63D27"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38 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7D24C13A"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23 </w:t>
            </w:r>
          </w:p>
        </w:tc>
      </w:tr>
    </w:tbl>
    <w:p w14:paraId="0F54B136" w14:textId="77777777" w:rsidR="00464E4B" w:rsidRPr="00FC5D6E" w:rsidRDefault="00464E4B" w:rsidP="00464E4B">
      <w:pPr>
        <w:spacing w:after="0" w:line="240" w:lineRule="auto"/>
        <w:sectPr w:rsidR="00464E4B" w:rsidRPr="00FC5D6E" w:rsidSect="002746C0">
          <w:pgSz w:w="11906" w:h="16838"/>
          <w:pgMar w:top="1440" w:right="1440" w:bottom="1440" w:left="1440" w:header="708" w:footer="708" w:gutter="0"/>
          <w:cols w:space="708"/>
          <w:docGrid w:linePitch="360"/>
        </w:sectPr>
      </w:pPr>
    </w:p>
    <w:p w14:paraId="3F1F0CA1" w14:textId="77777777" w:rsidR="00464E4B" w:rsidRPr="00FC5D6E" w:rsidRDefault="00464E4B" w:rsidP="00464E4B">
      <w:pPr>
        <w:pStyle w:val="Heading1"/>
        <w:spacing w:before="0" w:after="0" w:line="240" w:lineRule="auto"/>
      </w:pPr>
      <w:r w:rsidRPr="00FC5D6E">
        <w:t xml:space="preserve"> </w:t>
      </w:r>
      <w:bookmarkStart w:id="219" w:name="_Toc196914601"/>
      <w:bookmarkStart w:id="220" w:name="_Toc197557110"/>
      <w:bookmarkStart w:id="221" w:name="_Toc201512501"/>
      <w:r w:rsidRPr="00FC5D6E">
        <w:t>Pancreas</w:t>
      </w:r>
      <w:r w:rsidRPr="00FC5D6E">
        <w:tab/>
        <w:t>C25</w:t>
      </w:r>
      <w:bookmarkEnd w:id="219"/>
      <w:bookmarkEnd w:id="220"/>
      <w:bookmarkEnd w:id="221"/>
    </w:p>
    <w:p w14:paraId="2534562E" w14:textId="77777777" w:rsidR="00464E4B" w:rsidRPr="00FC5D6E" w:rsidRDefault="00464E4B" w:rsidP="00464E4B">
      <w:pPr>
        <w:numPr>
          <w:ilvl w:val="1"/>
          <w:numId w:val="0"/>
        </w:numPr>
        <w:spacing w:after="0" w:line="240" w:lineRule="auto"/>
        <w:rPr>
          <w:rFonts w:eastAsiaTheme="majorEastAsia" w:cstheme="minorHAnsi"/>
          <w:i/>
          <w:iCs/>
          <w:color w:val="0F4761" w:themeColor="accent1" w:themeShade="BF"/>
          <w:spacing w:val="15"/>
          <w:sz w:val="28"/>
          <w:szCs w:val="28"/>
        </w:rPr>
      </w:pPr>
      <w:r w:rsidRPr="00FC5D6E">
        <w:rPr>
          <w:rFonts w:eastAsiaTheme="majorEastAsia" w:cstheme="minorHAnsi"/>
          <w:i/>
          <w:iCs/>
          <w:color w:val="0F4761" w:themeColor="accent1" w:themeShade="BF"/>
          <w:spacing w:val="15"/>
          <w:sz w:val="28"/>
          <w:szCs w:val="28"/>
        </w:rPr>
        <w:t>Key points</w:t>
      </w:r>
    </w:p>
    <w:p w14:paraId="63DAE672" w14:textId="77777777" w:rsidR="00464E4B" w:rsidRPr="00FC5D6E" w:rsidRDefault="00464E4B" w:rsidP="00464E4B">
      <w:pPr>
        <w:numPr>
          <w:ilvl w:val="1"/>
          <w:numId w:val="0"/>
        </w:numPr>
        <w:spacing w:after="0" w:line="240" w:lineRule="auto"/>
        <w:rPr>
          <w:rFonts w:eastAsiaTheme="majorEastAsia" w:cstheme="minorHAnsi"/>
          <w:i/>
          <w:iCs/>
          <w:color w:val="595959" w:themeColor="text1" w:themeTint="A6"/>
          <w:spacing w:val="15"/>
          <w:sz w:val="28"/>
          <w:szCs w:val="28"/>
        </w:rPr>
      </w:pPr>
      <w:r w:rsidRPr="00FC5D6E">
        <w:rPr>
          <w:rFonts w:eastAsiaTheme="majorEastAsia" w:cstheme="minorHAnsi"/>
          <w:i/>
          <w:iCs/>
          <w:color w:val="595959" w:themeColor="text1" w:themeTint="A6"/>
          <w:spacing w:val="15"/>
          <w:sz w:val="28"/>
          <w:szCs w:val="28"/>
        </w:rPr>
        <w:t>Incidence</w:t>
      </w:r>
    </w:p>
    <w:p w14:paraId="7DA5137C" w14:textId="77777777" w:rsidR="00680092" w:rsidRPr="00CA4E90" w:rsidRDefault="00680092" w:rsidP="00680092">
      <w:pPr>
        <w:numPr>
          <w:ilvl w:val="0"/>
          <w:numId w:val="32"/>
        </w:numPr>
        <w:spacing w:after="0" w:line="240" w:lineRule="auto"/>
        <w:contextualSpacing/>
      </w:pPr>
      <w:r w:rsidRPr="108C08C8">
        <w:t>There were no significant trends observed in incidence rates from 1994-2022 among males and females. </w:t>
      </w:r>
    </w:p>
    <w:p w14:paraId="40E96C84" w14:textId="77777777" w:rsidR="00680092" w:rsidRPr="00CA4E90" w:rsidRDefault="00680092" w:rsidP="00680092">
      <w:pPr>
        <w:numPr>
          <w:ilvl w:val="0"/>
          <w:numId w:val="32"/>
        </w:numPr>
        <w:spacing w:after="0" w:line="240" w:lineRule="auto"/>
        <w:contextualSpacing/>
        <w:jc w:val="both"/>
        <w:rPr>
          <w:rFonts w:cstheme="minorHAnsi"/>
          <w:i/>
          <w:iCs/>
        </w:rPr>
      </w:pPr>
      <w:r w:rsidRPr="00CA4E90">
        <w:rPr>
          <w:rFonts w:eastAsia="Times New Roman" w:cstheme="minorHAnsi"/>
          <w:lang w:eastAsia="en-IE"/>
        </w:rPr>
        <w:t xml:space="preserve">Incidence rates in the diagnosis period 2014-2018 were </w:t>
      </w:r>
      <w:r>
        <w:rPr>
          <w:rFonts w:eastAsia="Times New Roman" w:cstheme="minorHAnsi"/>
          <w:lang w:eastAsia="en-IE"/>
        </w:rPr>
        <w:t>similar across deprivation</w:t>
      </w:r>
      <w:r w:rsidRPr="00CA4E90">
        <w:rPr>
          <w:rFonts w:eastAsia="Times New Roman" w:cstheme="minorHAnsi"/>
          <w:lang w:eastAsia="en-IE"/>
        </w:rPr>
        <w:t xml:space="preserve"> quintile</w:t>
      </w:r>
      <w:r>
        <w:rPr>
          <w:rFonts w:eastAsia="Times New Roman" w:cstheme="minorHAnsi"/>
          <w:lang w:eastAsia="en-IE"/>
        </w:rPr>
        <w:t>s</w:t>
      </w:r>
      <w:r w:rsidRPr="00CA4E90">
        <w:rPr>
          <w:rFonts w:eastAsia="Times New Roman" w:cstheme="minorHAnsi"/>
          <w:lang w:eastAsia="en-IE"/>
        </w:rPr>
        <w:t>.</w:t>
      </w:r>
    </w:p>
    <w:p w14:paraId="278E3624" w14:textId="7BAEFD3E" w:rsidR="00464E4B" w:rsidRPr="00FC5D6E" w:rsidRDefault="00464E4B" w:rsidP="00464E4B">
      <w:pPr>
        <w:spacing w:after="0" w:line="240" w:lineRule="auto"/>
        <w:jc w:val="both"/>
        <w:rPr>
          <w:rFonts w:eastAsia="Times New Roman" w:cstheme="minorHAnsi"/>
          <w:i/>
          <w:iCs/>
          <w:color w:val="808080" w:themeColor="background1" w:themeShade="80"/>
        </w:rPr>
      </w:pPr>
      <w:r w:rsidRPr="00FC5D6E">
        <w:rPr>
          <w:rFonts w:cstheme="minorHAnsi"/>
          <w:i/>
          <w:iCs/>
          <w:color w:val="808080" w:themeColor="background1" w:themeShade="80"/>
        </w:rPr>
        <w:t>Mortality</w:t>
      </w:r>
    </w:p>
    <w:p w14:paraId="7B4623A7" w14:textId="565B527D" w:rsidR="00464E4B" w:rsidRPr="00FC5D6E" w:rsidRDefault="00464E4B">
      <w:pPr>
        <w:numPr>
          <w:ilvl w:val="0"/>
          <w:numId w:val="33"/>
        </w:numPr>
        <w:spacing w:after="0" w:line="240" w:lineRule="auto"/>
        <w:contextualSpacing/>
        <w:jc w:val="both"/>
        <w:rPr>
          <w:rFonts w:eastAsia="Calibri" w:cstheme="minorHAnsi"/>
          <w:color w:val="000000" w:themeColor="text1"/>
        </w:rPr>
      </w:pPr>
      <w:r w:rsidRPr="00FC5D6E">
        <w:rPr>
          <w:rFonts w:eastAsia="Calibri" w:cstheme="minorHAnsi"/>
          <w:color w:val="000000" w:themeColor="text1"/>
        </w:rPr>
        <w:t>Age-standardised mortality rates decrease</w:t>
      </w:r>
      <w:r w:rsidR="00F159F2">
        <w:rPr>
          <w:rFonts w:eastAsia="Calibri" w:cstheme="minorHAnsi"/>
          <w:color w:val="000000" w:themeColor="text1"/>
        </w:rPr>
        <w:t>d</w:t>
      </w:r>
      <w:r w:rsidRPr="00FC5D6E">
        <w:rPr>
          <w:rFonts w:eastAsia="Calibri" w:cstheme="minorHAnsi"/>
          <w:color w:val="000000" w:themeColor="text1"/>
        </w:rPr>
        <w:t xml:space="preserve"> </w:t>
      </w:r>
      <w:r w:rsidR="00F159F2">
        <w:rPr>
          <w:rFonts w:eastAsia="Calibri" w:cstheme="minorHAnsi"/>
          <w:color w:val="000000" w:themeColor="text1"/>
        </w:rPr>
        <w:t>for males</w:t>
      </w:r>
      <w:r w:rsidR="00F159F2" w:rsidRPr="00FC5D6E">
        <w:rPr>
          <w:rFonts w:eastAsia="Calibri" w:cstheme="minorHAnsi"/>
          <w:color w:val="000000" w:themeColor="text1"/>
        </w:rPr>
        <w:t xml:space="preserve"> </w:t>
      </w:r>
      <w:r w:rsidRPr="00FC5D6E">
        <w:rPr>
          <w:rFonts w:eastAsia="Calibri" w:cstheme="minorHAnsi"/>
          <w:color w:val="000000" w:themeColor="text1"/>
        </w:rPr>
        <w:t xml:space="preserve">from 1994 to 2022 </w:t>
      </w:r>
      <w:r w:rsidR="009A0CCD">
        <w:rPr>
          <w:rFonts w:eastAsia="Calibri" w:cstheme="minorHAnsi"/>
          <w:color w:val="000000" w:themeColor="text1"/>
        </w:rPr>
        <w:t>and were sta</w:t>
      </w:r>
      <w:r w:rsidR="00A52102">
        <w:rPr>
          <w:rFonts w:eastAsia="Calibri" w:cstheme="minorHAnsi"/>
          <w:color w:val="000000" w:themeColor="text1"/>
        </w:rPr>
        <w:t>ble</w:t>
      </w:r>
      <w:r w:rsidR="006F1817">
        <w:rPr>
          <w:rFonts w:eastAsia="Calibri" w:cstheme="minorHAnsi"/>
          <w:color w:val="000000" w:themeColor="text1"/>
        </w:rPr>
        <w:t xml:space="preserve"> for females</w:t>
      </w:r>
      <w:r w:rsidR="00A52102">
        <w:rPr>
          <w:rFonts w:eastAsia="Calibri" w:cstheme="minorHAnsi"/>
          <w:color w:val="000000" w:themeColor="text1"/>
        </w:rPr>
        <w:t>.</w:t>
      </w:r>
      <w:r w:rsidRPr="00FC5D6E">
        <w:rPr>
          <w:rFonts w:eastAsia="Calibri" w:cstheme="minorHAnsi"/>
          <w:color w:val="000000" w:themeColor="text1"/>
        </w:rPr>
        <w:t xml:space="preserve"> </w:t>
      </w:r>
    </w:p>
    <w:p w14:paraId="41BB26DB" w14:textId="77777777" w:rsidR="00464E4B" w:rsidRPr="00FC5D6E" w:rsidRDefault="00464E4B" w:rsidP="00464E4B">
      <w:pPr>
        <w:numPr>
          <w:ilvl w:val="1"/>
          <w:numId w:val="0"/>
        </w:numPr>
        <w:spacing w:after="0" w:line="240" w:lineRule="auto"/>
        <w:rPr>
          <w:rFonts w:eastAsiaTheme="majorEastAsia" w:cstheme="minorHAnsi"/>
          <w:i/>
          <w:iCs/>
          <w:color w:val="595959" w:themeColor="text1" w:themeTint="A6"/>
          <w:spacing w:val="15"/>
        </w:rPr>
      </w:pPr>
      <w:r w:rsidRPr="00FC5D6E">
        <w:rPr>
          <w:rFonts w:eastAsiaTheme="majorEastAsia" w:cstheme="minorHAnsi"/>
          <w:i/>
          <w:iCs/>
          <w:color w:val="595959" w:themeColor="text1" w:themeTint="A6"/>
          <w:spacing w:val="15"/>
        </w:rPr>
        <w:t>Survival</w:t>
      </w:r>
    </w:p>
    <w:p w14:paraId="43CE8623" w14:textId="5C5A0122" w:rsidR="00464E4B" w:rsidRPr="007729F0" w:rsidRDefault="00464E4B">
      <w:pPr>
        <w:numPr>
          <w:ilvl w:val="0"/>
          <w:numId w:val="34"/>
        </w:numPr>
        <w:spacing w:after="0" w:line="240" w:lineRule="auto"/>
        <w:contextualSpacing/>
        <w:rPr>
          <w:rFonts w:eastAsia="Calibri" w:cstheme="minorHAnsi"/>
          <w:color w:val="000000" w:themeColor="text1"/>
        </w:rPr>
      </w:pPr>
      <w:r w:rsidRPr="007729F0">
        <w:rPr>
          <w:rFonts w:eastAsia="Calibri" w:cstheme="minorHAnsi"/>
          <w:color w:val="000000" w:themeColor="text1"/>
        </w:rPr>
        <w:t>5-year net survival was 15% for cases diagnosed during 2019-2022.</w:t>
      </w:r>
    </w:p>
    <w:p w14:paraId="4E6E7D5F" w14:textId="77777777" w:rsidR="00464E4B" w:rsidRPr="00FC5D6E" w:rsidRDefault="00464E4B" w:rsidP="00464E4B">
      <w:pPr>
        <w:numPr>
          <w:ilvl w:val="1"/>
          <w:numId w:val="0"/>
        </w:numPr>
        <w:spacing w:after="0" w:line="240" w:lineRule="auto"/>
        <w:rPr>
          <w:rFonts w:cstheme="minorHAnsi"/>
          <w:i/>
          <w:iCs/>
        </w:rPr>
      </w:pPr>
      <w:r w:rsidRPr="00FC5D6E">
        <w:rPr>
          <w:rFonts w:eastAsiaTheme="majorEastAsia" w:cstheme="minorHAnsi"/>
          <w:i/>
          <w:iCs/>
          <w:color w:val="595959" w:themeColor="text1" w:themeTint="A6"/>
          <w:spacing w:val="15"/>
        </w:rPr>
        <w:t>Population attributable fraction</w:t>
      </w:r>
    </w:p>
    <w:p w14:paraId="7FCC8D0F" w14:textId="77777777" w:rsidR="00464E4B" w:rsidRPr="00FC5D6E" w:rsidRDefault="00464E4B">
      <w:pPr>
        <w:numPr>
          <w:ilvl w:val="0"/>
          <w:numId w:val="35"/>
        </w:numPr>
        <w:spacing w:after="0" w:line="240" w:lineRule="auto"/>
        <w:contextualSpacing/>
      </w:pPr>
      <w:r w:rsidRPr="00FC5D6E">
        <w:t xml:space="preserve">The estimated total number of pancreatic cancer cases attributable to smoking in Ireland in 2022 was 156 (PAF 24.9%). </w:t>
      </w:r>
    </w:p>
    <w:p w14:paraId="41E5AE9B" w14:textId="77777777" w:rsidR="00464E4B" w:rsidRPr="00FC5D6E" w:rsidRDefault="00464E4B" w:rsidP="00464E4B">
      <w:pPr>
        <w:spacing w:after="0" w:line="240" w:lineRule="auto"/>
      </w:pPr>
    </w:p>
    <w:p w14:paraId="23683D56" w14:textId="77777777" w:rsidR="00464E4B" w:rsidRPr="00FC5D6E" w:rsidRDefault="00464E4B" w:rsidP="00464E4B">
      <w:pPr>
        <w:spacing w:after="0" w:line="240" w:lineRule="auto"/>
        <w:sectPr w:rsidR="00464E4B" w:rsidRPr="00FC5D6E" w:rsidSect="002746C0">
          <w:pgSz w:w="11906" w:h="16838"/>
          <w:pgMar w:top="1440" w:right="1440" w:bottom="1440" w:left="1440" w:header="708" w:footer="708" w:gutter="0"/>
          <w:cols w:space="708"/>
          <w:docGrid w:linePitch="360"/>
        </w:sectPr>
      </w:pPr>
    </w:p>
    <w:p w14:paraId="7105DB97" w14:textId="77777777" w:rsidR="00464E4B" w:rsidRPr="00FC5D6E" w:rsidRDefault="00464E4B" w:rsidP="00464E4B">
      <w:pPr>
        <w:pStyle w:val="Heading2"/>
        <w:spacing w:before="0" w:after="0" w:line="240" w:lineRule="auto"/>
      </w:pPr>
      <w:bookmarkStart w:id="222" w:name="_Toc196914602"/>
      <w:bookmarkStart w:id="223" w:name="_Toc197557111"/>
      <w:bookmarkStart w:id="224" w:name="_Toc201512502"/>
      <w:r w:rsidRPr="00FC5D6E">
        <w:t>Incidence</w:t>
      </w:r>
      <w:bookmarkEnd w:id="222"/>
      <w:bookmarkEnd w:id="223"/>
      <w:bookmarkEnd w:id="224"/>
    </w:p>
    <w:p w14:paraId="08C61769" w14:textId="61D06128" w:rsidR="00464E4B" w:rsidRDefault="00464E4B" w:rsidP="00464E4B">
      <w:pPr>
        <w:spacing w:after="0" w:line="240" w:lineRule="auto"/>
      </w:pPr>
      <w:r>
        <w:t>Between</w:t>
      </w:r>
      <w:r w:rsidRPr="00FC5D6E">
        <w:t xml:space="preserve"> 1994-2022, 13,671 cases of pancrea</w:t>
      </w:r>
      <w:r>
        <w:t>tic</w:t>
      </w:r>
      <w:r w:rsidRPr="00FC5D6E">
        <w:t xml:space="preserve"> cancer </w:t>
      </w:r>
      <w:r>
        <w:t>were</w:t>
      </w:r>
      <w:r w:rsidRPr="00FC5D6E">
        <w:t xml:space="preserve"> reported (6,982 </w:t>
      </w:r>
      <w:r>
        <w:t>m</w:t>
      </w:r>
      <w:r w:rsidRPr="00FC5D6E">
        <w:t xml:space="preserve">ales, 6,689 </w:t>
      </w:r>
      <w:r>
        <w:t>f</w:t>
      </w:r>
      <w:r w:rsidRPr="00FC5D6E">
        <w:t>emales). The median age at diagnosis was 71 years (</w:t>
      </w:r>
      <w:r>
        <w:t xml:space="preserve">IQR: </w:t>
      </w:r>
      <w:r w:rsidRPr="00FC5D6E">
        <w:t>62-78) for males and 74 (</w:t>
      </w:r>
      <w:r>
        <w:t xml:space="preserve">IQR: </w:t>
      </w:r>
      <w:r w:rsidRPr="00FC5D6E">
        <w:t>65-82) for females.</w:t>
      </w:r>
      <w:r>
        <w:t xml:space="preserve"> </w:t>
      </w:r>
      <w:r w:rsidRPr="00FC5D6E">
        <w:t xml:space="preserve">Age-standardised incidence rates of </w:t>
      </w:r>
      <w:r w:rsidR="007535AF">
        <w:t>pancreatic</w:t>
      </w:r>
      <w:r w:rsidRPr="00FC5D6E">
        <w:t xml:space="preserve"> cancer </w:t>
      </w:r>
      <w:r w:rsidR="00A52102">
        <w:t>during the period</w:t>
      </w:r>
      <w:r w:rsidRPr="00FC5D6E">
        <w:t xml:space="preserve"> 1994-2022 were 18.8 cases per 100,000 males and 14.9 cases per 100,000 females</w:t>
      </w:r>
      <w:r w:rsidR="00A52102">
        <w:t xml:space="preserve"> per year</w:t>
      </w:r>
      <w:r>
        <w:t xml:space="preserve">. </w:t>
      </w:r>
      <w:r w:rsidRPr="00FC5D6E">
        <w:t xml:space="preserve">Figure </w:t>
      </w:r>
      <w:r w:rsidR="0027033D">
        <w:t>12.1</w:t>
      </w:r>
      <w:r w:rsidRPr="00FC5D6E">
        <w:t xml:space="preserve"> breaks this down further by sex and age group.</w:t>
      </w:r>
    </w:p>
    <w:p w14:paraId="327CCBD2" w14:textId="77777777" w:rsidR="00464E4B" w:rsidRPr="00FC5D6E" w:rsidRDefault="00464E4B" w:rsidP="00464E4B">
      <w:pPr>
        <w:spacing w:after="0" w:line="240" w:lineRule="auto"/>
      </w:pPr>
    </w:p>
    <w:tbl>
      <w:tblPr>
        <w:tblW w:w="9923" w:type="dxa"/>
        <w:tblInd w:w="-284" w:type="dxa"/>
        <w:tblBorders>
          <w:bottom w:val="single" w:sz="4" w:space="0" w:color="auto"/>
        </w:tblBorders>
        <w:tblLook w:val="04A0" w:firstRow="1" w:lastRow="0" w:firstColumn="1" w:lastColumn="0" w:noHBand="0" w:noVBand="1"/>
      </w:tblPr>
      <w:tblGrid>
        <w:gridCol w:w="3545"/>
        <w:gridCol w:w="3260"/>
        <w:gridCol w:w="3118"/>
      </w:tblGrid>
      <w:tr w:rsidR="00464E4B" w:rsidRPr="00FC5D6E" w14:paraId="476EA4F7" w14:textId="77777777" w:rsidTr="0027033D">
        <w:trPr>
          <w:trHeight w:val="113"/>
        </w:trPr>
        <w:tc>
          <w:tcPr>
            <w:tcW w:w="9923" w:type="dxa"/>
            <w:gridSpan w:val="3"/>
            <w:shd w:val="clear" w:color="auto" w:fill="002060"/>
            <w:hideMark/>
          </w:tcPr>
          <w:p w14:paraId="78A4055C" w14:textId="163A4FC1" w:rsidR="00464E4B" w:rsidRPr="0027033D" w:rsidRDefault="00464E4B" w:rsidP="0041177B">
            <w:pPr>
              <w:spacing w:after="0" w:line="240" w:lineRule="auto"/>
              <w:rPr>
                <w:rFonts w:cstheme="minorHAnsi"/>
                <w:b/>
                <w:bCs/>
                <w:color w:val="FFFFFF" w:themeColor="background1"/>
                <w:sz w:val="22"/>
                <w:szCs w:val="22"/>
              </w:rPr>
            </w:pPr>
            <w:r w:rsidRPr="0027033D">
              <w:rPr>
                <w:rFonts w:cstheme="minorHAnsi"/>
                <w:b/>
                <w:bCs/>
                <w:color w:val="FFFFFF" w:themeColor="background1"/>
                <w:sz w:val="22"/>
                <w:szCs w:val="22"/>
              </w:rPr>
              <w:t xml:space="preserve">Figure </w:t>
            </w:r>
            <w:r w:rsidR="0027033D" w:rsidRPr="0027033D">
              <w:rPr>
                <w:rFonts w:cstheme="minorHAnsi"/>
                <w:b/>
                <w:bCs/>
                <w:color w:val="FFFFFF" w:themeColor="background1"/>
                <w:sz w:val="22"/>
                <w:szCs w:val="22"/>
              </w:rPr>
              <w:t>12.1:</w:t>
            </w:r>
            <w:r w:rsidRPr="0027033D">
              <w:rPr>
                <w:rFonts w:cstheme="minorHAnsi"/>
                <w:b/>
                <w:bCs/>
                <w:color w:val="FFFFFF" w:themeColor="background1"/>
                <w:sz w:val="22"/>
                <w:szCs w:val="22"/>
              </w:rPr>
              <w:t xml:space="preserve">  Incidence rate (per 100,000) for pancreatic cancer by </w:t>
            </w:r>
            <w:r w:rsidR="00366242">
              <w:rPr>
                <w:rFonts w:cstheme="minorHAnsi"/>
                <w:b/>
                <w:bCs/>
                <w:color w:val="FFFFFF" w:themeColor="background1"/>
                <w:sz w:val="22"/>
                <w:szCs w:val="22"/>
              </w:rPr>
              <w:t>age group</w:t>
            </w:r>
            <w:r w:rsidRPr="0027033D">
              <w:rPr>
                <w:rFonts w:cstheme="minorHAnsi"/>
                <w:b/>
                <w:bCs/>
                <w:color w:val="FFFFFF" w:themeColor="background1"/>
                <w:sz w:val="22"/>
                <w:szCs w:val="22"/>
              </w:rPr>
              <w:t>,1994-2022</w:t>
            </w:r>
          </w:p>
        </w:tc>
      </w:tr>
      <w:tr w:rsidR="00464E4B" w:rsidRPr="00FC5D6E" w14:paraId="2BD75473" w14:textId="77777777" w:rsidTr="0027033D">
        <w:trPr>
          <w:trHeight w:val="113"/>
        </w:trPr>
        <w:tc>
          <w:tcPr>
            <w:tcW w:w="3545" w:type="dxa"/>
            <w:hideMark/>
          </w:tcPr>
          <w:p w14:paraId="7ABB6C06" w14:textId="77777777" w:rsidR="00464E4B" w:rsidRPr="00FC5D6E" w:rsidRDefault="00464E4B" w:rsidP="0041177B">
            <w:pPr>
              <w:spacing w:after="0" w:line="240" w:lineRule="auto"/>
              <w:jc w:val="center"/>
              <w:rPr>
                <w:rFonts w:cstheme="minorHAnsi"/>
                <w:color w:val="000000" w:themeColor="text1"/>
                <w:sz w:val="22"/>
                <w:szCs w:val="22"/>
              </w:rPr>
            </w:pPr>
            <w:r w:rsidRPr="00FC5D6E">
              <w:rPr>
                <w:rFonts w:cstheme="minorHAnsi"/>
                <w:color w:val="000000" w:themeColor="text1"/>
                <w:sz w:val="22"/>
                <w:szCs w:val="22"/>
              </w:rPr>
              <w:t>Total</w:t>
            </w:r>
          </w:p>
        </w:tc>
        <w:tc>
          <w:tcPr>
            <w:tcW w:w="3260" w:type="dxa"/>
          </w:tcPr>
          <w:p w14:paraId="032C0949" w14:textId="77777777" w:rsidR="00464E4B" w:rsidRPr="00FC5D6E" w:rsidRDefault="00464E4B" w:rsidP="0041177B">
            <w:pPr>
              <w:spacing w:after="0" w:line="240" w:lineRule="auto"/>
              <w:jc w:val="center"/>
              <w:rPr>
                <w:rFonts w:cstheme="minorHAnsi"/>
                <w:color w:val="000000" w:themeColor="text1"/>
                <w:sz w:val="22"/>
                <w:szCs w:val="22"/>
              </w:rPr>
            </w:pPr>
            <w:r>
              <w:rPr>
                <w:rFonts w:cstheme="minorHAnsi"/>
                <w:color w:val="000000" w:themeColor="text1"/>
                <w:sz w:val="22"/>
                <w:szCs w:val="22"/>
              </w:rPr>
              <w:t>Males</w:t>
            </w:r>
          </w:p>
        </w:tc>
        <w:tc>
          <w:tcPr>
            <w:tcW w:w="3118" w:type="dxa"/>
          </w:tcPr>
          <w:p w14:paraId="4B6CE699" w14:textId="77777777" w:rsidR="00464E4B" w:rsidRPr="00FC5D6E" w:rsidRDefault="00464E4B" w:rsidP="0041177B">
            <w:pPr>
              <w:spacing w:after="0" w:line="240" w:lineRule="auto"/>
              <w:jc w:val="center"/>
              <w:rPr>
                <w:rFonts w:cstheme="minorHAnsi"/>
                <w:color w:val="000000" w:themeColor="text1"/>
                <w:sz w:val="22"/>
                <w:szCs w:val="22"/>
              </w:rPr>
            </w:pPr>
            <w:r>
              <w:rPr>
                <w:rFonts w:cstheme="minorHAnsi"/>
                <w:color w:val="000000" w:themeColor="text1"/>
                <w:sz w:val="22"/>
                <w:szCs w:val="22"/>
              </w:rPr>
              <w:t>Females</w:t>
            </w:r>
          </w:p>
        </w:tc>
      </w:tr>
      <w:tr w:rsidR="00464E4B" w:rsidRPr="00FC5D6E" w14:paraId="305B9E45" w14:textId="77777777" w:rsidTr="0027033D">
        <w:trPr>
          <w:trHeight w:val="113"/>
        </w:trPr>
        <w:tc>
          <w:tcPr>
            <w:tcW w:w="3545" w:type="dxa"/>
          </w:tcPr>
          <w:p w14:paraId="7ECF9A96" w14:textId="77777777" w:rsidR="00464E4B" w:rsidRPr="00FC5D6E" w:rsidRDefault="00464E4B" w:rsidP="0041177B">
            <w:pPr>
              <w:spacing w:after="0" w:line="240" w:lineRule="auto"/>
              <w:rPr>
                <w:rFonts w:cstheme="minorHAnsi"/>
                <w:color w:val="000000" w:themeColor="text1"/>
                <w:sz w:val="22"/>
                <w:szCs w:val="22"/>
              </w:rPr>
            </w:pPr>
            <w:r>
              <w:rPr>
                <w:rFonts w:cstheme="minorHAnsi"/>
                <w:noProof/>
                <w:color w:val="000000" w:themeColor="text1"/>
                <w:sz w:val="22"/>
                <w:szCs w:val="22"/>
              </w:rPr>
              <w:drawing>
                <wp:inline distT="0" distB="0" distL="0" distR="0" wp14:anchorId="77902B72" wp14:editId="7BE316A9">
                  <wp:extent cx="1854200" cy="1431699"/>
                  <wp:effectExtent l="0" t="0" r="0" b="0"/>
                  <wp:docPr id="362739703" name="Picture 13"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39703" name="Picture 13" descr="A graph with numbers and a bar&#10;&#10;AI-generated content may be incorrect."/>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869616" cy="1443602"/>
                          </a:xfrm>
                          <a:prstGeom prst="rect">
                            <a:avLst/>
                          </a:prstGeom>
                          <a:noFill/>
                        </pic:spPr>
                      </pic:pic>
                    </a:graphicData>
                  </a:graphic>
                </wp:inline>
              </w:drawing>
            </w:r>
          </w:p>
        </w:tc>
        <w:tc>
          <w:tcPr>
            <w:tcW w:w="3260" w:type="dxa"/>
          </w:tcPr>
          <w:p w14:paraId="7D6A7263" w14:textId="77777777" w:rsidR="00464E4B" w:rsidRPr="00FC5D6E" w:rsidRDefault="00464E4B" w:rsidP="0041177B">
            <w:pPr>
              <w:spacing w:after="0" w:line="240" w:lineRule="auto"/>
              <w:rPr>
                <w:rFonts w:cstheme="minorHAnsi"/>
                <w:color w:val="000000" w:themeColor="text1"/>
                <w:sz w:val="22"/>
                <w:szCs w:val="22"/>
              </w:rPr>
            </w:pPr>
            <w:r>
              <w:rPr>
                <w:rFonts w:eastAsia="Times New Roman" w:cs="Times New Roman"/>
                <w:noProof/>
                <w:sz w:val="22"/>
                <w:szCs w:val="22"/>
                <w:lang w:eastAsia="en-GB"/>
              </w:rPr>
              <w:drawing>
                <wp:inline distT="0" distB="0" distL="0" distR="0" wp14:anchorId="4DC849AF" wp14:editId="7D59BE6E">
                  <wp:extent cx="1757680" cy="1427464"/>
                  <wp:effectExtent l="0" t="0" r="0" b="1905"/>
                  <wp:docPr id="420973631" name="Picture 14"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973631" name="Picture 14" descr="A graph with numbers and a bar&#10;&#10;AI-generated content may be incorrect."/>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772174" cy="1439235"/>
                          </a:xfrm>
                          <a:prstGeom prst="rect">
                            <a:avLst/>
                          </a:prstGeom>
                          <a:noFill/>
                        </pic:spPr>
                      </pic:pic>
                    </a:graphicData>
                  </a:graphic>
                </wp:inline>
              </w:drawing>
            </w:r>
          </w:p>
        </w:tc>
        <w:tc>
          <w:tcPr>
            <w:tcW w:w="3118" w:type="dxa"/>
          </w:tcPr>
          <w:p w14:paraId="77B33094" w14:textId="77777777" w:rsidR="00464E4B" w:rsidRPr="00FC5D6E" w:rsidRDefault="00464E4B" w:rsidP="0041177B">
            <w:pPr>
              <w:spacing w:after="0" w:line="240" w:lineRule="auto"/>
              <w:rPr>
                <w:rFonts w:cstheme="minorHAnsi"/>
                <w:color w:val="000000" w:themeColor="text1"/>
                <w:sz w:val="22"/>
                <w:szCs w:val="22"/>
              </w:rPr>
            </w:pPr>
            <w:r>
              <w:rPr>
                <w:rFonts w:cstheme="minorHAnsi"/>
                <w:noProof/>
                <w:color w:val="000000" w:themeColor="text1"/>
                <w:sz w:val="22"/>
                <w:szCs w:val="22"/>
              </w:rPr>
              <w:drawing>
                <wp:inline distT="0" distB="0" distL="0" distR="0" wp14:anchorId="2D552006" wp14:editId="4520E93E">
                  <wp:extent cx="1780036" cy="1426845"/>
                  <wp:effectExtent l="0" t="0" r="0" b="1905"/>
                  <wp:docPr id="1660871142" name="Picture 15"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71142" name="Picture 15" descr="A graph with numbers and a bar&#10;&#10;AI-generated content may be incorrect."/>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801777" cy="1444272"/>
                          </a:xfrm>
                          <a:prstGeom prst="rect">
                            <a:avLst/>
                          </a:prstGeom>
                          <a:noFill/>
                        </pic:spPr>
                      </pic:pic>
                    </a:graphicData>
                  </a:graphic>
                </wp:inline>
              </w:drawing>
            </w:r>
          </w:p>
        </w:tc>
      </w:tr>
    </w:tbl>
    <w:p w14:paraId="519B8791" w14:textId="77777777" w:rsidR="001A3B02" w:rsidRPr="001A3B02" w:rsidRDefault="001A3B02" w:rsidP="001A3B02">
      <w:bookmarkStart w:id="225" w:name="_Toc197557112"/>
    </w:p>
    <w:p w14:paraId="2A40BC26" w14:textId="6ADA3E79" w:rsidR="00464E4B" w:rsidRPr="00FC5D6E" w:rsidRDefault="00464E4B" w:rsidP="00464E4B">
      <w:pPr>
        <w:pStyle w:val="Heading3"/>
        <w:spacing w:before="0" w:after="0" w:line="240" w:lineRule="auto"/>
      </w:pPr>
      <w:bookmarkStart w:id="226" w:name="_Toc201512503"/>
      <w:r w:rsidRPr="00FC5D6E">
        <w:t>Trends over time</w:t>
      </w:r>
      <w:bookmarkEnd w:id="225"/>
      <w:bookmarkEnd w:id="226"/>
    </w:p>
    <w:p w14:paraId="107EBBD9" w14:textId="52FAEF49" w:rsidR="00464E4B" w:rsidRDefault="00464E4B" w:rsidP="00464E4B">
      <w:pPr>
        <w:spacing w:after="0" w:line="240" w:lineRule="auto"/>
        <w:rPr>
          <w:rFonts w:cstheme="minorHAnsi"/>
        </w:rPr>
      </w:pPr>
      <w:r w:rsidRPr="00FC5D6E">
        <w:rPr>
          <w:rFonts w:cstheme="minorHAnsi"/>
        </w:rPr>
        <w:t xml:space="preserve">Figure </w:t>
      </w:r>
      <w:r w:rsidR="0027033D">
        <w:rPr>
          <w:rFonts w:cstheme="minorHAnsi"/>
        </w:rPr>
        <w:t xml:space="preserve">12.2 </w:t>
      </w:r>
      <w:r w:rsidRPr="00FC5D6E">
        <w:rPr>
          <w:rFonts w:cstheme="minorHAnsi"/>
        </w:rPr>
        <w:t>shows the incidence of pancrea</w:t>
      </w:r>
      <w:r>
        <w:rPr>
          <w:rFonts w:cstheme="minorHAnsi"/>
        </w:rPr>
        <w:t>tic</w:t>
      </w:r>
      <w:r w:rsidRPr="00FC5D6E">
        <w:rPr>
          <w:rFonts w:cstheme="minorHAnsi"/>
        </w:rPr>
        <w:t xml:space="preserve"> cancer from 1994 to 2022. Across the period rates remained steady among </w:t>
      </w:r>
      <w:r>
        <w:rPr>
          <w:rFonts w:cstheme="minorHAnsi"/>
        </w:rPr>
        <w:t>males</w:t>
      </w:r>
      <w:r w:rsidRPr="00FC5D6E">
        <w:rPr>
          <w:rFonts w:cstheme="minorHAnsi"/>
        </w:rPr>
        <w:t xml:space="preserve"> </w:t>
      </w:r>
      <w:r>
        <w:rPr>
          <w:rFonts w:cstheme="minorHAnsi"/>
        </w:rPr>
        <w:t>and among females.</w:t>
      </w:r>
    </w:p>
    <w:p w14:paraId="68F93697" w14:textId="77777777" w:rsidR="00464E4B" w:rsidRPr="00FC5D6E" w:rsidRDefault="00464E4B" w:rsidP="00464E4B">
      <w:pPr>
        <w:spacing w:after="0" w:line="240" w:lineRule="auto"/>
        <w:rPr>
          <w:rFonts w:cstheme="minorHAnsi"/>
        </w:rPr>
      </w:pPr>
    </w:p>
    <w:tbl>
      <w:tblPr>
        <w:tblW w:w="10006" w:type="dxa"/>
        <w:tblInd w:w="-289" w:type="dxa"/>
        <w:tblLook w:val="04A0" w:firstRow="1" w:lastRow="0" w:firstColumn="1" w:lastColumn="0" w:noHBand="0" w:noVBand="1"/>
      </w:tblPr>
      <w:tblGrid>
        <w:gridCol w:w="10006"/>
      </w:tblGrid>
      <w:tr w:rsidR="00464E4B" w:rsidRPr="00FC5D6E" w14:paraId="72871E98" w14:textId="77777777" w:rsidTr="0041177B">
        <w:trPr>
          <w:trHeight w:val="113"/>
        </w:trPr>
        <w:tc>
          <w:tcPr>
            <w:tcW w:w="10006" w:type="dxa"/>
            <w:shd w:val="clear" w:color="auto" w:fill="002060"/>
            <w:vAlign w:val="center"/>
            <w:hideMark/>
          </w:tcPr>
          <w:p w14:paraId="3BB038FD" w14:textId="100CC2B8" w:rsidR="00464E4B" w:rsidRPr="00FC5D6E" w:rsidRDefault="00464E4B" w:rsidP="0041177B">
            <w:pPr>
              <w:spacing w:after="0" w:line="240" w:lineRule="auto"/>
              <w:rPr>
                <w:b/>
                <w:bCs/>
                <w:sz w:val="22"/>
                <w:szCs w:val="22"/>
              </w:rPr>
            </w:pPr>
            <w:r w:rsidRPr="00FC5D6E">
              <w:rPr>
                <w:b/>
                <w:bCs/>
                <w:sz w:val="22"/>
                <w:szCs w:val="22"/>
              </w:rPr>
              <w:t xml:space="preserve">Figure </w:t>
            </w:r>
            <w:r w:rsidR="0027033D">
              <w:rPr>
                <w:b/>
                <w:bCs/>
                <w:sz w:val="22"/>
                <w:szCs w:val="22"/>
              </w:rPr>
              <w:t>12.2:</w:t>
            </w:r>
            <w:r w:rsidRPr="00FC5D6E">
              <w:rPr>
                <w:b/>
                <w:bCs/>
                <w:sz w:val="22"/>
                <w:szCs w:val="22"/>
              </w:rPr>
              <w:t xml:space="preserve">   Age-</w:t>
            </w:r>
            <w:r w:rsidRPr="00FC5D6E">
              <w:rPr>
                <w:b/>
                <w:bCs/>
                <w:sz w:val="22"/>
                <w:szCs w:val="22"/>
                <w:bdr w:val="single" w:sz="4" w:space="0" w:color="auto" w:frame="1"/>
              </w:rPr>
              <w:t>standardised incidence rate 1994-2022, pancreas</w:t>
            </w:r>
          </w:p>
        </w:tc>
      </w:tr>
      <w:tr w:rsidR="00464E4B" w:rsidRPr="00FC5D6E" w14:paraId="5419CE78" w14:textId="77777777" w:rsidTr="0041177B">
        <w:trPr>
          <w:trHeight w:val="113"/>
        </w:trPr>
        <w:tc>
          <w:tcPr>
            <w:tcW w:w="10006" w:type="dxa"/>
            <w:vAlign w:val="center"/>
          </w:tcPr>
          <w:p w14:paraId="44ADA182" w14:textId="77777777" w:rsidR="00464E4B" w:rsidRPr="00FC5D6E" w:rsidRDefault="00464E4B" w:rsidP="0041177B">
            <w:pPr>
              <w:spacing w:after="0" w:line="240" w:lineRule="auto"/>
              <w:jc w:val="center"/>
              <w:rPr>
                <w:sz w:val="22"/>
                <w:szCs w:val="22"/>
              </w:rPr>
            </w:pPr>
            <w:r>
              <w:rPr>
                <w:noProof/>
                <w:sz w:val="22"/>
                <w:szCs w:val="22"/>
              </w:rPr>
              <w:drawing>
                <wp:inline distT="0" distB="0" distL="0" distR="0" wp14:anchorId="496178BB" wp14:editId="248ACFC5">
                  <wp:extent cx="5755005" cy="3017520"/>
                  <wp:effectExtent l="0" t="0" r="0" b="0"/>
                  <wp:docPr id="2103403527" name="Picture 3"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03527" name="Picture 3" descr="A graph with numbers and lines&#10;&#10;AI-generated content may be incorrect."/>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55005" cy="3017520"/>
                          </a:xfrm>
                          <a:prstGeom prst="rect">
                            <a:avLst/>
                          </a:prstGeom>
                          <a:noFill/>
                        </pic:spPr>
                      </pic:pic>
                    </a:graphicData>
                  </a:graphic>
                </wp:inline>
              </w:drawing>
            </w:r>
          </w:p>
        </w:tc>
      </w:tr>
      <w:tr w:rsidR="00464E4B" w:rsidRPr="00FC5D6E" w14:paraId="7FA4B6B0" w14:textId="77777777" w:rsidTr="0041177B">
        <w:trPr>
          <w:trHeight w:val="113"/>
        </w:trPr>
        <w:tc>
          <w:tcPr>
            <w:tcW w:w="10006" w:type="dxa"/>
            <w:vAlign w:val="center"/>
          </w:tcPr>
          <w:tbl>
            <w:tblPr>
              <w:tblpPr w:leftFromText="180" w:rightFromText="180" w:bottomFromText="160" w:vertAnchor="page" w:horzAnchor="margin" w:tblpXSpec="center" w:tblpY="1"/>
              <w:tblOverlap w:val="never"/>
              <w:tblW w:w="0" w:type="auto"/>
              <w:tblLook w:val="04A0" w:firstRow="1" w:lastRow="0" w:firstColumn="1" w:lastColumn="0" w:noHBand="0" w:noVBand="1"/>
            </w:tblPr>
            <w:tblGrid>
              <w:gridCol w:w="498"/>
              <w:gridCol w:w="1089"/>
              <w:gridCol w:w="713"/>
              <w:gridCol w:w="877"/>
              <w:gridCol w:w="660"/>
              <w:gridCol w:w="498"/>
              <w:gridCol w:w="1126"/>
              <w:gridCol w:w="713"/>
              <w:gridCol w:w="877"/>
              <w:gridCol w:w="660"/>
            </w:tblGrid>
            <w:tr w:rsidR="00464E4B" w:rsidRPr="00170F7E" w14:paraId="6AE2C378" w14:textId="77777777" w:rsidTr="0041177B">
              <w:trPr>
                <w:trHeight w:val="113"/>
              </w:trPr>
              <w:tc>
                <w:tcPr>
                  <w:tcW w:w="0" w:type="auto"/>
                  <w:noWrap/>
                  <w:tcMar>
                    <w:top w:w="15" w:type="dxa"/>
                    <w:left w:w="108" w:type="dxa"/>
                    <w:bottom w:w="15" w:type="dxa"/>
                    <w:right w:w="108" w:type="dxa"/>
                  </w:tcMar>
                  <w:vAlign w:val="center"/>
                  <w:hideMark/>
                </w:tcPr>
                <w:p w14:paraId="7D12AE0D" w14:textId="77777777" w:rsidR="00464E4B" w:rsidRPr="00170F7E"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170F7E">
                    <w:rPr>
                      <w:rFonts w:ascii="Aptos Narrow" w:eastAsia="Times New Roman" w:hAnsi="Aptos Narrow" w:cs="Times New Roman"/>
                      <w:b/>
                      <w:bCs/>
                      <w:color w:val="000000"/>
                      <w:kern w:val="0"/>
                      <w:sz w:val="20"/>
                      <w:szCs w:val="20"/>
                      <w:u w:val="single"/>
                      <w:lang w:eastAsia="en-GB"/>
                      <w14:ligatures w14:val="none"/>
                    </w:rPr>
                    <w:t>sex</w:t>
                  </w:r>
                </w:p>
              </w:tc>
              <w:tc>
                <w:tcPr>
                  <w:tcW w:w="0" w:type="auto"/>
                  <w:noWrap/>
                  <w:tcMar>
                    <w:top w:w="15" w:type="dxa"/>
                    <w:left w:w="108" w:type="dxa"/>
                    <w:bottom w:w="15" w:type="dxa"/>
                    <w:right w:w="108" w:type="dxa"/>
                  </w:tcMar>
                  <w:vAlign w:val="center"/>
                  <w:hideMark/>
                </w:tcPr>
                <w:p w14:paraId="50AC2E78" w14:textId="77777777" w:rsidR="00464E4B" w:rsidRPr="00170F7E"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170F7E">
                    <w:rPr>
                      <w:rFonts w:ascii="Aptos Narrow" w:eastAsia="Times New Roman" w:hAnsi="Aptos Narrow" w:cs="Times New Roman"/>
                      <w:b/>
                      <w:bCs/>
                      <w:color w:val="000000"/>
                      <w:kern w:val="0"/>
                      <w:sz w:val="20"/>
                      <w:szCs w:val="20"/>
                      <w:u w:val="single"/>
                      <w:lang w:eastAsia="en-GB"/>
                      <w14:ligatures w14:val="none"/>
                    </w:rPr>
                    <w:t>period</w:t>
                  </w:r>
                </w:p>
              </w:tc>
              <w:tc>
                <w:tcPr>
                  <w:tcW w:w="0" w:type="auto"/>
                  <w:noWrap/>
                  <w:tcMar>
                    <w:top w:w="15" w:type="dxa"/>
                    <w:left w:w="108" w:type="dxa"/>
                    <w:bottom w:w="15" w:type="dxa"/>
                    <w:right w:w="108" w:type="dxa"/>
                  </w:tcMar>
                  <w:vAlign w:val="center"/>
                  <w:hideMark/>
                </w:tcPr>
                <w:p w14:paraId="787F9445" w14:textId="77777777" w:rsidR="00464E4B" w:rsidRPr="00170F7E"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170F7E">
                    <w:rPr>
                      <w:rFonts w:ascii="Aptos Narrow" w:eastAsia="Times New Roman" w:hAnsi="Aptos Narrow" w:cs="Times New Roman"/>
                      <w:b/>
                      <w:bCs/>
                      <w:color w:val="000000"/>
                      <w:kern w:val="0"/>
                      <w:sz w:val="20"/>
                      <w:szCs w:val="20"/>
                      <w:u w:val="single"/>
                      <w:lang w:eastAsia="en-GB"/>
                      <w14:ligatures w14:val="none"/>
                    </w:rPr>
                    <w:t>APC%</w:t>
                  </w:r>
                </w:p>
              </w:tc>
              <w:tc>
                <w:tcPr>
                  <w:tcW w:w="0" w:type="auto"/>
                  <w:noWrap/>
                  <w:tcMar>
                    <w:top w:w="15" w:type="dxa"/>
                    <w:left w:w="108" w:type="dxa"/>
                    <w:bottom w:w="15" w:type="dxa"/>
                    <w:right w:w="108" w:type="dxa"/>
                  </w:tcMar>
                  <w:vAlign w:val="center"/>
                  <w:hideMark/>
                </w:tcPr>
                <w:p w14:paraId="516823BC" w14:textId="77777777" w:rsidR="00464E4B" w:rsidRPr="00170F7E"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170F7E">
                    <w:rPr>
                      <w:rFonts w:ascii="Aptos Narrow" w:eastAsia="Times New Roman" w:hAnsi="Aptos Narrow" w:cs="Times New Roman"/>
                      <w:b/>
                      <w:bCs/>
                      <w:color w:val="000000"/>
                      <w:kern w:val="0"/>
                      <w:sz w:val="20"/>
                      <w:szCs w:val="20"/>
                      <w:u w:val="single"/>
                      <w:lang w:eastAsia="en-GB"/>
                      <w14:ligatures w14:val="none"/>
                    </w:rPr>
                    <w:t>95%CI</w:t>
                  </w:r>
                </w:p>
              </w:tc>
              <w:tc>
                <w:tcPr>
                  <w:tcW w:w="0" w:type="auto"/>
                  <w:tcBorders>
                    <w:right w:val="single" w:sz="4" w:space="0" w:color="auto"/>
                  </w:tcBorders>
                  <w:noWrap/>
                  <w:tcMar>
                    <w:top w:w="15" w:type="dxa"/>
                    <w:left w:w="108" w:type="dxa"/>
                    <w:bottom w:w="15" w:type="dxa"/>
                    <w:right w:w="108" w:type="dxa"/>
                  </w:tcMar>
                  <w:vAlign w:val="center"/>
                  <w:hideMark/>
                </w:tcPr>
                <w:p w14:paraId="232FC920" w14:textId="77777777" w:rsidR="00464E4B" w:rsidRPr="00170F7E"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170F7E">
                    <w:rPr>
                      <w:rFonts w:ascii="Aptos Narrow" w:eastAsia="Times New Roman" w:hAnsi="Aptos Narrow" w:cs="Times New Roman"/>
                      <w:b/>
                      <w:bCs/>
                      <w:color w:val="000000"/>
                      <w:kern w:val="0"/>
                      <w:sz w:val="20"/>
                      <w:szCs w:val="20"/>
                      <w:u w:val="single"/>
                      <w:lang w:eastAsia="en-GB"/>
                      <w14:ligatures w14:val="none"/>
                    </w:rPr>
                    <w:t>trend</w:t>
                  </w:r>
                </w:p>
              </w:tc>
              <w:tc>
                <w:tcPr>
                  <w:tcW w:w="0" w:type="auto"/>
                  <w:tcBorders>
                    <w:left w:val="single" w:sz="4" w:space="0" w:color="auto"/>
                  </w:tcBorders>
                  <w:vAlign w:val="center"/>
                </w:tcPr>
                <w:p w14:paraId="7B43A4B1" w14:textId="77777777" w:rsidR="00464E4B" w:rsidRPr="00170F7E"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170F7E">
                    <w:rPr>
                      <w:rFonts w:ascii="Aptos Narrow" w:eastAsia="Times New Roman" w:hAnsi="Aptos Narrow" w:cs="Times New Roman"/>
                      <w:b/>
                      <w:bCs/>
                      <w:color w:val="000000"/>
                      <w:kern w:val="0"/>
                      <w:sz w:val="20"/>
                      <w:szCs w:val="20"/>
                      <w:u w:val="single"/>
                      <w:lang w:eastAsia="en-GB"/>
                      <w14:ligatures w14:val="none"/>
                    </w:rPr>
                    <w:t>sex</w:t>
                  </w:r>
                </w:p>
              </w:tc>
              <w:tc>
                <w:tcPr>
                  <w:tcW w:w="0" w:type="auto"/>
                  <w:vAlign w:val="center"/>
                </w:tcPr>
                <w:p w14:paraId="6D1212DC" w14:textId="77777777" w:rsidR="00464E4B" w:rsidRPr="00170F7E"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170F7E">
                    <w:rPr>
                      <w:rFonts w:ascii="Aptos Narrow" w:eastAsia="Times New Roman" w:hAnsi="Aptos Narrow" w:cs="Times New Roman"/>
                      <w:b/>
                      <w:bCs/>
                      <w:color w:val="000000"/>
                      <w:kern w:val="0"/>
                      <w:sz w:val="20"/>
                      <w:szCs w:val="20"/>
                      <w:u w:val="single"/>
                      <w:lang w:eastAsia="en-GB"/>
                      <w14:ligatures w14:val="none"/>
                    </w:rPr>
                    <w:t>period</w:t>
                  </w:r>
                </w:p>
              </w:tc>
              <w:tc>
                <w:tcPr>
                  <w:tcW w:w="0" w:type="auto"/>
                  <w:vAlign w:val="center"/>
                </w:tcPr>
                <w:p w14:paraId="696A65CD" w14:textId="77777777" w:rsidR="00464E4B" w:rsidRPr="00170F7E"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170F7E">
                    <w:rPr>
                      <w:rFonts w:ascii="Aptos Narrow" w:eastAsia="Times New Roman" w:hAnsi="Aptos Narrow" w:cs="Times New Roman"/>
                      <w:b/>
                      <w:bCs/>
                      <w:color w:val="000000"/>
                      <w:kern w:val="0"/>
                      <w:sz w:val="20"/>
                      <w:szCs w:val="20"/>
                      <w:u w:val="single"/>
                      <w:lang w:eastAsia="en-GB"/>
                      <w14:ligatures w14:val="none"/>
                    </w:rPr>
                    <w:t>APC%</w:t>
                  </w:r>
                </w:p>
              </w:tc>
              <w:tc>
                <w:tcPr>
                  <w:tcW w:w="0" w:type="auto"/>
                  <w:vAlign w:val="center"/>
                </w:tcPr>
                <w:p w14:paraId="31D04842" w14:textId="77777777" w:rsidR="00464E4B" w:rsidRPr="00170F7E"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170F7E">
                    <w:rPr>
                      <w:rFonts w:ascii="Aptos Narrow" w:eastAsia="Times New Roman" w:hAnsi="Aptos Narrow" w:cs="Times New Roman"/>
                      <w:b/>
                      <w:bCs/>
                      <w:color w:val="000000"/>
                      <w:kern w:val="0"/>
                      <w:sz w:val="20"/>
                      <w:szCs w:val="20"/>
                      <w:u w:val="single"/>
                      <w:lang w:eastAsia="en-GB"/>
                      <w14:ligatures w14:val="none"/>
                    </w:rPr>
                    <w:t>95%CI</w:t>
                  </w:r>
                </w:p>
              </w:tc>
              <w:tc>
                <w:tcPr>
                  <w:tcW w:w="0" w:type="auto"/>
                  <w:vAlign w:val="center"/>
                </w:tcPr>
                <w:p w14:paraId="1E70DD34" w14:textId="77777777" w:rsidR="00464E4B" w:rsidRPr="00170F7E"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170F7E">
                    <w:rPr>
                      <w:rFonts w:ascii="Aptos Narrow" w:eastAsia="Times New Roman" w:hAnsi="Aptos Narrow" w:cs="Times New Roman"/>
                      <w:b/>
                      <w:bCs/>
                      <w:color w:val="000000"/>
                      <w:kern w:val="0"/>
                      <w:sz w:val="20"/>
                      <w:szCs w:val="20"/>
                      <w:u w:val="single"/>
                      <w:lang w:eastAsia="en-GB"/>
                      <w14:ligatures w14:val="none"/>
                    </w:rPr>
                    <w:t>trend</w:t>
                  </w:r>
                </w:p>
              </w:tc>
            </w:tr>
            <w:tr w:rsidR="00464E4B" w:rsidRPr="00170F7E" w14:paraId="18A9D264" w14:textId="77777777" w:rsidTr="0041177B">
              <w:trPr>
                <w:trHeight w:val="113"/>
              </w:trPr>
              <w:tc>
                <w:tcPr>
                  <w:tcW w:w="0" w:type="auto"/>
                  <w:noWrap/>
                  <w:tcMar>
                    <w:top w:w="15" w:type="dxa"/>
                    <w:left w:w="108" w:type="dxa"/>
                    <w:bottom w:w="15" w:type="dxa"/>
                    <w:right w:w="108" w:type="dxa"/>
                  </w:tcMar>
                  <w:hideMark/>
                </w:tcPr>
                <w:p w14:paraId="1871B98C" w14:textId="77777777" w:rsidR="00464E4B" w:rsidRPr="00170F7E"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170F7E">
                    <w:rPr>
                      <w:rFonts w:ascii="Aptos Narrow" w:hAnsi="Aptos Narrow"/>
                      <w:sz w:val="20"/>
                      <w:szCs w:val="20"/>
                    </w:rPr>
                    <w:t>M </w:t>
                  </w:r>
                </w:p>
              </w:tc>
              <w:tc>
                <w:tcPr>
                  <w:tcW w:w="0" w:type="auto"/>
                  <w:noWrap/>
                  <w:tcMar>
                    <w:top w:w="15" w:type="dxa"/>
                    <w:left w:w="108" w:type="dxa"/>
                    <w:bottom w:w="15" w:type="dxa"/>
                    <w:right w:w="108" w:type="dxa"/>
                  </w:tcMar>
                  <w:hideMark/>
                </w:tcPr>
                <w:p w14:paraId="5DE7F983" w14:textId="77777777" w:rsidR="00464E4B" w:rsidRPr="00170F7E"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170F7E">
                    <w:rPr>
                      <w:rFonts w:ascii="Aptos Narrow" w:hAnsi="Aptos Narrow"/>
                      <w:sz w:val="20"/>
                      <w:szCs w:val="20"/>
                    </w:rPr>
                    <w:t>1994-2022</w:t>
                  </w:r>
                </w:p>
              </w:tc>
              <w:tc>
                <w:tcPr>
                  <w:tcW w:w="0" w:type="auto"/>
                  <w:noWrap/>
                  <w:tcMar>
                    <w:top w:w="15" w:type="dxa"/>
                    <w:left w:w="108" w:type="dxa"/>
                    <w:bottom w:w="15" w:type="dxa"/>
                    <w:right w:w="108" w:type="dxa"/>
                  </w:tcMar>
                  <w:hideMark/>
                </w:tcPr>
                <w:p w14:paraId="275C05A3" w14:textId="77777777" w:rsidR="00464E4B" w:rsidRPr="00170F7E"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170F7E">
                    <w:rPr>
                      <w:rFonts w:ascii="Aptos Narrow" w:hAnsi="Aptos Narrow"/>
                      <w:sz w:val="20"/>
                      <w:szCs w:val="20"/>
                    </w:rPr>
                    <w:t>0</w:t>
                  </w:r>
                </w:p>
              </w:tc>
              <w:tc>
                <w:tcPr>
                  <w:tcW w:w="0" w:type="auto"/>
                  <w:noWrap/>
                  <w:tcMar>
                    <w:top w:w="15" w:type="dxa"/>
                    <w:left w:w="108" w:type="dxa"/>
                    <w:bottom w:w="15" w:type="dxa"/>
                    <w:right w:w="108" w:type="dxa"/>
                  </w:tcMar>
                  <w:hideMark/>
                </w:tcPr>
                <w:p w14:paraId="1050F909" w14:textId="77777777" w:rsidR="00464E4B" w:rsidRPr="00170F7E"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170F7E">
                    <w:rPr>
                      <w:rFonts w:ascii="Aptos Narrow" w:hAnsi="Aptos Narrow"/>
                      <w:sz w:val="20"/>
                      <w:szCs w:val="20"/>
                    </w:rPr>
                    <w:t>-0.3, 0.4</w:t>
                  </w:r>
                </w:p>
              </w:tc>
              <w:tc>
                <w:tcPr>
                  <w:tcW w:w="0" w:type="auto"/>
                  <w:tcBorders>
                    <w:right w:val="single" w:sz="4" w:space="0" w:color="auto"/>
                  </w:tcBorders>
                  <w:noWrap/>
                  <w:tcMar>
                    <w:top w:w="15" w:type="dxa"/>
                    <w:left w:w="108" w:type="dxa"/>
                    <w:bottom w:w="15" w:type="dxa"/>
                    <w:right w:w="108" w:type="dxa"/>
                  </w:tcMar>
                  <w:hideMark/>
                </w:tcPr>
                <w:p w14:paraId="0D6E984D" w14:textId="77777777" w:rsidR="00464E4B" w:rsidRPr="00170F7E"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170F7E">
                    <w:rPr>
                      <w:rFonts w:ascii="Aptos Narrow" w:hAnsi="Aptos Narrow"/>
                      <w:sz w:val="20"/>
                      <w:szCs w:val="20"/>
                    </w:rPr>
                    <w:t>flat</w:t>
                  </w:r>
                </w:p>
              </w:tc>
              <w:tc>
                <w:tcPr>
                  <w:tcW w:w="0" w:type="auto"/>
                  <w:tcBorders>
                    <w:left w:val="single" w:sz="4" w:space="0" w:color="auto"/>
                  </w:tcBorders>
                </w:tcPr>
                <w:p w14:paraId="66D58721" w14:textId="77777777" w:rsidR="00464E4B" w:rsidRPr="00170F7E" w:rsidRDefault="00464E4B" w:rsidP="0041177B">
                  <w:pPr>
                    <w:spacing w:after="0" w:line="240" w:lineRule="auto"/>
                    <w:jc w:val="center"/>
                    <w:rPr>
                      <w:rFonts w:ascii="Aptos Narrow" w:hAnsi="Aptos Narrow"/>
                      <w:sz w:val="20"/>
                      <w:szCs w:val="20"/>
                    </w:rPr>
                  </w:pPr>
                  <w:r w:rsidRPr="00170F7E">
                    <w:rPr>
                      <w:rFonts w:ascii="Aptos Narrow" w:hAnsi="Aptos Narrow"/>
                      <w:sz w:val="20"/>
                      <w:szCs w:val="20"/>
                    </w:rPr>
                    <w:t>F </w:t>
                  </w:r>
                </w:p>
              </w:tc>
              <w:tc>
                <w:tcPr>
                  <w:tcW w:w="0" w:type="auto"/>
                </w:tcPr>
                <w:p w14:paraId="28ADEFEE" w14:textId="77777777" w:rsidR="00464E4B" w:rsidRPr="00170F7E" w:rsidRDefault="00464E4B" w:rsidP="0041177B">
                  <w:pPr>
                    <w:spacing w:after="0" w:line="240" w:lineRule="auto"/>
                    <w:jc w:val="center"/>
                    <w:rPr>
                      <w:rFonts w:ascii="Aptos Narrow" w:hAnsi="Aptos Narrow"/>
                      <w:sz w:val="20"/>
                      <w:szCs w:val="20"/>
                    </w:rPr>
                  </w:pPr>
                  <w:r w:rsidRPr="00170F7E">
                    <w:rPr>
                      <w:rFonts w:ascii="Aptos Narrow" w:hAnsi="Aptos Narrow"/>
                      <w:sz w:val="20"/>
                      <w:szCs w:val="20"/>
                    </w:rPr>
                    <w:t>1994-2022 </w:t>
                  </w:r>
                </w:p>
              </w:tc>
              <w:tc>
                <w:tcPr>
                  <w:tcW w:w="0" w:type="auto"/>
                </w:tcPr>
                <w:p w14:paraId="33DA495D" w14:textId="77777777" w:rsidR="00464E4B" w:rsidRPr="00170F7E" w:rsidRDefault="00464E4B" w:rsidP="0041177B">
                  <w:pPr>
                    <w:spacing w:after="0" w:line="240" w:lineRule="auto"/>
                    <w:jc w:val="center"/>
                    <w:rPr>
                      <w:rFonts w:ascii="Aptos Narrow" w:hAnsi="Aptos Narrow"/>
                      <w:sz w:val="20"/>
                      <w:szCs w:val="20"/>
                    </w:rPr>
                  </w:pPr>
                  <w:r w:rsidRPr="00170F7E">
                    <w:rPr>
                      <w:rFonts w:ascii="Aptos Narrow" w:hAnsi="Aptos Narrow"/>
                      <w:sz w:val="20"/>
                      <w:szCs w:val="20"/>
                    </w:rPr>
                    <w:t>0.2</w:t>
                  </w:r>
                </w:p>
              </w:tc>
              <w:tc>
                <w:tcPr>
                  <w:tcW w:w="0" w:type="auto"/>
                </w:tcPr>
                <w:p w14:paraId="583D4EB3" w14:textId="77777777" w:rsidR="00464E4B" w:rsidRPr="00170F7E" w:rsidRDefault="00464E4B" w:rsidP="0041177B">
                  <w:pPr>
                    <w:spacing w:after="0" w:line="240" w:lineRule="auto"/>
                    <w:jc w:val="center"/>
                    <w:rPr>
                      <w:rFonts w:ascii="Aptos Narrow" w:hAnsi="Aptos Narrow"/>
                      <w:sz w:val="20"/>
                      <w:szCs w:val="20"/>
                    </w:rPr>
                  </w:pPr>
                  <w:r w:rsidRPr="00170F7E">
                    <w:rPr>
                      <w:rFonts w:ascii="Aptos Narrow" w:hAnsi="Aptos Narrow"/>
                      <w:sz w:val="20"/>
                      <w:szCs w:val="20"/>
                    </w:rPr>
                    <w:t>-0.2, 0.5</w:t>
                  </w:r>
                </w:p>
              </w:tc>
              <w:tc>
                <w:tcPr>
                  <w:tcW w:w="0" w:type="auto"/>
                </w:tcPr>
                <w:p w14:paraId="430101AB" w14:textId="77777777" w:rsidR="00464E4B" w:rsidRPr="00170F7E" w:rsidRDefault="00464E4B" w:rsidP="0041177B">
                  <w:pPr>
                    <w:spacing w:after="0" w:line="240" w:lineRule="auto"/>
                    <w:jc w:val="center"/>
                    <w:rPr>
                      <w:rFonts w:ascii="Aptos Narrow" w:hAnsi="Aptos Narrow"/>
                      <w:sz w:val="20"/>
                      <w:szCs w:val="20"/>
                    </w:rPr>
                  </w:pPr>
                  <w:r w:rsidRPr="00170F7E">
                    <w:rPr>
                      <w:rFonts w:ascii="Aptos Narrow" w:hAnsi="Aptos Narrow"/>
                      <w:sz w:val="20"/>
                      <w:szCs w:val="20"/>
                    </w:rPr>
                    <w:t>flat</w:t>
                  </w:r>
                </w:p>
              </w:tc>
            </w:tr>
          </w:tbl>
          <w:p w14:paraId="45F914EE" w14:textId="77777777" w:rsidR="00464E4B" w:rsidRPr="00FC5D6E" w:rsidRDefault="00464E4B" w:rsidP="0041177B">
            <w:pPr>
              <w:spacing w:after="0" w:line="240" w:lineRule="auto"/>
              <w:jc w:val="center"/>
              <w:rPr>
                <w:rFonts w:ascii="Aptos Narrow" w:eastAsia="Times New Roman" w:hAnsi="Aptos Narrow" w:cs="Times New Roman"/>
                <w:b/>
                <w:bCs/>
                <w:color w:val="000000"/>
                <w:kern w:val="0"/>
                <w:sz w:val="14"/>
                <w:szCs w:val="14"/>
                <w:u w:val="single"/>
                <w:lang w:eastAsia="en-GB"/>
                <w14:ligatures w14:val="none"/>
              </w:rPr>
            </w:pPr>
          </w:p>
        </w:tc>
      </w:tr>
      <w:tr w:rsidR="00464E4B" w:rsidRPr="00FC5D6E" w14:paraId="3D4D8D66" w14:textId="77777777" w:rsidTr="0041177B">
        <w:trPr>
          <w:trHeight w:val="113"/>
        </w:trPr>
        <w:tc>
          <w:tcPr>
            <w:tcW w:w="10006" w:type="dxa"/>
            <w:vAlign w:val="center"/>
          </w:tcPr>
          <w:p w14:paraId="6D018209" w14:textId="77777777" w:rsidR="00464E4B" w:rsidRPr="006C1190" w:rsidRDefault="00464E4B" w:rsidP="0041177B">
            <w:pPr>
              <w:pBdr>
                <w:bottom w:val="single" w:sz="4" w:space="1" w:color="auto"/>
              </w:pBdr>
              <w:spacing w:after="0" w:line="240" w:lineRule="auto"/>
              <w:rPr>
                <w:bCs/>
                <w:sz w:val="20"/>
                <w:szCs w:val="20"/>
              </w:rPr>
            </w:pPr>
            <w:r w:rsidRPr="006C1190">
              <w:rPr>
                <w:bCs/>
                <w:sz w:val="20"/>
                <w:szCs w:val="20"/>
              </w:rPr>
              <w:t>APC%: average annual percentage change in rate over period and 95% confidence interval (95%CI) based on annual data points fitted with Joinpoint regression. Trend: ‘up’=significant increase, ‘down’=significant decrease, ‘flat’=no change (static), at the 95% level.</w:t>
            </w:r>
          </w:p>
          <w:p w14:paraId="6DE67619" w14:textId="77777777" w:rsidR="00464E4B" w:rsidRPr="00FC5D6E" w:rsidRDefault="00464E4B" w:rsidP="0041177B">
            <w:pPr>
              <w:spacing w:after="0" w:line="240" w:lineRule="auto"/>
              <w:rPr>
                <w:b/>
                <w:bCs/>
                <w:noProof/>
                <w:sz w:val="22"/>
                <w:szCs w:val="22"/>
                <w:u w:val="single"/>
              </w:rPr>
            </w:pPr>
          </w:p>
        </w:tc>
      </w:tr>
    </w:tbl>
    <w:p w14:paraId="633666AE" w14:textId="77777777" w:rsidR="00464E4B" w:rsidRPr="00FC5D6E" w:rsidRDefault="00464E4B" w:rsidP="00464E4B">
      <w:pPr>
        <w:keepNext/>
        <w:keepLines/>
        <w:spacing w:after="0" w:line="240" w:lineRule="auto"/>
        <w:ind w:left="720"/>
        <w:outlineLvl w:val="2"/>
        <w:rPr>
          <w:rFonts w:eastAsiaTheme="majorEastAsia" w:cstheme="majorBidi"/>
          <w:color w:val="0F4761" w:themeColor="accent1" w:themeShade="BF"/>
          <w:sz w:val="28"/>
          <w:szCs w:val="28"/>
        </w:rPr>
        <w:sectPr w:rsidR="00464E4B" w:rsidRPr="00FC5D6E" w:rsidSect="002746C0">
          <w:pgSz w:w="11906" w:h="16838"/>
          <w:pgMar w:top="1440" w:right="1440" w:bottom="1440" w:left="1440" w:header="708" w:footer="708" w:gutter="0"/>
          <w:cols w:space="708"/>
          <w:docGrid w:linePitch="360"/>
        </w:sectPr>
      </w:pPr>
    </w:p>
    <w:p w14:paraId="390E1F3E" w14:textId="77777777" w:rsidR="00464E4B" w:rsidRPr="00FC5D6E" w:rsidRDefault="00464E4B" w:rsidP="00464E4B">
      <w:pPr>
        <w:pStyle w:val="Heading3"/>
        <w:spacing w:before="0" w:after="0" w:line="240" w:lineRule="auto"/>
      </w:pPr>
      <w:bookmarkStart w:id="227" w:name="_Toc197557113"/>
      <w:bookmarkStart w:id="228" w:name="_Toc201512504"/>
      <w:r w:rsidRPr="00FC5D6E">
        <w:t>Variation by deprivation quintile</w:t>
      </w:r>
      <w:bookmarkEnd w:id="227"/>
      <w:bookmarkEnd w:id="228"/>
    </w:p>
    <w:p w14:paraId="6DD154ED" w14:textId="3C8EA72F" w:rsidR="00464E4B" w:rsidRPr="00FC5D6E" w:rsidRDefault="00464E4B" w:rsidP="00464E4B">
      <w:pPr>
        <w:spacing w:after="0" w:line="240" w:lineRule="auto"/>
        <w:rPr>
          <w:rFonts w:cstheme="minorHAnsi"/>
          <w:color w:val="000000" w:themeColor="text1"/>
        </w:rPr>
      </w:pPr>
      <w:r w:rsidRPr="00FC5D6E">
        <w:rPr>
          <w:rFonts w:cstheme="minorHAnsi"/>
          <w:color w:val="000000" w:themeColor="text1"/>
        </w:rPr>
        <w:t xml:space="preserve">Age-standardised incidence rates of </w:t>
      </w:r>
      <w:r w:rsidRPr="00FC5D6E">
        <w:rPr>
          <w:rFonts w:cstheme="minorHAnsi"/>
        </w:rPr>
        <w:t>pancrea</w:t>
      </w:r>
      <w:r>
        <w:rPr>
          <w:rFonts w:cstheme="minorHAnsi"/>
        </w:rPr>
        <w:t>tic</w:t>
      </w:r>
      <w:r w:rsidRPr="00FC5D6E">
        <w:rPr>
          <w:rFonts w:cstheme="minorHAnsi"/>
        </w:rPr>
        <w:t xml:space="preserve"> cancer </w:t>
      </w:r>
      <w:r w:rsidRPr="00FC5D6E">
        <w:rPr>
          <w:rFonts w:cstheme="minorHAnsi"/>
          <w:color w:val="000000" w:themeColor="text1"/>
        </w:rPr>
        <w:t>in 2014-2018 ranged 17.</w:t>
      </w:r>
      <w:r>
        <w:rPr>
          <w:rFonts w:cstheme="minorHAnsi"/>
          <w:color w:val="000000" w:themeColor="text1"/>
        </w:rPr>
        <w:t>1</w:t>
      </w:r>
      <w:r w:rsidRPr="00FC5D6E">
        <w:rPr>
          <w:rFonts w:cstheme="minorHAnsi"/>
          <w:color w:val="000000" w:themeColor="text1"/>
        </w:rPr>
        <w:t xml:space="preserve">-19.2 cases per 100,000 from the least to the most deprived quintiles (Figure </w:t>
      </w:r>
      <w:r w:rsidR="0027033D">
        <w:rPr>
          <w:rFonts w:cstheme="minorHAnsi"/>
          <w:color w:val="000000" w:themeColor="text1"/>
        </w:rPr>
        <w:t>12.3</w:t>
      </w:r>
      <w:r w:rsidRPr="00FC5D6E">
        <w:rPr>
          <w:rFonts w:cstheme="minorHAnsi"/>
          <w:color w:val="000000" w:themeColor="text1"/>
        </w:rPr>
        <w:t>).</w:t>
      </w:r>
      <w:r>
        <w:rPr>
          <w:rFonts w:cstheme="minorHAnsi"/>
          <w:color w:val="000000" w:themeColor="text1"/>
        </w:rPr>
        <w:t xml:space="preserve"> L</w:t>
      </w:r>
      <w:r w:rsidRPr="00FC5D6E">
        <w:rPr>
          <w:rFonts w:cstheme="minorHAnsi"/>
          <w:color w:val="000000" w:themeColor="text1"/>
        </w:rPr>
        <w:t>ittle difference was seen in rates of pancrea</w:t>
      </w:r>
      <w:r w:rsidR="007535AF">
        <w:rPr>
          <w:rFonts w:cstheme="minorHAnsi"/>
          <w:color w:val="000000" w:themeColor="text1"/>
        </w:rPr>
        <w:t>tic</w:t>
      </w:r>
      <w:r w:rsidR="00AD015C">
        <w:rPr>
          <w:rFonts w:cstheme="minorHAnsi"/>
          <w:color w:val="000000" w:themeColor="text1"/>
        </w:rPr>
        <w:t xml:space="preserve"> </w:t>
      </w:r>
      <w:r w:rsidRPr="00FC5D6E">
        <w:rPr>
          <w:rFonts w:cstheme="minorHAnsi"/>
          <w:color w:val="000000" w:themeColor="text1"/>
        </w:rPr>
        <w:t>cancer between the most and least deprived quintiles for males (20.4 for least deprived and 21.</w:t>
      </w:r>
      <w:r>
        <w:rPr>
          <w:rFonts w:cstheme="minorHAnsi"/>
          <w:color w:val="000000" w:themeColor="text1"/>
        </w:rPr>
        <w:t>1</w:t>
      </w:r>
      <w:r w:rsidRPr="00FC5D6E">
        <w:rPr>
          <w:rFonts w:cstheme="minorHAnsi"/>
          <w:color w:val="000000" w:themeColor="text1"/>
        </w:rPr>
        <w:t xml:space="preserve"> for most deprived). </w:t>
      </w:r>
      <w:r>
        <w:rPr>
          <w:rFonts w:cstheme="minorHAnsi"/>
          <w:color w:val="000000" w:themeColor="text1"/>
        </w:rPr>
        <w:t>Some evidence of a</w:t>
      </w:r>
      <w:r w:rsidRPr="00FC5D6E">
        <w:rPr>
          <w:rFonts w:cstheme="minorHAnsi"/>
          <w:color w:val="000000" w:themeColor="text1"/>
        </w:rPr>
        <w:t xml:space="preserve"> difference in rates between the most and least deprived quintiles was seen in females (14.4 for least deprived and 17.7 for most deprived).</w:t>
      </w:r>
    </w:p>
    <w:p w14:paraId="12B40C46" w14:textId="77777777" w:rsidR="00464E4B" w:rsidRPr="00FC5D6E" w:rsidRDefault="00464E4B" w:rsidP="00464E4B">
      <w:pPr>
        <w:spacing w:after="0" w:line="240" w:lineRule="auto"/>
        <w:rPr>
          <w:rFonts w:cstheme="minorHAnsi"/>
          <w:color w:val="000000" w:themeColor="text1"/>
        </w:rPr>
      </w:pPr>
    </w:p>
    <w:tbl>
      <w:tblPr>
        <w:tblW w:w="9768" w:type="dxa"/>
        <w:tblInd w:w="-752" w:type="dxa"/>
        <w:tblBorders>
          <w:bottom w:val="single" w:sz="4" w:space="0" w:color="auto"/>
        </w:tblBorders>
        <w:tblLook w:val="04A0" w:firstRow="1" w:lastRow="0" w:firstColumn="1" w:lastColumn="0" w:noHBand="0" w:noVBand="1"/>
      </w:tblPr>
      <w:tblGrid>
        <w:gridCol w:w="3260"/>
        <w:gridCol w:w="3259"/>
        <w:gridCol w:w="3259"/>
      </w:tblGrid>
      <w:tr w:rsidR="00464E4B" w:rsidRPr="00FC5D6E" w14:paraId="7656D688" w14:textId="77777777" w:rsidTr="0041177B">
        <w:trPr>
          <w:trHeight w:val="113"/>
        </w:trPr>
        <w:tc>
          <w:tcPr>
            <w:tcW w:w="9768" w:type="dxa"/>
            <w:gridSpan w:val="3"/>
            <w:shd w:val="clear" w:color="auto" w:fill="002060"/>
            <w:hideMark/>
          </w:tcPr>
          <w:p w14:paraId="20479CCB" w14:textId="75A6BB39" w:rsidR="00464E4B" w:rsidRPr="0027033D" w:rsidRDefault="00464E4B" w:rsidP="0041177B">
            <w:pPr>
              <w:spacing w:after="0" w:line="240" w:lineRule="auto"/>
              <w:rPr>
                <w:rFonts w:cstheme="minorHAnsi"/>
                <w:b/>
                <w:bCs/>
                <w:color w:val="FFFFFF" w:themeColor="background1"/>
                <w:sz w:val="22"/>
                <w:szCs w:val="22"/>
              </w:rPr>
            </w:pPr>
            <w:r w:rsidRPr="0027033D">
              <w:rPr>
                <w:rFonts w:cstheme="minorHAnsi"/>
                <w:b/>
                <w:bCs/>
                <w:color w:val="FFFFFF" w:themeColor="background1"/>
                <w:sz w:val="22"/>
                <w:szCs w:val="22"/>
              </w:rPr>
              <w:t xml:space="preserve">Figure </w:t>
            </w:r>
            <w:r w:rsidR="0027033D" w:rsidRPr="0027033D">
              <w:rPr>
                <w:rFonts w:cstheme="minorHAnsi"/>
                <w:b/>
                <w:bCs/>
                <w:color w:val="FFFFFF" w:themeColor="background1"/>
                <w:sz w:val="22"/>
                <w:szCs w:val="22"/>
              </w:rPr>
              <w:t>12.3</w:t>
            </w:r>
            <w:r w:rsidR="0027033D">
              <w:rPr>
                <w:rFonts w:cstheme="minorHAnsi"/>
                <w:b/>
                <w:bCs/>
                <w:color w:val="FFFFFF" w:themeColor="background1"/>
                <w:sz w:val="22"/>
                <w:szCs w:val="22"/>
              </w:rPr>
              <w:t>:</w:t>
            </w:r>
            <w:r w:rsidRPr="0027033D">
              <w:rPr>
                <w:rFonts w:cstheme="minorHAnsi"/>
                <w:b/>
                <w:bCs/>
                <w:color w:val="FFFFFF" w:themeColor="background1"/>
                <w:sz w:val="22"/>
                <w:szCs w:val="22"/>
              </w:rPr>
              <w:t xml:space="preserve"> Incidence rate (per 100,000) for pancreatic cancer by deprivation quintile, 2014-2018</w:t>
            </w:r>
          </w:p>
        </w:tc>
      </w:tr>
      <w:tr w:rsidR="00464E4B" w:rsidRPr="00FC5D6E" w14:paraId="5BBC79B6" w14:textId="77777777" w:rsidTr="0041177B">
        <w:trPr>
          <w:trHeight w:val="113"/>
        </w:trPr>
        <w:tc>
          <w:tcPr>
            <w:tcW w:w="3172" w:type="dxa"/>
            <w:hideMark/>
          </w:tcPr>
          <w:p w14:paraId="7C7127D9" w14:textId="77777777" w:rsidR="00464E4B" w:rsidRPr="00FC5D6E" w:rsidRDefault="00464E4B" w:rsidP="0041177B">
            <w:pPr>
              <w:spacing w:after="0" w:line="240" w:lineRule="auto"/>
              <w:jc w:val="center"/>
              <w:rPr>
                <w:rFonts w:cstheme="minorHAnsi"/>
                <w:color w:val="000000" w:themeColor="text1"/>
                <w:sz w:val="22"/>
                <w:szCs w:val="22"/>
              </w:rPr>
            </w:pPr>
            <w:r>
              <w:rPr>
                <w:rFonts w:cstheme="minorHAnsi"/>
                <w:color w:val="000000" w:themeColor="text1"/>
                <w:sz w:val="22"/>
                <w:szCs w:val="22"/>
              </w:rPr>
              <w:t>Total</w:t>
            </w:r>
          </w:p>
        </w:tc>
        <w:tc>
          <w:tcPr>
            <w:tcW w:w="3204" w:type="dxa"/>
          </w:tcPr>
          <w:p w14:paraId="1C12A732" w14:textId="77777777" w:rsidR="00464E4B" w:rsidRPr="00FC5D6E" w:rsidRDefault="00464E4B" w:rsidP="0041177B">
            <w:pPr>
              <w:spacing w:after="0" w:line="240" w:lineRule="auto"/>
              <w:jc w:val="center"/>
              <w:rPr>
                <w:rFonts w:cstheme="minorHAnsi"/>
                <w:color w:val="000000" w:themeColor="text1"/>
                <w:sz w:val="22"/>
                <w:szCs w:val="22"/>
              </w:rPr>
            </w:pPr>
            <w:r>
              <w:rPr>
                <w:rFonts w:cstheme="minorHAnsi"/>
                <w:color w:val="000000" w:themeColor="text1"/>
                <w:sz w:val="22"/>
                <w:szCs w:val="22"/>
              </w:rPr>
              <w:t>Males</w:t>
            </w:r>
          </w:p>
        </w:tc>
        <w:tc>
          <w:tcPr>
            <w:tcW w:w="3392" w:type="dxa"/>
          </w:tcPr>
          <w:p w14:paraId="12A4EA48" w14:textId="77777777" w:rsidR="00464E4B" w:rsidRPr="00FC5D6E" w:rsidRDefault="00464E4B" w:rsidP="0041177B">
            <w:pPr>
              <w:spacing w:after="0" w:line="240" w:lineRule="auto"/>
              <w:jc w:val="center"/>
              <w:rPr>
                <w:rFonts w:cstheme="minorHAnsi"/>
                <w:color w:val="000000" w:themeColor="text1"/>
                <w:sz w:val="22"/>
                <w:szCs w:val="22"/>
              </w:rPr>
            </w:pPr>
            <w:r>
              <w:rPr>
                <w:rFonts w:cstheme="minorHAnsi"/>
                <w:color w:val="000000" w:themeColor="text1"/>
                <w:sz w:val="22"/>
                <w:szCs w:val="22"/>
              </w:rPr>
              <w:t>Females</w:t>
            </w:r>
          </w:p>
        </w:tc>
      </w:tr>
      <w:tr w:rsidR="00464E4B" w:rsidRPr="0016259C" w14:paraId="463039CE" w14:textId="77777777" w:rsidTr="0041177B">
        <w:trPr>
          <w:trHeight w:val="113"/>
        </w:trPr>
        <w:tc>
          <w:tcPr>
            <w:tcW w:w="3172" w:type="dxa"/>
          </w:tcPr>
          <w:p w14:paraId="689625BD" w14:textId="77777777" w:rsidR="00464E4B" w:rsidRPr="0016259C" w:rsidRDefault="00464E4B" w:rsidP="0041177B">
            <w:pPr>
              <w:spacing w:after="0" w:line="240" w:lineRule="auto"/>
              <w:rPr>
                <w:rFonts w:eastAsia="Times New Roman" w:cs="Times New Roman"/>
                <w:sz w:val="22"/>
                <w:szCs w:val="22"/>
                <w:lang w:eastAsia="en-GB"/>
              </w:rPr>
            </w:pPr>
            <w:r>
              <w:rPr>
                <w:rFonts w:eastAsia="Times New Roman" w:cs="Times New Roman"/>
                <w:noProof/>
                <w:sz w:val="22"/>
                <w:szCs w:val="22"/>
                <w:lang w:eastAsia="en-GB"/>
              </w:rPr>
              <w:drawing>
                <wp:inline distT="0" distB="0" distL="0" distR="0" wp14:anchorId="25427858" wp14:editId="7C5187C3">
                  <wp:extent cx="2026433" cy="1576070"/>
                  <wp:effectExtent l="0" t="0" r="0" b="5080"/>
                  <wp:docPr id="190486628" name="Picture 4" descr="A graph with numbers and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86628" name="Picture 4" descr="A graph with numbers and a number&#10;&#10;AI-generated content may be incorrect."/>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046194" cy="1591440"/>
                          </a:xfrm>
                          <a:prstGeom prst="rect">
                            <a:avLst/>
                          </a:prstGeom>
                          <a:noFill/>
                        </pic:spPr>
                      </pic:pic>
                    </a:graphicData>
                  </a:graphic>
                </wp:inline>
              </w:drawing>
            </w:r>
          </w:p>
        </w:tc>
        <w:tc>
          <w:tcPr>
            <w:tcW w:w="3204" w:type="dxa"/>
          </w:tcPr>
          <w:p w14:paraId="6332AFB4" w14:textId="77777777" w:rsidR="00464E4B" w:rsidRPr="0016259C" w:rsidRDefault="00464E4B" w:rsidP="0041177B">
            <w:pPr>
              <w:spacing w:after="0" w:line="240" w:lineRule="auto"/>
              <w:rPr>
                <w:rFonts w:cstheme="minorHAnsi"/>
                <w:color w:val="000000" w:themeColor="text1"/>
                <w:sz w:val="22"/>
                <w:szCs w:val="22"/>
              </w:rPr>
            </w:pPr>
            <w:r>
              <w:rPr>
                <w:rFonts w:eastAsia="Times New Roman" w:cs="Times New Roman"/>
                <w:noProof/>
                <w:sz w:val="22"/>
                <w:szCs w:val="22"/>
                <w:lang w:eastAsia="en-GB"/>
              </w:rPr>
              <w:drawing>
                <wp:inline distT="0" distB="0" distL="0" distR="0" wp14:anchorId="2B71E2E0" wp14:editId="5ED243D1">
                  <wp:extent cx="2026431" cy="1576070"/>
                  <wp:effectExtent l="0" t="0" r="0" b="5080"/>
                  <wp:docPr id="999309243" name="Picture 5" descr="A graph with numbers and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09243" name="Picture 5" descr="A graph with numbers and a number of objects&#10;&#10;AI-generated content may be incorrect."/>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045969" cy="1591266"/>
                          </a:xfrm>
                          <a:prstGeom prst="rect">
                            <a:avLst/>
                          </a:prstGeom>
                          <a:noFill/>
                        </pic:spPr>
                      </pic:pic>
                    </a:graphicData>
                  </a:graphic>
                </wp:inline>
              </w:drawing>
            </w:r>
          </w:p>
        </w:tc>
        <w:tc>
          <w:tcPr>
            <w:tcW w:w="3392" w:type="dxa"/>
          </w:tcPr>
          <w:p w14:paraId="2A8B89BF" w14:textId="77777777" w:rsidR="00464E4B" w:rsidRPr="0016259C" w:rsidRDefault="00464E4B" w:rsidP="0041177B">
            <w:pPr>
              <w:spacing w:after="0" w:line="240" w:lineRule="auto"/>
              <w:rPr>
                <w:rFonts w:cstheme="minorHAnsi"/>
                <w:color w:val="000000" w:themeColor="text1"/>
                <w:sz w:val="22"/>
                <w:szCs w:val="22"/>
              </w:rPr>
            </w:pPr>
            <w:r>
              <w:rPr>
                <w:rFonts w:cstheme="minorHAnsi"/>
                <w:noProof/>
                <w:color w:val="000000" w:themeColor="text1"/>
                <w:sz w:val="22"/>
                <w:szCs w:val="22"/>
              </w:rPr>
              <w:drawing>
                <wp:inline distT="0" distB="0" distL="0" distR="0" wp14:anchorId="29EDDC20" wp14:editId="43808C0E">
                  <wp:extent cx="2026529" cy="1576145"/>
                  <wp:effectExtent l="0" t="0" r="0" b="5080"/>
                  <wp:docPr id="2025345022" name="Picture 6" descr="A graph of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45022" name="Picture 6" descr="A graph of a number of objects&#10;&#10;AI-generated content may be incorrect."/>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086578" cy="1622849"/>
                          </a:xfrm>
                          <a:prstGeom prst="rect">
                            <a:avLst/>
                          </a:prstGeom>
                          <a:noFill/>
                        </pic:spPr>
                      </pic:pic>
                    </a:graphicData>
                  </a:graphic>
                </wp:inline>
              </w:drawing>
            </w:r>
          </w:p>
        </w:tc>
      </w:tr>
    </w:tbl>
    <w:p w14:paraId="153284A9" w14:textId="77777777" w:rsidR="001A3B02" w:rsidRDefault="001A3B02" w:rsidP="001A3B02">
      <w:bookmarkStart w:id="229" w:name="_Toc196914603"/>
      <w:bookmarkStart w:id="230" w:name="_Toc197557114"/>
    </w:p>
    <w:p w14:paraId="34B1D2DD" w14:textId="28FE6C7E" w:rsidR="00464E4B" w:rsidRPr="00FC5D6E" w:rsidRDefault="00464E4B" w:rsidP="00464E4B">
      <w:pPr>
        <w:pStyle w:val="Heading2"/>
        <w:spacing w:before="0" w:after="0" w:line="240" w:lineRule="auto"/>
      </w:pPr>
      <w:bookmarkStart w:id="231" w:name="_Toc201512505"/>
      <w:r w:rsidRPr="00FC5D6E">
        <w:t>Mortality</w:t>
      </w:r>
      <w:bookmarkEnd w:id="229"/>
      <w:bookmarkEnd w:id="230"/>
      <w:bookmarkEnd w:id="231"/>
    </w:p>
    <w:p w14:paraId="24F346C6" w14:textId="012B135B" w:rsidR="00464E4B" w:rsidRPr="00FC5D6E" w:rsidRDefault="00464E4B" w:rsidP="00464E4B">
      <w:pPr>
        <w:spacing w:after="0" w:line="240" w:lineRule="auto"/>
      </w:pPr>
      <w:r w:rsidRPr="00FC5D6E">
        <w:t>Age-standardised mortality rates of pancrea</w:t>
      </w:r>
      <w:r>
        <w:t>tic</w:t>
      </w:r>
      <w:r w:rsidRPr="00FC5D6E">
        <w:t xml:space="preserve"> cancer </w:t>
      </w:r>
      <w:r w:rsidR="001B566C">
        <w:t>during the period</w:t>
      </w:r>
      <w:r w:rsidR="001070A7">
        <w:t xml:space="preserve"> </w:t>
      </w:r>
      <w:r w:rsidRPr="00FC5D6E">
        <w:t>1994-2022 were 18.7 deaths per 100,000 males and 14.5 deaths per 100,000 females per year</w:t>
      </w:r>
      <w:r>
        <w:t xml:space="preserve">. </w:t>
      </w:r>
      <w:r w:rsidRPr="00FC5D6E">
        <w:t xml:space="preserve">Figure </w:t>
      </w:r>
      <w:r w:rsidR="0027033D">
        <w:t>12.4</w:t>
      </w:r>
      <w:r w:rsidRPr="00FC5D6E">
        <w:t xml:space="preserve"> breaks this down further by sex and age group. Older patients had a higher mortality rate regardless of sex.</w:t>
      </w:r>
    </w:p>
    <w:p w14:paraId="23EECF48" w14:textId="77777777" w:rsidR="00464E4B" w:rsidRPr="00FC5D6E" w:rsidRDefault="00464E4B" w:rsidP="00464E4B">
      <w:pPr>
        <w:spacing w:after="0" w:line="240" w:lineRule="auto"/>
      </w:pPr>
    </w:p>
    <w:tbl>
      <w:tblPr>
        <w:tblW w:w="9768" w:type="dxa"/>
        <w:tblInd w:w="-752" w:type="dxa"/>
        <w:tblBorders>
          <w:bottom w:val="single" w:sz="4" w:space="0" w:color="auto"/>
        </w:tblBorders>
        <w:tblLook w:val="04A0" w:firstRow="1" w:lastRow="0" w:firstColumn="1" w:lastColumn="0" w:noHBand="0" w:noVBand="1"/>
      </w:tblPr>
      <w:tblGrid>
        <w:gridCol w:w="3337"/>
        <w:gridCol w:w="3228"/>
        <w:gridCol w:w="3203"/>
      </w:tblGrid>
      <w:tr w:rsidR="00464E4B" w:rsidRPr="00FC5D6E" w14:paraId="6771F2CB" w14:textId="77777777" w:rsidTr="0041177B">
        <w:trPr>
          <w:trHeight w:val="113"/>
        </w:trPr>
        <w:tc>
          <w:tcPr>
            <w:tcW w:w="9768" w:type="dxa"/>
            <w:gridSpan w:val="3"/>
            <w:shd w:val="clear" w:color="auto" w:fill="002060"/>
            <w:hideMark/>
          </w:tcPr>
          <w:p w14:paraId="1B92BD39" w14:textId="6A9E88E0" w:rsidR="00464E4B" w:rsidRPr="0027033D" w:rsidRDefault="00464E4B" w:rsidP="0041177B">
            <w:pPr>
              <w:spacing w:after="0" w:line="240" w:lineRule="auto"/>
              <w:rPr>
                <w:rFonts w:cstheme="minorHAnsi"/>
                <w:b/>
                <w:bCs/>
                <w:color w:val="FFFFFF" w:themeColor="background1"/>
                <w:sz w:val="22"/>
                <w:szCs w:val="22"/>
              </w:rPr>
            </w:pPr>
            <w:r w:rsidRPr="0027033D">
              <w:rPr>
                <w:rFonts w:cstheme="minorHAnsi"/>
                <w:b/>
                <w:bCs/>
                <w:color w:val="FFFFFF" w:themeColor="background1"/>
                <w:sz w:val="22"/>
                <w:szCs w:val="22"/>
              </w:rPr>
              <w:t xml:space="preserve">Figure </w:t>
            </w:r>
            <w:r w:rsidR="0027033D" w:rsidRPr="0027033D">
              <w:rPr>
                <w:rFonts w:cstheme="minorHAnsi"/>
                <w:b/>
                <w:bCs/>
                <w:color w:val="FFFFFF" w:themeColor="background1"/>
                <w:sz w:val="22"/>
                <w:szCs w:val="22"/>
              </w:rPr>
              <w:t>12.4:</w:t>
            </w:r>
            <w:r w:rsidRPr="0027033D">
              <w:rPr>
                <w:rFonts w:cstheme="minorHAnsi"/>
                <w:b/>
                <w:bCs/>
                <w:color w:val="FFFFFF" w:themeColor="background1"/>
                <w:sz w:val="22"/>
                <w:szCs w:val="22"/>
              </w:rPr>
              <w:t xml:space="preserve"> Mortality rate (per 100,000) for pancreatic cancer by </w:t>
            </w:r>
            <w:r w:rsidR="00366242">
              <w:rPr>
                <w:rFonts w:cstheme="minorHAnsi"/>
                <w:b/>
                <w:bCs/>
                <w:color w:val="FFFFFF" w:themeColor="background1"/>
                <w:sz w:val="22"/>
                <w:szCs w:val="22"/>
              </w:rPr>
              <w:t>age group</w:t>
            </w:r>
            <w:r w:rsidRPr="0027033D">
              <w:rPr>
                <w:rFonts w:cstheme="minorHAnsi"/>
                <w:b/>
                <w:bCs/>
                <w:color w:val="FFFFFF" w:themeColor="background1"/>
                <w:sz w:val="22"/>
                <w:szCs w:val="22"/>
              </w:rPr>
              <w:t>, 1994-2022</w:t>
            </w:r>
          </w:p>
        </w:tc>
      </w:tr>
      <w:tr w:rsidR="00464E4B" w:rsidRPr="00FC5D6E" w14:paraId="51185B43" w14:textId="77777777" w:rsidTr="0041177B">
        <w:trPr>
          <w:trHeight w:val="113"/>
        </w:trPr>
        <w:tc>
          <w:tcPr>
            <w:tcW w:w="3160" w:type="dxa"/>
            <w:hideMark/>
          </w:tcPr>
          <w:p w14:paraId="197C53B4" w14:textId="77777777" w:rsidR="00464E4B" w:rsidRPr="00FC5D6E" w:rsidRDefault="00464E4B" w:rsidP="0041177B">
            <w:pPr>
              <w:spacing w:after="0" w:line="240" w:lineRule="auto"/>
              <w:jc w:val="center"/>
              <w:rPr>
                <w:rFonts w:cstheme="minorHAnsi"/>
                <w:color w:val="000000" w:themeColor="text1"/>
                <w:sz w:val="22"/>
                <w:szCs w:val="22"/>
              </w:rPr>
            </w:pPr>
            <w:r w:rsidRPr="00FC5D6E">
              <w:rPr>
                <w:rFonts w:cstheme="minorHAnsi"/>
                <w:color w:val="000000" w:themeColor="text1"/>
                <w:sz w:val="22"/>
                <w:szCs w:val="22"/>
              </w:rPr>
              <w:t>Total</w:t>
            </w:r>
          </w:p>
        </w:tc>
        <w:tc>
          <w:tcPr>
            <w:tcW w:w="3356" w:type="dxa"/>
          </w:tcPr>
          <w:p w14:paraId="51A3E0D4" w14:textId="77777777" w:rsidR="00464E4B" w:rsidRPr="00FC5D6E" w:rsidRDefault="00464E4B" w:rsidP="0041177B">
            <w:pPr>
              <w:spacing w:after="0" w:line="240" w:lineRule="auto"/>
              <w:jc w:val="center"/>
              <w:rPr>
                <w:rFonts w:cstheme="minorHAnsi"/>
                <w:color w:val="000000" w:themeColor="text1"/>
                <w:sz w:val="22"/>
                <w:szCs w:val="22"/>
              </w:rPr>
            </w:pPr>
            <w:r>
              <w:rPr>
                <w:rFonts w:cstheme="minorHAnsi"/>
                <w:color w:val="000000" w:themeColor="text1"/>
                <w:sz w:val="22"/>
                <w:szCs w:val="22"/>
              </w:rPr>
              <w:t>Males</w:t>
            </w:r>
          </w:p>
        </w:tc>
        <w:tc>
          <w:tcPr>
            <w:tcW w:w="3252" w:type="dxa"/>
          </w:tcPr>
          <w:p w14:paraId="16F506F3" w14:textId="77777777" w:rsidR="00464E4B" w:rsidRPr="00FC5D6E" w:rsidRDefault="00464E4B" w:rsidP="0041177B">
            <w:pPr>
              <w:spacing w:after="0" w:line="240" w:lineRule="auto"/>
              <w:jc w:val="center"/>
              <w:rPr>
                <w:rFonts w:cstheme="minorHAnsi"/>
                <w:color w:val="000000" w:themeColor="text1"/>
                <w:sz w:val="22"/>
                <w:szCs w:val="22"/>
              </w:rPr>
            </w:pPr>
            <w:r>
              <w:rPr>
                <w:rFonts w:cstheme="minorHAnsi"/>
                <w:color w:val="000000" w:themeColor="text1"/>
                <w:sz w:val="22"/>
                <w:szCs w:val="22"/>
              </w:rPr>
              <w:t>Females</w:t>
            </w:r>
          </w:p>
        </w:tc>
      </w:tr>
      <w:tr w:rsidR="00464E4B" w:rsidRPr="0016259C" w14:paraId="6852F3A5" w14:textId="77777777" w:rsidTr="0041177B">
        <w:trPr>
          <w:trHeight w:val="113"/>
        </w:trPr>
        <w:tc>
          <w:tcPr>
            <w:tcW w:w="3160" w:type="dxa"/>
          </w:tcPr>
          <w:p w14:paraId="2E720204" w14:textId="77777777" w:rsidR="00464E4B" w:rsidRPr="0016259C" w:rsidRDefault="00464E4B" w:rsidP="0041177B">
            <w:pPr>
              <w:spacing w:after="0" w:line="240" w:lineRule="auto"/>
              <w:rPr>
                <w:rFonts w:eastAsia="Times New Roman" w:cs="Times New Roman"/>
                <w:sz w:val="22"/>
                <w:szCs w:val="22"/>
                <w:lang w:eastAsia="en-GB"/>
              </w:rPr>
            </w:pPr>
            <w:r w:rsidRPr="0016259C">
              <w:rPr>
                <w:rFonts w:eastAsia="Times New Roman" w:cs="Times New Roman"/>
                <w:noProof/>
                <w:sz w:val="22"/>
                <w:szCs w:val="22"/>
                <w:lang w:eastAsia="en-GB"/>
              </w:rPr>
              <w:drawing>
                <wp:inline distT="0" distB="0" distL="0" distR="0" wp14:anchorId="3A7570EE" wp14:editId="3589DAD7">
                  <wp:extent cx="1982462" cy="1434465"/>
                  <wp:effectExtent l="0" t="0" r="0" b="0"/>
                  <wp:docPr id="1922147921" name="Picture 19"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147921" name="Picture 19" descr="A graph with numbers and a bar&#10;&#10;AI-generated content may be incorrect."/>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989196" cy="1439338"/>
                          </a:xfrm>
                          <a:prstGeom prst="rect">
                            <a:avLst/>
                          </a:prstGeom>
                          <a:noFill/>
                        </pic:spPr>
                      </pic:pic>
                    </a:graphicData>
                  </a:graphic>
                </wp:inline>
              </w:drawing>
            </w:r>
          </w:p>
        </w:tc>
        <w:tc>
          <w:tcPr>
            <w:tcW w:w="3356" w:type="dxa"/>
          </w:tcPr>
          <w:p w14:paraId="66C423C6" w14:textId="77777777" w:rsidR="00464E4B" w:rsidRPr="0016259C" w:rsidRDefault="00464E4B" w:rsidP="0041177B">
            <w:pPr>
              <w:spacing w:after="0" w:line="240" w:lineRule="auto"/>
              <w:rPr>
                <w:rFonts w:cstheme="minorHAnsi"/>
                <w:color w:val="000000" w:themeColor="text1"/>
                <w:sz w:val="22"/>
                <w:szCs w:val="22"/>
              </w:rPr>
            </w:pPr>
            <w:r w:rsidRPr="0016259C">
              <w:rPr>
                <w:rFonts w:eastAsia="Times New Roman" w:cs="Times New Roman"/>
                <w:noProof/>
                <w:sz w:val="22"/>
                <w:szCs w:val="22"/>
                <w:lang w:eastAsia="en-GB"/>
              </w:rPr>
              <w:drawing>
                <wp:inline distT="0" distB="0" distL="0" distR="0" wp14:anchorId="566F3F96" wp14:editId="1E5BC293">
                  <wp:extent cx="1890395" cy="1435555"/>
                  <wp:effectExtent l="0" t="0" r="0" b="0"/>
                  <wp:docPr id="983131540" name="Picture 20"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31540" name="Picture 20" descr="A graph with numbers and a bar&#10;&#10;AI-generated content may be incorrect."/>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911821" cy="1451826"/>
                          </a:xfrm>
                          <a:prstGeom prst="rect">
                            <a:avLst/>
                          </a:prstGeom>
                          <a:noFill/>
                        </pic:spPr>
                      </pic:pic>
                    </a:graphicData>
                  </a:graphic>
                </wp:inline>
              </w:drawing>
            </w:r>
          </w:p>
        </w:tc>
        <w:tc>
          <w:tcPr>
            <w:tcW w:w="3252" w:type="dxa"/>
          </w:tcPr>
          <w:p w14:paraId="0D9D5859" w14:textId="77777777" w:rsidR="00464E4B" w:rsidRPr="0016259C" w:rsidRDefault="00464E4B" w:rsidP="0041177B">
            <w:pPr>
              <w:spacing w:after="0" w:line="240" w:lineRule="auto"/>
              <w:rPr>
                <w:rFonts w:cstheme="minorHAnsi"/>
                <w:color w:val="000000" w:themeColor="text1"/>
                <w:sz w:val="22"/>
                <w:szCs w:val="22"/>
              </w:rPr>
            </w:pPr>
            <w:r w:rsidRPr="0016259C">
              <w:rPr>
                <w:rFonts w:cstheme="minorHAnsi"/>
                <w:noProof/>
                <w:color w:val="000000" w:themeColor="text1"/>
                <w:sz w:val="22"/>
                <w:szCs w:val="22"/>
              </w:rPr>
              <w:drawing>
                <wp:inline distT="0" distB="0" distL="0" distR="0" wp14:anchorId="38420706" wp14:editId="721D5CDB">
                  <wp:extent cx="1887855" cy="1425742"/>
                  <wp:effectExtent l="0" t="0" r="0" b="3175"/>
                  <wp:docPr id="693423429" name="Picture 21"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423429" name="Picture 21" descr="A graph with numbers and a bar chart&#10;&#10;AI-generated content may be incorrect."/>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908718" cy="1441498"/>
                          </a:xfrm>
                          <a:prstGeom prst="rect">
                            <a:avLst/>
                          </a:prstGeom>
                          <a:noFill/>
                        </pic:spPr>
                      </pic:pic>
                    </a:graphicData>
                  </a:graphic>
                </wp:inline>
              </w:drawing>
            </w:r>
          </w:p>
        </w:tc>
      </w:tr>
    </w:tbl>
    <w:p w14:paraId="5159EC50" w14:textId="77777777" w:rsidR="00464E4B" w:rsidRPr="00FC5D6E" w:rsidRDefault="00464E4B" w:rsidP="00464E4B">
      <w:pPr>
        <w:spacing w:after="0" w:line="240" w:lineRule="auto"/>
      </w:pPr>
    </w:p>
    <w:p w14:paraId="01CB9E12" w14:textId="77777777" w:rsidR="00464E4B" w:rsidRPr="00FC5D6E" w:rsidRDefault="00464E4B" w:rsidP="00464E4B">
      <w:pPr>
        <w:spacing w:after="0" w:line="240" w:lineRule="auto"/>
        <w:sectPr w:rsidR="00464E4B" w:rsidRPr="00FC5D6E" w:rsidSect="002746C0">
          <w:pgSz w:w="11906" w:h="16838"/>
          <w:pgMar w:top="1440" w:right="1440" w:bottom="1440" w:left="1440" w:header="708" w:footer="708" w:gutter="0"/>
          <w:cols w:space="708"/>
          <w:docGrid w:linePitch="360"/>
        </w:sectPr>
      </w:pPr>
    </w:p>
    <w:p w14:paraId="7B7BC651" w14:textId="77777777" w:rsidR="00464E4B" w:rsidRPr="00FC5D6E" w:rsidRDefault="00464E4B" w:rsidP="00464E4B">
      <w:pPr>
        <w:pStyle w:val="Heading3"/>
        <w:spacing w:before="0" w:after="0" w:line="240" w:lineRule="auto"/>
      </w:pPr>
      <w:bookmarkStart w:id="232" w:name="_Toc197557115"/>
      <w:bookmarkStart w:id="233" w:name="_Toc201512506"/>
      <w:r w:rsidRPr="00FC5D6E">
        <w:t>Trends over time</w:t>
      </w:r>
      <w:bookmarkEnd w:id="232"/>
      <w:bookmarkEnd w:id="233"/>
    </w:p>
    <w:p w14:paraId="567410F4" w14:textId="190219B0" w:rsidR="00464E4B" w:rsidRDefault="00464E4B" w:rsidP="00464E4B">
      <w:pPr>
        <w:spacing w:after="0" w:line="240" w:lineRule="auto"/>
      </w:pPr>
      <w:r w:rsidRPr="00FC5D6E">
        <w:t xml:space="preserve">Figure </w:t>
      </w:r>
      <w:r w:rsidR="0027033D">
        <w:t>12.5</w:t>
      </w:r>
      <w:r w:rsidRPr="00FC5D6E">
        <w:t xml:space="preserve"> </w:t>
      </w:r>
      <w:r>
        <w:t>displays age-standardised mortality</w:t>
      </w:r>
      <w:r w:rsidRPr="00FC5D6E">
        <w:t xml:space="preserve"> </w:t>
      </w:r>
      <w:r>
        <w:t xml:space="preserve">rates for </w:t>
      </w:r>
      <w:r w:rsidRPr="00FC5D6E">
        <w:t>pancrea</w:t>
      </w:r>
      <w:r>
        <w:t>tic</w:t>
      </w:r>
      <w:r w:rsidRPr="00FC5D6E">
        <w:t xml:space="preserve"> cancer from 1994 to 2022</w:t>
      </w:r>
      <w:r>
        <w:t xml:space="preserve"> for males and females</w:t>
      </w:r>
      <w:r w:rsidRPr="00FC5D6E">
        <w:t>. In males there was a decrease in mortality from 1994 to 2022 (-0.5% per year (95%CI -0.8;</w:t>
      </w:r>
      <w:r>
        <w:t xml:space="preserve"> </w:t>
      </w:r>
      <w:r w:rsidRPr="00FC5D6E">
        <w:t>-0.1)). In females</w:t>
      </w:r>
      <w:r>
        <w:t xml:space="preserve">, </w:t>
      </w:r>
      <w:r w:rsidRPr="00FC5D6E">
        <w:t xml:space="preserve">mortality </w:t>
      </w:r>
      <w:r>
        <w:t>was stable from</w:t>
      </w:r>
      <w:r w:rsidRPr="00FC5D6E">
        <w:t xml:space="preserve"> 1994 to 2022</w:t>
      </w:r>
      <w:r>
        <w:t>.</w:t>
      </w:r>
    </w:p>
    <w:p w14:paraId="3DBB5767" w14:textId="77777777" w:rsidR="00464E4B" w:rsidRPr="00FC5D6E" w:rsidRDefault="00464E4B" w:rsidP="00464E4B">
      <w:pPr>
        <w:spacing w:after="0" w:line="240" w:lineRule="auto"/>
      </w:pPr>
    </w:p>
    <w:tbl>
      <w:tblPr>
        <w:tblStyle w:val="TableGrid"/>
        <w:tblW w:w="9651"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1"/>
      </w:tblGrid>
      <w:tr w:rsidR="00464E4B" w:rsidRPr="00FC5D6E" w14:paraId="56F2F03E" w14:textId="77777777" w:rsidTr="0041177B">
        <w:trPr>
          <w:trHeight w:val="113"/>
        </w:trPr>
        <w:tc>
          <w:tcPr>
            <w:tcW w:w="9651" w:type="dxa"/>
            <w:shd w:val="clear" w:color="auto" w:fill="002060"/>
            <w:vAlign w:val="center"/>
            <w:hideMark/>
          </w:tcPr>
          <w:p w14:paraId="5714E06F" w14:textId="0EC5E1DF" w:rsidR="00464E4B" w:rsidRPr="00FC5D6E" w:rsidRDefault="00464E4B" w:rsidP="0041177B">
            <w:pPr>
              <w:rPr>
                <w:rFonts w:asciiTheme="minorHAnsi" w:hAnsiTheme="minorHAnsi"/>
                <w:b/>
                <w:bCs/>
                <w:lang w:val="en-GB"/>
              </w:rPr>
            </w:pPr>
            <w:r w:rsidRPr="00FC5D6E">
              <w:rPr>
                <w:rFonts w:asciiTheme="minorHAnsi" w:hAnsiTheme="minorHAnsi"/>
                <w:b/>
                <w:bCs/>
                <w:lang w:val="en-GB"/>
              </w:rPr>
              <w:t xml:space="preserve">Figure </w:t>
            </w:r>
            <w:r w:rsidR="0027033D">
              <w:rPr>
                <w:rFonts w:asciiTheme="minorHAnsi" w:hAnsiTheme="minorHAnsi"/>
                <w:b/>
                <w:bCs/>
                <w:lang w:val="en-GB"/>
              </w:rPr>
              <w:t>12.5:</w:t>
            </w:r>
            <w:r w:rsidRPr="00FC5D6E">
              <w:rPr>
                <w:rFonts w:asciiTheme="minorHAnsi" w:hAnsiTheme="minorHAnsi"/>
                <w:b/>
                <w:bCs/>
                <w:lang w:val="en-GB"/>
              </w:rPr>
              <w:t xml:space="preserve">   Age-</w:t>
            </w:r>
            <w:r w:rsidRPr="00FC5D6E">
              <w:rPr>
                <w:rFonts w:asciiTheme="minorHAnsi" w:hAnsiTheme="minorHAnsi"/>
                <w:b/>
                <w:bCs/>
                <w:bdr w:val="single" w:sz="4" w:space="0" w:color="auto" w:frame="1"/>
                <w:lang w:val="en-GB"/>
              </w:rPr>
              <w:t xml:space="preserve">standardised mortality rate 1994-2022, </w:t>
            </w:r>
            <w:r w:rsidRPr="00FC5D6E">
              <w:rPr>
                <w:rFonts w:asciiTheme="minorHAnsi" w:hAnsiTheme="minorHAnsi"/>
                <w:b/>
                <w:bCs/>
                <w:kern w:val="2"/>
                <w:bdr w:val="single" w:sz="4" w:space="0" w:color="auto" w:frame="1"/>
                <w:lang w:val="en-GB"/>
                <w14:ligatures w14:val="standardContextual"/>
              </w:rPr>
              <w:t>pancreas</w:t>
            </w:r>
          </w:p>
        </w:tc>
      </w:tr>
      <w:tr w:rsidR="00464E4B" w:rsidRPr="00FC5D6E" w14:paraId="6E1B468C" w14:textId="77777777" w:rsidTr="0041177B">
        <w:trPr>
          <w:trHeight w:val="113"/>
        </w:trPr>
        <w:tc>
          <w:tcPr>
            <w:tcW w:w="9651" w:type="dxa"/>
            <w:vAlign w:val="center"/>
          </w:tcPr>
          <w:p w14:paraId="40F76645" w14:textId="77777777" w:rsidR="00464E4B" w:rsidRPr="00FC5D6E" w:rsidRDefault="00464E4B" w:rsidP="0041177B">
            <w:pPr>
              <w:jc w:val="center"/>
              <w:rPr>
                <w:lang w:val="en-GB"/>
              </w:rPr>
            </w:pPr>
            <w:r w:rsidRPr="00FC5D6E">
              <w:rPr>
                <w:noProof/>
              </w:rPr>
              <w:drawing>
                <wp:inline distT="0" distB="0" distL="0" distR="0" wp14:anchorId="19925E67" wp14:editId="1F3C4D9E">
                  <wp:extent cx="5756292" cy="3016800"/>
                  <wp:effectExtent l="0" t="0" r="0" b="0"/>
                  <wp:docPr id="776451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451021" name="Picture 1"/>
                          <pic:cNvPicPr>
                            <a:picLocks noChangeAspect="1" noChangeArrowheads="1"/>
                          </pic:cNvPicPr>
                        </pic:nvPicPr>
                        <pic:blipFill>
                          <a:blip r:embed="rId179">
                            <a:extLst>
                              <a:ext uri="{96DAC541-7B7A-43D3-8B79-37D633B846F1}">
                                <asvg:svgBlip xmlns:asvg="http://schemas.microsoft.com/office/drawing/2016/SVG/main" r:embed="rId180"/>
                              </a:ext>
                            </a:extLst>
                          </a:blip>
                          <a:stretch>
                            <a:fillRect/>
                          </a:stretch>
                        </pic:blipFill>
                        <pic:spPr bwMode="auto">
                          <a:xfrm>
                            <a:off x="0" y="0"/>
                            <a:ext cx="5756292" cy="3016800"/>
                          </a:xfrm>
                          <a:prstGeom prst="rect">
                            <a:avLst/>
                          </a:prstGeom>
                        </pic:spPr>
                      </pic:pic>
                    </a:graphicData>
                  </a:graphic>
                </wp:inline>
              </w:drawing>
            </w:r>
          </w:p>
        </w:tc>
      </w:tr>
      <w:tr w:rsidR="00464E4B" w:rsidRPr="00FC5D6E" w14:paraId="216361C8" w14:textId="77777777" w:rsidTr="0041177B">
        <w:trPr>
          <w:trHeight w:val="113"/>
        </w:trPr>
        <w:tc>
          <w:tcPr>
            <w:tcW w:w="9651" w:type="dxa"/>
            <w:vAlign w:val="center"/>
          </w:tcPr>
          <w:tbl>
            <w:tblPr>
              <w:tblpPr w:leftFromText="180" w:rightFromText="180" w:bottomFromText="160" w:vertAnchor="page" w:horzAnchor="page" w:tblpX="1281" w:tblpY="1"/>
              <w:tblOverlap w:val="never"/>
              <w:tblW w:w="0" w:type="auto"/>
              <w:tblLook w:val="04A0" w:firstRow="1" w:lastRow="0" w:firstColumn="1" w:lastColumn="0" w:noHBand="0" w:noVBand="1"/>
            </w:tblPr>
            <w:tblGrid>
              <w:gridCol w:w="498"/>
              <w:gridCol w:w="1126"/>
              <w:gridCol w:w="713"/>
              <w:gridCol w:w="938"/>
              <w:gridCol w:w="689"/>
              <w:gridCol w:w="514"/>
              <w:gridCol w:w="1126"/>
              <w:gridCol w:w="713"/>
              <w:gridCol w:w="877"/>
              <w:gridCol w:w="660"/>
            </w:tblGrid>
            <w:tr w:rsidR="00464E4B" w:rsidRPr="00170F7E" w14:paraId="68BF8951" w14:textId="77777777" w:rsidTr="0041177B">
              <w:trPr>
                <w:trHeight w:val="113"/>
              </w:trPr>
              <w:tc>
                <w:tcPr>
                  <w:tcW w:w="0" w:type="auto"/>
                  <w:noWrap/>
                  <w:tcMar>
                    <w:top w:w="15" w:type="dxa"/>
                    <w:left w:w="108" w:type="dxa"/>
                    <w:bottom w:w="15" w:type="dxa"/>
                    <w:right w:w="108" w:type="dxa"/>
                  </w:tcMar>
                  <w:vAlign w:val="center"/>
                  <w:hideMark/>
                </w:tcPr>
                <w:p w14:paraId="276E4EC4" w14:textId="77777777" w:rsidR="00464E4B" w:rsidRPr="00170F7E"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170F7E">
                    <w:rPr>
                      <w:rFonts w:ascii="Aptos Narrow" w:eastAsia="Times New Roman" w:hAnsi="Aptos Narrow" w:cs="Times New Roman"/>
                      <w:b/>
                      <w:bCs/>
                      <w:color w:val="000000"/>
                      <w:kern w:val="0"/>
                      <w:sz w:val="20"/>
                      <w:szCs w:val="20"/>
                      <w:u w:val="single"/>
                      <w:lang w:eastAsia="en-GB"/>
                      <w14:ligatures w14:val="none"/>
                    </w:rPr>
                    <w:t>sex</w:t>
                  </w:r>
                </w:p>
              </w:tc>
              <w:tc>
                <w:tcPr>
                  <w:tcW w:w="0" w:type="auto"/>
                  <w:noWrap/>
                  <w:tcMar>
                    <w:top w:w="15" w:type="dxa"/>
                    <w:left w:w="108" w:type="dxa"/>
                    <w:bottom w:w="15" w:type="dxa"/>
                    <w:right w:w="108" w:type="dxa"/>
                  </w:tcMar>
                  <w:vAlign w:val="center"/>
                  <w:hideMark/>
                </w:tcPr>
                <w:p w14:paraId="4DD069E1" w14:textId="77777777" w:rsidR="00464E4B" w:rsidRPr="00170F7E"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170F7E">
                    <w:rPr>
                      <w:rFonts w:ascii="Aptos Narrow" w:eastAsia="Times New Roman" w:hAnsi="Aptos Narrow" w:cs="Times New Roman"/>
                      <w:b/>
                      <w:bCs/>
                      <w:color w:val="000000"/>
                      <w:kern w:val="0"/>
                      <w:sz w:val="20"/>
                      <w:szCs w:val="20"/>
                      <w:u w:val="single"/>
                      <w:lang w:eastAsia="en-GB"/>
                      <w14:ligatures w14:val="none"/>
                    </w:rPr>
                    <w:t>period</w:t>
                  </w:r>
                </w:p>
              </w:tc>
              <w:tc>
                <w:tcPr>
                  <w:tcW w:w="0" w:type="auto"/>
                  <w:noWrap/>
                  <w:tcMar>
                    <w:top w:w="15" w:type="dxa"/>
                    <w:left w:w="108" w:type="dxa"/>
                    <w:bottom w:w="15" w:type="dxa"/>
                    <w:right w:w="108" w:type="dxa"/>
                  </w:tcMar>
                  <w:vAlign w:val="center"/>
                  <w:hideMark/>
                </w:tcPr>
                <w:p w14:paraId="4F7AAAD0" w14:textId="77777777" w:rsidR="00464E4B" w:rsidRPr="00170F7E"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170F7E">
                    <w:rPr>
                      <w:rFonts w:ascii="Aptos Narrow" w:eastAsia="Times New Roman" w:hAnsi="Aptos Narrow" w:cs="Times New Roman"/>
                      <w:b/>
                      <w:bCs/>
                      <w:color w:val="000000"/>
                      <w:kern w:val="0"/>
                      <w:sz w:val="20"/>
                      <w:szCs w:val="20"/>
                      <w:u w:val="single"/>
                      <w:lang w:eastAsia="en-GB"/>
                      <w14:ligatures w14:val="none"/>
                    </w:rPr>
                    <w:t>APC%</w:t>
                  </w:r>
                </w:p>
              </w:tc>
              <w:tc>
                <w:tcPr>
                  <w:tcW w:w="0" w:type="auto"/>
                  <w:noWrap/>
                  <w:tcMar>
                    <w:top w:w="15" w:type="dxa"/>
                    <w:left w:w="108" w:type="dxa"/>
                    <w:bottom w:w="15" w:type="dxa"/>
                    <w:right w:w="108" w:type="dxa"/>
                  </w:tcMar>
                  <w:vAlign w:val="center"/>
                  <w:hideMark/>
                </w:tcPr>
                <w:p w14:paraId="2FF7D1BE" w14:textId="77777777" w:rsidR="00464E4B" w:rsidRPr="00170F7E"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170F7E">
                    <w:rPr>
                      <w:rFonts w:ascii="Aptos Narrow" w:eastAsia="Times New Roman" w:hAnsi="Aptos Narrow" w:cs="Times New Roman"/>
                      <w:b/>
                      <w:bCs/>
                      <w:color w:val="000000"/>
                      <w:kern w:val="0"/>
                      <w:sz w:val="20"/>
                      <w:szCs w:val="20"/>
                      <w:u w:val="single"/>
                      <w:lang w:eastAsia="en-GB"/>
                      <w14:ligatures w14:val="none"/>
                    </w:rPr>
                    <w:t>95%CI</w:t>
                  </w:r>
                </w:p>
              </w:tc>
              <w:tc>
                <w:tcPr>
                  <w:tcW w:w="0" w:type="auto"/>
                  <w:tcBorders>
                    <w:right w:val="single" w:sz="4" w:space="0" w:color="auto"/>
                  </w:tcBorders>
                  <w:noWrap/>
                  <w:tcMar>
                    <w:top w:w="15" w:type="dxa"/>
                    <w:left w:w="108" w:type="dxa"/>
                    <w:bottom w:w="15" w:type="dxa"/>
                    <w:right w:w="108" w:type="dxa"/>
                  </w:tcMar>
                  <w:vAlign w:val="center"/>
                  <w:hideMark/>
                </w:tcPr>
                <w:p w14:paraId="51363A3E" w14:textId="77777777" w:rsidR="00464E4B" w:rsidRPr="00170F7E"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170F7E">
                    <w:rPr>
                      <w:rFonts w:ascii="Aptos Narrow" w:eastAsia="Times New Roman" w:hAnsi="Aptos Narrow" w:cs="Times New Roman"/>
                      <w:b/>
                      <w:bCs/>
                      <w:color w:val="000000"/>
                      <w:kern w:val="0"/>
                      <w:sz w:val="20"/>
                      <w:szCs w:val="20"/>
                      <w:u w:val="single"/>
                      <w:lang w:eastAsia="en-GB"/>
                      <w14:ligatures w14:val="none"/>
                    </w:rPr>
                    <w:t>trend</w:t>
                  </w:r>
                </w:p>
              </w:tc>
              <w:tc>
                <w:tcPr>
                  <w:tcW w:w="0" w:type="auto"/>
                  <w:tcBorders>
                    <w:left w:val="single" w:sz="4" w:space="0" w:color="auto"/>
                  </w:tcBorders>
                  <w:vAlign w:val="center"/>
                </w:tcPr>
                <w:p w14:paraId="28653CA8" w14:textId="61811A3D" w:rsidR="00464E4B" w:rsidRPr="00170F7E" w:rsidRDefault="00AD042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170F7E">
                    <w:rPr>
                      <w:rFonts w:ascii="Aptos Narrow" w:eastAsia="Times New Roman" w:hAnsi="Aptos Narrow" w:cs="Times New Roman"/>
                      <w:b/>
                      <w:bCs/>
                      <w:color w:val="000000"/>
                      <w:kern w:val="0"/>
                      <w:sz w:val="20"/>
                      <w:szCs w:val="20"/>
                      <w:u w:val="single"/>
                      <w:lang w:eastAsia="en-GB"/>
                      <w14:ligatures w14:val="none"/>
                    </w:rPr>
                    <w:t>S</w:t>
                  </w:r>
                  <w:r w:rsidR="00464E4B" w:rsidRPr="00170F7E">
                    <w:rPr>
                      <w:rFonts w:ascii="Aptos Narrow" w:eastAsia="Times New Roman" w:hAnsi="Aptos Narrow" w:cs="Times New Roman"/>
                      <w:b/>
                      <w:bCs/>
                      <w:color w:val="000000"/>
                      <w:kern w:val="0"/>
                      <w:sz w:val="20"/>
                      <w:szCs w:val="20"/>
                      <w:u w:val="single"/>
                      <w:lang w:eastAsia="en-GB"/>
                      <w14:ligatures w14:val="none"/>
                    </w:rPr>
                    <w:t>ex</w:t>
                  </w:r>
                </w:p>
              </w:tc>
              <w:tc>
                <w:tcPr>
                  <w:tcW w:w="0" w:type="auto"/>
                  <w:vAlign w:val="center"/>
                </w:tcPr>
                <w:p w14:paraId="4ED4D498" w14:textId="77777777" w:rsidR="00464E4B" w:rsidRPr="00170F7E"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170F7E">
                    <w:rPr>
                      <w:rFonts w:ascii="Aptos Narrow" w:eastAsia="Times New Roman" w:hAnsi="Aptos Narrow" w:cs="Times New Roman"/>
                      <w:b/>
                      <w:bCs/>
                      <w:color w:val="000000"/>
                      <w:kern w:val="0"/>
                      <w:sz w:val="20"/>
                      <w:szCs w:val="20"/>
                      <w:u w:val="single"/>
                      <w:lang w:eastAsia="en-GB"/>
                      <w14:ligatures w14:val="none"/>
                    </w:rPr>
                    <w:t>period</w:t>
                  </w:r>
                </w:p>
              </w:tc>
              <w:tc>
                <w:tcPr>
                  <w:tcW w:w="0" w:type="auto"/>
                  <w:vAlign w:val="center"/>
                </w:tcPr>
                <w:p w14:paraId="55ECA3B5" w14:textId="77777777" w:rsidR="00464E4B" w:rsidRPr="00170F7E"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170F7E">
                    <w:rPr>
                      <w:rFonts w:ascii="Aptos Narrow" w:eastAsia="Times New Roman" w:hAnsi="Aptos Narrow" w:cs="Times New Roman"/>
                      <w:b/>
                      <w:bCs/>
                      <w:color w:val="000000"/>
                      <w:kern w:val="0"/>
                      <w:sz w:val="20"/>
                      <w:szCs w:val="20"/>
                      <w:u w:val="single"/>
                      <w:lang w:eastAsia="en-GB"/>
                      <w14:ligatures w14:val="none"/>
                    </w:rPr>
                    <w:t>APC%</w:t>
                  </w:r>
                </w:p>
              </w:tc>
              <w:tc>
                <w:tcPr>
                  <w:tcW w:w="0" w:type="auto"/>
                  <w:vAlign w:val="center"/>
                </w:tcPr>
                <w:p w14:paraId="72514472" w14:textId="77777777" w:rsidR="00464E4B" w:rsidRPr="00170F7E"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170F7E">
                    <w:rPr>
                      <w:rFonts w:ascii="Aptos Narrow" w:eastAsia="Times New Roman" w:hAnsi="Aptos Narrow" w:cs="Times New Roman"/>
                      <w:b/>
                      <w:bCs/>
                      <w:color w:val="000000"/>
                      <w:kern w:val="0"/>
                      <w:sz w:val="20"/>
                      <w:szCs w:val="20"/>
                      <w:u w:val="single"/>
                      <w:lang w:eastAsia="en-GB"/>
                      <w14:ligatures w14:val="none"/>
                    </w:rPr>
                    <w:t>95%CI</w:t>
                  </w:r>
                </w:p>
              </w:tc>
              <w:tc>
                <w:tcPr>
                  <w:tcW w:w="0" w:type="auto"/>
                  <w:vAlign w:val="center"/>
                </w:tcPr>
                <w:p w14:paraId="32BBC69F" w14:textId="77777777" w:rsidR="00464E4B" w:rsidRPr="00170F7E"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170F7E">
                    <w:rPr>
                      <w:rFonts w:ascii="Aptos Narrow" w:eastAsia="Times New Roman" w:hAnsi="Aptos Narrow" w:cs="Times New Roman"/>
                      <w:b/>
                      <w:bCs/>
                      <w:color w:val="000000"/>
                      <w:kern w:val="0"/>
                      <w:sz w:val="20"/>
                      <w:szCs w:val="20"/>
                      <w:u w:val="single"/>
                      <w:lang w:eastAsia="en-GB"/>
                      <w14:ligatures w14:val="none"/>
                    </w:rPr>
                    <w:t>trend</w:t>
                  </w:r>
                </w:p>
              </w:tc>
            </w:tr>
            <w:tr w:rsidR="00464E4B" w:rsidRPr="00170F7E" w14:paraId="5A2DE6F5" w14:textId="77777777" w:rsidTr="0041177B">
              <w:trPr>
                <w:trHeight w:val="113"/>
              </w:trPr>
              <w:tc>
                <w:tcPr>
                  <w:tcW w:w="0" w:type="auto"/>
                  <w:noWrap/>
                  <w:tcMar>
                    <w:top w:w="15" w:type="dxa"/>
                    <w:left w:w="108" w:type="dxa"/>
                    <w:bottom w:w="15" w:type="dxa"/>
                    <w:right w:w="108" w:type="dxa"/>
                  </w:tcMar>
                  <w:hideMark/>
                </w:tcPr>
                <w:p w14:paraId="1703D42D" w14:textId="77777777" w:rsidR="00464E4B" w:rsidRPr="00170F7E"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170F7E">
                    <w:rPr>
                      <w:rFonts w:ascii="Aptos Narrow" w:hAnsi="Aptos Narrow"/>
                      <w:sz w:val="20"/>
                      <w:szCs w:val="20"/>
                    </w:rPr>
                    <w:t>M </w:t>
                  </w:r>
                </w:p>
              </w:tc>
              <w:tc>
                <w:tcPr>
                  <w:tcW w:w="0" w:type="auto"/>
                  <w:noWrap/>
                  <w:tcMar>
                    <w:top w:w="15" w:type="dxa"/>
                    <w:left w:w="108" w:type="dxa"/>
                    <w:bottom w:w="15" w:type="dxa"/>
                    <w:right w:w="108" w:type="dxa"/>
                  </w:tcMar>
                  <w:hideMark/>
                </w:tcPr>
                <w:p w14:paraId="08EF7D78" w14:textId="77777777" w:rsidR="00464E4B" w:rsidRPr="00170F7E"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170F7E">
                    <w:rPr>
                      <w:rFonts w:ascii="Aptos Narrow" w:hAnsi="Aptos Narrow"/>
                      <w:sz w:val="20"/>
                      <w:szCs w:val="20"/>
                    </w:rPr>
                    <w:t>1994-2022 </w:t>
                  </w:r>
                </w:p>
              </w:tc>
              <w:tc>
                <w:tcPr>
                  <w:tcW w:w="0" w:type="auto"/>
                  <w:noWrap/>
                  <w:tcMar>
                    <w:top w:w="15" w:type="dxa"/>
                    <w:left w:w="108" w:type="dxa"/>
                    <w:bottom w:w="15" w:type="dxa"/>
                    <w:right w:w="108" w:type="dxa"/>
                  </w:tcMar>
                  <w:hideMark/>
                </w:tcPr>
                <w:p w14:paraId="66AD2422" w14:textId="77777777" w:rsidR="00464E4B" w:rsidRPr="00170F7E"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170F7E">
                    <w:rPr>
                      <w:rFonts w:ascii="Aptos Narrow" w:hAnsi="Aptos Narrow"/>
                      <w:sz w:val="20"/>
                      <w:szCs w:val="20"/>
                    </w:rPr>
                    <w:t>-0.5</w:t>
                  </w:r>
                </w:p>
              </w:tc>
              <w:tc>
                <w:tcPr>
                  <w:tcW w:w="0" w:type="auto"/>
                  <w:noWrap/>
                  <w:tcMar>
                    <w:top w:w="15" w:type="dxa"/>
                    <w:left w:w="108" w:type="dxa"/>
                    <w:bottom w:w="15" w:type="dxa"/>
                    <w:right w:w="108" w:type="dxa"/>
                  </w:tcMar>
                  <w:hideMark/>
                </w:tcPr>
                <w:p w14:paraId="1B500764" w14:textId="47B08DE4" w:rsidR="00464E4B" w:rsidRPr="00170F7E"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170F7E">
                    <w:rPr>
                      <w:rFonts w:ascii="Aptos Narrow" w:hAnsi="Aptos Narrow"/>
                      <w:sz w:val="20"/>
                      <w:szCs w:val="20"/>
                    </w:rPr>
                    <w:t>-0.8, -0.1</w:t>
                  </w:r>
                </w:p>
              </w:tc>
              <w:tc>
                <w:tcPr>
                  <w:tcW w:w="0" w:type="auto"/>
                  <w:tcBorders>
                    <w:right w:val="single" w:sz="4" w:space="0" w:color="auto"/>
                  </w:tcBorders>
                  <w:noWrap/>
                  <w:tcMar>
                    <w:top w:w="15" w:type="dxa"/>
                    <w:left w:w="108" w:type="dxa"/>
                    <w:bottom w:w="15" w:type="dxa"/>
                    <w:right w:w="108" w:type="dxa"/>
                  </w:tcMar>
                  <w:hideMark/>
                </w:tcPr>
                <w:p w14:paraId="68385567" w14:textId="77777777" w:rsidR="00464E4B" w:rsidRPr="00170F7E"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170F7E">
                    <w:rPr>
                      <w:rFonts w:ascii="Aptos Narrow" w:hAnsi="Aptos Narrow"/>
                      <w:sz w:val="20"/>
                      <w:szCs w:val="20"/>
                    </w:rPr>
                    <w:t>down </w:t>
                  </w:r>
                </w:p>
              </w:tc>
              <w:tc>
                <w:tcPr>
                  <w:tcW w:w="0" w:type="auto"/>
                  <w:tcBorders>
                    <w:left w:val="single" w:sz="4" w:space="0" w:color="auto"/>
                  </w:tcBorders>
                </w:tcPr>
                <w:p w14:paraId="54313499" w14:textId="77777777" w:rsidR="00464E4B" w:rsidRPr="00170F7E" w:rsidRDefault="00464E4B" w:rsidP="0041177B">
                  <w:pPr>
                    <w:spacing w:after="0" w:line="240" w:lineRule="auto"/>
                    <w:jc w:val="center"/>
                    <w:rPr>
                      <w:rFonts w:ascii="Aptos Narrow" w:hAnsi="Aptos Narrow"/>
                      <w:sz w:val="20"/>
                      <w:szCs w:val="20"/>
                    </w:rPr>
                  </w:pPr>
                  <w:r w:rsidRPr="00170F7E">
                    <w:rPr>
                      <w:rFonts w:ascii="Aptos Narrow" w:hAnsi="Aptos Narrow"/>
                      <w:sz w:val="20"/>
                      <w:szCs w:val="20"/>
                    </w:rPr>
                    <w:t>F </w:t>
                  </w:r>
                </w:p>
              </w:tc>
              <w:tc>
                <w:tcPr>
                  <w:tcW w:w="0" w:type="auto"/>
                </w:tcPr>
                <w:p w14:paraId="7EBBA5CC" w14:textId="77777777" w:rsidR="00464E4B" w:rsidRPr="00170F7E" w:rsidRDefault="00464E4B" w:rsidP="0041177B">
                  <w:pPr>
                    <w:spacing w:after="0" w:line="240" w:lineRule="auto"/>
                    <w:jc w:val="center"/>
                    <w:rPr>
                      <w:rFonts w:ascii="Aptos Narrow" w:hAnsi="Aptos Narrow"/>
                      <w:sz w:val="20"/>
                      <w:szCs w:val="20"/>
                    </w:rPr>
                  </w:pPr>
                  <w:r w:rsidRPr="00170F7E">
                    <w:rPr>
                      <w:rFonts w:ascii="Aptos Narrow" w:hAnsi="Aptos Narrow"/>
                      <w:sz w:val="20"/>
                      <w:szCs w:val="20"/>
                    </w:rPr>
                    <w:t>1994-2022 </w:t>
                  </w:r>
                </w:p>
              </w:tc>
              <w:tc>
                <w:tcPr>
                  <w:tcW w:w="0" w:type="auto"/>
                </w:tcPr>
                <w:p w14:paraId="7FD4899A" w14:textId="77777777" w:rsidR="00464E4B" w:rsidRPr="00170F7E" w:rsidRDefault="00464E4B" w:rsidP="0041177B">
                  <w:pPr>
                    <w:spacing w:after="0" w:line="240" w:lineRule="auto"/>
                    <w:jc w:val="center"/>
                    <w:rPr>
                      <w:rFonts w:ascii="Aptos Narrow" w:hAnsi="Aptos Narrow"/>
                      <w:sz w:val="20"/>
                      <w:szCs w:val="20"/>
                    </w:rPr>
                  </w:pPr>
                  <w:r w:rsidRPr="00170F7E">
                    <w:rPr>
                      <w:rFonts w:ascii="Aptos Narrow" w:hAnsi="Aptos Narrow"/>
                      <w:sz w:val="20"/>
                      <w:szCs w:val="20"/>
                    </w:rPr>
                    <w:t>-0.1</w:t>
                  </w:r>
                </w:p>
              </w:tc>
              <w:tc>
                <w:tcPr>
                  <w:tcW w:w="0" w:type="auto"/>
                </w:tcPr>
                <w:p w14:paraId="17AFDAF3" w14:textId="77777777" w:rsidR="00464E4B" w:rsidRPr="00170F7E" w:rsidRDefault="00464E4B" w:rsidP="0041177B">
                  <w:pPr>
                    <w:spacing w:after="0" w:line="240" w:lineRule="auto"/>
                    <w:jc w:val="center"/>
                    <w:rPr>
                      <w:rFonts w:ascii="Aptos Narrow" w:hAnsi="Aptos Narrow"/>
                      <w:sz w:val="20"/>
                      <w:szCs w:val="20"/>
                    </w:rPr>
                  </w:pPr>
                  <w:r w:rsidRPr="00170F7E">
                    <w:rPr>
                      <w:rFonts w:ascii="Aptos Narrow" w:hAnsi="Aptos Narrow"/>
                      <w:sz w:val="20"/>
                      <w:szCs w:val="20"/>
                    </w:rPr>
                    <w:t>-0.4, 0.2</w:t>
                  </w:r>
                </w:p>
              </w:tc>
              <w:tc>
                <w:tcPr>
                  <w:tcW w:w="0" w:type="auto"/>
                </w:tcPr>
                <w:p w14:paraId="506F5572" w14:textId="77777777" w:rsidR="00464E4B" w:rsidRPr="00170F7E" w:rsidRDefault="00464E4B" w:rsidP="0041177B">
                  <w:pPr>
                    <w:spacing w:after="0" w:line="240" w:lineRule="auto"/>
                    <w:jc w:val="center"/>
                    <w:rPr>
                      <w:rFonts w:ascii="Aptos Narrow" w:hAnsi="Aptos Narrow"/>
                      <w:sz w:val="20"/>
                      <w:szCs w:val="20"/>
                    </w:rPr>
                  </w:pPr>
                  <w:r w:rsidRPr="00170F7E">
                    <w:rPr>
                      <w:rFonts w:ascii="Aptos Narrow" w:hAnsi="Aptos Narrow"/>
                      <w:sz w:val="20"/>
                      <w:szCs w:val="20"/>
                    </w:rPr>
                    <w:t>flat</w:t>
                  </w:r>
                </w:p>
              </w:tc>
            </w:tr>
          </w:tbl>
          <w:p w14:paraId="2E02181A" w14:textId="77777777" w:rsidR="00464E4B" w:rsidRPr="00FC5D6E" w:rsidRDefault="00464E4B" w:rsidP="0041177B">
            <w:pPr>
              <w:jc w:val="center"/>
              <w:rPr>
                <w:rFonts w:ascii="Aptos Narrow" w:eastAsia="Times New Roman" w:hAnsi="Aptos Narrow" w:cs="Times New Roman"/>
                <w:b/>
                <w:bCs/>
                <w:color w:val="000000"/>
                <w:sz w:val="14"/>
                <w:szCs w:val="14"/>
                <w:u w:val="single"/>
                <w:lang w:eastAsia="en-GB"/>
              </w:rPr>
            </w:pPr>
          </w:p>
        </w:tc>
      </w:tr>
      <w:tr w:rsidR="00464E4B" w:rsidRPr="00FC5D6E" w14:paraId="3CECADFB" w14:textId="77777777" w:rsidTr="0041177B">
        <w:trPr>
          <w:trHeight w:val="113"/>
        </w:trPr>
        <w:tc>
          <w:tcPr>
            <w:tcW w:w="9651" w:type="dxa"/>
            <w:vAlign w:val="center"/>
          </w:tcPr>
          <w:p w14:paraId="7CAB024E" w14:textId="77777777" w:rsidR="00464E4B" w:rsidRPr="00FC5D6E" w:rsidRDefault="00464E4B" w:rsidP="0041177B">
            <w:pPr>
              <w:pBdr>
                <w:bottom w:val="single" w:sz="4" w:space="1" w:color="auto"/>
              </w:pBdr>
              <w:rPr>
                <w:rFonts w:asciiTheme="minorHAnsi" w:hAnsiTheme="minorHAnsi"/>
                <w:bCs/>
                <w:lang w:val="en-GB"/>
              </w:rPr>
            </w:pPr>
            <w:r w:rsidRPr="006C1190">
              <w:rPr>
                <w:bCs/>
                <w:sz w:val="20"/>
                <w:szCs w:val="20"/>
              </w:rPr>
              <w:t>APC%: average annual percentage change in rate over period and 95% confidence interval (95%CI) based on annual data points fitted with Joinpoint regression. Trend: ‘up’=significant increase, ‘down’=significant decrease, ‘flat’=no change (static), at the 95% level</w:t>
            </w:r>
            <w:r w:rsidRPr="00FC5D6E">
              <w:rPr>
                <w:rFonts w:asciiTheme="minorHAnsi" w:hAnsiTheme="minorHAnsi"/>
                <w:bCs/>
                <w:lang w:val="en-GB"/>
              </w:rPr>
              <w:t>.</w:t>
            </w:r>
          </w:p>
          <w:p w14:paraId="47846392" w14:textId="77777777" w:rsidR="00464E4B" w:rsidRPr="00FC5D6E" w:rsidRDefault="00464E4B" w:rsidP="0041177B">
            <w:pPr>
              <w:rPr>
                <w:rFonts w:asciiTheme="minorHAnsi" w:hAnsiTheme="minorHAnsi"/>
                <w:b/>
                <w:bCs/>
                <w:noProof/>
                <w:u w:val="single"/>
                <w:lang w:val="en-GB"/>
              </w:rPr>
            </w:pPr>
          </w:p>
        </w:tc>
      </w:tr>
    </w:tbl>
    <w:p w14:paraId="5EDB5D22" w14:textId="77777777" w:rsidR="00464E4B" w:rsidRPr="00FC5D6E" w:rsidRDefault="00464E4B" w:rsidP="00464E4B">
      <w:pPr>
        <w:spacing w:after="0" w:line="240" w:lineRule="auto"/>
        <w:sectPr w:rsidR="00464E4B" w:rsidRPr="00FC5D6E" w:rsidSect="002746C0">
          <w:pgSz w:w="11906" w:h="16838"/>
          <w:pgMar w:top="1440" w:right="1440" w:bottom="1440" w:left="1440" w:header="708" w:footer="708" w:gutter="0"/>
          <w:cols w:space="708"/>
          <w:docGrid w:linePitch="360"/>
        </w:sectPr>
      </w:pPr>
    </w:p>
    <w:p w14:paraId="2090D139" w14:textId="77777777" w:rsidR="00464E4B" w:rsidRPr="00FC5D6E" w:rsidRDefault="00464E4B" w:rsidP="00464E4B">
      <w:pPr>
        <w:pStyle w:val="Heading2"/>
        <w:spacing w:before="0" w:after="0" w:line="240" w:lineRule="auto"/>
      </w:pPr>
      <w:bookmarkStart w:id="234" w:name="_Toc196914604"/>
      <w:bookmarkStart w:id="235" w:name="_Toc197557116"/>
      <w:bookmarkStart w:id="236" w:name="_Toc201512507"/>
      <w:r w:rsidRPr="00FC5D6E">
        <w:t>Survival</w:t>
      </w:r>
      <w:bookmarkEnd w:id="234"/>
      <w:bookmarkEnd w:id="235"/>
      <w:bookmarkEnd w:id="236"/>
      <w:r w:rsidRPr="00FC5D6E">
        <w:t xml:space="preserve"> </w:t>
      </w:r>
    </w:p>
    <w:p w14:paraId="6EB73273" w14:textId="3FCB8A4A" w:rsidR="00464E4B" w:rsidRDefault="00464E4B" w:rsidP="00464E4B">
      <w:pPr>
        <w:spacing w:after="0" w:line="240" w:lineRule="auto"/>
      </w:pPr>
      <w:r w:rsidRPr="00FC5D6E">
        <w:t>Overall</w:t>
      </w:r>
      <w:r>
        <w:t>,</w:t>
      </w:r>
      <w:r w:rsidRPr="00FC5D6E">
        <w:t xml:space="preserve"> 5-year net survival was 15% for cases diagnosed during 2019-2022 (Figure </w:t>
      </w:r>
      <w:r w:rsidR="0027033D">
        <w:t>12.6</w:t>
      </w:r>
      <w:r w:rsidRPr="00FC5D6E">
        <w:t xml:space="preserve">). </w:t>
      </w:r>
      <w:r>
        <w:t>Five</w:t>
      </w:r>
      <w:r w:rsidRPr="00FC5D6E">
        <w:t>-year net survival for 2019-2022 was higher for females (17%) than for males (13%). This was in line with the survival rates seen in the 2014-2018 and 2009-2013 periods.</w:t>
      </w:r>
    </w:p>
    <w:p w14:paraId="05174F35" w14:textId="77777777" w:rsidR="00464E4B" w:rsidRPr="00FC5D6E" w:rsidRDefault="00464E4B" w:rsidP="00464E4B">
      <w:pPr>
        <w:spacing w:after="0" w:line="240" w:lineRule="auto"/>
      </w:pPr>
    </w:p>
    <w:tbl>
      <w:tblPr>
        <w:tblW w:w="9768" w:type="dxa"/>
        <w:tblInd w:w="-752" w:type="dxa"/>
        <w:tblBorders>
          <w:bottom w:val="single" w:sz="4" w:space="0" w:color="auto"/>
        </w:tblBorders>
        <w:tblLook w:val="04A0" w:firstRow="1" w:lastRow="0" w:firstColumn="1" w:lastColumn="0" w:noHBand="0" w:noVBand="1"/>
      </w:tblPr>
      <w:tblGrid>
        <w:gridCol w:w="3419"/>
        <w:gridCol w:w="3211"/>
        <w:gridCol w:w="3148"/>
      </w:tblGrid>
      <w:tr w:rsidR="00464E4B" w:rsidRPr="00FC5D6E" w14:paraId="25280F0F" w14:textId="77777777" w:rsidTr="0041177B">
        <w:trPr>
          <w:trHeight w:val="113"/>
        </w:trPr>
        <w:tc>
          <w:tcPr>
            <w:tcW w:w="9768" w:type="dxa"/>
            <w:gridSpan w:val="3"/>
            <w:shd w:val="clear" w:color="auto" w:fill="002060"/>
            <w:hideMark/>
          </w:tcPr>
          <w:p w14:paraId="6A46473E" w14:textId="12B6B09A" w:rsidR="00464E4B" w:rsidRPr="0027033D" w:rsidRDefault="00464E4B" w:rsidP="0041177B">
            <w:pPr>
              <w:spacing w:after="0" w:line="240" w:lineRule="auto"/>
              <w:rPr>
                <w:rFonts w:cstheme="minorHAnsi"/>
                <w:b/>
                <w:bCs/>
                <w:sz w:val="22"/>
                <w:szCs w:val="22"/>
              </w:rPr>
            </w:pPr>
            <w:r w:rsidRPr="0027033D">
              <w:rPr>
                <w:rFonts w:cstheme="minorHAnsi"/>
                <w:b/>
                <w:bCs/>
                <w:sz w:val="22"/>
                <w:szCs w:val="22"/>
              </w:rPr>
              <w:t xml:space="preserve">Figure </w:t>
            </w:r>
            <w:r w:rsidR="0027033D" w:rsidRPr="0027033D">
              <w:rPr>
                <w:rFonts w:cstheme="minorHAnsi"/>
                <w:b/>
                <w:bCs/>
                <w:sz w:val="22"/>
                <w:szCs w:val="22"/>
              </w:rPr>
              <w:t>12.6:</w:t>
            </w:r>
            <w:r w:rsidRPr="0027033D">
              <w:rPr>
                <w:rFonts w:cstheme="minorHAnsi"/>
                <w:b/>
                <w:bCs/>
                <w:sz w:val="22"/>
                <w:szCs w:val="22"/>
              </w:rPr>
              <w:t xml:space="preserve"> Age-standardised 5-year net survival (%) for pancrea</w:t>
            </w:r>
            <w:r w:rsidR="0027033D">
              <w:rPr>
                <w:rFonts w:cstheme="minorHAnsi"/>
                <w:b/>
                <w:bCs/>
                <w:sz w:val="22"/>
                <w:szCs w:val="22"/>
              </w:rPr>
              <w:t>tic</w:t>
            </w:r>
            <w:r w:rsidRPr="0027033D">
              <w:rPr>
                <w:rFonts w:cstheme="minorHAnsi"/>
                <w:b/>
                <w:bCs/>
                <w:sz w:val="22"/>
                <w:szCs w:val="22"/>
              </w:rPr>
              <w:t xml:space="preserve"> cancer over six consecutive diagnosis periods</w:t>
            </w:r>
          </w:p>
        </w:tc>
      </w:tr>
      <w:tr w:rsidR="00464E4B" w:rsidRPr="00FC5D6E" w14:paraId="4D2101B5" w14:textId="77777777" w:rsidTr="0041177B">
        <w:trPr>
          <w:trHeight w:val="113"/>
        </w:trPr>
        <w:tc>
          <w:tcPr>
            <w:tcW w:w="2944" w:type="dxa"/>
            <w:hideMark/>
          </w:tcPr>
          <w:p w14:paraId="0CD67DC1" w14:textId="77777777" w:rsidR="00464E4B" w:rsidRPr="00FC5D6E" w:rsidRDefault="00464E4B" w:rsidP="0041177B">
            <w:pPr>
              <w:spacing w:after="0" w:line="240" w:lineRule="auto"/>
              <w:jc w:val="center"/>
              <w:rPr>
                <w:rFonts w:cstheme="minorHAnsi"/>
                <w:color w:val="000000" w:themeColor="text1"/>
                <w:sz w:val="22"/>
                <w:szCs w:val="22"/>
              </w:rPr>
            </w:pPr>
            <w:r w:rsidRPr="00FC5D6E">
              <w:rPr>
                <w:rFonts w:cstheme="minorHAnsi"/>
                <w:color w:val="000000" w:themeColor="text1"/>
                <w:sz w:val="22"/>
                <w:szCs w:val="22"/>
              </w:rPr>
              <w:t>Total</w:t>
            </w:r>
          </w:p>
        </w:tc>
        <w:tc>
          <w:tcPr>
            <w:tcW w:w="3478" w:type="dxa"/>
          </w:tcPr>
          <w:p w14:paraId="1BA31DA5" w14:textId="77777777" w:rsidR="00464E4B" w:rsidRPr="00FC5D6E" w:rsidRDefault="00464E4B" w:rsidP="0041177B">
            <w:pPr>
              <w:spacing w:after="0" w:line="240" w:lineRule="auto"/>
              <w:jc w:val="center"/>
              <w:rPr>
                <w:rFonts w:cstheme="minorHAnsi"/>
                <w:color w:val="000000" w:themeColor="text1"/>
                <w:sz w:val="22"/>
                <w:szCs w:val="22"/>
              </w:rPr>
            </w:pPr>
            <w:r>
              <w:rPr>
                <w:rFonts w:cstheme="minorHAnsi"/>
                <w:color w:val="000000" w:themeColor="text1"/>
                <w:sz w:val="22"/>
                <w:szCs w:val="22"/>
              </w:rPr>
              <w:t>Males</w:t>
            </w:r>
          </w:p>
        </w:tc>
        <w:tc>
          <w:tcPr>
            <w:tcW w:w="3346" w:type="dxa"/>
          </w:tcPr>
          <w:p w14:paraId="5BB5162F" w14:textId="77777777" w:rsidR="00464E4B" w:rsidRPr="00FC5D6E" w:rsidRDefault="00464E4B" w:rsidP="0041177B">
            <w:pPr>
              <w:spacing w:after="0" w:line="240" w:lineRule="auto"/>
              <w:jc w:val="center"/>
              <w:rPr>
                <w:rFonts w:cstheme="minorHAnsi"/>
                <w:color w:val="000000" w:themeColor="text1"/>
                <w:sz w:val="22"/>
                <w:szCs w:val="22"/>
              </w:rPr>
            </w:pPr>
            <w:r>
              <w:rPr>
                <w:rFonts w:cstheme="minorHAnsi"/>
                <w:color w:val="000000" w:themeColor="text1"/>
                <w:sz w:val="22"/>
                <w:szCs w:val="22"/>
              </w:rPr>
              <w:t>Females</w:t>
            </w:r>
          </w:p>
        </w:tc>
      </w:tr>
      <w:tr w:rsidR="00464E4B" w:rsidRPr="00FC5D6E" w14:paraId="39F37A65" w14:textId="77777777" w:rsidTr="0041177B">
        <w:trPr>
          <w:trHeight w:val="113"/>
        </w:trPr>
        <w:tc>
          <w:tcPr>
            <w:tcW w:w="2944" w:type="dxa"/>
          </w:tcPr>
          <w:p w14:paraId="064B6788" w14:textId="77777777" w:rsidR="00464E4B" w:rsidRPr="00FC5D6E" w:rsidRDefault="00464E4B" w:rsidP="0041177B">
            <w:pPr>
              <w:spacing w:after="0" w:line="240" w:lineRule="auto"/>
              <w:rPr>
                <w:rFonts w:cstheme="minorHAnsi"/>
                <w:color w:val="000000" w:themeColor="text1"/>
                <w:sz w:val="22"/>
                <w:szCs w:val="22"/>
              </w:rPr>
            </w:pPr>
            <w:r>
              <w:rPr>
                <w:rFonts w:cstheme="minorHAnsi"/>
                <w:noProof/>
                <w:color w:val="000000" w:themeColor="text1"/>
                <w:sz w:val="22"/>
                <w:szCs w:val="22"/>
              </w:rPr>
              <w:drawing>
                <wp:inline distT="0" distB="0" distL="0" distR="0" wp14:anchorId="677A62B7" wp14:editId="2D6D2606">
                  <wp:extent cx="2081134" cy="1300480"/>
                  <wp:effectExtent l="0" t="0" r="0" b="0"/>
                  <wp:docPr id="1201596754" name="Picture 22" descr="A graph with numbers and percent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596754" name="Picture 22" descr="A graph with numbers and percentages&#10;&#10;AI-generated content may be incorrect."/>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089382" cy="1305634"/>
                          </a:xfrm>
                          <a:prstGeom prst="rect">
                            <a:avLst/>
                          </a:prstGeom>
                          <a:noFill/>
                        </pic:spPr>
                      </pic:pic>
                    </a:graphicData>
                  </a:graphic>
                </wp:inline>
              </w:drawing>
            </w:r>
          </w:p>
        </w:tc>
        <w:tc>
          <w:tcPr>
            <w:tcW w:w="3478" w:type="dxa"/>
          </w:tcPr>
          <w:p w14:paraId="15CF79AA" w14:textId="77777777" w:rsidR="00464E4B" w:rsidRPr="00FC5D6E" w:rsidRDefault="00464E4B" w:rsidP="0041177B">
            <w:pPr>
              <w:spacing w:after="0" w:line="240" w:lineRule="auto"/>
              <w:rPr>
                <w:rFonts w:cstheme="minorHAnsi"/>
                <w:color w:val="000000" w:themeColor="text1"/>
                <w:sz w:val="22"/>
                <w:szCs w:val="22"/>
              </w:rPr>
            </w:pPr>
            <w:r>
              <w:rPr>
                <w:rFonts w:eastAsia="Times New Roman" w:cs="Times New Roman"/>
                <w:noProof/>
                <w:sz w:val="22"/>
                <w:szCs w:val="22"/>
                <w:lang w:eastAsia="en-GB"/>
              </w:rPr>
              <w:drawing>
                <wp:inline distT="0" distB="0" distL="0" distR="0" wp14:anchorId="2BD44CD9" wp14:editId="13AEE318">
                  <wp:extent cx="1946795" cy="1300480"/>
                  <wp:effectExtent l="0" t="0" r="0" b="0"/>
                  <wp:docPr id="1930249765" name="Picture 23" descr="A graph with numbers and a number of y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249765" name="Picture 23" descr="A graph with numbers and a number of years&#10;&#10;AI-generated content may be incorrect."/>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970601" cy="1316383"/>
                          </a:xfrm>
                          <a:prstGeom prst="rect">
                            <a:avLst/>
                          </a:prstGeom>
                          <a:noFill/>
                        </pic:spPr>
                      </pic:pic>
                    </a:graphicData>
                  </a:graphic>
                </wp:inline>
              </w:drawing>
            </w:r>
          </w:p>
        </w:tc>
        <w:tc>
          <w:tcPr>
            <w:tcW w:w="3346" w:type="dxa"/>
          </w:tcPr>
          <w:p w14:paraId="537B3D82" w14:textId="77777777" w:rsidR="00464E4B" w:rsidRPr="00FC5D6E" w:rsidRDefault="00464E4B" w:rsidP="0041177B">
            <w:pPr>
              <w:spacing w:after="0" w:line="240" w:lineRule="auto"/>
              <w:rPr>
                <w:rFonts w:cstheme="minorHAnsi"/>
                <w:color w:val="000000" w:themeColor="text1"/>
                <w:sz w:val="22"/>
                <w:szCs w:val="22"/>
              </w:rPr>
            </w:pPr>
            <w:r>
              <w:rPr>
                <w:rFonts w:cstheme="minorHAnsi"/>
                <w:noProof/>
                <w:color w:val="000000" w:themeColor="text1"/>
                <w:sz w:val="22"/>
                <w:szCs w:val="22"/>
              </w:rPr>
              <w:drawing>
                <wp:inline distT="0" distB="0" distL="0" distR="0" wp14:anchorId="0F84141E" wp14:editId="4C1D9097">
                  <wp:extent cx="1899920" cy="1287852"/>
                  <wp:effectExtent l="0" t="0" r="5080" b="7620"/>
                  <wp:docPr id="2106751961" name="Picture 24" descr="A graph with numbers and percent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751961" name="Picture 24" descr="A graph with numbers and percentages&#10;&#10;AI-generated content may be incorrect."/>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912528" cy="1296398"/>
                          </a:xfrm>
                          <a:prstGeom prst="rect">
                            <a:avLst/>
                          </a:prstGeom>
                          <a:noFill/>
                        </pic:spPr>
                      </pic:pic>
                    </a:graphicData>
                  </a:graphic>
                </wp:inline>
              </w:drawing>
            </w:r>
          </w:p>
        </w:tc>
      </w:tr>
    </w:tbl>
    <w:p w14:paraId="4F141CA0" w14:textId="77777777" w:rsidR="001A3B02" w:rsidRDefault="001A3B02" w:rsidP="001A3B02">
      <w:bookmarkStart w:id="237" w:name="_Toc196914605"/>
    </w:p>
    <w:p w14:paraId="6249D094" w14:textId="77777777" w:rsidR="00464E4B" w:rsidRPr="00FC5D6E" w:rsidRDefault="00464E4B" w:rsidP="00464E4B">
      <w:pPr>
        <w:pStyle w:val="Heading2"/>
        <w:spacing w:before="0" w:after="0" w:line="240" w:lineRule="auto"/>
      </w:pPr>
      <w:bookmarkStart w:id="238" w:name="_Toc197557117"/>
      <w:bookmarkStart w:id="239" w:name="_Toc201512508"/>
      <w:r w:rsidRPr="00FC5D6E">
        <w:t>Population Attributable Fraction</w:t>
      </w:r>
      <w:bookmarkEnd w:id="237"/>
      <w:bookmarkEnd w:id="238"/>
      <w:bookmarkEnd w:id="239"/>
    </w:p>
    <w:p w14:paraId="44D39FFF" w14:textId="05AFE008" w:rsidR="00464E4B" w:rsidRDefault="00464E4B" w:rsidP="00464E4B">
      <w:pPr>
        <w:spacing w:after="0" w:line="240" w:lineRule="auto"/>
        <w:rPr>
          <w:rFonts w:ascii="Aptos" w:hAnsi="Aptos"/>
          <w:color w:val="000000"/>
          <w:shd w:val="clear" w:color="auto" w:fill="FFFFFF"/>
        </w:rPr>
      </w:pPr>
      <w:r w:rsidRPr="00FC5D6E">
        <w:rPr>
          <w:rFonts w:ascii="Aptos" w:hAnsi="Aptos"/>
          <w:color w:val="000000"/>
          <w:shd w:val="clear" w:color="auto" w:fill="FFFFFF"/>
        </w:rPr>
        <w:t xml:space="preserve">In 2022, 628 cases of pancreatic cancer were recorded (326 males, 302 females). The estimated total number of cases attributable to smoking in Ireland in 2022 was 156 (PAF 24.9%). Table </w:t>
      </w:r>
      <w:r w:rsidR="0027033D">
        <w:rPr>
          <w:rFonts w:ascii="Aptos" w:hAnsi="Aptos"/>
          <w:color w:val="000000"/>
          <w:shd w:val="clear" w:color="auto" w:fill="FFFFFF"/>
        </w:rPr>
        <w:t>12.1</w:t>
      </w:r>
      <w:r w:rsidRPr="00FC5D6E">
        <w:rPr>
          <w:rFonts w:ascii="Aptos" w:hAnsi="Aptos"/>
          <w:color w:val="000000"/>
          <w:shd w:val="clear" w:color="auto" w:fill="FFFFFF"/>
        </w:rPr>
        <w:t xml:space="preserve"> presents the difference between male and female pancreatic cancer incidence related to smoking. Males had a higher PAF than females</w:t>
      </w:r>
      <w:r>
        <w:rPr>
          <w:rFonts w:ascii="Aptos" w:hAnsi="Aptos"/>
          <w:color w:val="000000"/>
          <w:shd w:val="clear" w:color="auto" w:fill="FFFFFF"/>
        </w:rPr>
        <w:t xml:space="preserve"> (</w:t>
      </w:r>
      <w:r w:rsidRPr="00FC5D6E">
        <w:rPr>
          <w:rFonts w:ascii="Aptos" w:hAnsi="Aptos"/>
          <w:color w:val="000000"/>
          <w:shd w:val="clear" w:color="auto" w:fill="FFFFFF"/>
        </w:rPr>
        <w:t>26.3% vs 23.4 %</w:t>
      </w:r>
      <w:r>
        <w:rPr>
          <w:rFonts w:ascii="Aptos" w:hAnsi="Aptos"/>
          <w:color w:val="000000"/>
          <w:shd w:val="clear" w:color="auto" w:fill="FFFFFF"/>
        </w:rPr>
        <w:t>)</w:t>
      </w:r>
      <w:r w:rsidRPr="00FC5D6E">
        <w:rPr>
          <w:rFonts w:ascii="Aptos" w:hAnsi="Aptos"/>
          <w:color w:val="000000"/>
          <w:shd w:val="clear" w:color="auto" w:fill="FFFFFF"/>
        </w:rPr>
        <w:t>. </w:t>
      </w:r>
    </w:p>
    <w:p w14:paraId="05ADD880" w14:textId="77777777" w:rsidR="00464E4B" w:rsidRPr="00FC5D6E" w:rsidRDefault="00464E4B" w:rsidP="00464E4B">
      <w:pPr>
        <w:spacing w:after="0" w:line="240" w:lineRule="auto"/>
        <w:rPr>
          <w:rFonts w:cstheme="minorHAnsi"/>
          <w:highlight w:val="yellow"/>
        </w:rPr>
      </w:pPr>
    </w:p>
    <w:tbl>
      <w:tblPr>
        <w:tblW w:w="9727" w:type="dxa"/>
        <w:tblInd w:w="-71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42"/>
        <w:gridCol w:w="2293"/>
        <w:gridCol w:w="2428"/>
        <w:gridCol w:w="2264"/>
      </w:tblGrid>
      <w:tr w:rsidR="00464E4B" w:rsidRPr="00FC5D6E" w14:paraId="26E46057" w14:textId="77777777" w:rsidTr="0041177B">
        <w:trPr>
          <w:trHeight w:val="300"/>
        </w:trPr>
        <w:tc>
          <w:tcPr>
            <w:tcW w:w="9727" w:type="dxa"/>
            <w:gridSpan w:val="4"/>
            <w:tcBorders>
              <w:top w:val="single" w:sz="6" w:space="0" w:color="auto"/>
              <w:left w:val="single" w:sz="6" w:space="0" w:color="auto"/>
              <w:bottom w:val="single" w:sz="6" w:space="0" w:color="auto"/>
              <w:right w:val="single" w:sz="6" w:space="0" w:color="auto"/>
            </w:tcBorders>
            <w:shd w:val="clear" w:color="auto" w:fill="002060"/>
            <w:hideMark/>
          </w:tcPr>
          <w:p w14:paraId="79575853" w14:textId="3C3FB498" w:rsidR="00464E4B" w:rsidRPr="0027033D" w:rsidRDefault="00464E4B" w:rsidP="0041177B">
            <w:pPr>
              <w:spacing w:after="0" w:line="240" w:lineRule="auto"/>
              <w:textAlignment w:val="baseline"/>
              <w:rPr>
                <w:rFonts w:ascii="Segoe UI" w:eastAsia="Times New Roman" w:hAnsi="Segoe UI" w:cs="Segoe UI"/>
                <w:b/>
                <w:bCs/>
                <w:kern w:val="0"/>
                <w:sz w:val="22"/>
                <w:szCs w:val="22"/>
                <w:lang w:eastAsia="en-GB"/>
                <w14:ligatures w14:val="none"/>
              </w:rPr>
            </w:pPr>
            <w:r w:rsidRPr="0027033D">
              <w:rPr>
                <w:rFonts w:ascii="Aptos" w:eastAsia="Times New Roman" w:hAnsi="Aptos" w:cs="Segoe UI"/>
                <w:b/>
                <w:bCs/>
                <w:color w:val="FFFFFF"/>
                <w:kern w:val="0"/>
                <w:sz w:val="22"/>
                <w:szCs w:val="22"/>
                <w:lang w:eastAsia="en-GB"/>
                <w14:ligatures w14:val="none"/>
              </w:rPr>
              <w:t xml:space="preserve">Table </w:t>
            </w:r>
            <w:r w:rsidR="0027033D" w:rsidRPr="0027033D">
              <w:rPr>
                <w:rFonts w:ascii="Aptos" w:eastAsia="Times New Roman" w:hAnsi="Aptos" w:cs="Segoe UI"/>
                <w:b/>
                <w:bCs/>
                <w:color w:val="FFFFFF"/>
                <w:kern w:val="0"/>
                <w:sz w:val="22"/>
                <w:szCs w:val="22"/>
                <w:lang w:eastAsia="en-GB"/>
                <w14:ligatures w14:val="none"/>
              </w:rPr>
              <w:t>12.1</w:t>
            </w:r>
            <w:r w:rsidRPr="0027033D">
              <w:rPr>
                <w:rFonts w:ascii="Aptos" w:eastAsia="Times New Roman" w:hAnsi="Aptos" w:cs="Segoe UI"/>
                <w:b/>
                <w:bCs/>
                <w:color w:val="FFFFFF"/>
                <w:kern w:val="0"/>
                <w:sz w:val="22"/>
                <w:szCs w:val="22"/>
                <w:lang w:eastAsia="en-GB"/>
                <w14:ligatures w14:val="none"/>
              </w:rPr>
              <w:t>: Population attributable fraction and attributable cases for pancreatic cancer in 2022 </w:t>
            </w:r>
          </w:p>
        </w:tc>
      </w:tr>
      <w:tr w:rsidR="00464E4B" w:rsidRPr="00FC5D6E" w14:paraId="618F6E43" w14:textId="77777777" w:rsidTr="0041177B">
        <w:trPr>
          <w:trHeight w:val="300"/>
        </w:trPr>
        <w:tc>
          <w:tcPr>
            <w:tcW w:w="2742" w:type="dxa"/>
            <w:tcBorders>
              <w:top w:val="single" w:sz="6" w:space="0" w:color="auto"/>
              <w:left w:val="single" w:sz="6" w:space="0" w:color="auto"/>
              <w:bottom w:val="single" w:sz="6" w:space="0" w:color="auto"/>
              <w:right w:val="single" w:sz="6" w:space="0" w:color="auto"/>
            </w:tcBorders>
            <w:shd w:val="clear" w:color="auto" w:fill="auto"/>
            <w:hideMark/>
          </w:tcPr>
          <w:p w14:paraId="2250AA92" w14:textId="77777777" w:rsidR="00464E4B" w:rsidRPr="00FC5D6E" w:rsidRDefault="00464E4B" w:rsidP="0041177B">
            <w:pPr>
              <w:spacing w:after="0" w:line="240" w:lineRule="auto"/>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0BAC6907"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Total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7045D7AE"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Males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42701982"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Females </w:t>
            </w:r>
          </w:p>
        </w:tc>
      </w:tr>
      <w:tr w:rsidR="00464E4B" w:rsidRPr="00FC5D6E" w14:paraId="3FF24581" w14:textId="77777777" w:rsidTr="0041177B">
        <w:trPr>
          <w:trHeight w:val="300"/>
        </w:trPr>
        <w:tc>
          <w:tcPr>
            <w:tcW w:w="2742" w:type="dxa"/>
            <w:tcBorders>
              <w:top w:val="single" w:sz="6" w:space="0" w:color="auto"/>
              <w:left w:val="single" w:sz="6" w:space="0" w:color="auto"/>
              <w:bottom w:val="single" w:sz="6" w:space="0" w:color="auto"/>
              <w:right w:val="single" w:sz="6" w:space="0" w:color="auto"/>
            </w:tcBorders>
            <w:shd w:val="clear" w:color="auto" w:fill="auto"/>
            <w:hideMark/>
          </w:tcPr>
          <w:p w14:paraId="5685D89B" w14:textId="77777777" w:rsidR="00464E4B" w:rsidRPr="00FC5D6E" w:rsidRDefault="00464E4B" w:rsidP="0041177B">
            <w:pPr>
              <w:spacing w:after="0" w:line="240" w:lineRule="auto"/>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PAF (%)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67D38B19"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24.9 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398C214A"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26.3 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4FE5DA3D"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23.4 </w:t>
            </w:r>
          </w:p>
        </w:tc>
      </w:tr>
      <w:tr w:rsidR="005813B7" w:rsidRPr="00FC5D6E" w14:paraId="0B3EADEC" w14:textId="77777777" w:rsidTr="0041177B">
        <w:trPr>
          <w:trHeight w:val="300"/>
        </w:trPr>
        <w:tc>
          <w:tcPr>
            <w:tcW w:w="2742" w:type="dxa"/>
            <w:tcBorders>
              <w:top w:val="single" w:sz="6" w:space="0" w:color="auto"/>
              <w:left w:val="single" w:sz="6" w:space="0" w:color="auto"/>
              <w:bottom w:val="single" w:sz="6" w:space="0" w:color="auto"/>
              <w:right w:val="single" w:sz="6" w:space="0" w:color="auto"/>
            </w:tcBorders>
            <w:shd w:val="clear" w:color="auto" w:fill="auto"/>
          </w:tcPr>
          <w:p w14:paraId="041A9622" w14:textId="7648212A" w:rsidR="005813B7" w:rsidRPr="00FC5D6E" w:rsidRDefault="005813B7" w:rsidP="0041177B">
            <w:pPr>
              <w:spacing w:after="0" w:line="240" w:lineRule="auto"/>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Total cases</w:t>
            </w:r>
          </w:p>
        </w:tc>
        <w:tc>
          <w:tcPr>
            <w:tcW w:w="2293" w:type="dxa"/>
            <w:tcBorders>
              <w:top w:val="single" w:sz="6" w:space="0" w:color="auto"/>
              <w:left w:val="single" w:sz="6" w:space="0" w:color="auto"/>
              <w:bottom w:val="single" w:sz="6" w:space="0" w:color="auto"/>
              <w:right w:val="single" w:sz="6" w:space="0" w:color="auto"/>
            </w:tcBorders>
            <w:shd w:val="clear" w:color="auto" w:fill="auto"/>
          </w:tcPr>
          <w:p w14:paraId="0AFE3E71" w14:textId="1645DA87" w:rsidR="005813B7" w:rsidRPr="00FC5D6E" w:rsidRDefault="005813B7"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628</w:t>
            </w:r>
          </w:p>
        </w:tc>
        <w:tc>
          <w:tcPr>
            <w:tcW w:w="2428" w:type="dxa"/>
            <w:tcBorders>
              <w:top w:val="single" w:sz="6" w:space="0" w:color="auto"/>
              <w:left w:val="single" w:sz="6" w:space="0" w:color="auto"/>
              <w:bottom w:val="single" w:sz="6" w:space="0" w:color="auto"/>
              <w:right w:val="single" w:sz="6" w:space="0" w:color="auto"/>
            </w:tcBorders>
            <w:shd w:val="clear" w:color="auto" w:fill="auto"/>
          </w:tcPr>
          <w:p w14:paraId="56AE2F58" w14:textId="64051CDF" w:rsidR="005813B7" w:rsidRPr="00FC5D6E" w:rsidRDefault="005813B7"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326</w:t>
            </w:r>
          </w:p>
        </w:tc>
        <w:tc>
          <w:tcPr>
            <w:tcW w:w="2264" w:type="dxa"/>
            <w:tcBorders>
              <w:top w:val="single" w:sz="6" w:space="0" w:color="auto"/>
              <w:left w:val="single" w:sz="6" w:space="0" w:color="auto"/>
              <w:bottom w:val="single" w:sz="6" w:space="0" w:color="auto"/>
              <w:right w:val="single" w:sz="6" w:space="0" w:color="auto"/>
            </w:tcBorders>
            <w:shd w:val="clear" w:color="auto" w:fill="auto"/>
          </w:tcPr>
          <w:p w14:paraId="735B28F1" w14:textId="5D4C30F6" w:rsidR="005813B7" w:rsidRPr="00FC5D6E" w:rsidRDefault="005813B7"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302</w:t>
            </w:r>
          </w:p>
        </w:tc>
      </w:tr>
      <w:tr w:rsidR="00464E4B" w:rsidRPr="00FC5D6E" w14:paraId="36776727" w14:textId="77777777" w:rsidTr="0041177B">
        <w:trPr>
          <w:trHeight w:val="300"/>
        </w:trPr>
        <w:tc>
          <w:tcPr>
            <w:tcW w:w="2742" w:type="dxa"/>
            <w:tcBorders>
              <w:top w:val="single" w:sz="6" w:space="0" w:color="auto"/>
              <w:left w:val="single" w:sz="6" w:space="0" w:color="auto"/>
              <w:bottom w:val="single" w:sz="6" w:space="0" w:color="auto"/>
              <w:right w:val="single" w:sz="6" w:space="0" w:color="auto"/>
            </w:tcBorders>
            <w:shd w:val="clear" w:color="auto" w:fill="auto"/>
            <w:hideMark/>
          </w:tcPr>
          <w:p w14:paraId="4C613C8E" w14:textId="77777777" w:rsidR="00464E4B" w:rsidRPr="00FC5D6E" w:rsidRDefault="00464E4B" w:rsidP="0041177B">
            <w:pPr>
              <w:spacing w:after="0" w:line="240" w:lineRule="auto"/>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Attributable cases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495CF37E"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156 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0DF615CC"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86 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34AEF19A" w14:textId="2B8717FB"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70 </w:t>
            </w:r>
          </w:p>
        </w:tc>
      </w:tr>
    </w:tbl>
    <w:p w14:paraId="1DBD2494" w14:textId="77777777" w:rsidR="00464E4B" w:rsidRDefault="00464E4B" w:rsidP="00464E4B">
      <w:pPr>
        <w:spacing w:after="0" w:line="240" w:lineRule="auto"/>
      </w:pPr>
      <w:r>
        <w:t xml:space="preserve"> </w:t>
      </w:r>
    </w:p>
    <w:p w14:paraId="2B32B5CF" w14:textId="77777777" w:rsidR="00464E4B" w:rsidRDefault="00464E4B" w:rsidP="003E2932">
      <w:pPr>
        <w:sectPr w:rsidR="00464E4B" w:rsidSect="002746C0">
          <w:pgSz w:w="11906" w:h="16838"/>
          <w:pgMar w:top="1440" w:right="1440" w:bottom="1440" w:left="1440" w:header="708" w:footer="708" w:gutter="0"/>
          <w:cols w:space="708"/>
          <w:docGrid w:linePitch="360"/>
        </w:sectPr>
      </w:pPr>
    </w:p>
    <w:p w14:paraId="76E8A167" w14:textId="1391D54A" w:rsidR="00F55E6A" w:rsidRDefault="00146578" w:rsidP="00C13E0E">
      <w:pPr>
        <w:pStyle w:val="Heading1"/>
        <w:spacing w:before="0" w:after="0"/>
      </w:pPr>
      <w:bookmarkStart w:id="240" w:name="_Toc197557118"/>
      <w:r>
        <w:t xml:space="preserve"> </w:t>
      </w:r>
      <w:bookmarkStart w:id="241" w:name="_Toc201512509"/>
      <w:r w:rsidR="00F55E6A">
        <w:t>Sino-nasal</w:t>
      </w:r>
      <w:r w:rsidR="00F55E6A">
        <w:tab/>
        <w:t>C30-31</w:t>
      </w:r>
      <w:bookmarkEnd w:id="240"/>
      <w:bookmarkEnd w:id="241"/>
    </w:p>
    <w:p w14:paraId="5584DED5" w14:textId="77777777" w:rsidR="00F55E6A" w:rsidRPr="00325650" w:rsidRDefault="00F55E6A" w:rsidP="00F55E6A">
      <w:pPr>
        <w:numPr>
          <w:ilvl w:val="1"/>
          <w:numId w:val="0"/>
        </w:numPr>
        <w:spacing w:after="0" w:line="240" w:lineRule="auto"/>
        <w:rPr>
          <w:rFonts w:eastAsiaTheme="majorEastAsia" w:cstheme="minorHAnsi"/>
          <w:i/>
          <w:iCs/>
          <w:color w:val="0F4761" w:themeColor="accent1" w:themeShade="BF"/>
          <w:spacing w:val="15"/>
          <w:sz w:val="28"/>
          <w:szCs w:val="28"/>
        </w:rPr>
      </w:pPr>
      <w:r w:rsidRPr="00325650">
        <w:rPr>
          <w:rFonts w:eastAsiaTheme="majorEastAsia" w:cstheme="minorHAnsi"/>
          <w:i/>
          <w:iCs/>
          <w:color w:val="0F4761" w:themeColor="accent1" w:themeShade="BF"/>
          <w:spacing w:val="15"/>
          <w:sz w:val="28"/>
          <w:szCs w:val="28"/>
        </w:rPr>
        <w:t>Key points</w:t>
      </w:r>
    </w:p>
    <w:p w14:paraId="6565794D" w14:textId="77777777" w:rsidR="00F55E6A" w:rsidRPr="00CA4E90" w:rsidRDefault="00F55E6A" w:rsidP="00F55E6A">
      <w:pPr>
        <w:numPr>
          <w:ilvl w:val="1"/>
          <w:numId w:val="0"/>
        </w:numPr>
        <w:spacing w:after="0" w:line="240" w:lineRule="auto"/>
        <w:rPr>
          <w:rFonts w:eastAsiaTheme="majorEastAsia" w:cstheme="minorHAnsi"/>
          <w:i/>
          <w:iCs/>
          <w:color w:val="595959" w:themeColor="text1" w:themeTint="A6"/>
          <w:spacing w:val="15"/>
          <w:sz w:val="28"/>
          <w:szCs w:val="28"/>
        </w:rPr>
      </w:pPr>
      <w:r w:rsidRPr="00CA4E90">
        <w:rPr>
          <w:rFonts w:eastAsiaTheme="majorEastAsia" w:cstheme="minorHAnsi"/>
          <w:i/>
          <w:iCs/>
          <w:color w:val="595959" w:themeColor="text1" w:themeTint="A6"/>
          <w:spacing w:val="15"/>
          <w:sz w:val="28"/>
          <w:szCs w:val="28"/>
        </w:rPr>
        <w:t>Incidence</w:t>
      </w:r>
    </w:p>
    <w:p w14:paraId="00EB7CB5" w14:textId="5787548B" w:rsidR="00F55E6A" w:rsidRPr="00CA4E90" w:rsidRDefault="00F55E6A">
      <w:pPr>
        <w:numPr>
          <w:ilvl w:val="0"/>
          <w:numId w:val="3"/>
        </w:numPr>
        <w:spacing w:after="0" w:line="240" w:lineRule="auto"/>
        <w:contextualSpacing/>
      </w:pPr>
      <w:r w:rsidRPr="108C08C8">
        <w:t xml:space="preserve">There were no significant trends observed in incidence rates from 1994-2022 among males </w:t>
      </w:r>
      <w:r w:rsidR="004459B1">
        <w:t>or</w:t>
      </w:r>
      <w:r w:rsidRPr="108C08C8">
        <w:t xml:space="preserve"> females. </w:t>
      </w:r>
    </w:p>
    <w:p w14:paraId="651BD749" w14:textId="77777777" w:rsidR="00F55E6A" w:rsidRPr="00CA4E90" w:rsidRDefault="00F55E6A">
      <w:pPr>
        <w:numPr>
          <w:ilvl w:val="0"/>
          <w:numId w:val="3"/>
        </w:numPr>
        <w:spacing w:after="0" w:line="240" w:lineRule="auto"/>
        <w:contextualSpacing/>
        <w:jc w:val="both"/>
        <w:rPr>
          <w:rFonts w:cstheme="minorHAnsi"/>
          <w:i/>
          <w:iCs/>
        </w:rPr>
      </w:pPr>
      <w:r w:rsidRPr="00CA4E90">
        <w:rPr>
          <w:rFonts w:eastAsia="Times New Roman" w:cstheme="minorHAnsi"/>
          <w:lang w:eastAsia="en-IE"/>
        </w:rPr>
        <w:t xml:space="preserve">Incidence rates in the diagnosis period 2014-2018 were </w:t>
      </w:r>
      <w:r>
        <w:rPr>
          <w:rFonts w:eastAsia="Times New Roman" w:cstheme="minorHAnsi"/>
          <w:lang w:eastAsia="en-IE"/>
        </w:rPr>
        <w:t>similar across deprivation</w:t>
      </w:r>
      <w:r w:rsidRPr="00CA4E90">
        <w:rPr>
          <w:rFonts w:eastAsia="Times New Roman" w:cstheme="minorHAnsi"/>
          <w:lang w:eastAsia="en-IE"/>
        </w:rPr>
        <w:t xml:space="preserve"> quintile</w:t>
      </w:r>
      <w:r>
        <w:rPr>
          <w:rFonts w:eastAsia="Times New Roman" w:cstheme="minorHAnsi"/>
          <w:lang w:eastAsia="en-IE"/>
        </w:rPr>
        <w:t>s</w:t>
      </w:r>
      <w:r w:rsidRPr="00CA4E90">
        <w:rPr>
          <w:rFonts w:eastAsia="Times New Roman" w:cstheme="minorHAnsi"/>
          <w:lang w:eastAsia="en-IE"/>
        </w:rPr>
        <w:t>.</w:t>
      </w:r>
    </w:p>
    <w:p w14:paraId="57629440" w14:textId="77777777" w:rsidR="00F55E6A" w:rsidRPr="00CA4E90" w:rsidRDefault="00F55E6A" w:rsidP="00F55E6A">
      <w:pPr>
        <w:spacing w:after="0" w:line="240" w:lineRule="auto"/>
        <w:jc w:val="both"/>
        <w:rPr>
          <w:rFonts w:eastAsia="Times New Roman" w:cstheme="minorHAnsi"/>
          <w:i/>
          <w:iCs/>
          <w:color w:val="808080" w:themeColor="background1" w:themeShade="80"/>
        </w:rPr>
      </w:pPr>
      <w:r w:rsidRPr="00CA4E90">
        <w:rPr>
          <w:rFonts w:cstheme="minorHAnsi"/>
          <w:i/>
          <w:iCs/>
          <w:color w:val="808080" w:themeColor="background1" w:themeShade="80"/>
        </w:rPr>
        <w:t>Mortality</w:t>
      </w:r>
    </w:p>
    <w:p w14:paraId="7BDE4678" w14:textId="5620778E" w:rsidR="00F55E6A" w:rsidRPr="00CA4E90" w:rsidRDefault="00F55E6A">
      <w:pPr>
        <w:numPr>
          <w:ilvl w:val="0"/>
          <w:numId w:val="5"/>
        </w:numPr>
        <w:spacing w:after="0" w:line="240" w:lineRule="auto"/>
        <w:ind w:left="709" w:hanging="283"/>
        <w:contextualSpacing/>
        <w:jc w:val="both"/>
        <w:rPr>
          <w:rFonts w:ascii="Aptos" w:hAnsi="Aptos"/>
          <w:color w:val="000000"/>
          <w:shd w:val="clear" w:color="auto" w:fill="FFFFFF"/>
        </w:rPr>
      </w:pPr>
      <w:r w:rsidRPr="00CA4E90">
        <w:rPr>
          <w:rFonts w:ascii="Aptos" w:hAnsi="Aptos"/>
          <w:color w:val="000000"/>
          <w:shd w:val="clear" w:color="auto" w:fill="FFFFFF"/>
        </w:rPr>
        <w:t>Age</w:t>
      </w:r>
      <w:r w:rsidR="004459B1">
        <w:rPr>
          <w:rFonts w:ascii="Aptos" w:hAnsi="Aptos"/>
          <w:color w:val="000000"/>
          <w:shd w:val="clear" w:color="auto" w:fill="FFFFFF"/>
        </w:rPr>
        <w:t>-</w:t>
      </w:r>
      <w:r w:rsidRPr="00CA4E90">
        <w:rPr>
          <w:rFonts w:ascii="Aptos" w:hAnsi="Aptos"/>
          <w:color w:val="000000"/>
          <w:shd w:val="clear" w:color="auto" w:fill="FFFFFF"/>
        </w:rPr>
        <w:t>standardised mortality rates for males decreased from 1994 to 2022</w:t>
      </w:r>
      <w:r w:rsidR="001070A7">
        <w:rPr>
          <w:rFonts w:ascii="Aptos" w:hAnsi="Aptos"/>
          <w:color w:val="000000"/>
          <w:shd w:val="clear" w:color="auto" w:fill="FFFFFF"/>
        </w:rPr>
        <w:t>.</w:t>
      </w:r>
      <w:r w:rsidRPr="00CA4E90">
        <w:rPr>
          <w:rFonts w:ascii="Aptos" w:hAnsi="Aptos"/>
          <w:color w:val="000000"/>
          <w:shd w:val="clear" w:color="auto" w:fill="FFFFFF"/>
        </w:rPr>
        <w:t xml:space="preserve"> </w:t>
      </w:r>
    </w:p>
    <w:p w14:paraId="19426707" w14:textId="77777777" w:rsidR="00F55E6A" w:rsidRPr="00CA4E90" w:rsidRDefault="00F55E6A">
      <w:pPr>
        <w:numPr>
          <w:ilvl w:val="0"/>
          <w:numId w:val="5"/>
        </w:numPr>
        <w:spacing w:after="0" w:line="240" w:lineRule="auto"/>
        <w:ind w:left="709" w:hanging="283"/>
        <w:contextualSpacing/>
        <w:jc w:val="both"/>
      </w:pPr>
      <w:r>
        <w:t>Case numbers among females were too few to calculate a reliable trend over time.</w:t>
      </w:r>
    </w:p>
    <w:p w14:paraId="2E21ABD5" w14:textId="77777777" w:rsidR="00F55E6A" w:rsidRPr="00CA4E90" w:rsidRDefault="00F55E6A" w:rsidP="00F55E6A">
      <w:pPr>
        <w:numPr>
          <w:ilvl w:val="1"/>
          <w:numId w:val="0"/>
        </w:numPr>
        <w:spacing w:after="0" w:line="240" w:lineRule="auto"/>
        <w:rPr>
          <w:rFonts w:eastAsiaTheme="majorEastAsia" w:cstheme="minorHAnsi"/>
          <w:i/>
          <w:iCs/>
          <w:color w:val="595959" w:themeColor="text1" w:themeTint="A6"/>
          <w:spacing w:val="15"/>
        </w:rPr>
      </w:pPr>
      <w:r w:rsidRPr="00CA4E90">
        <w:rPr>
          <w:rFonts w:eastAsiaTheme="majorEastAsia" w:cstheme="minorHAnsi"/>
          <w:i/>
          <w:iCs/>
          <w:color w:val="595959" w:themeColor="text1" w:themeTint="A6"/>
          <w:spacing w:val="15"/>
        </w:rPr>
        <w:t>Survival</w:t>
      </w:r>
    </w:p>
    <w:p w14:paraId="5CC9E8DD" w14:textId="77777777" w:rsidR="00F55E6A" w:rsidRDefault="00F55E6A">
      <w:pPr>
        <w:numPr>
          <w:ilvl w:val="0"/>
          <w:numId w:val="4"/>
        </w:numPr>
        <w:spacing w:after="0" w:line="240" w:lineRule="auto"/>
        <w:contextualSpacing/>
        <w:rPr>
          <w:rFonts w:cstheme="minorHAnsi"/>
        </w:rPr>
      </w:pPr>
      <w:r w:rsidRPr="00CA4E90">
        <w:rPr>
          <w:rFonts w:cstheme="minorHAnsi"/>
        </w:rPr>
        <w:t>5-year net survival was 61% for cases diagnosed during 2019-2022.</w:t>
      </w:r>
    </w:p>
    <w:p w14:paraId="50ABBA10" w14:textId="77777777" w:rsidR="00F55E6A" w:rsidRPr="00CA4E90" w:rsidRDefault="00F55E6A" w:rsidP="00F55E6A">
      <w:pPr>
        <w:numPr>
          <w:ilvl w:val="1"/>
          <w:numId w:val="0"/>
        </w:numPr>
        <w:spacing w:after="0" w:line="240" w:lineRule="auto"/>
        <w:rPr>
          <w:rFonts w:cstheme="minorHAnsi"/>
          <w:i/>
          <w:iCs/>
        </w:rPr>
      </w:pPr>
      <w:r w:rsidRPr="00CA4E90">
        <w:rPr>
          <w:rFonts w:eastAsiaTheme="majorEastAsia" w:cstheme="minorHAnsi"/>
          <w:i/>
          <w:iCs/>
          <w:color w:val="595959" w:themeColor="text1" w:themeTint="A6"/>
          <w:spacing w:val="15"/>
        </w:rPr>
        <w:t>Population attributable fraction</w:t>
      </w:r>
    </w:p>
    <w:p w14:paraId="670DDD43" w14:textId="201ABCC3" w:rsidR="00F55E6A" w:rsidRPr="00CA4E90" w:rsidRDefault="00F55E6A">
      <w:pPr>
        <w:numPr>
          <w:ilvl w:val="0"/>
          <w:numId w:val="2"/>
        </w:numPr>
        <w:spacing w:after="0" w:line="240" w:lineRule="auto"/>
        <w:contextualSpacing/>
        <w:rPr>
          <w:rFonts w:eastAsiaTheme="majorEastAsia" w:cstheme="minorHAnsi"/>
          <w:color w:val="0F4761" w:themeColor="accent1" w:themeShade="BF"/>
        </w:rPr>
      </w:pPr>
      <w:r w:rsidRPr="00CA4E90">
        <w:rPr>
          <w:rFonts w:eastAsia="Calibri" w:cstheme="minorHAnsi"/>
          <w:color w:val="000000" w:themeColor="text1"/>
        </w:rPr>
        <w:t>In 2022</w:t>
      </w:r>
      <w:r w:rsidR="004459B1">
        <w:rPr>
          <w:rFonts w:eastAsia="Calibri" w:cstheme="minorHAnsi"/>
          <w:color w:val="000000" w:themeColor="text1"/>
        </w:rPr>
        <w:t>,</w:t>
      </w:r>
      <w:r w:rsidRPr="00CA4E90">
        <w:rPr>
          <w:rFonts w:eastAsia="Calibri" w:cstheme="minorHAnsi"/>
          <w:color w:val="000000" w:themeColor="text1"/>
        </w:rPr>
        <w:t xml:space="preserve"> the estimated total number of cases of sinonasal cancer attributable to smoking in Ireland was </w:t>
      </w:r>
      <w:r>
        <w:rPr>
          <w:rFonts w:eastAsia="Calibri" w:cstheme="minorHAnsi"/>
          <w:color w:val="000000" w:themeColor="text1"/>
        </w:rPr>
        <w:t>6</w:t>
      </w:r>
      <w:r w:rsidRPr="00CA4E90">
        <w:rPr>
          <w:rFonts w:eastAsia="Calibri" w:cstheme="minorHAnsi"/>
          <w:color w:val="000000" w:themeColor="text1"/>
        </w:rPr>
        <w:t xml:space="preserve"> (PAF </w:t>
      </w:r>
      <w:r>
        <w:rPr>
          <w:rFonts w:eastAsia="Calibri" w:cstheme="minorHAnsi"/>
          <w:color w:val="000000" w:themeColor="text1"/>
        </w:rPr>
        <w:t>26</w:t>
      </w:r>
      <w:r w:rsidRPr="00CA4E90">
        <w:rPr>
          <w:rFonts w:eastAsia="Calibri" w:cstheme="minorHAnsi"/>
          <w:color w:val="000000" w:themeColor="text1"/>
        </w:rPr>
        <w:t xml:space="preserve">%). </w:t>
      </w:r>
    </w:p>
    <w:p w14:paraId="19EE514C" w14:textId="77777777" w:rsidR="00F55E6A" w:rsidRDefault="00F55E6A" w:rsidP="00F55E6A">
      <w:pPr>
        <w:spacing w:after="0" w:line="240" w:lineRule="auto"/>
        <w:rPr>
          <w:rFonts w:eastAsia="Calibri" w:cstheme="minorHAnsi"/>
          <w:color w:val="000000" w:themeColor="text1"/>
        </w:rPr>
      </w:pPr>
      <w:r>
        <w:rPr>
          <w:rFonts w:eastAsia="Calibri" w:cstheme="minorHAnsi"/>
          <w:color w:val="000000" w:themeColor="text1"/>
        </w:rPr>
        <w:br w:type="page"/>
      </w:r>
    </w:p>
    <w:p w14:paraId="66B1910C" w14:textId="5D7E4C5F" w:rsidR="00F55E6A" w:rsidRPr="00146578" w:rsidRDefault="4E715C75" w:rsidP="00146578">
      <w:pPr>
        <w:pStyle w:val="Heading2"/>
      </w:pPr>
      <w:bookmarkStart w:id="242" w:name="_Toc197557119"/>
      <w:r>
        <w:t xml:space="preserve"> </w:t>
      </w:r>
      <w:bookmarkStart w:id="243" w:name="_Toc201512510"/>
      <w:r w:rsidR="00F55E6A" w:rsidRPr="00146578">
        <w:t>Incidence</w:t>
      </w:r>
      <w:bookmarkEnd w:id="242"/>
      <w:bookmarkEnd w:id="243"/>
    </w:p>
    <w:p w14:paraId="45165B4A" w14:textId="0C2342AF" w:rsidR="00F55E6A" w:rsidRDefault="00F55E6A" w:rsidP="00F55E6A">
      <w:pPr>
        <w:spacing w:after="0" w:line="240" w:lineRule="auto"/>
      </w:pPr>
      <w:bookmarkStart w:id="244" w:name="_Hlk196225093"/>
      <w:r>
        <w:t xml:space="preserve">Between1994-2022,729 cases of sinonasal cancer were recorded (424 males, 305 females). </w:t>
      </w:r>
      <w:r w:rsidR="00146578">
        <w:t>Median age</w:t>
      </w:r>
      <w:r>
        <w:t xml:space="preserve"> at diagnosis was 65 years (IQR</w:t>
      </w:r>
      <w:r w:rsidR="004459B1">
        <w:t>:</w:t>
      </w:r>
      <w:r>
        <w:t xml:space="preserve"> 54-74.5) for males and 67 (</w:t>
      </w:r>
      <w:r w:rsidR="004459B1">
        <w:t>IQR:</w:t>
      </w:r>
      <w:r>
        <w:t>51-76) for females.</w:t>
      </w:r>
      <w:bookmarkStart w:id="245" w:name="_Hlk195017337"/>
      <w:bookmarkEnd w:id="244"/>
      <w:r>
        <w:t xml:space="preserve"> </w:t>
      </w:r>
      <w:r w:rsidRPr="0310EA59">
        <w:t xml:space="preserve">On average </w:t>
      </w:r>
      <w:r w:rsidR="004459B1">
        <w:t>during the period</w:t>
      </w:r>
      <w:r w:rsidRPr="0310EA59">
        <w:t xml:space="preserve"> 1994-2022 the age-standardised incidence rate of sinonasal cancer was 1.0 case per 100,000 males and 0.6 cases per 100,000 females per year. Figure </w:t>
      </w:r>
      <w:r w:rsidR="009540E5">
        <w:t>13.1</w:t>
      </w:r>
      <w:r w:rsidRPr="0310EA59">
        <w:t xml:space="preserve"> presents incidence between 1994-2022 by age group and sex.</w:t>
      </w:r>
    </w:p>
    <w:p w14:paraId="05B90F3C" w14:textId="77777777" w:rsidR="00F55E6A" w:rsidRPr="00C11A7B" w:rsidRDefault="00F55E6A" w:rsidP="00F55E6A">
      <w:pPr>
        <w:spacing w:after="0" w:line="240" w:lineRule="auto"/>
        <w:rPr>
          <w:rFonts w:cstheme="minorHAnsi"/>
        </w:rPr>
      </w:pPr>
    </w:p>
    <w:tbl>
      <w:tblPr>
        <w:tblStyle w:val="TableGrid"/>
        <w:tblW w:w="9640" w:type="dxa"/>
        <w:tblInd w:w="-426"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3261"/>
        <w:gridCol w:w="3118"/>
      </w:tblGrid>
      <w:tr w:rsidR="00F55E6A" w:rsidRPr="00847E9D" w14:paraId="7BD7897E" w14:textId="77777777" w:rsidTr="0041177B">
        <w:trPr>
          <w:trHeight w:val="113"/>
        </w:trPr>
        <w:tc>
          <w:tcPr>
            <w:tcW w:w="9640" w:type="dxa"/>
            <w:gridSpan w:val="3"/>
            <w:shd w:val="clear" w:color="auto" w:fill="002060"/>
          </w:tcPr>
          <w:p w14:paraId="278A331C" w14:textId="31D9CAB2" w:rsidR="00F55E6A" w:rsidRPr="009540E5" w:rsidRDefault="00F55E6A" w:rsidP="0041177B">
            <w:pPr>
              <w:rPr>
                <w:rFonts w:asciiTheme="minorHAnsi" w:hAnsiTheme="minorHAnsi" w:cstheme="minorHAnsi"/>
                <w:b/>
                <w:bCs/>
                <w:color w:val="FFFFFF" w:themeColor="background1"/>
              </w:rPr>
            </w:pPr>
            <w:r w:rsidRPr="009540E5">
              <w:rPr>
                <w:rFonts w:asciiTheme="minorHAnsi" w:hAnsiTheme="minorHAnsi" w:cstheme="minorHAnsi"/>
                <w:b/>
                <w:bCs/>
                <w:color w:val="FFFFFF" w:themeColor="background1"/>
              </w:rPr>
              <w:t xml:space="preserve">Figure </w:t>
            </w:r>
            <w:r w:rsidR="009540E5" w:rsidRPr="009540E5">
              <w:rPr>
                <w:rFonts w:asciiTheme="minorHAnsi" w:hAnsiTheme="minorHAnsi" w:cstheme="minorHAnsi"/>
                <w:b/>
                <w:bCs/>
                <w:color w:val="FFFFFF" w:themeColor="background1"/>
              </w:rPr>
              <w:t>13.1</w:t>
            </w:r>
            <w:r w:rsidR="009540E5">
              <w:rPr>
                <w:rFonts w:asciiTheme="minorHAnsi" w:hAnsiTheme="minorHAnsi" w:cstheme="minorHAnsi"/>
                <w:b/>
                <w:bCs/>
                <w:color w:val="FFFFFF" w:themeColor="background1"/>
              </w:rPr>
              <w:t>:</w:t>
            </w:r>
            <w:r w:rsidRPr="009540E5">
              <w:rPr>
                <w:rFonts w:asciiTheme="minorHAnsi" w:hAnsiTheme="minorHAnsi" w:cstheme="minorHAnsi"/>
                <w:b/>
                <w:bCs/>
                <w:color w:val="FFFFFF" w:themeColor="background1"/>
              </w:rPr>
              <w:t xml:space="preserve"> Incidence rate (per 100,000) for sinonasal cancer by </w:t>
            </w:r>
            <w:r w:rsidR="00366242">
              <w:rPr>
                <w:rFonts w:asciiTheme="minorHAnsi" w:hAnsiTheme="minorHAnsi" w:cstheme="minorHAnsi"/>
                <w:b/>
                <w:bCs/>
                <w:color w:val="FFFFFF" w:themeColor="background1"/>
              </w:rPr>
              <w:t>age group</w:t>
            </w:r>
            <w:r w:rsidRPr="009540E5">
              <w:rPr>
                <w:rFonts w:asciiTheme="minorHAnsi" w:hAnsiTheme="minorHAnsi" w:cstheme="minorHAnsi"/>
                <w:b/>
                <w:bCs/>
                <w:color w:val="FFFFFF" w:themeColor="background1"/>
              </w:rPr>
              <w:t>,1994-2022</w:t>
            </w:r>
          </w:p>
        </w:tc>
      </w:tr>
      <w:tr w:rsidR="00F55E6A" w:rsidRPr="00847E9D" w14:paraId="45D51B2D" w14:textId="77777777" w:rsidTr="0041177B">
        <w:trPr>
          <w:trHeight w:val="113"/>
        </w:trPr>
        <w:tc>
          <w:tcPr>
            <w:tcW w:w="3261" w:type="dxa"/>
            <w:shd w:val="clear" w:color="auto" w:fill="auto"/>
          </w:tcPr>
          <w:p w14:paraId="16C29C30" w14:textId="77777777" w:rsidR="00F55E6A" w:rsidRPr="00847E9D" w:rsidRDefault="00F55E6A" w:rsidP="0041177B">
            <w:pPr>
              <w:jc w:val="center"/>
              <w:rPr>
                <w:rFonts w:asciiTheme="minorHAnsi" w:hAnsiTheme="minorHAnsi" w:cstheme="minorHAnsi"/>
                <w:color w:val="000000" w:themeColor="text1"/>
              </w:rPr>
            </w:pPr>
            <w:r w:rsidRPr="00847E9D">
              <w:rPr>
                <w:rFonts w:asciiTheme="minorHAnsi" w:hAnsiTheme="minorHAnsi" w:cstheme="minorHAnsi"/>
                <w:color w:val="000000" w:themeColor="text1"/>
              </w:rPr>
              <w:t>Total</w:t>
            </w:r>
          </w:p>
        </w:tc>
        <w:tc>
          <w:tcPr>
            <w:tcW w:w="3261" w:type="dxa"/>
            <w:shd w:val="clear" w:color="auto" w:fill="auto"/>
          </w:tcPr>
          <w:p w14:paraId="42EEA931" w14:textId="77777777" w:rsidR="00F55E6A" w:rsidRPr="00847E9D" w:rsidRDefault="00F55E6A" w:rsidP="0041177B">
            <w:pPr>
              <w:jc w:val="center"/>
              <w:rPr>
                <w:rFonts w:asciiTheme="minorHAnsi" w:hAnsiTheme="minorHAnsi" w:cstheme="minorHAnsi"/>
                <w:color w:val="000000" w:themeColor="text1"/>
              </w:rPr>
            </w:pPr>
            <w:r w:rsidRPr="00847E9D">
              <w:rPr>
                <w:rFonts w:asciiTheme="minorHAnsi" w:hAnsiTheme="minorHAnsi" w:cstheme="minorHAnsi"/>
                <w:color w:val="000000" w:themeColor="text1"/>
              </w:rPr>
              <w:t>Males</w:t>
            </w:r>
          </w:p>
        </w:tc>
        <w:tc>
          <w:tcPr>
            <w:tcW w:w="3118" w:type="dxa"/>
          </w:tcPr>
          <w:p w14:paraId="58DD88C7" w14:textId="77777777" w:rsidR="00F55E6A" w:rsidRPr="00847E9D" w:rsidRDefault="00F55E6A" w:rsidP="0041177B">
            <w:pPr>
              <w:jc w:val="center"/>
              <w:rPr>
                <w:rFonts w:asciiTheme="minorHAnsi" w:hAnsiTheme="minorHAnsi" w:cstheme="minorHAnsi"/>
                <w:color w:val="000000" w:themeColor="text1"/>
              </w:rPr>
            </w:pPr>
            <w:r w:rsidRPr="00847E9D">
              <w:rPr>
                <w:rFonts w:asciiTheme="minorHAnsi" w:hAnsiTheme="minorHAnsi" w:cstheme="minorHAnsi"/>
                <w:color w:val="000000" w:themeColor="text1"/>
              </w:rPr>
              <w:t>Females</w:t>
            </w:r>
          </w:p>
        </w:tc>
      </w:tr>
      <w:tr w:rsidR="00F55E6A" w:rsidRPr="00847E9D" w14:paraId="12B28125" w14:textId="77777777" w:rsidTr="0041177B">
        <w:trPr>
          <w:trHeight w:val="113"/>
        </w:trPr>
        <w:tc>
          <w:tcPr>
            <w:tcW w:w="3261" w:type="dxa"/>
            <w:shd w:val="clear" w:color="auto" w:fill="auto"/>
          </w:tcPr>
          <w:p w14:paraId="1B8061DF" w14:textId="77777777" w:rsidR="00F55E6A" w:rsidRPr="00847E9D" w:rsidRDefault="00F55E6A" w:rsidP="0041177B">
            <w:pPr>
              <w:rPr>
                <w:rFonts w:asciiTheme="minorHAnsi" w:hAnsiTheme="minorHAnsi" w:cstheme="minorHAnsi"/>
                <w:color w:val="000000" w:themeColor="text1"/>
              </w:rPr>
            </w:pPr>
            <w:r w:rsidRPr="00847E9D">
              <w:rPr>
                <w:rFonts w:eastAsia="Times New Roman" w:cs="Times New Roman"/>
                <w:noProof/>
                <w:lang w:eastAsia="en-GB"/>
              </w:rPr>
              <w:drawing>
                <wp:inline distT="0" distB="0" distL="0" distR="0" wp14:anchorId="7BB8DB80" wp14:editId="79D8BC50">
                  <wp:extent cx="1680894" cy="1436400"/>
                  <wp:effectExtent l="0" t="0" r="0" b="0"/>
                  <wp:docPr id="464967293" name="Picture 2"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67293" name="Picture 2" descr="A graph with numbers and a bar chart&#10;&#10;AI-generated content may be incorrect."/>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680894" cy="1436400"/>
                          </a:xfrm>
                          <a:prstGeom prst="rect">
                            <a:avLst/>
                          </a:prstGeom>
                          <a:noFill/>
                          <a:ln>
                            <a:noFill/>
                          </a:ln>
                        </pic:spPr>
                      </pic:pic>
                    </a:graphicData>
                  </a:graphic>
                </wp:inline>
              </w:drawing>
            </w:r>
          </w:p>
        </w:tc>
        <w:tc>
          <w:tcPr>
            <w:tcW w:w="3261" w:type="dxa"/>
            <w:shd w:val="clear" w:color="auto" w:fill="auto"/>
          </w:tcPr>
          <w:p w14:paraId="2737574B" w14:textId="77777777" w:rsidR="00F55E6A" w:rsidRPr="00847E9D" w:rsidRDefault="00F55E6A" w:rsidP="0041177B">
            <w:pPr>
              <w:rPr>
                <w:rFonts w:asciiTheme="minorHAnsi" w:hAnsiTheme="minorHAnsi" w:cstheme="minorHAnsi"/>
                <w:color w:val="000000" w:themeColor="text1"/>
              </w:rPr>
            </w:pPr>
            <w:r w:rsidRPr="00847E9D">
              <w:rPr>
                <w:rFonts w:eastAsia="Times New Roman" w:cs="Times New Roman"/>
                <w:noProof/>
                <w:lang w:eastAsia="en-GB"/>
              </w:rPr>
              <w:drawing>
                <wp:inline distT="0" distB="0" distL="0" distR="0" wp14:anchorId="3FB611C1" wp14:editId="67969E56">
                  <wp:extent cx="1636200" cy="1436400"/>
                  <wp:effectExtent l="0" t="0" r="2540" b="0"/>
                  <wp:docPr id="904982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982993" name="Picture 1"/>
                          <pic:cNvPicPr>
                            <a:picLocks noChangeAspect="1" noChangeArrowheads="1"/>
                          </pic:cNvPicPr>
                        </pic:nvPicPr>
                        <pic:blipFill>
                          <a:blip r:embed="rId185">
                            <a:extLst>
                              <a:ext uri="{96DAC541-7B7A-43D3-8B79-37D633B846F1}">
                                <asvg:svgBlip xmlns:asvg="http://schemas.microsoft.com/office/drawing/2016/SVG/main" r:embed="rId186"/>
                              </a:ext>
                            </a:extLst>
                          </a:blip>
                          <a:stretch>
                            <a:fillRect/>
                          </a:stretch>
                        </pic:blipFill>
                        <pic:spPr bwMode="auto">
                          <a:xfrm>
                            <a:off x="0" y="0"/>
                            <a:ext cx="1636200" cy="1436400"/>
                          </a:xfrm>
                          <a:prstGeom prst="rect">
                            <a:avLst/>
                          </a:prstGeom>
                        </pic:spPr>
                      </pic:pic>
                    </a:graphicData>
                  </a:graphic>
                </wp:inline>
              </w:drawing>
            </w:r>
          </w:p>
        </w:tc>
        <w:tc>
          <w:tcPr>
            <w:tcW w:w="3118" w:type="dxa"/>
          </w:tcPr>
          <w:p w14:paraId="111CA354" w14:textId="77777777" w:rsidR="00F55E6A" w:rsidRPr="00847E9D" w:rsidRDefault="00F55E6A" w:rsidP="0041177B">
            <w:pPr>
              <w:rPr>
                <w:rFonts w:asciiTheme="minorHAnsi" w:eastAsia="Times New Roman" w:hAnsiTheme="minorHAnsi" w:cs="Times New Roman"/>
                <w:lang w:eastAsia="en-GB"/>
              </w:rPr>
            </w:pPr>
            <w:r w:rsidRPr="00847E9D">
              <w:rPr>
                <w:rFonts w:eastAsia="Times New Roman" w:cs="Times New Roman"/>
                <w:noProof/>
                <w:lang w:eastAsia="en-GB"/>
              </w:rPr>
              <w:drawing>
                <wp:inline distT="0" distB="0" distL="0" distR="0" wp14:anchorId="4DE8379F" wp14:editId="189F9F40">
                  <wp:extent cx="1680901" cy="1436400"/>
                  <wp:effectExtent l="0" t="0" r="0" b="0"/>
                  <wp:docPr id="1998742628" name="Picture 3"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742628" name="Picture 3" descr="A graph with numbers and a bar chart&#10;&#10;AI-generated content may be incorrect."/>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680901" cy="1436400"/>
                          </a:xfrm>
                          <a:prstGeom prst="rect">
                            <a:avLst/>
                          </a:prstGeom>
                          <a:noFill/>
                          <a:ln>
                            <a:noFill/>
                          </a:ln>
                        </pic:spPr>
                      </pic:pic>
                    </a:graphicData>
                  </a:graphic>
                </wp:inline>
              </w:drawing>
            </w:r>
          </w:p>
        </w:tc>
      </w:tr>
    </w:tbl>
    <w:p w14:paraId="651121AF" w14:textId="77777777" w:rsidR="00F55E6A" w:rsidRPr="00325650" w:rsidRDefault="00F55E6A" w:rsidP="00F55E6A">
      <w:pPr>
        <w:spacing w:after="0" w:line="240" w:lineRule="auto"/>
        <w:rPr>
          <w:rFonts w:cstheme="minorHAnsi"/>
        </w:rPr>
      </w:pPr>
    </w:p>
    <w:p w14:paraId="5D462E15" w14:textId="77777777" w:rsidR="00F55E6A" w:rsidRPr="00325650" w:rsidRDefault="00F55E6A" w:rsidP="00F55E6A">
      <w:pPr>
        <w:pStyle w:val="Heading3"/>
        <w:spacing w:before="0" w:after="0" w:line="240" w:lineRule="auto"/>
      </w:pPr>
      <w:bookmarkStart w:id="246" w:name="_Toc197557120"/>
      <w:bookmarkStart w:id="247" w:name="_Toc201512511"/>
      <w:bookmarkStart w:id="248" w:name="_Hlk196298615"/>
      <w:bookmarkEnd w:id="245"/>
      <w:r w:rsidRPr="00325650">
        <w:t>Trends over</w:t>
      </w:r>
      <w:r>
        <w:t xml:space="preserve"> </w:t>
      </w:r>
      <w:r w:rsidRPr="00325650">
        <w:t>time</w:t>
      </w:r>
      <w:bookmarkEnd w:id="246"/>
      <w:bookmarkEnd w:id="247"/>
    </w:p>
    <w:p w14:paraId="6862D0F7" w14:textId="43B107C4" w:rsidR="00F55E6A" w:rsidRDefault="00F55E6A" w:rsidP="00F55E6A">
      <w:pPr>
        <w:spacing w:after="0" w:line="240" w:lineRule="auto"/>
        <w:rPr>
          <w:rFonts w:cstheme="minorHAnsi"/>
        </w:rPr>
      </w:pPr>
      <w:bookmarkStart w:id="249" w:name="_Hlk196812891"/>
      <w:bookmarkStart w:id="250" w:name="_Hlk195004675"/>
      <w:r w:rsidRPr="00084C74">
        <w:rPr>
          <w:rFonts w:cstheme="minorHAnsi"/>
        </w:rPr>
        <w:t xml:space="preserve">Figure </w:t>
      </w:r>
      <w:r w:rsidR="009540E5">
        <w:rPr>
          <w:rFonts w:cstheme="minorHAnsi"/>
        </w:rPr>
        <w:t>13.2</w:t>
      </w:r>
      <w:r w:rsidRPr="00084C74">
        <w:rPr>
          <w:rFonts w:cstheme="minorHAnsi"/>
        </w:rPr>
        <w:t xml:space="preserve"> shows the incidence of sinonasal cancer from 1994 to 2022. </w:t>
      </w:r>
      <w:bookmarkStart w:id="251" w:name="_Hlk196301131"/>
      <w:r w:rsidRPr="00084C74">
        <w:rPr>
          <w:rFonts w:cstheme="minorHAnsi"/>
        </w:rPr>
        <w:t>Overall, there was no change in incidence over time among males or females.</w:t>
      </w:r>
      <w:r w:rsidRPr="009724E4">
        <w:rPr>
          <w:rFonts w:cstheme="minorHAnsi"/>
        </w:rPr>
        <w:t> </w:t>
      </w:r>
      <w:bookmarkEnd w:id="251"/>
    </w:p>
    <w:bookmarkEnd w:id="249"/>
    <w:p w14:paraId="31F77ECE" w14:textId="77777777" w:rsidR="00F55E6A" w:rsidRDefault="00F55E6A" w:rsidP="00F55E6A">
      <w:pPr>
        <w:spacing w:after="0" w:line="240" w:lineRule="auto"/>
        <w:rPr>
          <w:rFonts w:cstheme="minorHAnsi"/>
        </w:rPr>
      </w:pPr>
    </w:p>
    <w:tbl>
      <w:tblPr>
        <w:tblStyle w:val="TableGrid"/>
        <w:tblW w:w="970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06"/>
      </w:tblGrid>
      <w:tr w:rsidR="00F55E6A" w:rsidRPr="00847E9D" w14:paraId="6A2F815B" w14:textId="77777777" w:rsidTr="0041177B">
        <w:trPr>
          <w:trHeight w:val="113"/>
        </w:trPr>
        <w:tc>
          <w:tcPr>
            <w:tcW w:w="9706" w:type="dxa"/>
            <w:shd w:val="clear" w:color="auto" w:fill="002060"/>
            <w:vAlign w:val="center"/>
          </w:tcPr>
          <w:p w14:paraId="7EC86DF6" w14:textId="5EA60178" w:rsidR="00F55E6A" w:rsidRPr="00D1155A" w:rsidRDefault="00F55E6A" w:rsidP="0041177B">
            <w:pPr>
              <w:rPr>
                <w:rFonts w:asciiTheme="minorHAnsi" w:hAnsiTheme="minorHAnsi"/>
                <w:b/>
                <w:bCs/>
              </w:rPr>
            </w:pPr>
            <w:bookmarkStart w:id="252" w:name="_Hlk195004715"/>
            <w:r w:rsidRPr="00847E9D">
              <w:rPr>
                <w:rFonts w:asciiTheme="minorHAnsi" w:hAnsiTheme="minorHAnsi"/>
                <w:b/>
                <w:bCs/>
              </w:rPr>
              <w:t xml:space="preserve">Figure </w:t>
            </w:r>
            <w:r w:rsidR="009540E5">
              <w:rPr>
                <w:rFonts w:asciiTheme="minorHAnsi" w:hAnsiTheme="minorHAnsi"/>
                <w:b/>
                <w:bCs/>
              </w:rPr>
              <w:t>13.2:</w:t>
            </w:r>
            <w:r w:rsidRPr="00847E9D">
              <w:rPr>
                <w:rFonts w:asciiTheme="minorHAnsi" w:hAnsiTheme="minorHAnsi"/>
                <w:b/>
                <w:bCs/>
              </w:rPr>
              <w:t xml:space="preserve">  Age-</w:t>
            </w:r>
            <w:r w:rsidRPr="00847E9D">
              <w:rPr>
                <w:rFonts w:asciiTheme="minorHAnsi" w:hAnsiTheme="minorHAnsi"/>
                <w:b/>
                <w:bCs/>
                <w:bdr w:val="single" w:sz="4" w:space="0" w:color="auto"/>
              </w:rPr>
              <w:t>standardised incidence rate 1994-2022, sinonasal cancer</w:t>
            </w:r>
          </w:p>
        </w:tc>
      </w:tr>
      <w:tr w:rsidR="00F55E6A" w:rsidRPr="00847E9D" w14:paraId="5946238A" w14:textId="77777777" w:rsidTr="0041177B">
        <w:trPr>
          <w:trHeight w:val="113"/>
        </w:trPr>
        <w:tc>
          <w:tcPr>
            <w:tcW w:w="9706" w:type="dxa"/>
            <w:vAlign w:val="center"/>
          </w:tcPr>
          <w:p w14:paraId="3B827E2A" w14:textId="77777777" w:rsidR="00F55E6A" w:rsidRPr="00D1155A" w:rsidRDefault="00F55E6A" w:rsidP="0041177B">
            <w:pPr>
              <w:rPr>
                <w:rFonts w:asciiTheme="minorHAnsi" w:eastAsia="Times New Roman" w:hAnsiTheme="minorHAnsi" w:cs="Times New Roman"/>
                <w:lang w:eastAsia="en-GB"/>
              </w:rPr>
            </w:pPr>
            <w:r w:rsidRPr="00847E9D">
              <w:rPr>
                <w:rFonts w:eastAsia="Times New Roman" w:cs="Times New Roman"/>
                <w:noProof/>
                <w:lang w:eastAsia="en-GB"/>
              </w:rPr>
              <w:drawing>
                <wp:inline distT="0" distB="0" distL="0" distR="0" wp14:anchorId="0CEDBAD0" wp14:editId="17246EF1">
                  <wp:extent cx="5756291" cy="3016800"/>
                  <wp:effectExtent l="0" t="0" r="0" b="0"/>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7"/>
                          <pic:cNvPicPr>
                            <a:picLocks noChangeAspect="1" noChangeArrowheads="1"/>
                          </pic:cNvPicPr>
                        </pic:nvPicPr>
                        <pic:blipFill>
                          <a:blip r:embed="rId188">
                            <a:extLst>
                              <a:ext uri="{96DAC541-7B7A-43D3-8B79-37D633B846F1}">
                                <asvg:svgBlip xmlns:asvg="http://schemas.microsoft.com/office/drawing/2016/SVG/main" r:embed="rId189"/>
                              </a:ext>
                            </a:extLst>
                          </a:blip>
                          <a:stretch>
                            <a:fillRect/>
                          </a:stretch>
                        </pic:blipFill>
                        <pic:spPr bwMode="auto">
                          <a:xfrm>
                            <a:off x="0" y="0"/>
                            <a:ext cx="5756291" cy="3016800"/>
                          </a:xfrm>
                          <a:prstGeom prst="rect">
                            <a:avLst/>
                          </a:prstGeom>
                        </pic:spPr>
                      </pic:pic>
                    </a:graphicData>
                  </a:graphic>
                </wp:inline>
              </w:drawing>
            </w:r>
          </w:p>
          <w:p w14:paraId="182EDFA3" w14:textId="77777777" w:rsidR="00F55E6A" w:rsidRPr="00D1155A" w:rsidRDefault="00F55E6A" w:rsidP="0041177B">
            <w:pPr>
              <w:jc w:val="center"/>
              <w:rPr>
                <w:rFonts w:asciiTheme="minorHAnsi" w:hAnsiTheme="minorHAnsi"/>
              </w:rPr>
            </w:pPr>
          </w:p>
        </w:tc>
      </w:tr>
      <w:tr w:rsidR="00F55E6A" w:rsidRPr="00847E9D" w14:paraId="1A18130F" w14:textId="77777777" w:rsidTr="0041177B">
        <w:trPr>
          <w:trHeight w:val="113"/>
        </w:trPr>
        <w:tc>
          <w:tcPr>
            <w:tcW w:w="9706" w:type="dxa"/>
            <w:vAlign w:val="center"/>
          </w:tcPr>
          <w:tbl>
            <w:tblPr>
              <w:tblpPr w:leftFromText="180" w:rightFromText="180" w:vertAnchor="page" w:horzAnchor="margin" w:tblpXSpec="center" w:tblpY="1"/>
              <w:tblOverlap w:val="never"/>
              <w:tblW w:w="0" w:type="auto"/>
              <w:tblCellMar>
                <w:top w:w="15" w:type="dxa"/>
                <w:bottom w:w="15" w:type="dxa"/>
              </w:tblCellMar>
              <w:tblLook w:val="04A0" w:firstRow="1" w:lastRow="0" w:firstColumn="1" w:lastColumn="0" w:noHBand="0" w:noVBand="1"/>
            </w:tblPr>
            <w:tblGrid>
              <w:gridCol w:w="530"/>
              <w:gridCol w:w="1139"/>
              <w:gridCol w:w="771"/>
              <w:gridCol w:w="883"/>
              <w:gridCol w:w="706"/>
              <w:gridCol w:w="546"/>
              <w:gridCol w:w="1139"/>
              <w:gridCol w:w="771"/>
              <w:gridCol w:w="883"/>
              <w:gridCol w:w="706"/>
            </w:tblGrid>
            <w:tr w:rsidR="00F55E6A" w:rsidRPr="00361A5A" w14:paraId="2812E8E9" w14:textId="77777777" w:rsidTr="0041177B">
              <w:trPr>
                <w:trHeight w:val="113"/>
              </w:trPr>
              <w:tc>
                <w:tcPr>
                  <w:tcW w:w="0" w:type="auto"/>
                  <w:tcBorders>
                    <w:top w:val="nil"/>
                    <w:left w:val="nil"/>
                    <w:bottom w:val="nil"/>
                    <w:right w:val="nil"/>
                  </w:tcBorders>
                  <w:noWrap/>
                  <w:vAlign w:val="center"/>
                  <w:hideMark/>
                </w:tcPr>
                <w:p w14:paraId="72CE4F3A" w14:textId="77777777" w:rsidR="00F55E6A" w:rsidRPr="00D1155A"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D1155A">
                    <w:rPr>
                      <w:rFonts w:eastAsia="Times New Roman" w:cs="Times New Roman"/>
                      <w:b/>
                      <w:bCs/>
                      <w:color w:val="000000"/>
                      <w:kern w:val="0"/>
                      <w:sz w:val="20"/>
                      <w:szCs w:val="20"/>
                      <w:u w:val="single"/>
                      <w:lang w:eastAsia="en-GB"/>
                      <w14:ligatures w14:val="none"/>
                    </w:rPr>
                    <w:t>sex</w:t>
                  </w:r>
                </w:p>
              </w:tc>
              <w:tc>
                <w:tcPr>
                  <w:tcW w:w="0" w:type="auto"/>
                  <w:tcBorders>
                    <w:top w:val="nil"/>
                    <w:left w:val="nil"/>
                    <w:bottom w:val="nil"/>
                    <w:right w:val="nil"/>
                  </w:tcBorders>
                  <w:noWrap/>
                  <w:vAlign w:val="center"/>
                  <w:hideMark/>
                </w:tcPr>
                <w:p w14:paraId="6FC26C10" w14:textId="77777777" w:rsidR="00F55E6A" w:rsidRPr="00D1155A"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D1155A">
                    <w:rPr>
                      <w:rFonts w:eastAsia="Times New Roman" w:cs="Times New Roman"/>
                      <w:b/>
                      <w:bCs/>
                      <w:color w:val="000000"/>
                      <w:kern w:val="0"/>
                      <w:sz w:val="20"/>
                      <w:szCs w:val="20"/>
                      <w:u w:val="single"/>
                      <w:lang w:eastAsia="en-GB"/>
                      <w14:ligatures w14:val="none"/>
                    </w:rPr>
                    <w:t>period</w:t>
                  </w:r>
                </w:p>
              </w:tc>
              <w:tc>
                <w:tcPr>
                  <w:tcW w:w="0" w:type="auto"/>
                  <w:tcBorders>
                    <w:top w:val="nil"/>
                    <w:left w:val="nil"/>
                    <w:bottom w:val="nil"/>
                    <w:right w:val="nil"/>
                  </w:tcBorders>
                  <w:noWrap/>
                  <w:vAlign w:val="center"/>
                  <w:hideMark/>
                </w:tcPr>
                <w:p w14:paraId="10B895BB" w14:textId="77777777" w:rsidR="00F55E6A" w:rsidRPr="00D1155A"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D1155A">
                    <w:rPr>
                      <w:rFonts w:eastAsia="Times New Roman" w:cs="Times New Roman"/>
                      <w:b/>
                      <w:bCs/>
                      <w:color w:val="000000"/>
                      <w:kern w:val="0"/>
                      <w:sz w:val="20"/>
                      <w:szCs w:val="20"/>
                      <w:u w:val="single"/>
                      <w:lang w:eastAsia="en-GB"/>
                      <w14:ligatures w14:val="none"/>
                    </w:rPr>
                    <w:t>APC%</w:t>
                  </w:r>
                </w:p>
              </w:tc>
              <w:tc>
                <w:tcPr>
                  <w:tcW w:w="0" w:type="auto"/>
                  <w:tcBorders>
                    <w:top w:val="nil"/>
                    <w:left w:val="nil"/>
                    <w:bottom w:val="nil"/>
                    <w:right w:val="nil"/>
                  </w:tcBorders>
                  <w:noWrap/>
                  <w:vAlign w:val="center"/>
                  <w:hideMark/>
                </w:tcPr>
                <w:p w14:paraId="1454DA6A" w14:textId="77777777" w:rsidR="00F55E6A" w:rsidRPr="00D1155A"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D1155A">
                    <w:rPr>
                      <w:rFonts w:eastAsia="Times New Roman" w:cs="Times New Roman"/>
                      <w:b/>
                      <w:bCs/>
                      <w:color w:val="000000"/>
                      <w:kern w:val="0"/>
                      <w:sz w:val="20"/>
                      <w:szCs w:val="20"/>
                      <w:u w:val="single"/>
                      <w:lang w:eastAsia="en-GB"/>
                      <w14:ligatures w14:val="none"/>
                    </w:rPr>
                    <w:t>95%CI</w:t>
                  </w:r>
                </w:p>
              </w:tc>
              <w:tc>
                <w:tcPr>
                  <w:tcW w:w="0" w:type="auto"/>
                  <w:tcBorders>
                    <w:top w:val="nil"/>
                    <w:left w:val="nil"/>
                    <w:bottom w:val="nil"/>
                    <w:right w:val="single" w:sz="4" w:space="0" w:color="auto"/>
                  </w:tcBorders>
                  <w:noWrap/>
                  <w:vAlign w:val="center"/>
                  <w:hideMark/>
                </w:tcPr>
                <w:p w14:paraId="164BBFD2" w14:textId="77777777" w:rsidR="00F55E6A" w:rsidRPr="00D1155A"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D1155A">
                    <w:rPr>
                      <w:rFonts w:eastAsia="Times New Roman" w:cs="Times New Roman"/>
                      <w:b/>
                      <w:bCs/>
                      <w:color w:val="000000"/>
                      <w:kern w:val="0"/>
                      <w:sz w:val="20"/>
                      <w:szCs w:val="20"/>
                      <w:u w:val="single"/>
                      <w:lang w:eastAsia="en-GB"/>
                      <w14:ligatures w14:val="none"/>
                    </w:rPr>
                    <w:t>trend</w:t>
                  </w:r>
                </w:p>
              </w:tc>
              <w:tc>
                <w:tcPr>
                  <w:tcW w:w="0" w:type="auto"/>
                  <w:tcBorders>
                    <w:top w:val="nil"/>
                    <w:left w:val="nil"/>
                    <w:bottom w:val="nil"/>
                    <w:right w:val="nil"/>
                  </w:tcBorders>
                  <w:vAlign w:val="center"/>
                </w:tcPr>
                <w:p w14:paraId="730A8E50" w14:textId="5576F65B" w:rsidR="00F55E6A" w:rsidRPr="00361A5A" w:rsidRDefault="00A7565D" w:rsidP="0041177B">
                  <w:pPr>
                    <w:spacing w:after="0" w:line="240" w:lineRule="auto"/>
                    <w:jc w:val="center"/>
                    <w:rPr>
                      <w:rFonts w:eastAsia="Times New Roman" w:cs="Times New Roman"/>
                      <w:b/>
                      <w:bCs/>
                      <w:color w:val="000000"/>
                      <w:kern w:val="0"/>
                      <w:sz w:val="20"/>
                      <w:szCs w:val="20"/>
                      <w:u w:val="single"/>
                      <w:lang w:eastAsia="en-GB"/>
                      <w14:ligatures w14:val="none"/>
                    </w:rPr>
                  </w:pPr>
                  <w:r w:rsidRPr="00D1155A">
                    <w:rPr>
                      <w:rFonts w:eastAsia="Times New Roman" w:cs="Times New Roman"/>
                      <w:b/>
                      <w:bCs/>
                      <w:color w:val="000000"/>
                      <w:kern w:val="0"/>
                      <w:sz w:val="20"/>
                      <w:szCs w:val="20"/>
                      <w:u w:val="single"/>
                      <w:lang w:eastAsia="en-GB"/>
                      <w14:ligatures w14:val="none"/>
                    </w:rPr>
                    <w:t>S</w:t>
                  </w:r>
                  <w:r w:rsidR="00F55E6A" w:rsidRPr="00D1155A">
                    <w:rPr>
                      <w:rFonts w:eastAsia="Times New Roman" w:cs="Times New Roman"/>
                      <w:b/>
                      <w:bCs/>
                      <w:color w:val="000000"/>
                      <w:kern w:val="0"/>
                      <w:sz w:val="20"/>
                      <w:szCs w:val="20"/>
                      <w:u w:val="single"/>
                      <w:lang w:eastAsia="en-GB"/>
                      <w14:ligatures w14:val="none"/>
                    </w:rPr>
                    <w:t>ex</w:t>
                  </w:r>
                </w:p>
              </w:tc>
              <w:tc>
                <w:tcPr>
                  <w:tcW w:w="0" w:type="auto"/>
                  <w:tcBorders>
                    <w:top w:val="nil"/>
                    <w:left w:val="nil"/>
                    <w:bottom w:val="nil"/>
                    <w:right w:val="nil"/>
                  </w:tcBorders>
                  <w:vAlign w:val="center"/>
                </w:tcPr>
                <w:p w14:paraId="770287A6" w14:textId="77777777" w:rsidR="00F55E6A" w:rsidRPr="00361A5A"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D1155A">
                    <w:rPr>
                      <w:rFonts w:eastAsia="Times New Roman" w:cs="Times New Roman"/>
                      <w:b/>
                      <w:bCs/>
                      <w:color w:val="000000"/>
                      <w:kern w:val="0"/>
                      <w:sz w:val="20"/>
                      <w:szCs w:val="20"/>
                      <w:u w:val="single"/>
                      <w:lang w:eastAsia="en-GB"/>
                      <w14:ligatures w14:val="none"/>
                    </w:rPr>
                    <w:t>period</w:t>
                  </w:r>
                </w:p>
              </w:tc>
              <w:tc>
                <w:tcPr>
                  <w:tcW w:w="0" w:type="auto"/>
                  <w:tcBorders>
                    <w:top w:val="nil"/>
                    <w:left w:val="nil"/>
                    <w:bottom w:val="nil"/>
                    <w:right w:val="nil"/>
                  </w:tcBorders>
                  <w:vAlign w:val="center"/>
                </w:tcPr>
                <w:p w14:paraId="371ADD6C" w14:textId="77777777" w:rsidR="00F55E6A" w:rsidRPr="00361A5A"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D1155A">
                    <w:rPr>
                      <w:rFonts w:eastAsia="Times New Roman" w:cs="Times New Roman"/>
                      <w:b/>
                      <w:bCs/>
                      <w:color w:val="000000"/>
                      <w:kern w:val="0"/>
                      <w:sz w:val="20"/>
                      <w:szCs w:val="20"/>
                      <w:u w:val="single"/>
                      <w:lang w:eastAsia="en-GB"/>
                      <w14:ligatures w14:val="none"/>
                    </w:rPr>
                    <w:t>APC%</w:t>
                  </w:r>
                </w:p>
              </w:tc>
              <w:tc>
                <w:tcPr>
                  <w:tcW w:w="0" w:type="auto"/>
                  <w:tcBorders>
                    <w:top w:val="nil"/>
                    <w:left w:val="nil"/>
                    <w:bottom w:val="nil"/>
                    <w:right w:val="nil"/>
                  </w:tcBorders>
                  <w:vAlign w:val="center"/>
                </w:tcPr>
                <w:p w14:paraId="1CAD444A" w14:textId="77777777" w:rsidR="00F55E6A" w:rsidRPr="00361A5A"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D1155A">
                    <w:rPr>
                      <w:rFonts w:eastAsia="Times New Roman" w:cs="Times New Roman"/>
                      <w:b/>
                      <w:bCs/>
                      <w:color w:val="000000"/>
                      <w:kern w:val="0"/>
                      <w:sz w:val="20"/>
                      <w:szCs w:val="20"/>
                      <w:u w:val="single"/>
                      <w:lang w:eastAsia="en-GB"/>
                      <w14:ligatures w14:val="none"/>
                    </w:rPr>
                    <w:t>95%CI</w:t>
                  </w:r>
                </w:p>
              </w:tc>
              <w:tc>
                <w:tcPr>
                  <w:tcW w:w="0" w:type="auto"/>
                  <w:tcBorders>
                    <w:top w:val="nil"/>
                    <w:left w:val="nil"/>
                    <w:bottom w:val="nil"/>
                    <w:right w:val="single" w:sz="4" w:space="0" w:color="auto"/>
                  </w:tcBorders>
                  <w:vAlign w:val="center"/>
                </w:tcPr>
                <w:p w14:paraId="3E218C5F" w14:textId="77777777" w:rsidR="00F55E6A" w:rsidRPr="00361A5A"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D1155A">
                    <w:rPr>
                      <w:rFonts w:eastAsia="Times New Roman" w:cs="Times New Roman"/>
                      <w:b/>
                      <w:bCs/>
                      <w:color w:val="000000"/>
                      <w:kern w:val="0"/>
                      <w:sz w:val="20"/>
                      <w:szCs w:val="20"/>
                      <w:u w:val="single"/>
                      <w:lang w:eastAsia="en-GB"/>
                      <w14:ligatures w14:val="none"/>
                    </w:rPr>
                    <w:t>trend</w:t>
                  </w:r>
                </w:p>
              </w:tc>
            </w:tr>
            <w:tr w:rsidR="00F55E6A" w:rsidRPr="00361A5A" w14:paraId="44F2482E" w14:textId="77777777" w:rsidTr="0041177B">
              <w:trPr>
                <w:trHeight w:val="113"/>
              </w:trPr>
              <w:tc>
                <w:tcPr>
                  <w:tcW w:w="0" w:type="auto"/>
                  <w:tcBorders>
                    <w:top w:val="nil"/>
                    <w:left w:val="nil"/>
                    <w:bottom w:val="nil"/>
                    <w:right w:val="nil"/>
                  </w:tcBorders>
                  <w:noWrap/>
                  <w:vAlign w:val="center"/>
                  <w:hideMark/>
                </w:tcPr>
                <w:p w14:paraId="787E08A9" w14:textId="77777777" w:rsidR="00F55E6A" w:rsidRPr="00D1155A" w:rsidRDefault="00F55E6A" w:rsidP="0041177B">
                  <w:pPr>
                    <w:spacing w:after="0" w:line="240" w:lineRule="auto"/>
                    <w:jc w:val="center"/>
                    <w:rPr>
                      <w:rFonts w:eastAsia="Times New Roman" w:cs="Times New Roman"/>
                      <w:color w:val="000000"/>
                      <w:kern w:val="0"/>
                      <w:sz w:val="20"/>
                      <w:szCs w:val="20"/>
                      <w:lang w:eastAsia="en-GB"/>
                      <w14:ligatures w14:val="none"/>
                    </w:rPr>
                  </w:pPr>
                  <w:r w:rsidRPr="00D1155A">
                    <w:rPr>
                      <w:rFonts w:eastAsia="Times New Roman" w:cs="Times New Roman"/>
                      <w:color w:val="000000"/>
                      <w:kern w:val="0"/>
                      <w:sz w:val="20"/>
                      <w:szCs w:val="20"/>
                      <w:lang w:eastAsia="en-GB"/>
                      <w14:ligatures w14:val="none"/>
                    </w:rPr>
                    <w:t>M</w:t>
                  </w:r>
                </w:p>
              </w:tc>
              <w:tc>
                <w:tcPr>
                  <w:tcW w:w="0" w:type="auto"/>
                  <w:tcBorders>
                    <w:top w:val="nil"/>
                    <w:left w:val="nil"/>
                    <w:bottom w:val="nil"/>
                    <w:right w:val="nil"/>
                  </w:tcBorders>
                  <w:noWrap/>
                  <w:vAlign w:val="center"/>
                  <w:hideMark/>
                </w:tcPr>
                <w:p w14:paraId="161F2951" w14:textId="77777777" w:rsidR="00F55E6A" w:rsidRPr="00D1155A" w:rsidRDefault="00F55E6A" w:rsidP="0041177B">
                  <w:pPr>
                    <w:spacing w:after="0" w:line="240" w:lineRule="auto"/>
                    <w:jc w:val="center"/>
                    <w:rPr>
                      <w:rFonts w:eastAsia="Times New Roman" w:cs="Times New Roman"/>
                      <w:color w:val="000000"/>
                      <w:kern w:val="0"/>
                      <w:sz w:val="20"/>
                      <w:szCs w:val="20"/>
                      <w:lang w:eastAsia="en-GB"/>
                      <w14:ligatures w14:val="none"/>
                    </w:rPr>
                  </w:pPr>
                  <w:r w:rsidRPr="00D1155A">
                    <w:rPr>
                      <w:rFonts w:eastAsia="Times New Roman" w:cs="Times New Roman"/>
                      <w:color w:val="000000"/>
                      <w:kern w:val="0"/>
                      <w:sz w:val="20"/>
                      <w:szCs w:val="20"/>
                      <w:lang w:eastAsia="en-GB"/>
                      <w14:ligatures w14:val="none"/>
                    </w:rPr>
                    <w:t>1994-2022</w:t>
                  </w:r>
                </w:p>
              </w:tc>
              <w:tc>
                <w:tcPr>
                  <w:tcW w:w="0" w:type="auto"/>
                  <w:tcBorders>
                    <w:top w:val="nil"/>
                    <w:left w:val="nil"/>
                    <w:bottom w:val="nil"/>
                    <w:right w:val="nil"/>
                  </w:tcBorders>
                  <w:noWrap/>
                  <w:vAlign w:val="center"/>
                  <w:hideMark/>
                </w:tcPr>
                <w:p w14:paraId="4480CDE2" w14:textId="77777777" w:rsidR="00F55E6A" w:rsidRPr="00D1155A" w:rsidRDefault="00F55E6A" w:rsidP="0041177B">
                  <w:pPr>
                    <w:spacing w:after="0" w:line="240" w:lineRule="auto"/>
                    <w:jc w:val="center"/>
                    <w:rPr>
                      <w:rFonts w:eastAsia="Times New Roman" w:cs="Times New Roman"/>
                      <w:color w:val="000000"/>
                      <w:kern w:val="0"/>
                      <w:sz w:val="20"/>
                      <w:szCs w:val="20"/>
                      <w:lang w:eastAsia="en-GB"/>
                      <w14:ligatures w14:val="none"/>
                    </w:rPr>
                  </w:pPr>
                  <w:r w:rsidRPr="00D1155A">
                    <w:rPr>
                      <w:rFonts w:eastAsia="Times New Roman" w:cs="Times New Roman"/>
                      <w:color w:val="000000"/>
                      <w:kern w:val="0"/>
                      <w:sz w:val="20"/>
                      <w:szCs w:val="20"/>
                      <w:lang w:eastAsia="en-GB"/>
                      <w14:ligatures w14:val="none"/>
                    </w:rPr>
                    <w:t>-0.8</w:t>
                  </w:r>
                </w:p>
              </w:tc>
              <w:tc>
                <w:tcPr>
                  <w:tcW w:w="0" w:type="auto"/>
                  <w:tcBorders>
                    <w:top w:val="nil"/>
                    <w:left w:val="nil"/>
                    <w:bottom w:val="nil"/>
                    <w:right w:val="nil"/>
                  </w:tcBorders>
                  <w:noWrap/>
                  <w:vAlign w:val="center"/>
                  <w:hideMark/>
                </w:tcPr>
                <w:p w14:paraId="1C673F8E" w14:textId="77777777" w:rsidR="00F55E6A" w:rsidRPr="00D1155A" w:rsidRDefault="00F55E6A" w:rsidP="0041177B">
                  <w:pPr>
                    <w:spacing w:after="0" w:line="240" w:lineRule="auto"/>
                    <w:jc w:val="center"/>
                    <w:rPr>
                      <w:rFonts w:eastAsia="Times New Roman" w:cs="Times New Roman"/>
                      <w:color w:val="000000"/>
                      <w:kern w:val="0"/>
                      <w:sz w:val="20"/>
                      <w:szCs w:val="20"/>
                      <w:lang w:eastAsia="en-GB"/>
                      <w14:ligatures w14:val="none"/>
                    </w:rPr>
                  </w:pPr>
                  <w:r w:rsidRPr="00D1155A">
                    <w:rPr>
                      <w:rFonts w:eastAsia="Times New Roman" w:cs="Times New Roman"/>
                      <w:color w:val="000000"/>
                      <w:kern w:val="0"/>
                      <w:sz w:val="20"/>
                      <w:szCs w:val="20"/>
                      <w:lang w:eastAsia="en-GB"/>
                      <w14:ligatures w14:val="none"/>
                    </w:rPr>
                    <w:t>-2.2,0.7</w:t>
                  </w:r>
                </w:p>
              </w:tc>
              <w:tc>
                <w:tcPr>
                  <w:tcW w:w="0" w:type="auto"/>
                  <w:tcBorders>
                    <w:top w:val="nil"/>
                    <w:left w:val="nil"/>
                    <w:bottom w:val="nil"/>
                    <w:right w:val="single" w:sz="4" w:space="0" w:color="auto"/>
                  </w:tcBorders>
                  <w:noWrap/>
                  <w:vAlign w:val="center"/>
                  <w:hideMark/>
                </w:tcPr>
                <w:p w14:paraId="3FFDE601" w14:textId="77777777" w:rsidR="00F55E6A" w:rsidRPr="00D1155A" w:rsidRDefault="00F55E6A" w:rsidP="0041177B">
                  <w:pPr>
                    <w:spacing w:after="0" w:line="240" w:lineRule="auto"/>
                    <w:jc w:val="center"/>
                    <w:rPr>
                      <w:rFonts w:eastAsia="Times New Roman" w:cs="Times New Roman"/>
                      <w:color w:val="000000"/>
                      <w:kern w:val="0"/>
                      <w:sz w:val="20"/>
                      <w:szCs w:val="20"/>
                      <w:lang w:eastAsia="en-GB"/>
                      <w14:ligatures w14:val="none"/>
                    </w:rPr>
                  </w:pPr>
                  <w:r w:rsidRPr="00D1155A">
                    <w:rPr>
                      <w:rFonts w:eastAsia="Times New Roman" w:cs="Times New Roman"/>
                      <w:color w:val="000000"/>
                      <w:kern w:val="0"/>
                      <w:sz w:val="20"/>
                      <w:szCs w:val="20"/>
                      <w:lang w:eastAsia="en-GB"/>
                      <w14:ligatures w14:val="none"/>
                    </w:rPr>
                    <w:t>flat</w:t>
                  </w:r>
                </w:p>
              </w:tc>
              <w:tc>
                <w:tcPr>
                  <w:tcW w:w="0" w:type="auto"/>
                  <w:tcBorders>
                    <w:top w:val="nil"/>
                    <w:left w:val="single" w:sz="4" w:space="0" w:color="auto"/>
                    <w:bottom w:val="nil"/>
                    <w:right w:val="nil"/>
                  </w:tcBorders>
                  <w:vAlign w:val="center"/>
                </w:tcPr>
                <w:p w14:paraId="0A6D8FC8" w14:textId="77777777" w:rsidR="00F55E6A" w:rsidRPr="00361A5A" w:rsidRDefault="00F55E6A" w:rsidP="0041177B">
                  <w:pPr>
                    <w:spacing w:after="0" w:line="240" w:lineRule="auto"/>
                    <w:jc w:val="center"/>
                    <w:rPr>
                      <w:rFonts w:eastAsia="Times New Roman" w:cs="Times New Roman"/>
                      <w:color w:val="000000"/>
                      <w:kern w:val="0"/>
                      <w:sz w:val="20"/>
                      <w:szCs w:val="20"/>
                      <w:lang w:eastAsia="en-GB"/>
                      <w14:ligatures w14:val="none"/>
                    </w:rPr>
                  </w:pPr>
                  <w:r w:rsidRPr="00D1155A">
                    <w:rPr>
                      <w:rFonts w:eastAsia="Times New Roman" w:cs="Times New Roman"/>
                      <w:color w:val="000000"/>
                      <w:kern w:val="0"/>
                      <w:sz w:val="20"/>
                      <w:szCs w:val="20"/>
                      <w:lang w:eastAsia="en-GB"/>
                      <w14:ligatures w14:val="none"/>
                    </w:rPr>
                    <w:t>F</w:t>
                  </w:r>
                </w:p>
              </w:tc>
              <w:tc>
                <w:tcPr>
                  <w:tcW w:w="0" w:type="auto"/>
                  <w:tcBorders>
                    <w:top w:val="nil"/>
                    <w:left w:val="nil"/>
                    <w:bottom w:val="nil"/>
                    <w:right w:val="nil"/>
                  </w:tcBorders>
                  <w:vAlign w:val="center"/>
                </w:tcPr>
                <w:p w14:paraId="28318FD9" w14:textId="77777777" w:rsidR="00F55E6A" w:rsidRPr="00361A5A" w:rsidRDefault="00F55E6A" w:rsidP="0041177B">
                  <w:pPr>
                    <w:spacing w:after="0" w:line="240" w:lineRule="auto"/>
                    <w:jc w:val="center"/>
                    <w:rPr>
                      <w:rFonts w:eastAsia="Times New Roman" w:cs="Times New Roman"/>
                      <w:color w:val="000000"/>
                      <w:kern w:val="0"/>
                      <w:sz w:val="20"/>
                      <w:szCs w:val="20"/>
                      <w:lang w:eastAsia="en-GB"/>
                      <w14:ligatures w14:val="none"/>
                    </w:rPr>
                  </w:pPr>
                  <w:r w:rsidRPr="00D1155A">
                    <w:rPr>
                      <w:rFonts w:eastAsia="Times New Roman" w:cs="Times New Roman"/>
                      <w:color w:val="000000"/>
                      <w:kern w:val="0"/>
                      <w:sz w:val="20"/>
                      <w:szCs w:val="20"/>
                      <w:lang w:eastAsia="en-GB"/>
                      <w14:ligatures w14:val="none"/>
                    </w:rPr>
                    <w:t>1994-2022</w:t>
                  </w:r>
                </w:p>
              </w:tc>
              <w:tc>
                <w:tcPr>
                  <w:tcW w:w="0" w:type="auto"/>
                  <w:tcBorders>
                    <w:top w:val="nil"/>
                    <w:left w:val="nil"/>
                    <w:bottom w:val="nil"/>
                    <w:right w:val="nil"/>
                  </w:tcBorders>
                  <w:vAlign w:val="center"/>
                </w:tcPr>
                <w:p w14:paraId="10684769" w14:textId="77777777" w:rsidR="00F55E6A" w:rsidRPr="00361A5A" w:rsidRDefault="00F55E6A" w:rsidP="0041177B">
                  <w:pPr>
                    <w:spacing w:after="0" w:line="240" w:lineRule="auto"/>
                    <w:jc w:val="center"/>
                    <w:rPr>
                      <w:rFonts w:eastAsia="Times New Roman" w:cs="Times New Roman"/>
                      <w:color w:val="000000"/>
                      <w:kern w:val="0"/>
                      <w:sz w:val="20"/>
                      <w:szCs w:val="20"/>
                      <w:lang w:eastAsia="en-GB"/>
                      <w14:ligatures w14:val="none"/>
                    </w:rPr>
                  </w:pPr>
                  <w:r w:rsidRPr="00D1155A">
                    <w:rPr>
                      <w:rFonts w:eastAsia="Times New Roman" w:cs="Times New Roman"/>
                      <w:color w:val="000000"/>
                      <w:kern w:val="0"/>
                      <w:sz w:val="20"/>
                      <w:szCs w:val="20"/>
                      <w:lang w:eastAsia="en-GB"/>
                      <w14:ligatures w14:val="none"/>
                    </w:rPr>
                    <w:t>-0.6</w:t>
                  </w:r>
                </w:p>
              </w:tc>
              <w:tc>
                <w:tcPr>
                  <w:tcW w:w="0" w:type="auto"/>
                  <w:tcBorders>
                    <w:top w:val="nil"/>
                    <w:left w:val="nil"/>
                    <w:bottom w:val="nil"/>
                    <w:right w:val="nil"/>
                  </w:tcBorders>
                  <w:vAlign w:val="center"/>
                </w:tcPr>
                <w:p w14:paraId="0B8836E1" w14:textId="77777777" w:rsidR="00F55E6A" w:rsidRPr="00361A5A" w:rsidRDefault="00F55E6A" w:rsidP="0041177B">
                  <w:pPr>
                    <w:spacing w:after="0" w:line="240" w:lineRule="auto"/>
                    <w:jc w:val="center"/>
                    <w:rPr>
                      <w:rFonts w:eastAsia="Times New Roman" w:cs="Times New Roman"/>
                      <w:color w:val="000000"/>
                      <w:kern w:val="0"/>
                      <w:sz w:val="20"/>
                      <w:szCs w:val="20"/>
                      <w:lang w:eastAsia="en-GB"/>
                      <w14:ligatures w14:val="none"/>
                    </w:rPr>
                  </w:pPr>
                  <w:r w:rsidRPr="00D1155A">
                    <w:rPr>
                      <w:rFonts w:eastAsia="Times New Roman" w:cs="Times New Roman"/>
                      <w:color w:val="000000"/>
                      <w:kern w:val="0"/>
                      <w:sz w:val="20"/>
                      <w:szCs w:val="20"/>
                      <w:lang w:eastAsia="en-GB"/>
                      <w14:ligatures w14:val="none"/>
                    </w:rPr>
                    <w:t>-2.2,1.0</w:t>
                  </w:r>
                </w:p>
              </w:tc>
              <w:tc>
                <w:tcPr>
                  <w:tcW w:w="0" w:type="auto"/>
                  <w:tcBorders>
                    <w:top w:val="nil"/>
                    <w:left w:val="nil"/>
                    <w:bottom w:val="nil"/>
                    <w:right w:val="single" w:sz="4" w:space="0" w:color="auto"/>
                  </w:tcBorders>
                  <w:vAlign w:val="center"/>
                </w:tcPr>
                <w:p w14:paraId="03ADFDE7" w14:textId="77777777" w:rsidR="00F55E6A" w:rsidRPr="00361A5A" w:rsidRDefault="00F55E6A" w:rsidP="0041177B">
                  <w:pPr>
                    <w:spacing w:after="0" w:line="240" w:lineRule="auto"/>
                    <w:jc w:val="center"/>
                    <w:rPr>
                      <w:rFonts w:eastAsia="Times New Roman" w:cs="Times New Roman"/>
                      <w:color w:val="000000"/>
                      <w:kern w:val="0"/>
                      <w:sz w:val="20"/>
                      <w:szCs w:val="20"/>
                      <w:lang w:eastAsia="en-GB"/>
                      <w14:ligatures w14:val="none"/>
                    </w:rPr>
                  </w:pPr>
                  <w:r w:rsidRPr="00D1155A">
                    <w:rPr>
                      <w:rFonts w:eastAsia="Times New Roman" w:cs="Times New Roman"/>
                      <w:color w:val="000000"/>
                      <w:kern w:val="0"/>
                      <w:sz w:val="20"/>
                      <w:szCs w:val="20"/>
                      <w:lang w:eastAsia="en-GB"/>
                      <w14:ligatures w14:val="none"/>
                    </w:rPr>
                    <w:t>flat</w:t>
                  </w:r>
                </w:p>
              </w:tc>
            </w:tr>
          </w:tbl>
          <w:p w14:paraId="1DC7EE92" w14:textId="77777777" w:rsidR="00F55E6A" w:rsidRPr="00847E9D" w:rsidRDefault="00F55E6A" w:rsidP="0041177B">
            <w:pPr>
              <w:jc w:val="center"/>
              <w:rPr>
                <w:rFonts w:eastAsia="Times New Roman" w:cs="Times New Roman"/>
                <w:b/>
                <w:bCs/>
                <w:color w:val="000000"/>
                <w:sz w:val="14"/>
                <w:szCs w:val="14"/>
                <w:u w:val="single"/>
                <w:lang w:eastAsia="en-GB"/>
              </w:rPr>
            </w:pPr>
          </w:p>
        </w:tc>
      </w:tr>
      <w:tr w:rsidR="00F55E6A" w:rsidRPr="00847E9D" w14:paraId="73A4474A" w14:textId="77777777" w:rsidTr="0041177B">
        <w:trPr>
          <w:trHeight w:val="113"/>
        </w:trPr>
        <w:tc>
          <w:tcPr>
            <w:tcW w:w="9706" w:type="dxa"/>
            <w:vAlign w:val="center"/>
          </w:tcPr>
          <w:p w14:paraId="289FECE2" w14:textId="77777777" w:rsidR="00F55E6A" w:rsidRPr="00D1155A" w:rsidRDefault="00F55E6A" w:rsidP="0041177B">
            <w:pPr>
              <w:pBdr>
                <w:bottom w:val="single" w:sz="4" w:space="1" w:color="auto"/>
              </w:pBdr>
              <w:rPr>
                <w:rFonts w:asciiTheme="minorHAnsi" w:hAnsiTheme="minorHAnsi"/>
                <w:bCs/>
                <w:sz w:val="18"/>
                <w:szCs w:val="16"/>
              </w:rPr>
            </w:pPr>
            <w:r w:rsidRPr="00847E9D">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1A4F6A0D" w14:textId="77777777" w:rsidR="00F55E6A" w:rsidRPr="00D1155A" w:rsidRDefault="00F55E6A" w:rsidP="0041177B">
            <w:pPr>
              <w:rPr>
                <w:rFonts w:asciiTheme="minorHAnsi" w:hAnsiTheme="minorHAnsi"/>
                <w:b/>
                <w:bCs/>
                <w:noProof/>
                <w:sz w:val="14"/>
                <w:szCs w:val="14"/>
                <w:u w:val="single"/>
              </w:rPr>
            </w:pPr>
          </w:p>
        </w:tc>
      </w:tr>
      <w:bookmarkEnd w:id="248"/>
      <w:bookmarkEnd w:id="252"/>
    </w:tbl>
    <w:p w14:paraId="004FE888" w14:textId="77777777" w:rsidR="00F55E6A" w:rsidRPr="00325650" w:rsidRDefault="00F55E6A" w:rsidP="00F55E6A">
      <w:pPr>
        <w:spacing w:after="0" w:line="240" w:lineRule="auto"/>
        <w:rPr>
          <w:rFonts w:cstheme="minorHAnsi"/>
        </w:rPr>
      </w:pPr>
    </w:p>
    <w:p w14:paraId="14986C9F" w14:textId="77777777" w:rsidR="00F55E6A" w:rsidRPr="00BB3132" w:rsidRDefault="00F55E6A" w:rsidP="00F55E6A">
      <w:pPr>
        <w:pStyle w:val="Heading3"/>
        <w:spacing w:before="0" w:after="0" w:line="240" w:lineRule="auto"/>
      </w:pPr>
      <w:bookmarkStart w:id="253" w:name="_Toc197557121"/>
      <w:bookmarkStart w:id="254" w:name="_Toc201512512"/>
      <w:bookmarkEnd w:id="250"/>
      <w:r w:rsidRPr="00BB3132">
        <w:t>Variation by deprivation</w:t>
      </w:r>
      <w:bookmarkEnd w:id="253"/>
      <w:bookmarkEnd w:id="254"/>
      <w:r w:rsidRPr="00BB3132">
        <w:t xml:space="preserve"> </w:t>
      </w:r>
    </w:p>
    <w:p w14:paraId="368BC09E" w14:textId="64018996" w:rsidR="00F55E6A" w:rsidRDefault="00F55E6A" w:rsidP="00F55E6A">
      <w:pPr>
        <w:spacing w:after="0" w:line="240" w:lineRule="auto"/>
        <w:rPr>
          <w:color w:val="000000" w:themeColor="text1"/>
        </w:rPr>
      </w:pPr>
      <w:r w:rsidRPr="09A20818">
        <w:rPr>
          <w:color w:val="000000" w:themeColor="text1"/>
        </w:rPr>
        <w:t xml:space="preserve">Age-standardised incidence rate of </w:t>
      </w:r>
      <w:r w:rsidRPr="09A20818">
        <w:t xml:space="preserve">sinonasal cancer </w:t>
      </w:r>
      <w:r w:rsidRPr="09A20818">
        <w:rPr>
          <w:color w:val="000000" w:themeColor="text1"/>
        </w:rPr>
        <w:t>in 2014-2018 w</w:t>
      </w:r>
      <w:r w:rsidR="007535AF">
        <w:rPr>
          <w:color w:val="000000" w:themeColor="text1"/>
        </w:rPr>
        <w:t>as</w:t>
      </w:r>
      <w:r w:rsidRPr="09A20818">
        <w:rPr>
          <w:color w:val="000000" w:themeColor="text1"/>
        </w:rPr>
        <w:t>1.0 case per 100,000 in the least deprived quintile and 1.0 case per 100,000 in the most deprived quintile</w:t>
      </w:r>
      <w:r w:rsidR="007535AF">
        <w:rPr>
          <w:color w:val="000000" w:themeColor="text1"/>
        </w:rPr>
        <w:t>.</w:t>
      </w:r>
      <w:r w:rsidRPr="09A20818">
        <w:rPr>
          <w:color w:val="000000" w:themeColor="text1"/>
        </w:rPr>
        <w:t xml:space="preserve"> (Figure </w:t>
      </w:r>
      <w:r w:rsidR="009540E5">
        <w:rPr>
          <w:color w:val="000000" w:themeColor="text1"/>
        </w:rPr>
        <w:t>13.3</w:t>
      </w:r>
      <w:r w:rsidRPr="09A20818">
        <w:rPr>
          <w:color w:val="000000" w:themeColor="text1"/>
        </w:rPr>
        <w:t>). There was no difference in rates of sinonasal cancer between the most and least deprived quintiles among either males or females.</w:t>
      </w:r>
    </w:p>
    <w:p w14:paraId="2A693FBA" w14:textId="77777777" w:rsidR="00F55E6A" w:rsidRDefault="00F55E6A" w:rsidP="00F55E6A">
      <w:pPr>
        <w:spacing w:after="0" w:line="240" w:lineRule="auto"/>
        <w:rPr>
          <w:rFonts w:cstheme="minorHAnsi"/>
          <w:color w:val="000000" w:themeColor="text1"/>
        </w:rPr>
      </w:pPr>
    </w:p>
    <w:tbl>
      <w:tblPr>
        <w:tblStyle w:val="TableGrid"/>
        <w:tblW w:w="976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256"/>
        <w:gridCol w:w="3256"/>
      </w:tblGrid>
      <w:tr w:rsidR="00F55E6A" w:rsidRPr="00847E9D" w14:paraId="04864533" w14:textId="77777777" w:rsidTr="0041177B">
        <w:trPr>
          <w:trHeight w:val="113"/>
        </w:trPr>
        <w:tc>
          <w:tcPr>
            <w:tcW w:w="9768" w:type="dxa"/>
            <w:gridSpan w:val="3"/>
            <w:shd w:val="clear" w:color="auto" w:fill="002060"/>
          </w:tcPr>
          <w:p w14:paraId="22BE95D1" w14:textId="4CE60CB3" w:rsidR="00F55E6A" w:rsidRPr="009540E5" w:rsidRDefault="00F55E6A" w:rsidP="0041177B">
            <w:pPr>
              <w:rPr>
                <w:rFonts w:asciiTheme="minorHAnsi" w:hAnsiTheme="minorHAnsi" w:cstheme="minorHAnsi"/>
                <w:b/>
                <w:bCs/>
                <w:color w:val="FFFFFF" w:themeColor="background1"/>
              </w:rPr>
            </w:pPr>
            <w:r w:rsidRPr="009540E5">
              <w:rPr>
                <w:rFonts w:asciiTheme="minorHAnsi" w:hAnsiTheme="minorHAnsi" w:cstheme="minorHAnsi"/>
                <w:b/>
                <w:bCs/>
                <w:color w:val="FFFFFF" w:themeColor="background1"/>
              </w:rPr>
              <w:t xml:space="preserve">Figure </w:t>
            </w:r>
            <w:r w:rsidR="009540E5">
              <w:rPr>
                <w:rFonts w:asciiTheme="minorHAnsi" w:hAnsiTheme="minorHAnsi" w:cstheme="minorHAnsi"/>
                <w:b/>
                <w:bCs/>
                <w:color w:val="FFFFFF" w:themeColor="background1"/>
              </w:rPr>
              <w:t>13.3:</w:t>
            </w:r>
            <w:r w:rsidRPr="009540E5">
              <w:rPr>
                <w:rFonts w:asciiTheme="minorHAnsi" w:hAnsiTheme="minorHAnsi" w:cstheme="minorHAnsi"/>
                <w:b/>
                <w:bCs/>
                <w:color w:val="FFFFFF" w:themeColor="background1"/>
              </w:rPr>
              <w:t xml:space="preserve"> Incidence rate (per 100,000) for sinonasal cancer by deprivation quintile, 2014-2018</w:t>
            </w:r>
          </w:p>
        </w:tc>
      </w:tr>
      <w:tr w:rsidR="00F55E6A" w:rsidRPr="00847E9D" w14:paraId="17E6DE73" w14:textId="77777777" w:rsidTr="0041177B">
        <w:trPr>
          <w:trHeight w:val="113"/>
        </w:trPr>
        <w:tc>
          <w:tcPr>
            <w:tcW w:w="3256" w:type="dxa"/>
            <w:shd w:val="clear" w:color="auto" w:fill="auto"/>
          </w:tcPr>
          <w:p w14:paraId="2E1979F0" w14:textId="77777777" w:rsidR="00F55E6A" w:rsidRPr="00847E9D" w:rsidRDefault="00F55E6A" w:rsidP="0041177B">
            <w:pPr>
              <w:jc w:val="center"/>
              <w:rPr>
                <w:rFonts w:asciiTheme="minorHAnsi" w:hAnsiTheme="minorHAnsi" w:cstheme="minorHAnsi"/>
                <w:color w:val="000000" w:themeColor="text1"/>
              </w:rPr>
            </w:pPr>
            <w:r w:rsidRPr="00847E9D">
              <w:rPr>
                <w:rFonts w:asciiTheme="minorHAnsi" w:hAnsiTheme="minorHAnsi" w:cstheme="minorHAnsi"/>
                <w:color w:val="000000" w:themeColor="text1"/>
              </w:rPr>
              <w:t>Total</w:t>
            </w:r>
          </w:p>
        </w:tc>
        <w:tc>
          <w:tcPr>
            <w:tcW w:w="3256" w:type="dxa"/>
            <w:shd w:val="clear" w:color="auto" w:fill="auto"/>
          </w:tcPr>
          <w:p w14:paraId="2267BFCF" w14:textId="77777777" w:rsidR="00F55E6A" w:rsidRPr="00847E9D" w:rsidRDefault="00F55E6A" w:rsidP="0041177B">
            <w:pPr>
              <w:jc w:val="center"/>
              <w:rPr>
                <w:rFonts w:asciiTheme="minorHAnsi" w:hAnsiTheme="minorHAnsi" w:cstheme="minorHAnsi"/>
                <w:color w:val="000000" w:themeColor="text1"/>
              </w:rPr>
            </w:pPr>
            <w:r w:rsidRPr="00847E9D">
              <w:rPr>
                <w:rFonts w:asciiTheme="minorHAnsi" w:hAnsiTheme="minorHAnsi" w:cstheme="minorHAnsi"/>
                <w:color w:val="000000" w:themeColor="text1"/>
              </w:rPr>
              <w:t>Males</w:t>
            </w:r>
          </w:p>
        </w:tc>
        <w:tc>
          <w:tcPr>
            <w:tcW w:w="3256" w:type="dxa"/>
          </w:tcPr>
          <w:p w14:paraId="013636F4" w14:textId="77777777" w:rsidR="00F55E6A" w:rsidRPr="00847E9D" w:rsidRDefault="00F55E6A" w:rsidP="0041177B">
            <w:pPr>
              <w:jc w:val="center"/>
              <w:rPr>
                <w:rFonts w:asciiTheme="minorHAnsi" w:hAnsiTheme="minorHAnsi" w:cstheme="minorHAnsi"/>
                <w:color w:val="000000" w:themeColor="text1"/>
              </w:rPr>
            </w:pPr>
            <w:r w:rsidRPr="00847E9D">
              <w:rPr>
                <w:rFonts w:asciiTheme="minorHAnsi" w:hAnsiTheme="minorHAnsi" w:cstheme="minorHAnsi"/>
                <w:color w:val="000000" w:themeColor="text1"/>
              </w:rPr>
              <w:t>Females</w:t>
            </w:r>
          </w:p>
        </w:tc>
      </w:tr>
      <w:tr w:rsidR="00F55E6A" w:rsidRPr="00847E9D" w14:paraId="05FC405E" w14:textId="77777777" w:rsidTr="0041177B">
        <w:trPr>
          <w:trHeight w:val="113"/>
        </w:trPr>
        <w:tc>
          <w:tcPr>
            <w:tcW w:w="3256" w:type="dxa"/>
            <w:shd w:val="clear" w:color="auto" w:fill="auto"/>
          </w:tcPr>
          <w:p w14:paraId="0EF090E9" w14:textId="77777777" w:rsidR="00F55E6A" w:rsidRPr="00847E9D" w:rsidRDefault="00F55E6A" w:rsidP="0041177B">
            <w:pPr>
              <w:rPr>
                <w:rFonts w:asciiTheme="minorHAnsi" w:hAnsiTheme="minorHAnsi" w:cstheme="minorHAnsi"/>
                <w:color w:val="000000" w:themeColor="text1"/>
              </w:rPr>
            </w:pPr>
            <w:r w:rsidRPr="00847E9D">
              <w:rPr>
                <w:rFonts w:cstheme="minorHAnsi"/>
                <w:noProof/>
                <w:color w:val="000000" w:themeColor="text1"/>
              </w:rPr>
              <w:drawing>
                <wp:inline distT="0" distB="0" distL="0" distR="0" wp14:anchorId="6BC0E1EC" wp14:editId="3EAD0B41">
                  <wp:extent cx="1800000" cy="1399960"/>
                  <wp:effectExtent l="0" t="0" r="0" b="0"/>
                  <wp:docPr id="1651121357" name="Picture 3" descr="A graph of numbers and a row of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121357" name="Picture 3" descr="A graph of numbers and a row of squares&#10;&#10;AI-generated content may be incorrect."/>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800000" cy="1399960"/>
                          </a:xfrm>
                          <a:prstGeom prst="rect">
                            <a:avLst/>
                          </a:prstGeom>
                          <a:noFill/>
                        </pic:spPr>
                      </pic:pic>
                    </a:graphicData>
                  </a:graphic>
                </wp:inline>
              </w:drawing>
            </w:r>
          </w:p>
        </w:tc>
        <w:tc>
          <w:tcPr>
            <w:tcW w:w="3256" w:type="dxa"/>
            <w:shd w:val="clear" w:color="auto" w:fill="auto"/>
          </w:tcPr>
          <w:p w14:paraId="3DF4034A" w14:textId="77777777" w:rsidR="00F55E6A" w:rsidRPr="00847E9D" w:rsidRDefault="00F55E6A" w:rsidP="0041177B">
            <w:pPr>
              <w:jc w:val="center"/>
              <w:rPr>
                <w:rFonts w:asciiTheme="minorHAnsi" w:hAnsiTheme="minorHAnsi" w:cstheme="minorHAnsi"/>
                <w:color w:val="000000" w:themeColor="text1"/>
              </w:rPr>
            </w:pPr>
            <w:r w:rsidRPr="00847E9D">
              <w:rPr>
                <w:rFonts w:cstheme="minorHAnsi"/>
                <w:noProof/>
                <w:color w:val="000000" w:themeColor="text1"/>
              </w:rPr>
              <w:drawing>
                <wp:inline distT="0" distB="0" distL="0" distR="0" wp14:anchorId="09187B32" wp14:editId="0F958E83">
                  <wp:extent cx="1800000" cy="1399960"/>
                  <wp:effectExtent l="0" t="0" r="0" b="0"/>
                  <wp:docPr id="1007861187" name="Picture 8" descr="A graph with numbers and a row of blu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61187" name="Picture 8" descr="A graph with numbers and a row of blue squares&#10;&#10;AI-generated content may be incorrect."/>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800000" cy="1399960"/>
                          </a:xfrm>
                          <a:prstGeom prst="rect">
                            <a:avLst/>
                          </a:prstGeom>
                          <a:noFill/>
                        </pic:spPr>
                      </pic:pic>
                    </a:graphicData>
                  </a:graphic>
                </wp:inline>
              </w:drawing>
            </w:r>
          </w:p>
        </w:tc>
        <w:tc>
          <w:tcPr>
            <w:tcW w:w="3256" w:type="dxa"/>
          </w:tcPr>
          <w:p w14:paraId="552EF866" w14:textId="77777777" w:rsidR="00F55E6A" w:rsidRPr="00847E9D" w:rsidRDefault="00F55E6A" w:rsidP="0041177B">
            <w:pPr>
              <w:jc w:val="center"/>
              <w:rPr>
                <w:rFonts w:asciiTheme="minorHAnsi" w:eastAsia="Times New Roman" w:hAnsiTheme="minorHAnsi" w:cs="Times New Roman"/>
                <w:lang w:eastAsia="en-GB"/>
              </w:rPr>
            </w:pPr>
            <w:r w:rsidRPr="00847E9D">
              <w:rPr>
                <w:rFonts w:eastAsia="Times New Roman" w:cs="Times New Roman"/>
                <w:noProof/>
                <w:lang w:eastAsia="en-GB"/>
              </w:rPr>
              <w:drawing>
                <wp:inline distT="0" distB="0" distL="0" distR="0" wp14:anchorId="6EFF0BC5" wp14:editId="7788FF85">
                  <wp:extent cx="1800000" cy="1399960"/>
                  <wp:effectExtent l="0" t="0" r="0" b="0"/>
                  <wp:docPr id="145144521" name="Picture 2"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44521" name="Picture 2" descr="A graph with numbers and lines&#10;&#10;AI-generated content may be incorrect."/>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800000" cy="1399960"/>
                          </a:xfrm>
                          <a:prstGeom prst="rect">
                            <a:avLst/>
                          </a:prstGeom>
                          <a:noFill/>
                        </pic:spPr>
                      </pic:pic>
                    </a:graphicData>
                  </a:graphic>
                </wp:inline>
              </w:drawing>
            </w:r>
          </w:p>
        </w:tc>
      </w:tr>
    </w:tbl>
    <w:p w14:paraId="393E0B6C" w14:textId="77777777" w:rsidR="00F55E6A" w:rsidRPr="00325650" w:rsidRDefault="00F55E6A" w:rsidP="00F55E6A">
      <w:pPr>
        <w:spacing w:after="0" w:line="240" w:lineRule="auto"/>
        <w:rPr>
          <w:rFonts w:cstheme="minorHAnsi"/>
          <w:color w:val="000000" w:themeColor="text1"/>
        </w:rPr>
      </w:pPr>
    </w:p>
    <w:p w14:paraId="1C490DB2" w14:textId="7C292163" w:rsidR="00F55E6A" w:rsidRPr="00325650" w:rsidRDefault="00F55E6A" w:rsidP="006C1190">
      <w:pPr>
        <w:pStyle w:val="Heading2"/>
      </w:pPr>
      <w:bookmarkStart w:id="255" w:name="_Toc197557122"/>
      <w:bookmarkStart w:id="256" w:name="_Toc201512513"/>
      <w:r w:rsidRPr="00325650">
        <w:t>Mortality</w:t>
      </w:r>
      <w:bookmarkEnd w:id="255"/>
      <w:bookmarkEnd w:id="256"/>
    </w:p>
    <w:p w14:paraId="399F28E0" w14:textId="183837C0" w:rsidR="00F55E6A" w:rsidRPr="00325650" w:rsidRDefault="00F55E6A" w:rsidP="00F55E6A">
      <w:pPr>
        <w:spacing w:after="0" w:line="240" w:lineRule="auto"/>
      </w:pPr>
      <w:r>
        <w:t xml:space="preserve">Age-standardised mortality rates for sinonasal cancer </w:t>
      </w:r>
      <w:r w:rsidR="004459B1">
        <w:t>during the period</w:t>
      </w:r>
      <w:r>
        <w:t xml:space="preserve"> 1994-2022 were 0.4 deaths per 100,000 males and 0.2 deaths per 100,000 females per year. Figure </w:t>
      </w:r>
      <w:r w:rsidR="009540E5">
        <w:t>13.4</w:t>
      </w:r>
      <w:r>
        <w:t xml:space="preserve"> displays mortality according to age group and sex. The mortality rate increased with increasing age among both males and females.</w:t>
      </w:r>
    </w:p>
    <w:p w14:paraId="29EFF098" w14:textId="77777777" w:rsidR="00F55E6A" w:rsidRPr="00325650" w:rsidRDefault="00F55E6A" w:rsidP="00F55E6A">
      <w:pPr>
        <w:spacing w:after="0" w:line="240" w:lineRule="auto"/>
      </w:pPr>
    </w:p>
    <w:tbl>
      <w:tblPr>
        <w:tblStyle w:val="TableGrid"/>
        <w:tblW w:w="976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2"/>
        <w:gridCol w:w="3430"/>
        <w:gridCol w:w="2886"/>
      </w:tblGrid>
      <w:tr w:rsidR="00F55E6A" w:rsidRPr="00AC5DEA" w14:paraId="5F32A3E2" w14:textId="77777777" w:rsidTr="0041177B">
        <w:trPr>
          <w:trHeight w:val="113"/>
        </w:trPr>
        <w:tc>
          <w:tcPr>
            <w:tcW w:w="9768" w:type="dxa"/>
            <w:gridSpan w:val="3"/>
            <w:shd w:val="clear" w:color="auto" w:fill="002060"/>
          </w:tcPr>
          <w:p w14:paraId="74EDBB2D" w14:textId="59FDAF03" w:rsidR="00F55E6A" w:rsidRPr="009540E5" w:rsidRDefault="00F55E6A" w:rsidP="0041177B">
            <w:pPr>
              <w:rPr>
                <w:rFonts w:cstheme="minorHAnsi"/>
                <w:b/>
                <w:bCs/>
                <w:color w:val="FFFFFF" w:themeColor="background1"/>
              </w:rPr>
            </w:pPr>
            <w:r w:rsidRPr="009540E5">
              <w:rPr>
                <w:rFonts w:asciiTheme="minorHAnsi" w:hAnsiTheme="minorHAnsi" w:cstheme="minorHAnsi"/>
                <w:b/>
                <w:bCs/>
                <w:color w:val="FFFFFF" w:themeColor="background1"/>
              </w:rPr>
              <w:t xml:space="preserve">Figure </w:t>
            </w:r>
            <w:r w:rsidR="009540E5" w:rsidRPr="009540E5">
              <w:rPr>
                <w:rFonts w:asciiTheme="minorHAnsi" w:hAnsiTheme="minorHAnsi" w:cstheme="minorHAnsi"/>
                <w:b/>
                <w:bCs/>
                <w:color w:val="FFFFFF" w:themeColor="background1"/>
              </w:rPr>
              <w:t>13.4:</w:t>
            </w:r>
            <w:r w:rsidRPr="009540E5">
              <w:rPr>
                <w:rFonts w:asciiTheme="minorHAnsi" w:hAnsiTheme="minorHAnsi" w:cstheme="minorHAnsi"/>
                <w:b/>
                <w:bCs/>
                <w:color w:val="FFFFFF" w:themeColor="background1"/>
              </w:rPr>
              <w:t xml:space="preserve">  Mortality rate (per 100,000) for sinonasal cancer by </w:t>
            </w:r>
            <w:r w:rsidR="00366242">
              <w:rPr>
                <w:rFonts w:asciiTheme="minorHAnsi" w:hAnsiTheme="minorHAnsi" w:cstheme="minorHAnsi"/>
                <w:b/>
                <w:bCs/>
                <w:color w:val="FFFFFF" w:themeColor="background1"/>
              </w:rPr>
              <w:t>age group</w:t>
            </w:r>
            <w:r w:rsidRPr="009540E5">
              <w:rPr>
                <w:rFonts w:asciiTheme="minorHAnsi" w:hAnsiTheme="minorHAnsi" w:cstheme="minorHAnsi"/>
                <w:b/>
                <w:bCs/>
                <w:color w:val="FFFFFF" w:themeColor="background1"/>
              </w:rPr>
              <w:t>, 1994-2022</w:t>
            </w:r>
          </w:p>
        </w:tc>
      </w:tr>
      <w:tr w:rsidR="00F55E6A" w:rsidRPr="00847E9D" w14:paraId="1C33D39E" w14:textId="77777777" w:rsidTr="0041177B">
        <w:trPr>
          <w:trHeight w:val="113"/>
        </w:trPr>
        <w:tc>
          <w:tcPr>
            <w:tcW w:w="3490" w:type="dxa"/>
            <w:shd w:val="clear" w:color="auto" w:fill="auto"/>
          </w:tcPr>
          <w:p w14:paraId="34C5FCBA" w14:textId="77777777" w:rsidR="00F55E6A" w:rsidRPr="00847E9D" w:rsidRDefault="00F55E6A" w:rsidP="0041177B">
            <w:pPr>
              <w:jc w:val="center"/>
              <w:rPr>
                <w:rFonts w:asciiTheme="minorHAnsi" w:hAnsiTheme="minorHAnsi" w:cstheme="minorHAnsi"/>
                <w:color w:val="000000" w:themeColor="text1"/>
              </w:rPr>
            </w:pPr>
            <w:r w:rsidRPr="00847E9D">
              <w:rPr>
                <w:rFonts w:asciiTheme="minorHAnsi" w:hAnsiTheme="minorHAnsi" w:cstheme="minorHAnsi"/>
                <w:color w:val="000000" w:themeColor="text1"/>
              </w:rPr>
              <w:t>Total</w:t>
            </w:r>
          </w:p>
        </w:tc>
        <w:tc>
          <w:tcPr>
            <w:tcW w:w="3491" w:type="dxa"/>
            <w:shd w:val="clear" w:color="auto" w:fill="auto"/>
          </w:tcPr>
          <w:p w14:paraId="2A7D4D6E" w14:textId="77777777" w:rsidR="00F55E6A" w:rsidRPr="00847E9D" w:rsidRDefault="00F55E6A" w:rsidP="0041177B">
            <w:pPr>
              <w:jc w:val="center"/>
              <w:rPr>
                <w:rFonts w:asciiTheme="minorHAnsi" w:hAnsiTheme="minorHAnsi" w:cstheme="minorHAnsi"/>
                <w:color w:val="000000" w:themeColor="text1"/>
              </w:rPr>
            </w:pPr>
            <w:r w:rsidRPr="00847E9D">
              <w:rPr>
                <w:rFonts w:asciiTheme="minorHAnsi" w:hAnsiTheme="minorHAnsi" w:cstheme="minorHAnsi"/>
                <w:color w:val="000000" w:themeColor="text1"/>
              </w:rPr>
              <w:t>Males</w:t>
            </w:r>
          </w:p>
        </w:tc>
        <w:tc>
          <w:tcPr>
            <w:tcW w:w="2787" w:type="dxa"/>
          </w:tcPr>
          <w:p w14:paraId="241030FB" w14:textId="77777777" w:rsidR="00F55E6A" w:rsidRPr="00847E9D" w:rsidRDefault="00F55E6A" w:rsidP="0041177B">
            <w:pPr>
              <w:jc w:val="center"/>
              <w:rPr>
                <w:rFonts w:asciiTheme="minorHAnsi" w:hAnsiTheme="minorHAnsi" w:cstheme="minorHAnsi"/>
                <w:color w:val="000000" w:themeColor="text1"/>
              </w:rPr>
            </w:pPr>
            <w:r w:rsidRPr="00847E9D">
              <w:rPr>
                <w:rFonts w:asciiTheme="minorHAnsi" w:hAnsiTheme="minorHAnsi" w:cstheme="minorHAnsi"/>
                <w:color w:val="000000" w:themeColor="text1"/>
              </w:rPr>
              <w:t>Females</w:t>
            </w:r>
          </w:p>
        </w:tc>
      </w:tr>
      <w:tr w:rsidR="00F55E6A" w:rsidRPr="00AC5DEA" w14:paraId="47AD7007" w14:textId="77777777" w:rsidTr="0041177B">
        <w:trPr>
          <w:trHeight w:val="113"/>
        </w:trPr>
        <w:tc>
          <w:tcPr>
            <w:tcW w:w="3490" w:type="dxa"/>
            <w:shd w:val="clear" w:color="auto" w:fill="auto"/>
          </w:tcPr>
          <w:p w14:paraId="0B4A245A" w14:textId="77777777" w:rsidR="00F55E6A" w:rsidRPr="00AC5DEA" w:rsidRDefault="00F55E6A" w:rsidP="0041177B">
            <w:pPr>
              <w:jc w:val="center"/>
              <w:rPr>
                <w:rFonts w:asciiTheme="minorHAnsi" w:hAnsiTheme="minorHAnsi" w:cstheme="minorHAnsi"/>
                <w:color w:val="000000" w:themeColor="text1"/>
              </w:rPr>
            </w:pPr>
            <w:r w:rsidRPr="002A4C14">
              <w:rPr>
                <w:rFonts w:eastAsia="Times New Roman" w:cs="Times New Roman"/>
                <w:noProof/>
                <w:lang w:eastAsia="en-GB"/>
              </w:rPr>
              <w:drawing>
                <wp:inline distT="0" distB="0" distL="0" distR="0" wp14:anchorId="6EB976E5" wp14:editId="5DBF798A">
                  <wp:extent cx="1836000" cy="1436400"/>
                  <wp:effectExtent l="0" t="0" r="0" b="0"/>
                  <wp:docPr id="690123138" name="Picture 6" descr="A graph with numbers and lin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0123138" name="Picture 6" descr="A graph with numbers and lines&#10;&#10;AI-generated content may be incorrect."/>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836000" cy="1436400"/>
                          </a:xfrm>
                          <a:prstGeom prst="rect">
                            <a:avLst/>
                          </a:prstGeom>
                          <a:noFill/>
                          <a:ln>
                            <a:noFill/>
                          </a:ln>
                        </pic:spPr>
                      </pic:pic>
                    </a:graphicData>
                  </a:graphic>
                </wp:inline>
              </w:drawing>
            </w:r>
          </w:p>
        </w:tc>
        <w:tc>
          <w:tcPr>
            <w:tcW w:w="3491" w:type="dxa"/>
            <w:shd w:val="clear" w:color="auto" w:fill="auto"/>
          </w:tcPr>
          <w:p w14:paraId="36613CE7" w14:textId="77777777" w:rsidR="00F55E6A" w:rsidRPr="00AC5DEA" w:rsidRDefault="00F55E6A" w:rsidP="0041177B">
            <w:pPr>
              <w:rPr>
                <w:rFonts w:asciiTheme="minorHAnsi" w:hAnsiTheme="minorHAnsi" w:cstheme="minorHAnsi"/>
                <w:color w:val="000000" w:themeColor="text1"/>
              </w:rPr>
            </w:pPr>
            <w:r w:rsidRPr="0004701E">
              <w:rPr>
                <w:rFonts w:eastAsia="Times New Roman" w:cs="Times New Roman"/>
                <w:noProof/>
                <w:lang w:eastAsia="en-GB"/>
              </w:rPr>
              <w:drawing>
                <wp:inline distT="0" distB="0" distL="0" distR="0" wp14:anchorId="668CAD55" wp14:editId="15A69673">
                  <wp:extent cx="1692000" cy="1436400"/>
                  <wp:effectExtent l="0" t="0" r="3810" b="0"/>
                  <wp:docPr id="1249241885" name="Picture 12" descr="A graph with numbers and a bar char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9241885" name="Picture 12" descr="A graph with numbers and a bar chart&#10;&#10;AI-generated content may be incorrect."/>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692000" cy="1436400"/>
                          </a:xfrm>
                          <a:prstGeom prst="rect">
                            <a:avLst/>
                          </a:prstGeom>
                          <a:noFill/>
                          <a:ln>
                            <a:noFill/>
                          </a:ln>
                        </pic:spPr>
                      </pic:pic>
                    </a:graphicData>
                  </a:graphic>
                </wp:inline>
              </w:drawing>
            </w:r>
          </w:p>
        </w:tc>
        <w:tc>
          <w:tcPr>
            <w:tcW w:w="2787" w:type="dxa"/>
          </w:tcPr>
          <w:p w14:paraId="4B6A4A33" w14:textId="77777777" w:rsidR="00F55E6A" w:rsidRPr="00BF5872" w:rsidRDefault="00F55E6A" w:rsidP="0041177B">
            <w:pPr>
              <w:jc w:val="center"/>
              <w:rPr>
                <w:rFonts w:eastAsia="Times New Roman" w:cs="Times New Roman"/>
                <w:lang w:eastAsia="en-GB"/>
              </w:rPr>
            </w:pPr>
            <w:r w:rsidRPr="00BF5872">
              <w:rPr>
                <w:rFonts w:eastAsia="Times New Roman" w:cs="Times New Roman"/>
                <w:noProof/>
                <w:lang w:eastAsia="en-GB"/>
              </w:rPr>
              <w:drawing>
                <wp:inline distT="0" distB="0" distL="0" distR="0" wp14:anchorId="33F5CB3B" wp14:editId="32E68229">
                  <wp:extent cx="1692000" cy="1436400"/>
                  <wp:effectExtent l="0" t="0" r="3810" b="0"/>
                  <wp:docPr id="1011904580" name="Picture 1011904580" descr="A graph with numbers and lin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1904580" name="Picture 1011904580" descr="A graph with numbers and lines&#10;&#10;AI-generated content may be incorrect."/>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692000" cy="1436400"/>
                          </a:xfrm>
                          <a:prstGeom prst="rect">
                            <a:avLst/>
                          </a:prstGeom>
                          <a:noFill/>
                          <a:ln>
                            <a:noFill/>
                          </a:ln>
                        </pic:spPr>
                      </pic:pic>
                    </a:graphicData>
                  </a:graphic>
                </wp:inline>
              </w:drawing>
            </w:r>
          </w:p>
        </w:tc>
      </w:tr>
    </w:tbl>
    <w:p w14:paraId="63AF8CCA" w14:textId="77777777" w:rsidR="00F55E6A" w:rsidRPr="00325650" w:rsidRDefault="00F55E6A" w:rsidP="00F55E6A">
      <w:pPr>
        <w:spacing w:after="0" w:line="240" w:lineRule="auto"/>
      </w:pPr>
    </w:p>
    <w:p w14:paraId="60B90FD3" w14:textId="77777777" w:rsidR="00F55E6A" w:rsidRDefault="00F55E6A" w:rsidP="00F55E6A">
      <w:pPr>
        <w:spacing w:after="0" w:line="240" w:lineRule="auto"/>
        <w:rPr>
          <w:highlight w:val="yellow"/>
        </w:rPr>
        <w:sectPr w:rsidR="00F55E6A" w:rsidSect="002746C0">
          <w:footerReference w:type="default" r:id="rId196"/>
          <w:pgSz w:w="11906" w:h="16838"/>
          <w:pgMar w:top="1440" w:right="1440" w:bottom="1440" w:left="1440" w:header="708" w:footer="708" w:gutter="0"/>
          <w:cols w:space="708"/>
          <w:docGrid w:linePitch="360"/>
        </w:sectPr>
      </w:pPr>
    </w:p>
    <w:p w14:paraId="36A107D1" w14:textId="77777777" w:rsidR="00F55E6A" w:rsidRPr="00325650" w:rsidRDefault="00F55E6A" w:rsidP="00F55E6A">
      <w:pPr>
        <w:pStyle w:val="Heading3"/>
        <w:spacing w:before="0" w:after="0" w:line="240" w:lineRule="auto"/>
      </w:pPr>
      <w:bookmarkStart w:id="257" w:name="_Toc197557123"/>
      <w:bookmarkStart w:id="258" w:name="_Toc201512514"/>
      <w:bookmarkStart w:id="259" w:name="_Hlk196317962"/>
      <w:r w:rsidRPr="00325650">
        <w:t>Trends over time</w:t>
      </w:r>
      <w:bookmarkEnd w:id="257"/>
      <w:bookmarkEnd w:id="258"/>
    </w:p>
    <w:p w14:paraId="5AB5A18F" w14:textId="14111A99" w:rsidR="00F55E6A" w:rsidRPr="00325650" w:rsidRDefault="00F55E6A" w:rsidP="00F55E6A">
      <w:pPr>
        <w:spacing w:after="0" w:line="240" w:lineRule="auto"/>
      </w:pPr>
      <w:r>
        <w:rPr>
          <w:rStyle w:val="normaltextrun"/>
          <w:rFonts w:ascii="Aptos" w:hAnsi="Aptos"/>
          <w:color w:val="000000"/>
          <w:shd w:val="clear" w:color="auto" w:fill="FFFFFF"/>
        </w:rPr>
        <w:t xml:space="preserve">Figure </w:t>
      </w:r>
      <w:r w:rsidR="009540E5">
        <w:rPr>
          <w:rStyle w:val="normaltextrun"/>
          <w:rFonts w:ascii="Aptos" w:hAnsi="Aptos"/>
          <w:color w:val="000000"/>
          <w:shd w:val="clear" w:color="auto" w:fill="FFFFFF"/>
        </w:rPr>
        <w:t xml:space="preserve">13.5 </w:t>
      </w:r>
      <w:r>
        <w:rPr>
          <w:rStyle w:val="normaltextrun"/>
          <w:rFonts w:ascii="Aptos" w:hAnsi="Aptos"/>
          <w:color w:val="000000"/>
          <w:shd w:val="clear" w:color="auto" w:fill="FFFFFF"/>
        </w:rPr>
        <w:t xml:space="preserve">displays </w:t>
      </w:r>
      <w:bookmarkStart w:id="260" w:name="_Hlk196813922"/>
      <w:r>
        <w:rPr>
          <w:rStyle w:val="normaltextrun"/>
          <w:rFonts w:ascii="Aptos" w:hAnsi="Aptos"/>
          <w:color w:val="000000"/>
          <w:shd w:val="clear" w:color="auto" w:fill="FFFFFF"/>
        </w:rPr>
        <w:t>age</w:t>
      </w:r>
      <w:r w:rsidR="004459B1">
        <w:rPr>
          <w:rStyle w:val="normaltextrun"/>
          <w:rFonts w:ascii="Aptos" w:hAnsi="Aptos"/>
          <w:color w:val="000000"/>
          <w:shd w:val="clear" w:color="auto" w:fill="FFFFFF"/>
        </w:rPr>
        <w:t>-</w:t>
      </w:r>
      <w:r>
        <w:rPr>
          <w:rStyle w:val="normaltextrun"/>
          <w:rFonts w:ascii="Aptos" w:hAnsi="Aptos"/>
          <w:color w:val="000000"/>
          <w:shd w:val="clear" w:color="auto" w:fill="FFFFFF"/>
        </w:rPr>
        <w:t xml:space="preserve">standardised mortality rates for sinonasal cancer 1994 to 2022 for males and females. Overall </w:t>
      </w:r>
      <w:r w:rsidRPr="00BB3132">
        <w:rPr>
          <w:rStyle w:val="normaltextrun"/>
          <w:rFonts w:ascii="Aptos" w:hAnsi="Aptos"/>
          <w:color w:val="000000"/>
        </w:rPr>
        <w:t xml:space="preserve">trends </w:t>
      </w:r>
      <w:r w:rsidRPr="108C08C8">
        <w:rPr>
          <w:rStyle w:val="normaltextrun"/>
          <w:rFonts w:ascii="Aptos" w:hAnsi="Aptos"/>
          <w:color w:val="000000" w:themeColor="text1"/>
        </w:rPr>
        <w:t xml:space="preserve">in males </w:t>
      </w:r>
      <w:r w:rsidRPr="00BB3132">
        <w:rPr>
          <w:rStyle w:val="normaltextrun"/>
          <w:rFonts w:ascii="Aptos" w:hAnsi="Aptos"/>
          <w:color w:val="000000"/>
        </w:rPr>
        <w:t>indicate a decrease in mortality over time (-2.0% per year (95% CI: -3.9;</w:t>
      </w:r>
      <w:r>
        <w:rPr>
          <w:rStyle w:val="normaltextrun"/>
          <w:rFonts w:ascii="Aptos" w:hAnsi="Aptos"/>
          <w:color w:val="000000"/>
        </w:rPr>
        <w:t xml:space="preserve"> </w:t>
      </w:r>
      <w:r w:rsidRPr="00BB3132">
        <w:rPr>
          <w:rStyle w:val="normaltextrun"/>
          <w:rFonts w:ascii="Aptos" w:hAnsi="Aptos"/>
          <w:color w:val="000000"/>
        </w:rPr>
        <w:t>-0.1</w:t>
      </w:r>
      <w:r w:rsidRPr="00A04826">
        <w:rPr>
          <w:rStyle w:val="normaltextrun"/>
          <w:rFonts w:ascii="Aptos" w:hAnsi="Aptos"/>
          <w:color w:val="000000"/>
        </w:rPr>
        <w:t>)).</w:t>
      </w:r>
      <w:r w:rsidRPr="00A04826">
        <w:rPr>
          <w:rStyle w:val="eop"/>
          <w:rFonts w:ascii="Aptos" w:hAnsi="Aptos"/>
          <w:color w:val="000000"/>
        </w:rPr>
        <w:t> C</w:t>
      </w:r>
      <w:r w:rsidRPr="00A04826">
        <w:t>ases among females were too few to calculate a reliable trend</w:t>
      </w:r>
      <w:r>
        <w:t xml:space="preserve">. </w:t>
      </w:r>
      <w:bookmarkEnd w:id="260"/>
    </w:p>
    <w:p w14:paraId="0503D37A" w14:textId="77777777" w:rsidR="00F55E6A" w:rsidRPr="00325650" w:rsidRDefault="00F55E6A" w:rsidP="00F55E6A">
      <w:pPr>
        <w:spacing w:after="0" w:line="240" w:lineRule="auto"/>
      </w:pPr>
      <w:r w:rsidRPr="00325650">
        <w:t xml:space="preserve">  </w:t>
      </w:r>
    </w:p>
    <w:tbl>
      <w:tblPr>
        <w:tblStyle w:val="TableGrid"/>
        <w:tblW w:w="970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06"/>
      </w:tblGrid>
      <w:tr w:rsidR="00F55E6A" w:rsidRPr="00847E9D" w14:paraId="40B2440C" w14:textId="77777777" w:rsidTr="0041177B">
        <w:trPr>
          <w:trHeight w:val="399"/>
        </w:trPr>
        <w:tc>
          <w:tcPr>
            <w:tcW w:w="9706" w:type="dxa"/>
            <w:shd w:val="clear" w:color="auto" w:fill="002060"/>
            <w:vAlign w:val="center"/>
          </w:tcPr>
          <w:p w14:paraId="7ED4B1B4" w14:textId="5B177890" w:rsidR="00F55E6A" w:rsidRPr="00A7697B" w:rsidRDefault="00F55E6A" w:rsidP="0041177B">
            <w:pPr>
              <w:rPr>
                <w:rFonts w:asciiTheme="minorHAnsi" w:hAnsiTheme="minorHAnsi"/>
                <w:b/>
                <w:bCs/>
              </w:rPr>
            </w:pPr>
            <w:bookmarkStart w:id="261" w:name="_Hlk196321101"/>
            <w:r w:rsidRPr="00847E9D">
              <w:rPr>
                <w:rFonts w:asciiTheme="minorHAnsi" w:hAnsiTheme="minorHAnsi"/>
                <w:b/>
                <w:bCs/>
              </w:rPr>
              <w:t xml:space="preserve">Figure </w:t>
            </w:r>
            <w:r w:rsidR="009540E5">
              <w:rPr>
                <w:rFonts w:asciiTheme="minorHAnsi" w:hAnsiTheme="minorHAnsi"/>
                <w:b/>
                <w:bCs/>
              </w:rPr>
              <w:t>13.5:</w:t>
            </w:r>
            <w:r w:rsidRPr="00847E9D">
              <w:rPr>
                <w:rFonts w:asciiTheme="minorHAnsi" w:hAnsiTheme="minorHAnsi"/>
                <w:b/>
                <w:bCs/>
              </w:rPr>
              <w:t xml:space="preserve">  Age-</w:t>
            </w:r>
            <w:r w:rsidRPr="00847E9D">
              <w:rPr>
                <w:rFonts w:asciiTheme="minorHAnsi" w:hAnsiTheme="minorHAnsi"/>
                <w:b/>
                <w:bCs/>
                <w:bdr w:val="single" w:sz="4" w:space="0" w:color="auto"/>
              </w:rPr>
              <w:t>standardised mortality rate 1994-2022, sinonasal cancer</w:t>
            </w:r>
          </w:p>
        </w:tc>
      </w:tr>
      <w:tr w:rsidR="00F55E6A" w:rsidRPr="00847E9D" w14:paraId="3DFD01CE" w14:textId="77777777" w:rsidTr="0041177B">
        <w:trPr>
          <w:trHeight w:val="3271"/>
        </w:trPr>
        <w:tc>
          <w:tcPr>
            <w:tcW w:w="9706" w:type="dxa"/>
            <w:vAlign w:val="center"/>
          </w:tcPr>
          <w:p w14:paraId="11E94B5E" w14:textId="77777777" w:rsidR="00F55E6A" w:rsidRPr="00A7697B" w:rsidRDefault="00F55E6A" w:rsidP="0041177B">
            <w:pPr>
              <w:rPr>
                <w:rFonts w:asciiTheme="minorHAnsi" w:hAnsiTheme="minorHAnsi"/>
              </w:rPr>
            </w:pPr>
            <w:r>
              <w:rPr>
                <w:noProof/>
              </w:rPr>
              <w:drawing>
                <wp:inline distT="0" distB="0" distL="0" distR="0" wp14:anchorId="60DAED74" wp14:editId="501C2434">
                  <wp:extent cx="5755005" cy="3017520"/>
                  <wp:effectExtent l="0" t="0" r="0" b="0"/>
                  <wp:docPr id="1390838691"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38691" name="Picture 1" descr="A graph with numbers and lines&#10;&#10;AI-generated content may be incorrect."/>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755005" cy="3017520"/>
                          </a:xfrm>
                          <a:prstGeom prst="rect">
                            <a:avLst/>
                          </a:prstGeom>
                          <a:noFill/>
                        </pic:spPr>
                      </pic:pic>
                    </a:graphicData>
                  </a:graphic>
                </wp:inline>
              </w:drawing>
            </w:r>
          </w:p>
        </w:tc>
      </w:tr>
      <w:tr w:rsidR="00F55E6A" w:rsidRPr="00847E9D" w14:paraId="39FEC90D" w14:textId="77777777" w:rsidTr="0041177B">
        <w:trPr>
          <w:trHeight w:val="429"/>
        </w:trPr>
        <w:tc>
          <w:tcPr>
            <w:tcW w:w="9706" w:type="dxa"/>
            <w:vAlign w:val="center"/>
          </w:tcPr>
          <w:tbl>
            <w:tblPr>
              <w:tblpPr w:leftFromText="180" w:rightFromText="180" w:vertAnchor="page" w:horzAnchor="margin" w:tblpXSpec="center" w:tblpY="1"/>
              <w:tblOverlap w:val="never"/>
              <w:tblW w:w="0" w:type="auto"/>
              <w:tblCellMar>
                <w:top w:w="15" w:type="dxa"/>
                <w:bottom w:w="15" w:type="dxa"/>
              </w:tblCellMar>
              <w:tblLook w:val="04A0" w:firstRow="1" w:lastRow="0" w:firstColumn="1" w:lastColumn="0" w:noHBand="0" w:noVBand="1"/>
            </w:tblPr>
            <w:tblGrid>
              <w:gridCol w:w="530"/>
              <w:gridCol w:w="1139"/>
              <w:gridCol w:w="771"/>
              <w:gridCol w:w="992"/>
              <w:gridCol w:w="706"/>
              <w:gridCol w:w="530"/>
              <w:gridCol w:w="1139"/>
              <w:gridCol w:w="771"/>
              <w:gridCol w:w="799"/>
              <w:gridCol w:w="706"/>
            </w:tblGrid>
            <w:tr w:rsidR="00F55E6A" w:rsidRPr="00F15B1D" w14:paraId="28A44A9B" w14:textId="77777777" w:rsidTr="0041177B">
              <w:trPr>
                <w:trHeight w:val="113"/>
              </w:trPr>
              <w:tc>
                <w:tcPr>
                  <w:tcW w:w="0" w:type="auto"/>
                  <w:tcBorders>
                    <w:top w:val="nil"/>
                    <w:left w:val="nil"/>
                    <w:bottom w:val="nil"/>
                    <w:right w:val="nil"/>
                  </w:tcBorders>
                  <w:noWrap/>
                  <w:vAlign w:val="center"/>
                  <w:hideMark/>
                </w:tcPr>
                <w:p w14:paraId="2E3B1F91" w14:textId="77777777" w:rsidR="00F55E6A" w:rsidRPr="00A7697B"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A7697B">
                    <w:rPr>
                      <w:rFonts w:eastAsia="Times New Roman" w:cs="Times New Roman"/>
                      <w:b/>
                      <w:bCs/>
                      <w:color w:val="000000"/>
                      <w:kern w:val="0"/>
                      <w:sz w:val="20"/>
                      <w:szCs w:val="20"/>
                      <w:u w:val="single"/>
                      <w:lang w:eastAsia="en-GB"/>
                      <w14:ligatures w14:val="none"/>
                    </w:rPr>
                    <w:t>sex</w:t>
                  </w:r>
                </w:p>
              </w:tc>
              <w:tc>
                <w:tcPr>
                  <w:tcW w:w="0" w:type="auto"/>
                  <w:tcBorders>
                    <w:top w:val="nil"/>
                    <w:left w:val="nil"/>
                    <w:bottom w:val="nil"/>
                    <w:right w:val="nil"/>
                  </w:tcBorders>
                  <w:noWrap/>
                  <w:vAlign w:val="center"/>
                  <w:hideMark/>
                </w:tcPr>
                <w:p w14:paraId="2D36CE73" w14:textId="77777777" w:rsidR="00F55E6A" w:rsidRPr="00A7697B"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A7697B">
                    <w:rPr>
                      <w:rFonts w:eastAsia="Times New Roman" w:cs="Times New Roman"/>
                      <w:b/>
                      <w:bCs/>
                      <w:color w:val="000000"/>
                      <w:kern w:val="0"/>
                      <w:sz w:val="20"/>
                      <w:szCs w:val="20"/>
                      <w:u w:val="single"/>
                      <w:lang w:eastAsia="en-GB"/>
                      <w14:ligatures w14:val="none"/>
                    </w:rPr>
                    <w:t>period</w:t>
                  </w:r>
                </w:p>
              </w:tc>
              <w:tc>
                <w:tcPr>
                  <w:tcW w:w="0" w:type="auto"/>
                  <w:tcBorders>
                    <w:top w:val="nil"/>
                    <w:left w:val="nil"/>
                    <w:bottom w:val="nil"/>
                    <w:right w:val="nil"/>
                  </w:tcBorders>
                  <w:noWrap/>
                  <w:vAlign w:val="center"/>
                  <w:hideMark/>
                </w:tcPr>
                <w:p w14:paraId="2A9AE446" w14:textId="77777777" w:rsidR="00F55E6A" w:rsidRPr="00A7697B"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A7697B">
                    <w:rPr>
                      <w:rFonts w:eastAsia="Times New Roman" w:cs="Times New Roman"/>
                      <w:b/>
                      <w:bCs/>
                      <w:color w:val="000000"/>
                      <w:kern w:val="0"/>
                      <w:sz w:val="20"/>
                      <w:szCs w:val="20"/>
                      <w:u w:val="single"/>
                      <w:lang w:eastAsia="en-GB"/>
                      <w14:ligatures w14:val="none"/>
                    </w:rPr>
                    <w:t>APC%</w:t>
                  </w:r>
                </w:p>
              </w:tc>
              <w:tc>
                <w:tcPr>
                  <w:tcW w:w="0" w:type="auto"/>
                  <w:tcBorders>
                    <w:top w:val="nil"/>
                    <w:left w:val="nil"/>
                    <w:bottom w:val="nil"/>
                    <w:right w:val="nil"/>
                  </w:tcBorders>
                  <w:noWrap/>
                  <w:vAlign w:val="center"/>
                  <w:hideMark/>
                </w:tcPr>
                <w:p w14:paraId="13342ABF" w14:textId="77777777" w:rsidR="00F55E6A" w:rsidRPr="00A7697B"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A7697B">
                    <w:rPr>
                      <w:rFonts w:eastAsia="Times New Roman" w:cs="Times New Roman"/>
                      <w:b/>
                      <w:bCs/>
                      <w:color w:val="000000"/>
                      <w:kern w:val="0"/>
                      <w:sz w:val="20"/>
                      <w:szCs w:val="20"/>
                      <w:u w:val="single"/>
                      <w:lang w:eastAsia="en-GB"/>
                      <w14:ligatures w14:val="none"/>
                    </w:rPr>
                    <w:t>95%CI</w:t>
                  </w:r>
                </w:p>
              </w:tc>
              <w:tc>
                <w:tcPr>
                  <w:tcW w:w="0" w:type="auto"/>
                  <w:tcBorders>
                    <w:top w:val="nil"/>
                    <w:left w:val="nil"/>
                    <w:bottom w:val="nil"/>
                    <w:right w:val="single" w:sz="4" w:space="0" w:color="auto"/>
                  </w:tcBorders>
                  <w:noWrap/>
                  <w:vAlign w:val="center"/>
                  <w:hideMark/>
                </w:tcPr>
                <w:p w14:paraId="5358A8A5" w14:textId="77777777" w:rsidR="00F55E6A" w:rsidRPr="00A7697B"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A7697B">
                    <w:rPr>
                      <w:rFonts w:eastAsia="Times New Roman" w:cs="Times New Roman"/>
                      <w:b/>
                      <w:bCs/>
                      <w:color w:val="000000"/>
                      <w:kern w:val="0"/>
                      <w:sz w:val="20"/>
                      <w:szCs w:val="20"/>
                      <w:u w:val="single"/>
                      <w:lang w:eastAsia="en-GB"/>
                      <w14:ligatures w14:val="none"/>
                    </w:rPr>
                    <w:t>trend</w:t>
                  </w:r>
                </w:p>
              </w:tc>
              <w:tc>
                <w:tcPr>
                  <w:tcW w:w="0" w:type="auto"/>
                  <w:tcBorders>
                    <w:top w:val="nil"/>
                    <w:left w:val="single" w:sz="4" w:space="0" w:color="auto"/>
                    <w:bottom w:val="nil"/>
                    <w:right w:val="nil"/>
                  </w:tcBorders>
                  <w:vAlign w:val="center"/>
                </w:tcPr>
                <w:p w14:paraId="0B4A91D2" w14:textId="77777777" w:rsidR="00F55E6A" w:rsidRPr="00F15B1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A7697B">
                    <w:rPr>
                      <w:rFonts w:eastAsia="Times New Roman" w:cs="Times New Roman"/>
                      <w:b/>
                      <w:bCs/>
                      <w:color w:val="000000"/>
                      <w:kern w:val="0"/>
                      <w:sz w:val="20"/>
                      <w:szCs w:val="20"/>
                      <w:u w:val="single"/>
                      <w:lang w:eastAsia="en-GB"/>
                      <w14:ligatures w14:val="none"/>
                    </w:rPr>
                    <w:t>sex</w:t>
                  </w:r>
                </w:p>
              </w:tc>
              <w:tc>
                <w:tcPr>
                  <w:tcW w:w="0" w:type="auto"/>
                  <w:tcBorders>
                    <w:top w:val="nil"/>
                    <w:left w:val="nil"/>
                    <w:bottom w:val="nil"/>
                    <w:right w:val="nil"/>
                  </w:tcBorders>
                  <w:vAlign w:val="center"/>
                </w:tcPr>
                <w:p w14:paraId="46C8CA87" w14:textId="77777777" w:rsidR="00F55E6A" w:rsidRPr="00F15B1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A7697B">
                    <w:rPr>
                      <w:rFonts w:eastAsia="Times New Roman" w:cs="Times New Roman"/>
                      <w:b/>
                      <w:bCs/>
                      <w:color w:val="000000"/>
                      <w:kern w:val="0"/>
                      <w:sz w:val="20"/>
                      <w:szCs w:val="20"/>
                      <w:u w:val="single"/>
                      <w:lang w:eastAsia="en-GB"/>
                      <w14:ligatures w14:val="none"/>
                    </w:rPr>
                    <w:t>period</w:t>
                  </w:r>
                </w:p>
              </w:tc>
              <w:tc>
                <w:tcPr>
                  <w:tcW w:w="0" w:type="auto"/>
                  <w:tcBorders>
                    <w:top w:val="nil"/>
                    <w:left w:val="nil"/>
                    <w:bottom w:val="nil"/>
                    <w:right w:val="nil"/>
                  </w:tcBorders>
                  <w:vAlign w:val="center"/>
                </w:tcPr>
                <w:p w14:paraId="200E8173" w14:textId="77777777" w:rsidR="00F55E6A" w:rsidRPr="00F15B1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A7697B">
                    <w:rPr>
                      <w:rFonts w:eastAsia="Times New Roman" w:cs="Times New Roman"/>
                      <w:b/>
                      <w:bCs/>
                      <w:color w:val="000000"/>
                      <w:kern w:val="0"/>
                      <w:sz w:val="20"/>
                      <w:szCs w:val="20"/>
                      <w:u w:val="single"/>
                      <w:lang w:eastAsia="en-GB"/>
                      <w14:ligatures w14:val="none"/>
                    </w:rPr>
                    <w:t>APC%</w:t>
                  </w:r>
                </w:p>
              </w:tc>
              <w:tc>
                <w:tcPr>
                  <w:tcW w:w="0" w:type="auto"/>
                  <w:tcBorders>
                    <w:top w:val="nil"/>
                    <w:left w:val="nil"/>
                    <w:bottom w:val="nil"/>
                    <w:right w:val="nil"/>
                  </w:tcBorders>
                  <w:vAlign w:val="center"/>
                </w:tcPr>
                <w:p w14:paraId="6788DB89" w14:textId="77777777" w:rsidR="00F55E6A" w:rsidRPr="00F15B1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A7697B">
                    <w:rPr>
                      <w:rFonts w:eastAsia="Times New Roman" w:cs="Times New Roman"/>
                      <w:b/>
                      <w:bCs/>
                      <w:color w:val="000000"/>
                      <w:kern w:val="0"/>
                      <w:sz w:val="20"/>
                      <w:szCs w:val="20"/>
                      <w:u w:val="single"/>
                      <w:lang w:eastAsia="en-GB"/>
                      <w14:ligatures w14:val="none"/>
                    </w:rPr>
                    <w:t>95%CI</w:t>
                  </w:r>
                </w:p>
              </w:tc>
              <w:tc>
                <w:tcPr>
                  <w:tcW w:w="0" w:type="auto"/>
                  <w:tcBorders>
                    <w:top w:val="nil"/>
                    <w:left w:val="nil"/>
                    <w:bottom w:val="nil"/>
                    <w:right w:val="nil"/>
                  </w:tcBorders>
                  <w:vAlign w:val="center"/>
                </w:tcPr>
                <w:p w14:paraId="085B10E8" w14:textId="77777777" w:rsidR="00F55E6A" w:rsidRPr="00F15B1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A7697B">
                    <w:rPr>
                      <w:rFonts w:eastAsia="Times New Roman" w:cs="Times New Roman"/>
                      <w:b/>
                      <w:bCs/>
                      <w:color w:val="000000"/>
                      <w:kern w:val="0"/>
                      <w:sz w:val="20"/>
                      <w:szCs w:val="20"/>
                      <w:u w:val="single"/>
                      <w:lang w:eastAsia="en-GB"/>
                      <w14:ligatures w14:val="none"/>
                    </w:rPr>
                    <w:t>trend</w:t>
                  </w:r>
                </w:p>
              </w:tc>
            </w:tr>
            <w:tr w:rsidR="00F55E6A" w:rsidRPr="00F15B1D" w14:paraId="341E7456" w14:textId="77777777" w:rsidTr="0041177B">
              <w:trPr>
                <w:trHeight w:val="113"/>
              </w:trPr>
              <w:tc>
                <w:tcPr>
                  <w:tcW w:w="0" w:type="auto"/>
                  <w:tcBorders>
                    <w:top w:val="nil"/>
                    <w:left w:val="nil"/>
                    <w:bottom w:val="nil"/>
                    <w:right w:val="nil"/>
                  </w:tcBorders>
                  <w:noWrap/>
                  <w:vAlign w:val="center"/>
                  <w:hideMark/>
                </w:tcPr>
                <w:p w14:paraId="41CEEA3C" w14:textId="77777777" w:rsidR="00F55E6A" w:rsidRPr="00A7697B" w:rsidRDefault="00F55E6A" w:rsidP="0041177B">
                  <w:pPr>
                    <w:spacing w:after="0" w:line="240" w:lineRule="auto"/>
                    <w:jc w:val="center"/>
                    <w:rPr>
                      <w:rFonts w:eastAsia="Times New Roman" w:cs="Times New Roman"/>
                      <w:color w:val="000000"/>
                      <w:kern w:val="0"/>
                      <w:sz w:val="20"/>
                      <w:szCs w:val="20"/>
                      <w:lang w:eastAsia="en-GB"/>
                      <w14:ligatures w14:val="none"/>
                    </w:rPr>
                  </w:pPr>
                  <w:r w:rsidRPr="00A7697B">
                    <w:rPr>
                      <w:rFonts w:eastAsia="Times New Roman" w:cs="Times New Roman"/>
                      <w:color w:val="000000"/>
                      <w:kern w:val="0"/>
                      <w:sz w:val="20"/>
                      <w:szCs w:val="20"/>
                      <w:lang w:eastAsia="en-GB"/>
                      <w14:ligatures w14:val="none"/>
                    </w:rPr>
                    <w:t>M</w:t>
                  </w:r>
                </w:p>
              </w:tc>
              <w:tc>
                <w:tcPr>
                  <w:tcW w:w="0" w:type="auto"/>
                  <w:tcBorders>
                    <w:top w:val="nil"/>
                    <w:left w:val="nil"/>
                    <w:bottom w:val="nil"/>
                    <w:right w:val="nil"/>
                  </w:tcBorders>
                  <w:noWrap/>
                  <w:vAlign w:val="center"/>
                  <w:hideMark/>
                </w:tcPr>
                <w:p w14:paraId="39FCD60A" w14:textId="77777777" w:rsidR="00F55E6A" w:rsidRPr="00A7697B" w:rsidRDefault="00F55E6A" w:rsidP="0041177B">
                  <w:pPr>
                    <w:spacing w:after="0" w:line="240" w:lineRule="auto"/>
                    <w:jc w:val="center"/>
                    <w:rPr>
                      <w:rFonts w:eastAsia="Times New Roman" w:cs="Times New Roman"/>
                      <w:color w:val="000000"/>
                      <w:kern w:val="0"/>
                      <w:sz w:val="20"/>
                      <w:szCs w:val="20"/>
                      <w:lang w:eastAsia="en-GB"/>
                      <w14:ligatures w14:val="none"/>
                    </w:rPr>
                  </w:pPr>
                  <w:r w:rsidRPr="00A7697B">
                    <w:rPr>
                      <w:rFonts w:eastAsia="Times New Roman" w:cs="Times New Roman"/>
                      <w:color w:val="000000"/>
                      <w:kern w:val="0"/>
                      <w:sz w:val="20"/>
                      <w:szCs w:val="20"/>
                      <w:lang w:eastAsia="en-GB"/>
                      <w14:ligatures w14:val="none"/>
                    </w:rPr>
                    <w:t>1994-2022</w:t>
                  </w:r>
                </w:p>
              </w:tc>
              <w:tc>
                <w:tcPr>
                  <w:tcW w:w="0" w:type="auto"/>
                  <w:tcBorders>
                    <w:top w:val="nil"/>
                    <w:left w:val="nil"/>
                    <w:bottom w:val="nil"/>
                    <w:right w:val="nil"/>
                  </w:tcBorders>
                  <w:noWrap/>
                  <w:vAlign w:val="bottom"/>
                  <w:hideMark/>
                </w:tcPr>
                <w:p w14:paraId="33AC1A18" w14:textId="77777777" w:rsidR="00F55E6A" w:rsidRPr="00A7697B" w:rsidRDefault="00F55E6A" w:rsidP="0041177B">
                  <w:pPr>
                    <w:spacing w:after="0" w:line="240" w:lineRule="auto"/>
                    <w:jc w:val="center"/>
                    <w:rPr>
                      <w:rFonts w:eastAsia="Times New Roman" w:cs="Times New Roman"/>
                      <w:color w:val="000000"/>
                      <w:kern w:val="0"/>
                      <w:sz w:val="20"/>
                      <w:szCs w:val="20"/>
                      <w:lang w:eastAsia="en-GB"/>
                      <w14:ligatures w14:val="none"/>
                    </w:rPr>
                  </w:pPr>
                  <w:r w:rsidRPr="00A7697B">
                    <w:rPr>
                      <w:rFonts w:eastAsia="Times New Roman" w:cs="Times New Roman"/>
                      <w:color w:val="000000"/>
                      <w:kern w:val="0"/>
                      <w:sz w:val="20"/>
                      <w:szCs w:val="20"/>
                      <w:lang w:eastAsia="en-GB"/>
                      <w14:ligatures w14:val="none"/>
                    </w:rPr>
                    <w:t>-2</w:t>
                  </w:r>
                </w:p>
              </w:tc>
              <w:tc>
                <w:tcPr>
                  <w:tcW w:w="0" w:type="auto"/>
                  <w:tcBorders>
                    <w:top w:val="nil"/>
                    <w:left w:val="nil"/>
                    <w:bottom w:val="nil"/>
                    <w:right w:val="nil"/>
                  </w:tcBorders>
                  <w:noWrap/>
                  <w:vAlign w:val="bottom"/>
                  <w:hideMark/>
                </w:tcPr>
                <w:p w14:paraId="6C71EA1A" w14:textId="77777777" w:rsidR="00F55E6A" w:rsidRPr="00A7697B" w:rsidRDefault="00F55E6A" w:rsidP="0041177B">
                  <w:pPr>
                    <w:spacing w:after="0" w:line="240" w:lineRule="auto"/>
                    <w:jc w:val="center"/>
                    <w:rPr>
                      <w:rFonts w:eastAsia="Times New Roman" w:cs="Times New Roman"/>
                      <w:color w:val="000000"/>
                      <w:kern w:val="0"/>
                      <w:sz w:val="20"/>
                      <w:szCs w:val="20"/>
                      <w:lang w:eastAsia="en-GB"/>
                      <w14:ligatures w14:val="none"/>
                    </w:rPr>
                  </w:pPr>
                  <w:r w:rsidRPr="00A7697B">
                    <w:rPr>
                      <w:rFonts w:eastAsia="Times New Roman" w:cs="Times New Roman"/>
                      <w:color w:val="000000"/>
                      <w:kern w:val="0"/>
                      <w:sz w:val="20"/>
                      <w:szCs w:val="20"/>
                      <w:lang w:eastAsia="en-GB"/>
                      <w14:ligatures w14:val="none"/>
                    </w:rPr>
                    <w:t>-3.9, -0.1</w:t>
                  </w:r>
                </w:p>
              </w:tc>
              <w:tc>
                <w:tcPr>
                  <w:tcW w:w="0" w:type="auto"/>
                  <w:tcBorders>
                    <w:top w:val="nil"/>
                    <w:left w:val="nil"/>
                    <w:bottom w:val="nil"/>
                    <w:right w:val="single" w:sz="4" w:space="0" w:color="auto"/>
                  </w:tcBorders>
                  <w:noWrap/>
                  <w:vAlign w:val="bottom"/>
                  <w:hideMark/>
                </w:tcPr>
                <w:p w14:paraId="692ECA0C" w14:textId="77777777" w:rsidR="00F55E6A" w:rsidRPr="00A7697B" w:rsidRDefault="00F55E6A" w:rsidP="0041177B">
                  <w:pPr>
                    <w:spacing w:after="0" w:line="240" w:lineRule="auto"/>
                    <w:jc w:val="center"/>
                    <w:rPr>
                      <w:rFonts w:eastAsia="Times New Roman" w:cs="Times New Roman"/>
                      <w:color w:val="000000"/>
                      <w:kern w:val="0"/>
                      <w:sz w:val="20"/>
                      <w:szCs w:val="20"/>
                      <w:lang w:eastAsia="en-GB"/>
                      <w14:ligatures w14:val="none"/>
                    </w:rPr>
                  </w:pPr>
                  <w:r w:rsidRPr="00A7697B">
                    <w:rPr>
                      <w:rFonts w:eastAsia="Times New Roman" w:cs="Times New Roman"/>
                      <w:color w:val="000000"/>
                      <w:kern w:val="0"/>
                      <w:sz w:val="20"/>
                      <w:szCs w:val="20"/>
                      <w:lang w:eastAsia="en-GB"/>
                      <w14:ligatures w14:val="none"/>
                    </w:rPr>
                    <w:t>down</w:t>
                  </w:r>
                </w:p>
              </w:tc>
              <w:tc>
                <w:tcPr>
                  <w:tcW w:w="0" w:type="auto"/>
                  <w:tcBorders>
                    <w:top w:val="nil"/>
                    <w:left w:val="single" w:sz="4" w:space="0" w:color="auto"/>
                    <w:bottom w:val="nil"/>
                    <w:right w:val="nil"/>
                  </w:tcBorders>
                  <w:vAlign w:val="center"/>
                </w:tcPr>
                <w:p w14:paraId="430A300F" w14:textId="77777777" w:rsidR="00F55E6A" w:rsidRPr="00F15B1D" w:rsidRDefault="00F55E6A" w:rsidP="0041177B">
                  <w:pPr>
                    <w:spacing w:after="0" w:line="240" w:lineRule="auto"/>
                    <w:jc w:val="center"/>
                    <w:rPr>
                      <w:rFonts w:eastAsia="Times New Roman" w:cs="Times New Roman"/>
                      <w:color w:val="000000"/>
                      <w:kern w:val="0"/>
                      <w:sz w:val="20"/>
                      <w:szCs w:val="20"/>
                      <w:lang w:eastAsia="en-GB"/>
                      <w14:ligatures w14:val="none"/>
                    </w:rPr>
                  </w:pPr>
                  <w:r w:rsidRPr="00A7697B">
                    <w:rPr>
                      <w:rFonts w:eastAsia="Times New Roman" w:cs="Times New Roman"/>
                      <w:color w:val="000000"/>
                      <w:kern w:val="0"/>
                      <w:sz w:val="20"/>
                      <w:szCs w:val="20"/>
                      <w:lang w:eastAsia="en-GB"/>
                      <w14:ligatures w14:val="none"/>
                    </w:rPr>
                    <w:t>F</w:t>
                  </w:r>
                </w:p>
              </w:tc>
              <w:tc>
                <w:tcPr>
                  <w:tcW w:w="0" w:type="auto"/>
                  <w:tcBorders>
                    <w:top w:val="nil"/>
                    <w:left w:val="nil"/>
                    <w:bottom w:val="nil"/>
                    <w:right w:val="nil"/>
                  </w:tcBorders>
                  <w:vAlign w:val="center"/>
                </w:tcPr>
                <w:p w14:paraId="78E29965" w14:textId="77777777" w:rsidR="00F55E6A" w:rsidRPr="00F15B1D" w:rsidRDefault="00F55E6A" w:rsidP="0041177B">
                  <w:pPr>
                    <w:spacing w:after="0" w:line="240" w:lineRule="auto"/>
                    <w:jc w:val="center"/>
                    <w:rPr>
                      <w:rFonts w:eastAsia="Times New Roman" w:cs="Times New Roman"/>
                      <w:color w:val="000000"/>
                      <w:kern w:val="0"/>
                      <w:sz w:val="20"/>
                      <w:szCs w:val="20"/>
                      <w:lang w:eastAsia="en-GB"/>
                      <w14:ligatures w14:val="none"/>
                    </w:rPr>
                  </w:pPr>
                  <w:r w:rsidRPr="00A7697B">
                    <w:rPr>
                      <w:rFonts w:eastAsia="Times New Roman" w:cs="Times New Roman"/>
                      <w:color w:val="000000"/>
                      <w:kern w:val="0"/>
                      <w:sz w:val="20"/>
                      <w:szCs w:val="20"/>
                      <w:lang w:eastAsia="en-GB"/>
                      <w14:ligatures w14:val="none"/>
                    </w:rPr>
                    <w:t>1994-2022</w:t>
                  </w:r>
                </w:p>
              </w:tc>
              <w:tc>
                <w:tcPr>
                  <w:tcW w:w="0" w:type="auto"/>
                  <w:tcBorders>
                    <w:top w:val="nil"/>
                    <w:left w:val="nil"/>
                    <w:bottom w:val="nil"/>
                    <w:right w:val="nil"/>
                  </w:tcBorders>
                  <w:vAlign w:val="bottom"/>
                </w:tcPr>
                <w:p w14:paraId="2823B1C0" w14:textId="77777777" w:rsidR="00F55E6A" w:rsidRPr="00F15B1D" w:rsidRDefault="00F55E6A" w:rsidP="0041177B">
                  <w:pPr>
                    <w:spacing w:after="0" w:line="240" w:lineRule="auto"/>
                    <w:jc w:val="center"/>
                    <w:rPr>
                      <w:rFonts w:eastAsia="Times New Roman" w:cs="Times New Roman"/>
                      <w:color w:val="000000"/>
                      <w:kern w:val="0"/>
                      <w:sz w:val="20"/>
                      <w:szCs w:val="20"/>
                      <w:lang w:eastAsia="en-GB"/>
                      <w14:ligatures w14:val="none"/>
                    </w:rPr>
                  </w:pPr>
                  <w:r w:rsidRPr="00A7697B">
                    <w:rPr>
                      <w:rFonts w:eastAsia="Times New Roman" w:cs="Times New Roman"/>
                      <w:color w:val="000000"/>
                      <w:kern w:val="0"/>
                      <w:sz w:val="20"/>
                      <w:szCs w:val="20"/>
                      <w:lang w:eastAsia="en-GB"/>
                      <w14:ligatures w14:val="none"/>
                    </w:rPr>
                    <w:t>NA</w:t>
                  </w:r>
                </w:p>
              </w:tc>
              <w:tc>
                <w:tcPr>
                  <w:tcW w:w="0" w:type="auto"/>
                  <w:tcBorders>
                    <w:top w:val="nil"/>
                    <w:left w:val="nil"/>
                    <w:bottom w:val="nil"/>
                    <w:right w:val="nil"/>
                  </w:tcBorders>
                  <w:vAlign w:val="bottom"/>
                </w:tcPr>
                <w:p w14:paraId="7C66E88A" w14:textId="77777777" w:rsidR="00F55E6A" w:rsidRPr="00F15B1D" w:rsidRDefault="00F55E6A" w:rsidP="0041177B">
                  <w:pPr>
                    <w:spacing w:after="0" w:line="240" w:lineRule="auto"/>
                    <w:jc w:val="center"/>
                    <w:rPr>
                      <w:rFonts w:eastAsia="Times New Roman" w:cs="Times New Roman"/>
                      <w:color w:val="000000"/>
                      <w:kern w:val="0"/>
                      <w:sz w:val="20"/>
                      <w:szCs w:val="20"/>
                      <w:lang w:eastAsia="en-GB"/>
                      <w14:ligatures w14:val="none"/>
                    </w:rPr>
                  </w:pPr>
                  <w:r w:rsidRPr="00A7697B">
                    <w:rPr>
                      <w:rFonts w:eastAsia="Times New Roman" w:cs="Times New Roman"/>
                      <w:color w:val="000000"/>
                      <w:kern w:val="0"/>
                      <w:sz w:val="20"/>
                      <w:szCs w:val="20"/>
                      <w:lang w:eastAsia="en-GB"/>
                      <w14:ligatures w14:val="none"/>
                    </w:rPr>
                    <w:t>NA</w:t>
                  </w:r>
                </w:p>
              </w:tc>
              <w:tc>
                <w:tcPr>
                  <w:tcW w:w="0" w:type="auto"/>
                  <w:tcBorders>
                    <w:top w:val="nil"/>
                    <w:left w:val="nil"/>
                    <w:bottom w:val="nil"/>
                    <w:right w:val="nil"/>
                  </w:tcBorders>
                  <w:vAlign w:val="bottom"/>
                </w:tcPr>
                <w:p w14:paraId="12F3F584" w14:textId="77777777" w:rsidR="00F55E6A" w:rsidRPr="00F15B1D" w:rsidRDefault="00F55E6A" w:rsidP="0041177B">
                  <w:pPr>
                    <w:spacing w:after="0" w:line="240" w:lineRule="auto"/>
                    <w:jc w:val="center"/>
                    <w:rPr>
                      <w:rFonts w:eastAsia="Times New Roman" w:cs="Times New Roman"/>
                      <w:color w:val="000000"/>
                      <w:kern w:val="0"/>
                      <w:sz w:val="20"/>
                      <w:szCs w:val="20"/>
                      <w:lang w:eastAsia="en-GB"/>
                      <w14:ligatures w14:val="none"/>
                    </w:rPr>
                  </w:pPr>
                  <w:r w:rsidRPr="00A7697B">
                    <w:rPr>
                      <w:rFonts w:eastAsia="Times New Roman" w:cs="Times New Roman"/>
                      <w:color w:val="000000"/>
                      <w:kern w:val="0"/>
                      <w:sz w:val="20"/>
                      <w:szCs w:val="20"/>
                      <w:lang w:eastAsia="en-GB"/>
                      <w14:ligatures w14:val="none"/>
                    </w:rPr>
                    <w:t>NA</w:t>
                  </w:r>
                </w:p>
              </w:tc>
            </w:tr>
          </w:tbl>
          <w:p w14:paraId="0F61E79A" w14:textId="77777777" w:rsidR="00F55E6A" w:rsidRPr="00847E9D" w:rsidRDefault="00F55E6A" w:rsidP="0041177B">
            <w:pPr>
              <w:jc w:val="center"/>
              <w:rPr>
                <w:rFonts w:eastAsia="Times New Roman" w:cs="Times New Roman"/>
                <w:b/>
                <w:bCs/>
                <w:color w:val="000000"/>
                <w:sz w:val="14"/>
                <w:szCs w:val="14"/>
                <w:u w:val="single"/>
                <w:lang w:eastAsia="en-GB"/>
              </w:rPr>
            </w:pPr>
          </w:p>
        </w:tc>
      </w:tr>
      <w:tr w:rsidR="00F55E6A" w:rsidRPr="00847E9D" w14:paraId="7695B504" w14:textId="77777777" w:rsidTr="0041177B">
        <w:trPr>
          <w:trHeight w:val="1108"/>
        </w:trPr>
        <w:tc>
          <w:tcPr>
            <w:tcW w:w="9706" w:type="dxa"/>
            <w:vAlign w:val="center"/>
          </w:tcPr>
          <w:p w14:paraId="7E73C3D9" w14:textId="77777777" w:rsidR="00F55E6A" w:rsidRPr="00A7697B" w:rsidRDefault="00F55E6A" w:rsidP="0041177B">
            <w:pPr>
              <w:pBdr>
                <w:bottom w:val="single" w:sz="4" w:space="1" w:color="auto"/>
              </w:pBdr>
              <w:rPr>
                <w:rFonts w:asciiTheme="minorHAnsi" w:hAnsiTheme="minorHAnsi"/>
                <w:bCs/>
                <w:sz w:val="18"/>
                <w:szCs w:val="16"/>
              </w:rPr>
            </w:pPr>
            <w:r w:rsidRPr="00847E9D">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3A2D4AA7" w14:textId="77777777" w:rsidR="00F55E6A" w:rsidRPr="00A7697B" w:rsidRDefault="00F55E6A" w:rsidP="0041177B">
            <w:pPr>
              <w:rPr>
                <w:rFonts w:asciiTheme="minorHAnsi" w:hAnsiTheme="minorHAnsi"/>
                <w:b/>
                <w:bCs/>
                <w:noProof/>
                <w:sz w:val="14"/>
                <w:szCs w:val="14"/>
                <w:u w:val="single"/>
              </w:rPr>
            </w:pPr>
          </w:p>
        </w:tc>
      </w:tr>
      <w:bookmarkEnd w:id="261"/>
    </w:tbl>
    <w:p w14:paraId="684E5E2D" w14:textId="77777777" w:rsidR="00F55E6A" w:rsidRPr="00325650" w:rsidRDefault="00F55E6A" w:rsidP="00F55E6A">
      <w:pPr>
        <w:spacing w:after="0" w:line="240" w:lineRule="auto"/>
      </w:pPr>
    </w:p>
    <w:bookmarkEnd w:id="259"/>
    <w:p w14:paraId="217FCAC7" w14:textId="77777777" w:rsidR="00F55E6A" w:rsidRDefault="00F55E6A" w:rsidP="00F55E6A">
      <w:pPr>
        <w:spacing w:after="0" w:line="240" w:lineRule="auto"/>
        <w:rPr>
          <w:highlight w:val="yellow"/>
        </w:rPr>
        <w:sectPr w:rsidR="00F55E6A" w:rsidSect="002746C0">
          <w:pgSz w:w="11906" w:h="16838"/>
          <w:pgMar w:top="1440" w:right="1440" w:bottom="1440" w:left="1440" w:header="708" w:footer="708" w:gutter="0"/>
          <w:cols w:space="708"/>
          <w:docGrid w:linePitch="360"/>
        </w:sectPr>
      </w:pPr>
    </w:p>
    <w:p w14:paraId="3E92F362" w14:textId="77777777" w:rsidR="00F55E6A" w:rsidRPr="00325650" w:rsidRDefault="00F55E6A" w:rsidP="009540E5">
      <w:pPr>
        <w:pStyle w:val="Heading2"/>
        <w:spacing w:before="0" w:after="0"/>
      </w:pPr>
      <w:bookmarkStart w:id="262" w:name="_Toc197557124"/>
      <w:bookmarkStart w:id="263" w:name="_Toc201512515"/>
      <w:r w:rsidRPr="00325650">
        <w:t>Survival</w:t>
      </w:r>
      <w:bookmarkEnd w:id="262"/>
      <w:bookmarkEnd w:id="263"/>
      <w:r w:rsidRPr="00325650">
        <w:t xml:space="preserve"> </w:t>
      </w:r>
    </w:p>
    <w:p w14:paraId="268FCE32" w14:textId="662D092A" w:rsidR="00F55E6A" w:rsidRPr="00325650" w:rsidRDefault="00F55E6A" w:rsidP="009540E5">
      <w:pPr>
        <w:spacing w:after="0" w:line="240" w:lineRule="auto"/>
      </w:pPr>
      <w:bookmarkStart w:id="264" w:name="_Hlk196813264"/>
      <w:r w:rsidRPr="09A20818">
        <w:t xml:space="preserve">For sinonasal cancer overall 5-year net survival was 61% for cases diagnosed during 2019-2022 (Figure </w:t>
      </w:r>
      <w:r w:rsidR="009540E5">
        <w:t>13.6</w:t>
      </w:r>
      <w:r w:rsidRPr="09A20818">
        <w:t>). Female 5-year net survival for 2019-202</w:t>
      </w:r>
      <w:r w:rsidR="004459B1">
        <w:t>2</w:t>
      </w:r>
      <w:r w:rsidRPr="09A20818">
        <w:t xml:space="preserve"> was slightly </w:t>
      </w:r>
      <w:r w:rsidR="009540E5" w:rsidRPr="09A20818">
        <w:t>higher (</w:t>
      </w:r>
      <w:r w:rsidRPr="09A20818">
        <w:t xml:space="preserve">62%) than for males (61%). In general, survival improved across periods for both males and females. </w:t>
      </w:r>
    </w:p>
    <w:bookmarkEnd w:id="264"/>
    <w:p w14:paraId="75E61499" w14:textId="77777777" w:rsidR="00F55E6A" w:rsidRPr="00325650" w:rsidRDefault="00F55E6A" w:rsidP="00F55E6A">
      <w:pPr>
        <w:spacing w:after="0" w:line="240" w:lineRule="auto"/>
        <w:rPr>
          <w:rFonts w:cstheme="minorHAnsi"/>
        </w:rPr>
      </w:pPr>
    </w:p>
    <w:tbl>
      <w:tblPr>
        <w:tblStyle w:val="TableGrid"/>
        <w:tblW w:w="977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4"/>
        <w:gridCol w:w="3284"/>
        <w:gridCol w:w="3220"/>
      </w:tblGrid>
      <w:tr w:rsidR="00F55E6A" w:rsidRPr="002A4C14" w14:paraId="28062FCD" w14:textId="77777777" w:rsidTr="0041177B">
        <w:trPr>
          <w:trHeight w:val="113"/>
        </w:trPr>
        <w:tc>
          <w:tcPr>
            <w:tcW w:w="9778" w:type="dxa"/>
            <w:gridSpan w:val="3"/>
            <w:shd w:val="clear" w:color="auto" w:fill="002060"/>
          </w:tcPr>
          <w:p w14:paraId="16B139E1" w14:textId="37720F6A" w:rsidR="00F55E6A" w:rsidRPr="009540E5" w:rsidRDefault="00F55E6A" w:rsidP="0041177B">
            <w:pPr>
              <w:rPr>
                <w:rFonts w:asciiTheme="minorHAnsi" w:hAnsiTheme="minorHAnsi" w:cstheme="minorHAnsi"/>
                <w:b/>
                <w:bCs/>
              </w:rPr>
            </w:pPr>
            <w:r w:rsidRPr="009540E5">
              <w:rPr>
                <w:rFonts w:asciiTheme="minorHAnsi" w:hAnsiTheme="minorHAnsi" w:cstheme="minorHAnsi"/>
                <w:b/>
                <w:bCs/>
              </w:rPr>
              <w:t xml:space="preserve">Figure </w:t>
            </w:r>
            <w:r w:rsidR="009540E5" w:rsidRPr="009540E5">
              <w:rPr>
                <w:rFonts w:asciiTheme="minorHAnsi" w:hAnsiTheme="minorHAnsi" w:cstheme="minorHAnsi"/>
                <w:b/>
                <w:bCs/>
              </w:rPr>
              <w:t xml:space="preserve">13.6: </w:t>
            </w:r>
            <w:r w:rsidRPr="009540E5">
              <w:rPr>
                <w:rFonts w:asciiTheme="minorHAnsi" w:hAnsiTheme="minorHAnsi" w:cstheme="minorHAnsi"/>
                <w:b/>
                <w:bCs/>
              </w:rPr>
              <w:t>Age-standardised 5-year net survival (%) for sinonasal cancer over six consecutive diagnosis periods</w:t>
            </w:r>
          </w:p>
        </w:tc>
      </w:tr>
      <w:tr w:rsidR="00F55E6A" w:rsidRPr="00847E9D" w14:paraId="7159B959" w14:textId="77777777" w:rsidTr="0041177B">
        <w:trPr>
          <w:trHeight w:val="113"/>
        </w:trPr>
        <w:tc>
          <w:tcPr>
            <w:tcW w:w="3356" w:type="dxa"/>
            <w:shd w:val="clear" w:color="auto" w:fill="auto"/>
          </w:tcPr>
          <w:p w14:paraId="106494C1" w14:textId="77777777" w:rsidR="00F55E6A" w:rsidRPr="00847E9D" w:rsidRDefault="00F55E6A" w:rsidP="0041177B">
            <w:pPr>
              <w:jc w:val="center"/>
              <w:rPr>
                <w:rFonts w:asciiTheme="minorHAnsi" w:hAnsiTheme="minorHAnsi" w:cstheme="minorHAnsi"/>
                <w:color w:val="000000" w:themeColor="text1"/>
              </w:rPr>
            </w:pPr>
            <w:r w:rsidRPr="00847E9D">
              <w:rPr>
                <w:rFonts w:asciiTheme="minorHAnsi" w:hAnsiTheme="minorHAnsi" w:cstheme="minorHAnsi"/>
                <w:color w:val="000000" w:themeColor="text1"/>
              </w:rPr>
              <w:t>Total</w:t>
            </w:r>
          </w:p>
        </w:tc>
        <w:tc>
          <w:tcPr>
            <w:tcW w:w="3379" w:type="dxa"/>
            <w:shd w:val="clear" w:color="auto" w:fill="auto"/>
          </w:tcPr>
          <w:p w14:paraId="7DAB7C50" w14:textId="77777777" w:rsidR="00F55E6A" w:rsidRPr="00847E9D" w:rsidRDefault="00F55E6A" w:rsidP="0041177B">
            <w:pPr>
              <w:jc w:val="center"/>
              <w:rPr>
                <w:rFonts w:asciiTheme="minorHAnsi" w:hAnsiTheme="minorHAnsi" w:cstheme="minorHAnsi"/>
                <w:color w:val="000000" w:themeColor="text1"/>
              </w:rPr>
            </w:pPr>
            <w:r w:rsidRPr="00847E9D">
              <w:rPr>
                <w:rFonts w:asciiTheme="minorHAnsi" w:hAnsiTheme="minorHAnsi" w:cstheme="minorHAnsi"/>
                <w:color w:val="000000" w:themeColor="text1"/>
              </w:rPr>
              <w:t>Males</w:t>
            </w:r>
          </w:p>
        </w:tc>
        <w:tc>
          <w:tcPr>
            <w:tcW w:w="3043" w:type="dxa"/>
          </w:tcPr>
          <w:p w14:paraId="36CCFEDA" w14:textId="77777777" w:rsidR="00F55E6A" w:rsidRPr="00A7697B" w:rsidRDefault="00F55E6A" w:rsidP="0041177B">
            <w:pPr>
              <w:jc w:val="center"/>
              <w:rPr>
                <w:rFonts w:asciiTheme="minorHAnsi" w:hAnsiTheme="minorHAnsi" w:cstheme="minorHAnsi"/>
                <w:color w:val="000000" w:themeColor="text1"/>
              </w:rPr>
            </w:pPr>
            <w:r w:rsidRPr="00847E9D">
              <w:rPr>
                <w:rFonts w:asciiTheme="minorHAnsi" w:hAnsiTheme="minorHAnsi" w:cstheme="minorHAnsi"/>
                <w:color w:val="000000" w:themeColor="text1"/>
              </w:rPr>
              <w:t>Females</w:t>
            </w:r>
          </w:p>
        </w:tc>
      </w:tr>
      <w:tr w:rsidR="00F55E6A" w:rsidRPr="002A4C14" w14:paraId="4939F8BE" w14:textId="77777777" w:rsidTr="0041177B">
        <w:trPr>
          <w:trHeight w:val="113"/>
        </w:trPr>
        <w:tc>
          <w:tcPr>
            <w:tcW w:w="3356" w:type="dxa"/>
            <w:shd w:val="clear" w:color="auto" w:fill="auto"/>
          </w:tcPr>
          <w:p w14:paraId="1A288877" w14:textId="77777777" w:rsidR="00F55E6A" w:rsidRPr="002A4C14" w:rsidRDefault="00F55E6A" w:rsidP="0041177B">
            <w:pPr>
              <w:rPr>
                <w:rFonts w:asciiTheme="minorHAnsi" w:hAnsiTheme="minorHAnsi" w:cstheme="minorHAnsi"/>
                <w:color w:val="000000" w:themeColor="text1"/>
              </w:rPr>
            </w:pPr>
            <w:r w:rsidRPr="00847E9D">
              <w:rPr>
                <w:rFonts w:eastAsia="Times New Roman" w:cs="Times New Roman"/>
                <w:noProof/>
                <w:lang w:eastAsia="en-GB"/>
              </w:rPr>
              <w:drawing>
                <wp:inline distT="0" distB="0" distL="0" distR="0" wp14:anchorId="770E3654" wp14:editId="62A5B967">
                  <wp:extent cx="1908000" cy="1224000"/>
                  <wp:effectExtent l="0" t="0" r="0" b="0"/>
                  <wp:docPr id="15" name="Picture 13" descr="A graph with numbers and a number of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3" descr="A graph with numbers and a number of numbers&#10;&#10;AI-generated content may be incorrect."/>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908000" cy="1224000"/>
                          </a:xfrm>
                          <a:prstGeom prst="rect">
                            <a:avLst/>
                          </a:prstGeom>
                          <a:noFill/>
                          <a:ln>
                            <a:noFill/>
                          </a:ln>
                        </pic:spPr>
                      </pic:pic>
                    </a:graphicData>
                  </a:graphic>
                </wp:inline>
              </w:drawing>
            </w:r>
          </w:p>
        </w:tc>
        <w:tc>
          <w:tcPr>
            <w:tcW w:w="3379" w:type="dxa"/>
            <w:shd w:val="clear" w:color="auto" w:fill="auto"/>
          </w:tcPr>
          <w:p w14:paraId="2007FDE5" w14:textId="77777777" w:rsidR="00F55E6A" w:rsidRPr="002A4C14" w:rsidRDefault="00F55E6A" w:rsidP="0041177B">
            <w:pPr>
              <w:rPr>
                <w:rFonts w:asciiTheme="minorHAnsi" w:hAnsiTheme="minorHAnsi" w:cstheme="minorHAnsi"/>
                <w:color w:val="000000" w:themeColor="text1"/>
              </w:rPr>
            </w:pPr>
            <w:r w:rsidRPr="00847E9D">
              <w:rPr>
                <w:rFonts w:eastAsia="Times New Roman" w:cs="Times New Roman"/>
                <w:noProof/>
                <w:lang w:eastAsia="en-GB"/>
              </w:rPr>
              <w:drawing>
                <wp:inline distT="0" distB="0" distL="0" distR="0" wp14:anchorId="001A9B7A" wp14:editId="0AC68E72">
                  <wp:extent cx="1908000" cy="1224000"/>
                  <wp:effectExtent l="0" t="0" r="0" b="0"/>
                  <wp:docPr id="837036115" name="Picture 10" descr="A graph of numbers and a number of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7036115" name="Picture 10" descr="A graph of numbers and a number of numbers&#10;&#10;AI-generated content may be incorrect."/>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908000" cy="1224000"/>
                          </a:xfrm>
                          <a:prstGeom prst="rect">
                            <a:avLst/>
                          </a:prstGeom>
                          <a:noFill/>
                          <a:ln>
                            <a:noFill/>
                          </a:ln>
                        </pic:spPr>
                      </pic:pic>
                    </a:graphicData>
                  </a:graphic>
                </wp:inline>
              </w:drawing>
            </w:r>
          </w:p>
        </w:tc>
        <w:tc>
          <w:tcPr>
            <w:tcW w:w="3043" w:type="dxa"/>
          </w:tcPr>
          <w:p w14:paraId="6DA40AA9" w14:textId="77777777" w:rsidR="00F55E6A" w:rsidRPr="00A7697B" w:rsidRDefault="00F55E6A" w:rsidP="0041177B">
            <w:pPr>
              <w:rPr>
                <w:rFonts w:asciiTheme="minorHAnsi" w:hAnsiTheme="minorHAnsi" w:cstheme="minorHAnsi"/>
                <w:color w:val="000000" w:themeColor="text1"/>
              </w:rPr>
            </w:pPr>
            <w:r w:rsidRPr="00847E9D">
              <w:rPr>
                <w:rFonts w:eastAsia="Times New Roman" w:cs="Times New Roman"/>
                <w:noProof/>
                <w:lang w:eastAsia="en-GB"/>
              </w:rPr>
              <w:drawing>
                <wp:inline distT="0" distB="0" distL="0" distR="0" wp14:anchorId="6C2C8F5A" wp14:editId="7E535FB6">
                  <wp:extent cx="1908000" cy="1224000"/>
                  <wp:effectExtent l="0" t="0" r="0" b="0"/>
                  <wp:docPr id="573114941" name="Picture 9" descr="A graph with numbers and a number of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3114941" name="Picture 9" descr="A graph with numbers and a number of numbers&#10;&#10;AI-generated content may be incorrect."/>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908000" cy="1224000"/>
                          </a:xfrm>
                          <a:prstGeom prst="rect">
                            <a:avLst/>
                          </a:prstGeom>
                          <a:noFill/>
                          <a:ln>
                            <a:noFill/>
                          </a:ln>
                        </pic:spPr>
                      </pic:pic>
                    </a:graphicData>
                  </a:graphic>
                </wp:inline>
              </w:drawing>
            </w:r>
          </w:p>
        </w:tc>
      </w:tr>
    </w:tbl>
    <w:p w14:paraId="50087AE5" w14:textId="77777777" w:rsidR="001A3B02" w:rsidRPr="001A3B02" w:rsidRDefault="001A3B02" w:rsidP="001A3B02">
      <w:bookmarkStart w:id="265" w:name="_Toc197557125"/>
    </w:p>
    <w:p w14:paraId="705F9647" w14:textId="77777777" w:rsidR="00F55E6A" w:rsidRPr="00325650" w:rsidRDefault="00F55E6A" w:rsidP="009540E5">
      <w:pPr>
        <w:pStyle w:val="Heading2"/>
        <w:spacing w:before="0" w:after="0"/>
      </w:pPr>
      <w:bookmarkStart w:id="266" w:name="_Toc201512516"/>
      <w:r w:rsidRPr="00325650">
        <w:t>Population Attributable Fraction</w:t>
      </w:r>
      <w:bookmarkEnd w:id="265"/>
      <w:bookmarkEnd w:id="266"/>
    </w:p>
    <w:p w14:paraId="1E1521FF" w14:textId="5D76AD23" w:rsidR="00F55E6A" w:rsidRDefault="00F55E6A" w:rsidP="009540E5">
      <w:pPr>
        <w:spacing w:after="0" w:line="240" w:lineRule="auto"/>
      </w:pPr>
      <w:bookmarkStart w:id="267" w:name="_Hlk196318918"/>
      <w:r>
        <w:t xml:space="preserve">In 2022, 24 cases of sinonasal cancer were recorded (16 males, 8 females). The estimated total number of sinonasal cancer cases attributable to smoking in Ireland in 2022 was 6 (PAF 26%). Table </w:t>
      </w:r>
      <w:r w:rsidR="009540E5">
        <w:t>13.1</w:t>
      </w:r>
      <w:r>
        <w:t xml:space="preserve"> presents the sinonasal cases in male and females attributable to smoking. Males had a higher PAF than females (27% vs 24%).</w:t>
      </w:r>
    </w:p>
    <w:p w14:paraId="2BC60563" w14:textId="77777777" w:rsidR="00F55E6A" w:rsidRDefault="00F55E6A" w:rsidP="00F55E6A">
      <w:pPr>
        <w:spacing w:after="0" w:line="240" w:lineRule="auto"/>
        <w:rPr>
          <w:rFonts w:cstheme="minorHAnsi"/>
        </w:rPr>
      </w:pPr>
    </w:p>
    <w:tbl>
      <w:tblPr>
        <w:tblStyle w:val="TableGrid"/>
        <w:tblW w:w="5396" w:type="pct"/>
        <w:tblInd w:w="-714" w:type="dxa"/>
        <w:tblLook w:val="04A0" w:firstRow="1" w:lastRow="0" w:firstColumn="1" w:lastColumn="0" w:noHBand="0" w:noVBand="1"/>
      </w:tblPr>
      <w:tblGrid>
        <w:gridCol w:w="2744"/>
        <w:gridCol w:w="2300"/>
        <w:gridCol w:w="2436"/>
        <w:gridCol w:w="2250"/>
      </w:tblGrid>
      <w:tr w:rsidR="00F55E6A" w14:paraId="56998778" w14:textId="77777777">
        <w:tc>
          <w:tcPr>
            <w:tcW w:w="5000" w:type="pct"/>
            <w:gridSpan w:val="4"/>
            <w:tcBorders>
              <w:top w:val="single" w:sz="4" w:space="0" w:color="auto"/>
              <w:left w:val="single" w:sz="4" w:space="0" w:color="auto"/>
              <w:bottom w:val="single" w:sz="4" w:space="0" w:color="auto"/>
              <w:right w:val="single" w:sz="4" w:space="0" w:color="auto"/>
            </w:tcBorders>
            <w:shd w:val="clear" w:color="auto" w:fill="002060"/>
            <w:hideMark/>
          </w:tcPr>
          <w:p w14:paraId="66C960F5" w14:textId="21A53E31" w:rsidR="00F55E6A" w:rsidRPr="009540E5" w:rsidRDefault="00F55E6A" w:rsidP="0041177B">
            <w:pPr>
              <w:rPr>
                <w:rFonts w:asciiTheme="minorHAnsi" w:hAnsiTheme="minorHAnsi" w:cstheme="minorHAnsi"/>
                <w:b/>
                <w:bCs/>
                <w:color w:val="FFFFFF" w:themeColor="background1"/>
              </w:rPr>
            </w:pPr>
            <w:r w:rsidRPr="009540E5">
              <w:rPr>
                <w:rFonts w:asciiTheme="minorHAnsi" w:hAnsiTheme="minorHAnsi" w:cstheme="minorHAnsi"/>
                <w:b/>
                <w:bCs/>
                <w:color w:val="FFFFFF" w:themeColor="background1"/>
              </w:rPr>
              <w:t xml:space="preserve">Table </w:t>
            </w:r>
            <w:r w:rsidR="009540E5" w:rsidRPr="009540E5">
              <w:rPr>
                <w:rFonts w:asciiTheme="minorHAnsi" w:hAnsiTheme="minorHAnsi" w:cstheme="minorHAnsi"/>
                <w:b/>
                <w:bCs/>
                <w:color w:val="FFFFFF" w:themeColor="background1"/>
              </w:rPr>
              <w:t>13.</w:t>
            </w:r>
            <w:r w:rsidR="009540E5">
              <w:rPr>
                <w:rFonts w:asciiTheme="minorHAnsi" w:hAnsiTheme="minorHAnsi" w:cstheme="minorHAnsi"/>
                <w:b/>
                <w:bCs/>
                <w:color w:val="FFFFFF" w:themeColor="background1"/>
              </w:rPr>
              <w:t>1</w:t>
            </w:r>
            <w:r w:rsidRPr="009540E5">
              <w:rPr>
                <w:rFonts w:asciiTheme="minorHAnsi" w:hAnsiTheme="minorHAnsi" w:cstheme="minorHAnsi"/>
                <w:b/>
                <w:bCs/>
                <w:color w:val="FFFFFF" w:themeColor="background1"/>
              </w:rPr>
              <w:t xml:space="preserve">: Population attributable fraction and attributable cases for </w:t>
            </w:r>
            <w:r w:rsidRPr="009540E5">
              <w:rPr>
                <w:rFonts w:asciiTheme="minorHAnsi" w:hAnsiTheme="minorHAnsi" w:cstheme="minorHAnsi"/>
                <w:b/>
                <w:bCs/>
              </w:rPr>
              <w:t xml:space="preserve">sinonasal </w:t>
            </w:r>
            <w:r w:rsidRPr="009540E5">
              <w:rPr>
                <w:rFonts w:asciiTheme="minorHAnsi" w:hAnsiTheme="minorHAnsi" w:cstheme="minorHAnsi"/>
                <w:b/>
                <w:bCs/>
                <w:color w:val="FFFFFF" w:themeColor="background1"/>
              </w:rPr>
              <w:t>cancer in 2022</w:t>
            </w:r>
          </w:p>
        </w:tc>
      </w:tr>
      <w:tr w:rsidR="00F55E6A" w14:paraId="2BBAFACC" w14:textId="77777777">
        <w:tc>
          <w:tcPr>
            <w:tcW w:w="1410" w:type="pct"/>
            <w:tcBorders>
              <w:top w:val="single" w:sz="4" w:space="0" w:color="auto"/>
              <w:left w:val="single" w:sz="4" w:space="0" w:color="auto"/>
              <w:bottom w:val="single" w:sz="4" w:space="0" w:color="auto"/>
              <w:right w:val="single" w:sz="4" w:space="0" w:color="auto"/>
            </w:tcBorders>
          </w:tcPr>
          <w:p w14:paraId="5AEEF915" w14:textId="77777777" w:rsidR="00F55E6A" w:rsidRDefault="00F55E6A" w:rsidP="0041177B">
            <w:pPr>
              <w:rPr>
                <w:rFonts w:asciiTheme="minorHAnsi" w:hAnsiTheme="minorHAnsi" w:cstheme="minorHAnsi"/>
              </w:rPr>
            </w:pPr>
          </w:p>
        </w:tc>
        <w:tc>
          <w:tcPr>
            <w:tcW w:w="1182" w:type="pct"/>
            <w:tcBorders>
              <w:top w:val="single" w:sz="4" w:space="0" w:color="auto"/>
              <w:left w:val="single" w:sz="4" w:space="0" w:color="auto"/>
              <w:bottom w:val="single" w:sz="4" w:space="0" w:color="auto"/>
              <w:right w:val="single" w:sz="4" w:space="0" w:color="auto"/>
            </w:tcBorders>
            <w:hideMark/>
          </w:tcPr>
          <w:p w14:paraId="1CD68973" w14:textId="77777777" w:rsidR="00F55E6A" w:rsidRDefault="00F55E6A" w:rsidP="0041177B">
            <w:pPr>
              <w:jc w:val="center"/>
              <w:rPr>
                <w:rFonts w:asciiTheme="minorHAnsi" w:hAnsiTheme="minorHAnsi" w:cstheme="minorHAnsi"/>
              </w:rPr>
            </w:pPr>
            <w:r>
              <w:rPr>
                <w:rFonts w:asciiTheme="minorHAnsi" w:hAnsiTheme="minorHAnsi" w:cstheme="minorHAnsi"/>
              </w:rPr>
              <w:t>Total</w:t>
            </w:r>
          </w:p>
        </w:tc>
        <w:tc>
          <w:tcPr>
            <w:tcW w:w="1252" w:type="pct"/>
            <w:tcBorders>
              <w:top w:val="single" w:sz="4" w:space="0" w:color="auto"/>
              <w:left w:val="single" w:sz="4" w:space="0" w:color="auto"/>
              <w:bottom w:val="single" w:sz="4" w:space="0" w:color="auto"/>
              <w:right w:val="single" w:sz="4" w:space="0" w:color="auto"/>
            </w:tcBorders>
            <w:hideMark/>
          </w:tcPr>
          <w:p w14:paraId="6D63CD0D" w14:textId="77777777" w:rsidR="00F55E6A" w:rsidRDefault="00F55E6A" w:rsidP="0041177B">
            <w:pPr>
              <w:jc w:val="center"/>
              <w:rPr>
                <w:rFonts w:asciiTheme="minorHAnsi" w:hAnsiTheme="minorHAnsi" w:cstheme="minorHAnsi"/>
              </w:rPr>
            </w:pPr>
            <w:r>
              <w:rPr>
                <w:rFonts w:asciiTheme="minorHAnsi" w:hAnsiTheme="minorHAnsi" w:cstheme="minorHAnsi"/>
              </w:rPr>
              <w:t>Males</w:t>
            </w:r>
          </w:p>
        </w:tc>
        <w:tc>
          <w:tcPr>
            <w:tcW w:w="1156" w:type="pct"/>
            <w:tcBorders>
              <w:top w:val="single" w:sz="4" w:space="0" w:color="auto"/>
              <w:left w:val="single" w:sz="4" w:space="0" w:color="auto"/>
              <w:bottom w:val="single" w:sz="4" w:space="0" w:color="auto"/>
              <w:right w:val="single" w:sz="4" w:space="0" w:color="auto"/>
            </w:tcBorders>
            <w:hideMark/>
          </w:tcPr>
          <w:p w14:paraId="28BE687B" w14:textId="77777777" w:rsidR="00F55E6A" w:rsidRDefault="00F55E6A" w:rsidP="0041177B">
            <w:pPr>
              <w:jc w:val="center"/>
              <w:rPr>
                <w:rFonts w:asciiTheme="minorHAnsi" w:hAnsiTheme="minorHAnsi" w:cstheme="minorHAnsi"/>
              </w:rPr>
            </w:pPr>
            <w:r>
              <w:rPr>
                <w:rFonts w:asciiTheme="minorHAnsi" w:hAnsiTheme="minorHAnsi" w:cstheme="minorHAnsi"/>
              </w:rPr>
              <w:t>Females</w:t>
            </w:r>
          </w:p>
        </w:tc>
      </w:tr>
      <w:tr w:rsidR="00F55E6A" w14:paraId="76E8DE43" w14:textId="77777777">
        <w:tc>
          <w:tcPr>
            <w:tcW w:w="1410" w:type="pct"/>
            <w:tcBorders>
              <w:top w:val="single" w:sz="4" w:space="0" w:color="auto"/>
              <w:left w:val="single" w:sz="4" w:space="0" w:color="auto"/>
              <w:bottom w:val="single" w:sz="4" w:space="0" w:color="auto"/>
              <w:right w:val="single" w:sz="4" w:space="0" w:color="auto"/>
            </w:tcBorders>
            <w:hideMark/>
          </w:tcPr>
          <w:p w14:paraId="3F341BDB" w14:textId="77777777" w:rsidR="00F55E6A" w:rsidRPr="008F28C3" w:rsidRDefault="00F55E6A" w:rsidP="001070A7">
            <w:pPr>
              <w:rPr>
                <w:rFonts w:asciiTheme="minorHAnsi" w:hAnsiTheme="minorHAnsi" w:cstheme="minorHAnsi"/>
              </w:rPr>
            </w:pPr>
            <w:r w:rsidRPr="008F28C3">
              <w:rPr>
                <w:rFonts w:asciiTheme="minorHAnsi" w:hAnsiTheme="minorHAnsi" w:cstheme="minorHAnsi"/>
              </w:rPr>
              <w:t>PAF (%)</w:t>
            </w:r>
          </w:p>
        </w:tc>
        <w:tc>
          <w:tcPr>
            <w:tcW w:w="1182" w:type="pct"/>
            <w:tcBorders>
              <w:top w:val="single" w:sz="4" w:space="0" w:color="auto"/>
              <w:left w:val="single" w:sz="4" w:space="0" w:color="auto"/>
              <w:bottom w:val="single" w:sz="4" w:space="0" w:color="auto"/>
              <w:right w:val="single" w:sz="4" w:space="0" w:color="auto"/>
            </w:tcBorders>
            <w:hideMark/>
          </w:tcPr>
          <w:p w14:paraId="4D1D7FCB" w14:textId="77777777" w:rsidR="00F55E6A" w:rsidRPr="008F28C3" w:rsidRDefault="00F55E6A" w:rsidP="001070A7">
            <w:pPr>
              <w:jc w:val="center"/>
              <w:rPr>
                <w:rFonts w:asciiTheme="minorHAnsi" w:hAnsiTheme="minorHAnsi" w:cstheme="minorHAnsi"/>
              </w:rPr>
            </w:pPr>
            <w:r w:rsidRPr="008F28C3">
              <w:rPr>
                <w:rFonts w:asciiTheme="minorHAnsi" w:hAnsiTheme="minorHAnsi" w:cstheme="minorHAnsi"/>
              </w:rPr>
              <w:t>26.0</w:t>
            </w:r>
          </w:p>
        </w:tc>
        <w:tc>
          <w:tcPr>
            <w:tcW w:w="1252" w:type="pct"/>
            <w:tcBorders>
              <w:top w:val="single" w:sz="4" w:space="0" w:color="auto"/>
              <w:left w:val="single" w:sz="4" w:space="0" w:color="auto"/>
              <w:bottom w:val="single" w:sz="4" w:space="0" w:color="auto"/>
              <w:right w:val="single" w:sz="4" w:space="0" w:color="auto"/>
            </w:tcBorders>
            <w:hideMark/>
          </w:tcPr>
          <w:p w14:paraId="7FBC6369" w14:textId="77777777" w:rsidR="00F55E6A" w:rsidRPr="008F28C3" w:rsidRDefault="00F55E6A" w:rsidP="001070A7">
            <w:pPr>
              <w:jc w:val="center"/>
              <w:rPr>
                <w:rFonts w:asciiTheme="minorHAnsi" w:hAnsiTheme="minorHAnsi" w:cstheme="minorHAnsi"/>
              </w:rPr>
            </w:pPr>
            <w:r w:rsidRPr="008F28C3">
              <w:rPr>
                <w:rFonts w:asciiTheme="minorHAnsi" w:hAnsiTheme="minorHAnsi" w:cstheme="minorHAnsi"/>
              </w:rPr>
              <w:t>27.0</w:t>
            </w:r>
          </w:p>
        </w:tc>
        <w:tc>
          <w:tcPr>
            <w:tcW w:w="1156" w:type="pct"/>
            <w:tcBorders>
              <w:top w:val="single" w:sz="4" w:space="0" w:color="auto"/>
              <w:left w:val="single" w:sz="4" w:space="0" w:color="auto"/>
              <w:bottom w:val="single" w:sz="4" w:space="0" w:color="auto"/>
              <w:right w:val="single" w:sz="4" w:space="0" w:color="auto"/>
            </w:tcBorders>
            <w:hideMark/>
          </w:tcPr>
          <w:p w14:paraId="793EBD16" w14:textId="77777777" w:rsidR="00F55E6A" w:rsidRPr="008F28C3" w:rsidRDefault="00F55E6A" w:rsidP="001070A7">
            <w:pPr>
              <w:jc w:val="center"/>
              <w:rPr>
                <w:rFonts w:asciiTheme="minorHAnsi" w:hAnsiTheme="minorHAnsi" w:cstheme="minorHAnsi"/>
              </w:rPr>
            </w:pPr>
            <w:r w:rsidRPr="008F28C3">
              <w:rPr>
                <w:rFonts w:asciiTheme="minorHAnsi" w:hAnsiTheme="minorHAnsi" w:cstheme="minorHAnsi"/>
              </w:rPr>
              <w:t>24.0</w:t>
            </w:r>
          </w:p>
        </w:tc>
      </w:tr>
      <w:tr w:rsidR="008F28C3" w14:paraId="6EEAC28F" w14:textId="77777777">
        <w:tc>
          <w:tcPr>
            <w:tcW w:w="1410" w:type="pct"/>
            <w:tcBorders>
              <w:top w:val="single" w:sz="4" w:space="0" w:color="auto"/>
              <w:left w:val="single" w:sz="4" w:space="0" w:color="auto"/>
              <w:bottom w:val="single" w:sz="4" w:space="0" w:color="auto"/>
              <w:right w:val="single" w:sz="4" w:space="0" w:color="auto"/>
            </w:tcBorders>
          </w:tcPr>
          <w:p w14:paraId="7E7660D0" w14:textId="74DEC411" w:rsidR="008F28C3" w:rsidRPr="006C1190" w:rsidRDefault="008F28C3" w:rsidP="001070A7">
            <w:pPr>
              <w:rPr>
                <w:rFonts w:asciiTheme="minorHAnsi" w:hAnsiTheme="minorHAnsi" w:cstheme="minorHAnsi"/>
              </w:rPr>
            </w:pPr>
            <w:r w:rsidRPr="001070A7">
              <w:rPr>
                <w:rFonts w:asciiTheme="minorHAnsi" w:hAnsiTheme="minorHAnsi" w:cstheme="minorHAnsi"/>
              </w:rPr>
              <w:t>Total cases</w:t>
            </w:r>
          </w:p>
        </w:tc>
        <w:tc>
          <w:tcPr>
            <w:tcW w:w="1182" w:type="pct"/>
            <w:tcBorders>
              <w:top w:val="single" w:sz="4" w:space="0" w:color="auto"/>
              <w:left w:val="single" w:sz="4" w:space="0" w:color="auto"/>
              <w:bottom w:val="single" w:sz="4" w:space="0" w:color="auto"/>
              <w:right w:val="single" w:sz="4" w:space="0" w:color="auto"/>
            </w:tcBorders>
          </w:tcPr>
          <w:p w14:paraId="1E6D1AAE" w14:textId="4787835B" w:rsidR="008F28C3" w:rsidRPr="006C1190" w:rsidRDefault="004A5AD0" w:rsidP="001070A7">
            <w:pPr>
              <w:jc w:val="center"/>
              <w:rPr>
                <w:rFonts w:asciiTheme="minorHAnsi" w:hAnsiTheme="minorHAnsi" w:cstheme="minorHAnsi"/>
              </w:rPr>
            </w:pPr>
            <w:r>
              <w:rPr>
                <w:rFonts w:asciiTheme="minorHAnsi" w:hAnsiTheme="minorHAnsi" w:cstheme="minorHAnsi"/>
              </w:rPr>
              <w:t>24</w:t>
            </w:r>
          </w:p>
        </w:tc>
        <w:tc>
          <w:tcPr>
            <w:tcW w:w="1252" w:type="pct"/>
            <w:tcBorders>
              <w:top w:val="single" w:sz="4" w:space="0" w:color="auto"/>
              <w:left w:val="single" w:sz="4" w:space="0" w:color="auto"/>
              <w:bottom w:val="single" w:sz="4" w:space="0" w:color="auto"/>
              <w:right w:val="single" w:sz="4" w:space="0" w:color="auto"/>
            </w:tcBorders>
          </w:tcPr>
          <w:p w14:paraId="5AA5364A" w14:textId="7C489AB0" w:rsidR="008F28C3" w:rsidRPr="006C1190" w:rsidRDefault="004A5AD0" w:rsidP="001070A7">
            <w:pPr>
              <w:jc w:val="center"/>
              <w:rPr>
                <w:rFonts w:asciiTheme="minorHAnsi" w:hAnsiTheme="minorHAnsi" w:cstheme="minorHAnsi"/>
              </w:rPr>
            </w:pPr>
            <w:r>
              <w:rPr>
                <w:rFonts w:asciiTheme="minorHAnsi" w:hAnsiTheme="minorHAnsi" w:cstheme="minorHAnsi"/>
              </w:rPr>
              <w:t>16</w:t>
            </w:r>
          </w:p>
        </w:tc>
        <w:tc>
          <w:tcPr>
            <w:tcW w:w="1156" w:type="pct"/>
            <w:tcBorders>
              <w:top w:val="single" w:sz="4" w:space="0" w:color="auto"/>
              <w:left w:val="single" w:sz="4" w:space="0" w:color="auto"/>
              <w:bottom w:val="single" w:sz="4" w:space="0" w:color="auto"/>
              <w:right w:val="single" w:sz="4" w:space="0" w:color="auto"/>
            </w:tcBorders>
          </w:tcPr>
          <w:p w14:paraId="0F208DC0" w14:textId="6BBFAA89" w:rsidR="008F28C3" w:rsidRPr="006C1190" w:rsidRDefault="004A5AD0" w:rsidP="001070A7">
            <w:pPr>
              <w:jc w:val="center"/>
              <w:rPr>
                <w:rFonts w:asciiTheme="minorHAnsi" w:hAnsiTheme="minorHAnsi" w:cstheme="minorHAnsi"/>
              </w:rPr>
            </w:pPr>
            <w:r>
              <w:rPr>
                <w:rFonts w:asciiTheme="minorHAnsi" w:hAnsiTheme="minorHAnsi" w:cstheme="minorHAnsi"/>
              </w:rPr>
              <w:t>8</w:t>
            </w:r>
          </w:p>
        </w:tc>
      </w:tr>
      <w:tr w:rsidR="00F55E6A" w14:paraId="60C4DA7E" w14:textId="77777777">
        <w:tc>
          <w:tcPr>
            <w:tcW w:w="1410" w:type="pct"/>
            <w:tcBorders>
              <w:top w:val="single" w:sz="4" w:space="0" w:color="auto"/>
              <w:left w:val="single" w:sz="4" w:space="0" w:color="auto"/>
              <w:bottom w:val="single" w:sz="4" w:space="0" w:color="auto"/>
              <w:right w:val="single" w:sz="4" w:space="0" w:color="auto"/>
            </w:tcBorders>
            <w:hideMark/>
          </w:tcPr>
          <w:p w14:paraId="5EA3B87C" w14:textId="77777777" w:rsidR="00F55E6A" w:rsidRPr="008F28C3" w:rsidRDefault="00F55E6A" w:rsidP="001070A7">
            <w:pPr>
              <w:rPr>
                <w:rFonts w:asciiTheme="minorHAnsi" w:hAnsiTheme="minorHAnsi" w:cstheme="minorHAnsi"/>
              </w:rPr>
            </w:pPr>
            <w:r w:rsidRPr="008F28C3">
              <w:rPr>
                <w:rFonts w:asciiTheme="minorHAnsi" w:hAnsiTheme="minorHAnsi" w:cstheme="minorHAnsi"/>
              </w:rPr>
              <w:t>Attributable cases</w:t>
            </w:r>
          </w:p>
        </w:tc>
        <w:tc>
          <w:tcPr>
            <w:tcW w:w="1182" w:type="pct"/>
            <w:tcBorders>
              <w:top w:val="single" w:sz="4" w:space="0" w:color="auto"/>
              <w:left w:val="single" w:sz="4" w:space="0" w:color="auto"/>
              <w:bottom w:val="single" w:sz="4" w:space="0" w:color="auto"/>
              <w:right w:val="single" w:sz="4" w:space="0" w:color="auto"/>
            </w:tcBorders>
            <w:hideMark/>
          </w:tcPr>
          <w:p w14:paraId="49E94889" w14:textId="77777777" w:rsidR="00F55E6A" w:rsidRPr="008F28C3" w:rsidRDefault="00F55E6A" w:rsidP="001070A7">
            <w:pPr>
              <w:jc w:val="center"/>
              <w:rPr>
                <w:rFonts w:asciiTheme="minorHAnsi" w:hAnsiTheme="minorHAnsi" w:cstheme="minorHAnsi"/>
              </w:rPr>
            </w:pPr>
            <w:r w:rsidRPr="008F28C3">
              <w:rPr>
                <w:rFonts w:asciiTheme="minorHAnsi" w:hAnsiTheme="minorHAnsi" w:cstheme="minorHAnsi"/>
              </w:rPr>
              <w:t>6</w:t>
            </w:r>
          </w:p>
        </w:tc>
        <w:tc>
          <w:tcPr>
            <w:tcW w:w="1252" w:type="pct"/>
            <w:tcBorders>
              <w:top w:val="single" w:sz="4" w:space="0" w:color="auto"/>
              <w:left w:val="single" w:sz="4" w:space="0" w:color="auto"/>
              <w:bottom w:val="single" w:sz="4" w:space="0" w:color="auto"/>
              <w:right w:val="single" w:sz="4" w:space="0" w:color="auto"/>
            </w:tcBorders>
            <w:hideMark/>
          </w:tcPr>
          <w:p w14:paraId="1590814B" w14:textId="77777777" w:rsidR="00F55E6A" w:rsidRPr="008F28C3" w:rsidRDefault="00F55E6A" w:rsidP="001070A7">
            <w:pPr>
              <w:jc w:val="center"/>
              <w:rPr>
                <w:rFonts w:asciiTheme="minorHAnsi" w:hAnsiTheme="minorHAnsi" w:cstheme="minorHAnsi"/>
              </w:rPr>
            </w:pPr>
            <w:r w:rsidRPr="008F28C3">
              <w:rPr>
                <w:rFonts w:asciiTheme="minorHAnsi" w:hAnsiTheme="minorHAnsi" w:cstheme="minorHAnsi"/>
              </w:rPr>
              <w:t>4</w:t>
            </w:r>
          </w:p>
        </w:tc>
        <w:tc>
          <w:tcPr>
            <w:tcW w:w="1156" w:type="pct"/>
            <w:tcBorders>
              <w:top w:val="single" w:sz="4" w:space="0" w:color="auto"/>
              <w:left w:val="single" w:sz="4" w:space="0" w:color="auto"/>
              <w:bottom w:val="single" w:sz="4" w:space="0" w:color="auto"/>
              <w:right w:val="single" w:sz="4" w:space="0" w:color="auto"/>
            </w:tcBorders>
            <w:hideMark/>
          </w:tcPr>
          <w:p w14:paraId="63BCE5B2" w14:textId="77777777" w:rsidR="00F55E6A" w:rsidRPr="008F28C3" w:rsidRDefault="00F55E6A" w:rsidP="001070A7">
            <w:pPr>
              <w:jc w:val="center"/>
              <w:rPr>
                <w:rFonts w:asciiTheme="minorHAnsi" w:hAnsiTheme="minorHAnsi" w:cstheme="minorHAnsi"/>
              </w:rPr>
            </w:pPr>
            <w:r w:rsidRPr="008F28C3">
              <w:rPr>
                <w:rFonts w:asciiTheme="minorHAnsi" w:hAnsiTheme="minorHAnsi" w:cstheme="minorHAnsi"/>
              </w:rPr>
              <w:t>2</w:t>
            </w:r>
          </w:p>
        </w:tc>
      </w:tr>
    </w:tbl>
    <w:p w14:paraId="7AFF0523" w14:textId="77777777" w:rsidR="00F55E6A" w:rsidRPr="00325650" w:rsidRDefault="00F55E6A" w:rsidP="00F55E6A">
      <w:pPr>
        <w:spacing w:after="0" w:line="240" w:lineRule="auto"/>
        <w:rPr>
          <w:rFonts w:cstheme="minorHAnsi"/>
        </w:rPr>
      </w:pPr>
    </w:p>
    <w:bookmarkEnd w:id="267"/>
    <w:p w14:paraId="2475091A" w14:textId="77777777" w:rsidR="00F55E6A" w:rsidRPr="00325650" w:rsidRDefault="00F55E6A" w:rsidP="00F55E6A">
      <w:pPr>
        <w:spacing w:after="0" w:line="240" w:lineRule="auto"/>
        <w:rPr>
          <w:rFonts w:cstheme="minorHAnsi"/>
        </w:rPr>
      </w:pPr>
    </w:p>
    <w:p w14:paraId="38EAE7D0" w14:textId="77777777" w:rsidR="00F55E6A" w:rsidRDefault="00F55E6A" w:rsidP="00F55E6A">
      <w:pPr>
        <w:spacing w:after="0" w:line="240" w:lineRule="auto"/>
        <w:sectPr w:rsidR="00F55E6A" w:rsidSect="002746C0">
          <w:pgSz w:w="11906" w:h="16838"/>
          <w:pgMar w:top="1440" w:right="1440" w:bottom="1440" w:left="1440" w:header="708" w:footer="708" w:gutter="0"/>
          <w:cols w:space="708"/>
          <w:docGrid w:linePitch="360"/>
        </w:sectPr>
      </w:pPr>
    </w:p>
    <w:p w14:paraId="26CBE756" w14:textId="77777777" w:rsidR="00F55E6A" w:rsidRDefault="00F55E6A" w:rsidP="00F55E6A">
      <w:pPr>
        <w:pStyle w:val="Heading1"/>
        <w:spacing w:before="0" w:after="0" w:line="240" w:lineRule="auto"/>
      </w:pPr>
      <w:r>
        <w:t xml:space="preserve"> </w:t>
      </w:r>
      <w:bookmarkStart w:id="268" w:name="_Toc197557126"/>
      <w:bookmarkStart w:id="269" w:name="_Toc201512517"/>
      <w:r>
        <w:t>Larynx</w:t>
      </w:r>
      <w:r>
        <w:tab/>
        <w:t>C32</w:t>
      </w:r>
      <w:bookmarkEnd w:id="268"/>
      <w:bookmarkEnd w:id="269"/>
    </w:p>
    <w:p w14:paraId="7776A0BC" w14:textId="77777777" w:rsidR="00F55E6A" w:rsidRDefault="00F55E6A" w:rsidP="00F55E6A">
      <w:pPr>
        <w:numPr>
          <w:ilvl w:val="1"/>
          <w:numId w:val="0"/>
        </w:numPr>
        <w:spacing w:after="0" w:line="240" w:lineRule="auto"/>
        <w:rPr>
          <w:rFonts w:eastAsiaTheme="majorEastAsia" w:cstheme="minorHAnsi"/>
          <w:i/>
          <w:iCs/>
          <w:color w:val="0F4761" w:themeColor="accent1" w:themeShade="BF"/>
          <w:spacing w:val="15"/>
          <w:sz w:val="28"/>
          <w:szCs w:val="28"/>
        </w:rPr>
      </w:pPr>
      <w:r w:rsidRPr="00CA4E90">
        <w:rPr>
          <w:rFonts w:eastAsiaTheme="majorEastAsia" w:cstheme="minorHAnsi"/>
          <w:i/>
          <w:iCs/>
          <w:color w:val="0F4761" w:themeColor="accent1" w:themeShade="BF"/>
          <w:spacing w:val="15"/>
          <w:sz w:val="28"/>
          <w:szCs w:val="28"/>
        </w:rPr>
        <w:t xml:space="preserve">Key points </w:t>
      </w:r>
    </w:p>
    <w:p w14:paraId="55CC7D13" w14:textId="77777777" w:rsidR="00F55E6A" w:rsidRPr="00CA4E90" w:rsidRDefault="00F55E6A" w:rsidP="00F55E6A">
      <w:pPr>
        <w:numPr>
          <w:ilvl w:val="1"/>
          <w:numId w:val="0"/>
        </w:numPr>
        <w:spacing w:after="0" w:line="240" w:lineRule="auto"/>
        <w:rPr>
          <w:rFonts w:eastAsiaTheme="majorEastAsia" w:cstheme="minorHAnsi"/>
          <w:i/>
          <w:iCs/>
          <w:color w:val="595959" w:themeColor="text1" w:themeTint="A6"/>
          <w:spacing w:val="15"/>
          <w:sz w:val="28"/>
          <w:szCs w:val="28"/>
        </w:rPr>
      </w:pPr>
      <w:r w:rsidRPr="00CA4E90">
        <w:rPr>
          <w:rFonts w:eastAsiaTheme="majorEastAsia" w:cstheme="minorHAnsi"/>
          <w:i/>
          <w:iCs/>
          <w:color w:val="595959" w:themeColor="text1" w:themeTint="A6"/>
          <w:spacing w:val="15"/>
          <w:sz w:val="28"/>
          <w:szCs w:val="28"/>
        </w:rPr>
        <w:t>Incidence</w:t>
      </w:r>
    </w:p>
    <w:p w14:paraId="20E73824" w14:textId="61DF9154" w:rsidR="00F55E6A" w:rsidRPr="00CA4E90" w:rsidRDefault="00F55E6A">
      <w:pPr>
        <w:numPr>
          <w:ilvl w:val="0"/>
          <w:numId w:val="3"/>
        </w:numPr>
        <w:spacing w:after="0" w:line="240" w:lineRule="auto"/>
        <w:contextualSpacing/>
      </w:pPr>
      <w:r>
        <w:t xml:space="preserve">No significant </w:t>
      </w:r>
      <w:r w:rsidR="006E4134">
        <w:t xml:space="preserve">changes </w:t>
      </w:r>
      <w:r>
        <w:t>in incidence rates w</w:t>
      </w:r>
      <w:r w:rsidR="006E4134">
        <w:t>ere</w:t>
      </w:r>
      <w:r>
        <w:t xml:space="preserve"> observed between 1994 and 2022 in males </w:t>
      </w:r>
      <w:r w:rsidR="004459B1">
        <w:t>or</w:t>
      </w:r>
      <w:r>
        <w:t xml:space="preserve"> females. </w:t>
      </w:r>
    </w:p>
    <w:p w14:paraId="616188AE" w14:textId="77777777" w:rsidR="00F55E6A" w:rsidRPr="00CA4E90" w:rsidRDefault="00F55E6A">
      <w:pPr>
        <w:numPr>
          <w:ilvl w:val="0"/>
          <w:numId w:val="3"/>
        </w:numPr>
        <w:spacing w:after="0" w:line="240" w:lineRule="auto"/>
        <w:contextualSpacing/>
        <w:jc w:val="both"/>
        <w:rPr>
          <w:rFonts w:cstheme="minorHAnsi"/>
          <w:i/>
          <w:iCs/>
        </w:rPr>
      </w:pPr>
      <w:r w:rsidRPr="00CA4E90">
        <w:rPr>
          <w:rFonts w:eastAsia="Times New Roman" w:cstheme="minorHAnsi"/>
          <w:lang w:eastAsia="en-IE"/>
        </w:rPr>
        <w:t xml:space="preserve">Incidence rates in the diagnosis period 2014-2018 were lowest in </w:t>
      </w:r>
      <w:r>
        <w:rPr>
          <w:rFonts w:eastAsia="Times New Roman" w:cstheme="minorHAnsi"/>
          <w:lang w:eastAsia="en-IE"/>
        </w:rPr>
        <w:t xml:space="preserve">the </w:t>
      </w:r>
      <w:r w:rsidRPr="00CA4E90">
        <w:rPr>
          <w:rFonts w:eastAsia="Times New Roman" w:cstheme="minorHAnsi"/>
          <w:lang w:eastAsia="en-IE"/>
        </w:rPr>
        <w:t>least deprived population quintile and highest in the</w:t>
      </w:r>
      <w:r>
        <w:rPr>
          <w:rFonts w:eastAsia="Times New Roman" w:cstheme="minorHAnsi"/>
          <w:lang w:eastAsia="en-IE"/>
        </w:rPr>
        <w:t xml:space="preserve"> most</w:t>
      </w:r>
      <w:r w:rsidRPr="00CA4E90">
        <w:rPr>
          <w:rFonts w:eastAsia="Times New Roman" w:cstheme="minorHAnsi"/>
          <w:lang w:eastAsia="en-IE"/>
        </w:rPr>
        <w:t xml:space="preserve"> deprived quintile with clear evidence of a socioeconomic gradient.</w:t>
      </w:r>
    </w:p>
    <w:p w14:paraId="2FF1F329" w14:textId="77777777" w:rsidR="00F55E6A" w:rsidRPr="00CA4E90" w:rsidRDefault="00F55E6A" w:rsidP="00F55E6A">
      <w:pPr>
        <w:spacing w:after="0" w:line="240" w:lineRule="auto"/>
        <w:jc w:val="both"/>
        <w:rPr>
          <w:rFonts w:eastAsia="Times New Roman" w:cstheme="minorHAnsi"/>
          <w:i/>
          <w:iCs/>
          <w:color w:val="808080" w:themeColor="background1" w:themeShade="80"/>
        </w:rPr>
      </w:pPr>
      <w:r w:rsidRPr="00CA4E90">
        <w:rPr>
          <w:rFonts w:cstheme="minorHAnsi"/>
          <w:i/>
          <w:iCs/>
          <w:color w:val="808080" w:themeColor="background1" w:themeShade="80"/>
        </w:rPr>
        <w:t>Mortality</w:t>
      </w:r>
    </w:p>
    <w:p w14:paraId="700A3FBD" w14:textId="579FB23F" w:rsidR="00F55E6A" w:rsidRPr="00CA4E90" w:rsidRDefault="00F55E6A">
      <w:pPr>
        <w:numPr>
          <w:ilvl w:val="0"/>
          <w:numId w:val="5"/>
        </w:numPr>
        <w:spacing w:after="0" w:line="240" w:lineRule="auto"/>
        <w:ind w:left="709" w:hanging="283"/>
        <w:contextualSpacing/>
        <w:jc w:val="both"/>
        <w:rPr>
          <w:rFonts w:ascii="Aptos" w:hAnsi="Aptos"/>
          <w:color w:val="000000"/>
          <w:shd w:val="clear" w:color="auto" w:fill="FFFFFF"/>
        </w:rPr>
      </w:pPr>
      <w:r w:rsidRPr="00CA4E90">
        <w:rPr>
          <w:rFonts w:ascii="Aptos" w:hAnsi="Aptos"/>
          <w:color w:val="000000"/>
          <w:shd w:val="clear" w:color="auto" w:fill="FFFFFF"/>
        </w:rPr>
        <w:t>Age</w:t>
      </w:r>
      <w:r w:rsidR="00366242">
        <w:rPr>
          <w:rFonts w:ascii="Aptos" w:hAnsi="Aptos"/>
          <w:color w:val="000000"/>
          <w:shd w:val="clear" w:color="auto" w:fill="FFFFFF"/>
        </w:rPr>
        <w:t>-</w:t>
      </w:r>
      <w:r w:rsidRPr="00CA4E90">
        <w:rPr>
          <w:rFonts w:ascii="Aptos" w:hAnsi="Aptos"/>
          <w:color w:val="000000"/>
          <w:shd w:val="clear" w:color="auto" w:fill="FFFFFF"/>
        </w:rPr>
        <w:t xml:space="preserve">standardised mortality rates for both males and females decreased from 1994 to 2022 </w:t>
      </w:r>
    </w:p>
    <w:p w14:paraId="20A40262" w14:textId="77777777" w:rsidR="00F55E6A" w:rsidRPr="00CA4E90" w:rsidRDefault="00F55E6A" w:rsidP="00F55E6A">
      <w:pPr>
        <w:numPr>
          <w:ilvl w:val="1"/>
          <w:numId w:val="0"/>
        </w:numPr>
        <w:spacing w:after="0" w:line="240" w:lineRule="auto"/>
        <w:rPr>
          <w:rFonts w:eastAsiaTheme="majorEastAsia" w:cstheme="minorHAnsi"/>
          <w:i/>
          <w:iCs/>
          <w:color w:val="595959" w:themeColor="text1" w:themeTint="A6"/>
          <w:spacing w:val="15"/>
        </w:rPr>
      </w:pPr>
      <w:r w:rsidRPr="00CA4E90">
        <w:rPr>
          <w:rFonts w:eastAsiaTheme="majorEastAsia" w:cstheme="minorHAnsi"/>
          <w:i/>
          <w:iCs/>
          <w:color w:val="595959" w:themeColor="text1" w:themeTint="A6"/>
          <w:spacing w:val="15"/>
        </w:rPr>
        <w:t>Survival</w:t>
      </w:r>
    </w:p>
    <w:p w14:paraId="4EFC27CB" w14:textId="77777777" w:rsidR="00F55E6A" w:rsidRDefault="00F55E6A">
      <w:pPr>
        <w:numPr>
          <w:ilvl w:val="0"/>
          <w:numId w:val="4"/>
        </w:numPr>
        <w:spacing w:after="0" w:line="240" w:lineRule="auto"/>
        <w:contextualSpacing/>
        <w:rPr>
          <w:rFonts w:cstheme="minorHAnsi"/>
        </w:rPr>
      </w:pPr>
      <w:r w:rsidRPr="00CA4E90">
        <w:rPr>
          <w:rFonts w:cstheme="minorHAnsi"/>
        </w:rPr>
        <w:t>5-year net survival was 64% for cases diagnosed during 2019-2022.</w:t>
      </w:r>
    </w:p>
    <w:p w14:paraId="2A804BF2" w14:textId="77777777" w:rsidR="00F55E6A" w:rsidRPr="00CA4E90" w:rsidRDefault="00F55E6A" w:rsidP="00F55E6A">
      <w:pPr>
        <w:numPr>
          <w:ilvl w:val="1"/>
          <w:numId w:val="0"/>
        </w:numPr>
        <w:spacing w:after="0" w:line="240" w:lineRule="auto"/>
        <w:rPr>
          <w:rFonts w:cstheme="minorHAnsi"/>
          <w:i/>
          <w:iCs/>
        </w:rPr>
      </w:pPr>
      <w:r w:rsidRPr="00CA4E90">
        <w:rPr>
          <w:rFonts w:eastAsiaTheme="majorEastAsia" w:cstheme="minorHAnsi"/>
          <w:i/>
          <w:iCs/>
          <w:color w:val="595959" w:themeColor="text1" w:themeTint="A6"/>
          <w:spacing w:val="15"/>
        </w:rPr>
        <w:t>Population attributable fraction</w:t>
      </w:r>
    </w:p>
    <w:p w14:paraId="16EE39FD" w14:textId="77777777" w:rsidR="00F55E6A" w:rsidRPr="00CA4E90" w:rsidRDefault="00F55E6A">
      <w:pPr>
        <w:numPr>
          <w:ilvl w:val="0"/>
          <w:numId w:val="2"/>
        </w:numPr>
        <w:spacing w:after="0" w:line="240" w:lineRule="auto"/>
        <w:contextualSpacing/>
        <w:rPr>
          <w:rFonts w:eastAsiaTheme="majorEastAsia"/>
          <w:color w:val="0F4761" w:themeColor="accent1" w:themeShade="BF"/>
        </w:rPr>
      </w:pPr>
      <w:r w:rsidRPr="0310EA59">
        <w:rPr>
          <w:rFonts w:eastAsia="Calibri"/>
          <w:color w:val="000000" w:themeColor="text1"/>
        </w:rPr>
        <w:t xml:space="preserve">In 2022, the estimated total number of cases of laryngeal cancer attributable to smoking in Ireland was 121 (PAF 65.9%). </w:t>
      </w:r>
    </w:p>
    <w:p w14:paraId="4C3365CB" w14:textId="77777777" w:rsidR="00F55E6A" w:rsidRDefault="00F55E6A" w:rsidP="00F55E6A">
      <w:pPr>
        <w:spacing w:after="0" w:line="240" w:lineRule="auto"/>
        <w:sectPr w:rsidR="00F55E6A" w:rsidSect="002746C0">
          <w:pgSz w:w="11906" w:h="16838"/>
          <w:pgMar w:top="1440" w:right="1440" w:bottom="1440" w:left="1440" w:header="708" w:footer="708" w:gutter="0"/>
          <w:cols w:space="708"/>
          <w:docGrid w:linePitch="360"/>
        </w:sectPr>
      </w:pPr>
    </w:p>
    <w:p w14:paraId="6AD4F024" w14:textId="77777777" w:rsidR="00F55E6A" w:rsidRDefault="00F55E6A" w:rsidP="00F55E6A">
      <w:pPr>
        <w:pStyle w:val="Heading2"/>
        <w:spacing w:before="0" w:after="0" w:line="240" w:lineRule="auto"/>
      </w:pPr>
      <w:bookmarkStart w:id="270" w:name="_Toc197557127"/>
      <w:bookmarkStart w:id="271" w:name="_Toc201512518"/>
      <w:r>
        <w:t>Incidence</w:t>
      </w:r>
      <w:bookmarkEnd w:id="270"/>
      <w:bookmarkEnd w:id="271"/>
    </w:p>
    <w:p w14:paraId="060D754A" w14:textId="69F9CCC6" w:rsidR="00F55E6A" w:rsidRPr="00325650" w:rsidRDefault="00F55E6A" w:rsidP="00F55E6A">
      <w:pPr>
        <w:spacing w:after="0" w:line="240" w:lineRule="auto"/>
      </w:pPr>
      <w:r>
        <w:t xml:space="preserve">Between 1994-2022, 4,326 cases of laryngeal cancer were recorded (3,646 in males, 680 in females). Median age at diagnosis was 65 years (IQR: 58-73) for males and 65 years (IQR: 58-74) for females. On average </w:t>
      </w:r>
      <w:r w:rsidR="004459B1">
        <w:t>during the period</w:t>
      </w:r>
      <w:r>
        <w:t xml:space="preserve"> 1994-2022 the age-standardised incidence rate of laryngeal cancer</w:t>
      </w:r>
      <w:r w:rsidR="007535AF">
        <w:t xml:space="preserve"> </w:t>
      </w:r>
      <w:r>
        <w:t xml:space="preserve">was 8.8 cases per 100,000 males and 1.5 cases per 100,000 females per year. Figure </w:t>
      </w:r>
      <w:r w:rsidR="000F36DE">
        <w:t>14.1</w:t>
      </w:r>
      <w:r>
        <w:t xml:space="preserve"> presents incidence from 1994-2022 by age group and sex.</w:t>
      </w:r>
    </w:p>
    <w:p w14:paraId="4D59540D" w14:textId="77777777" w:rsidR="00F55E6A" w:rsidRDefault="00F55E6A" w:rsidP="00F55E6A">
      <w:pPr>
        <w:spacing w:after="0" w:line="240" w:lineRule="auto"/>
      </w:pPr>
    </w:p>
    <w:tbl>
      <w:tblPr>
        <w:tblStyle w:val="TableGrid"/>
        <w:tblW w:w="9924" w:type="dxa"/>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3144"/>
        <w:gridCol w:w="3594"/>
      </w:tblGrid>
      <w:tr w:rsidR="00F55E6A" w:rsidRPr="00585795" w14:paraId="7B1F9F6C" w14:textId="77777777" w:rsidTr="0041177B">
        <w:trPr>
          <w:trHeight w:val="113"/>
        </w:trPr>
        <w:tc>
          <w:tcPr>
            <w:tcW w:w="9924" w:type="dxa"/>
            <w:gridSpan w:val="3"/>
            <w:shd w:val="clear" w:color="auto" w:fill="002060"/>
          </w:tcPr>
          <w:p w14:paraId="76FA4B17" w14:textId="28FF91E8" w:rsidR="00F55E6A" w:rsidRPr="000F36DE" w:rsidRDefault="00F55E6A" w:rsidP="0041177B">
            <w:pPr>
              <w:rPr>
                <w:rFonts w:asciiTheme="minorHAnsi" w:hAnsiTheme="minorHAnsi" w:cstheme="minorHAnsi"/>
                <w:b/>
                <w:bCs/>
                <w:color w:val="FFFFFF" w:themeColor="background1"/>
              </w:rPr>
            </w:pPr>
            <w:r w:rsidRPr="000F36DE">
              <w:rPr>
                <w:rFonts w:asciiTheme="minorHAnsi" w:hAnsiTheme="minorHAnsi" w:cstheme="minorHAnsi"/>
                <w:b/>
                <w:bCs/>
                <w:color w:val="FFFFFF" w:themeColor="background1"/>
              </w:rPr>
              <w:t xml:space="preserve">Figure </w:t>
            </w:r>
            <w:r w:rsidR="000F36DE" w:rsidRPr="000F36DE">
              <w:rPr>
                <w:rFonts w:asciiTheme="minorHAnsi" w:hAnsiTheme="minorHAnsi" w:cstheme="minorHAnsi"/>
                <w:b/>
                <w:bCs/>
                <w:color w:val="FFFFFF" w:themeColor="background1"/>
              </w:rPr>
              <w:t>14.1:</w:t>
            </w:r>
            <w:r w:rsidRPr="000F36DE">
              <w:rPr>
                <w:rFonts w:asciiTheme="minorHAnsi" w:hAnsiTheme="minorHAnsi" w:cstheme="minorHAnsi"/>
                <w:b/>
                <w:bCs/>
                <w:color w:val="FFFFFF" w:themeColor="background1"/>
              </w:rPr>
              <w:t xml:space="preserve">  Incidence rate (per 100,000) for laryngeal cancer by </w:t>
            </w:r>
            <w:r w:rsidR="00366242">
              <w:rPr>
                <w:rFonts w:asciiTheme="minorHAnsi" w:hAnsiTheme="minorHAnsi" w:cstheme="minorHAnsi"/>
                <w:b/>
                <w:bCs/>
                <w:color w:val="FFFFFF" w:themeColor="background1"/>
              </w:rPr>
              <w:t>age group</w:t>
            </w:r>
            <w:r w:rsidRPr="000F36DE">
              <w:rPr>
                <w:rFonts w:asciiTheme="minorHAnsi" w:hAnsiTheme="minorHAnsi" w:cstheme="minorHAnsi"/>
                <w:b/>
                <w:bCs/>
                <w:color w:val="FFFFFF" w:themeColor="background1"/>
              </w:rPr>
              <w:t>,1994-2022</w:t>
            </w:r>
          </w:p>
        </w:tc>
      </w:tr>
      <w:tr w:rsidR="00F55E6A" w:rsidRPr="00585795" w14:paraId="748BF03D" w14:textId="77777777" w:rsidTr="0041177B">
        <w:trPr>
          <w:trHeight w:val="113"/>
        </w:trPr>
        <w:tc>
          <w:tcPr>
            <w:tcW w:w="3150" w:type="dxa"/>
            <w:shd w:val="clear" w:color="auto" w:fill="auto"/>
          </w:tcPr>
          <w:p w14:paraId="0733EBFF" w14:textId="77777777" w:rsidR="00F55E6A" w:rsidRPr="00585795" w:rsidRDefault="00F55E6A" w:rsidP="0041177B">
            <w:pPr>
              <w:jc w:val="center"/>
              <w:rPr>
                <w:rFonts w:asciiTheme="minorHAnsi" w:hAnsiTheme="minorHAnsi" w:cstheme="minorHAnsi"/>
                <w:color w:val="000000" w:themeColor="text1"/>
              </w:rPr>
            </w:pPr>
            <w:r w:rsidRPr="00585795">
              <w:rPr>
                <w:rFonts w:asciiTheme="minorHAnsi" w:hAnsiTheme="minorHAnsi" w:cstheme="minorHAnsi"/>
                <w:color w:val="000000" w:themeColor="text1"/>
              </w:rPr>
              <w:t>Total</w:t>
            </w:r>
          </w:p>
        </w:tc>
        <w:tc>
          <w:tcPr>
            <w:tcW w:w="3151" w:type="dxa"/>
            <w:shd w:val="clear" w:color="auto" w:fill="auto"/>
          </w:tcPr>
          <w:p w14:paraId="6DF14F8E" w14:textId="77777777" w:rsidR="00F55E6A" w:rsidRPr="00585795" w:rsidRDefault="00F55E6A" w:rsidP="0041177B">
            <w:pPr>
              <w:jc w:val="center"/>
              <w:rPr>
                <w:rFonts w:asciiTheme="minorHAnsi" w:hAnsiTheme="minorHAnsi" w:cstheme="minorHAnsi"/>
                <w:color w:val="000000" w:themeColor="text1"/>
              </w:rPr>
            </w:pPr>
            <w:r w:rsidRPr="00585795">
              <w:rPr>
                <w:rFonts w:asciiTheme="minorHAnsi" w:hAnsiTheme="minorHAnsi" w:cstheme="minorHAnsi"/>
                <w:color w:val="000000" w:themeColor="text1"/>
              </w:rPr>
              <w:t>Males</w:t>
            </w:r>
          </w:p>
        </w:tc>
        <w:tc>
          <w:tcPr>
            <w:tcW w:w="3623" w:type="dxa"/>
          </w:tcPr>
          <w:p w14:paraId="5D85E415" w14:textId="77777777" w:rsidR="00F55E6A" w:rsidRPr="00585795" w:rsidRDefault="00F55E6A" w:rsidP="0041177B">
            <w:pPr>
              <w:jc w:val="center"/>
              <w:rPr>
                <w:rFonts w:asciiTheme="minorHAnsi" w:hAnsiTheme="minorHAnsi" w:cstheme="minorHAnsi"/>
                <w:color w:val="000000" w:themeColor="text1"/>
              </w:rPr>
            </w:pPr>
            <w:r w:rsidRPr="00585795">
              <w:rPr>
                <w:rFonts w:asciiTheme="minorHAnsi" w:hAnsiTheme="minorHAnsi" w:cstheme="minorHAnsi"/>
                <w:color w:val="000000" w:themeColor="text1"/>
              </w:rPr>
              <w:t>Females</w:t>
            </w:r>
          </w:p>
        </w:tc>
      </w:tr>
      <w:tr w:rsidR="00F55E6A" w:rsidRPr="00585795" w14:paraId="41611D24" w14:textId="77777777" w:rsidTr="0041177B">
        <w:trPr>
          <w:trHeight w:val="113"/>
        </w:trPr>
        <w:tc>
          <w:tcPr>
            <w:tcW w:w="3150" w:type="dxa"/>
            <w:shd w:val="clear" w:color="auto" w:fill="auto"/>
          </w:tcPr>
          <w:p w14:paraId="378C429B" w14:textId="77777777" w:rsidR="00F55E6A" w:rsidRPr="00585795" w:rsidRDefault="00F55E6A" w:rsidP="0041177B">
            <w:pPr>
              <w:rPr>
                <w:rFonts w:asciiTheme="minorHAnsi" w:eastAsia="Times New Roman" w:hAnsiTheme="minorHAnsi" w:cs="Times New Roman"/>
                <w:lang w:eastAsia="en-GB"/>
              </w:rPr>
            </w:pPr>
            <w:r w:rsidRPr="00585795">
              <w:rPr>
                <w:rFonts w:eastAsia="Times New Roman" w:cs="Times New Roman"/>
                <w:noProof/>
                <w:lang w:eastAsia="en-GB"/>
              </w:rPr>
              <w:drawing>
                <wp:inline distT="0" distB="0" distL="0" distR="0" wp14:anchorId="63D111CC" wp14:editId="47F68413">
                  <wp:extent cx="1885950" cy="1436014"/>
                  <wp:effectExtent l="0" t="0" r="0" b="0"/>
                  <wp:docPr id="1235649707"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5649707" name="Picture 22"/>
                          <pic:cNvPicPr>
                            <a:picLocks noChangeAspect="1" noChangeArrowheads="1"/>
                          </pic:cNvPicPr>
                        </pic:nvPicPr>
                        <pic:blipFill>
                          <a:blip r:embed="rId201">
                            <a:extLst>
                              <a:ext uri="{96DAC541-7B7A-43D3-8B79-37D633B846F1}">
                                <asvg:svgBlip xmlns:asvg="http://schemas.microsoft.com/office/drawing/2016/SVG/main" r:embed="rId202"/>
                              </a:ext>
                            </a:extLst>
                          </a:blip>
                          <a:stretch>
                            <a:fillRect/>
                          </a:stretch>
                        </pic:blipFill>
                        <pic:spPr bwMode="auto">
                          <a:xfrm>
                            <a:off x="0" y="0"/>
                            <a:ext cx="1889022" cy="1438353"/>
                          </a:xfrm>
                          <a:prstGeom prst="rect">
                            <a:avLst/>
                          </a:prstGeom>
                        </pic:spPr>
                      </pic:pic>
                    </a:graphicData>
                  </a:graphic>
                </wp:inline>
              </w:drawing>
            </w:r>
          </w:p>
        </w:tc>
        <w:tc>
          <w:tcPr>
            <w:tcW w:w="3151" w:type="dxa"/>
            <w:shd w:val="clear" w:color="auto" w:fill="auto"/>
          </w:tcPr>
          <w:p w14:paraId="1AE40442" w14:textId="77777777" w:rsidR="00F55E6A" w:rsidRPr="00585795" w:rsidRDefault="00F55E6A" w:rsidP="0041177B">
            <w:pPr>
              <w:rPr>
                <w:rFonts w:asciiTheme="minorHAnsi" w:hAnsiTheme="minorHAnsi" w:cstheme="minorHAnsi"/>
                <w:color w:val="000000" w:themeColor="text1"/>
                <w:lang w:val="en-GB"/>
              </w:rPr>
            </w:pPr>
            <w:r w:rsidRPr="00585795">
              <w:rPr>
                <w:rFonts w:eastAsia="Times New Roman" w:cs="Times New Roman"/>
                <w:noProof/>
                <w:lang w:eastAsia="en-GB"/>
              </w:rPr>
              <w:drawing>
                <wp:inline distT="0" distB="0" distL="0" distR="0" wp14:anchorId="58915A24" wp14:editId="48EA97FE">
                  <wp:extent cx="1781175" cy="1436014"/>
                  <wp:effectExtent l="0" t="0" r="0" b="0"/>
                  <wp:docPr id="1244804948"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4804948" name="Picture 21"/>
                          <pic:cNvPicPr>
                            <a:picLocks noChangeAspect="1" noChangeArrowheads="1"/>
                          </pic:cNvPicPr>
                        </pic:nvPicPr>
                        <pic:blipFill>
                          <a:blip r:embed="rId203">
                            <a:extLst>
                              <a:ext uri="{96DAC541-7B7A-43D3-8B79-37D633B846F1}">
                                <asvg:svgBlip xmlns:asvg="http://schemas.microsoft.com/office/drawing/2016/SVG/main" r:embed="rId204"/>
                              </a:ext>
                            </a:extLst>
                          </a:blip>
                          <a:stretch>
                            <a:fillRect/>
                          </a:stretch>
                        </pic:blipFill>
                        <pic:spPr bwMode="auto">
                          <a:xfrm>
                            <a:off x="0" y="0"/>
                            <a:ext cx="1789286" cy="1442553"/>
                          </a:xfrm>
                          <a:prstGeom prst="rect">
                            <a:avLst/>
                          </a:prstGeom>
                        </pic:spPr>
                      </pic:pic>
                    </a:graphicData>
                  </a:graphic>
                </wp:inline>
              </w:drawing>
            </w:r>
          </w:p>
        </w:tc>
        <w:tc>
          <w:tcPr>
            <w:tcW w:w="3623" w:type="dxa"/>
          </w:tcPr>
          <w:p w14:paraId="38842A8C" w14:textId="77777777" w:rsidR="00F55E6A" w:rsidRPr="00585795" w:rsidRDefault="00F55E6A" w:rsidP="0041177B">
            <w:pPr>
              <w:jc w:val="center"/>
              <w:rPr>
                <w:rFonts w:asciiTheme="minorHAnsi" w:hAnsiTheme="minorHAnsi" w:cstheme="minorHAnsi"/>
                <w:color w:val="000000" w:themeColor="text1"/>
              </w:rPr>
            </w:pPr>
            <w:r w:rsidRPr="00585795">
              <w:rPr>
                <w:rFonts w:eastAsia="Times New Roman" w:cs="Times New Roman"/>
                <w:noProof/>
                <w:lang w:eastAsia="en-GB"/>
              </w:rPr>
              <w:drawing>
                <wp:inline distT="0" distB="0" distL="0" distR="0" wp14:anchorId="256B1AFC" wp14:editId="79598CAA">
                  <wp:extent cx="1800225" cy="1436014"/>
                  <wp:effectExtent l="0" t="0" r="0" b="0"/>
                  <wp:docPr id="1240693955"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0693955" name="Picture 19"/>
                          <pic:cNvPicPr>
                            <a:picLocks noChangeAspect="1" noChangeArrowheads="1"/>
                          </pic:cNvPicPr>
                        </pic:nvPicPr>
                        <pic:blipFill>
                          <a:blip r:embed="rId205">
                            <a:extLst>
                              <a:ext uri="{96DAC541-7B7A-43D3-8B79-37D633B846F1}">
                                <asvg:svgBlip xmlns:asvg="http://schemas.microsoft.com/office/drawing/2016/SVG/main" r:embed="rId206"/>
                              </a:ext>
                            </a:extLst>
                          </a:blip>
                          <a:stretch>
                            <a:fillRect/>
                          </a:stretch>
                        </pic:blipFill>
                        <pic:spPr bwMode="auto">
                          <a:xfrm>
                            <a:off x="0" y="0"/>
                            <a:ext cx="1802808" cy="1438074"/>
                          </a:xfrm>
                          <a:prstGeom prst="rect">
                            <a:avLst/>
                          </a:prstGeom>
                        </pic:spPr>
                      </pic:pic>
                    </a:graphicData>
                  </a:graphic>
                </wp:inline>
              </w:drawing>
            </w:r>
          </w:p>
        </w:tc>
      </w:tr>
    </w:tbl>
    <w:p w14:paraId="45A7D794" w14:textId="77777777" w:rsidR="001A3B02" w:rsidRPr="001A3B02" w:rsidRDefault="001A3B02" w:rsidP="001A3B02">
      <w:bookmarkStart w:id="272" w:name="_Toc197557128"/>
    </w:p>
    <w:p w14:paraId="53061903" w14:textId="77777777" w:rsidR="00F55E6A" w:rsidRPr="00325650" w:rsidRDefault="00F55E6A" w:rsidP="00F55E6A">
      <w:pPr>
        <w:pStyle w:val="Heading3"/>
        <w:spacing w:before="0" w:after="0" w:line="240" w:lineRule="auto"/>
      </w:pPr>
      <w:bookmarkStart w:id="273" w:name="_Toc201512519"/>
      <w:r w:rsidRPr="00325650">
        <w:t>Trends over</w:t>
      </w:r>
      <w:r>
        <w:t xml:space="preserve"> </w:t>
      </w:r>
      <w:r w:rsidRPr="00325650">
        <w:t>time</w:t>
      </w:r>
      <w:bookmarkEnd w:id="272"/>
      <w:bookmarkEnd w:id="273"/>
    </w:p>
    <w:p w14:paraId="2BFA7689" w14:textId="02DE3880" w:rsidR="00F55E6A" w:rsidRDefault="00F55E6A" w:rsidP="00F55E6A">
      <w:pPr>
        <w:spacing w:after="0" w:line="240" w:lineRule="auto"/>
      </w:pPr>
      <w:r w:rsidRPr="108C08C8">
        <w:t xml:space="preserve">Figure </w:t>
      </w:r>
      <w:r w:rsidR="000F36DE">
        <w:t>14.2</w:t>
      </w:r>
      <w:r w:rsidRPr="108C08C8">
        <w:t xml:space="preserve"> shows the incidence of laryngeal cancer from 1994 to 2022. Over this period incidence rates were consistently higher among males than females with rates </w:t>
      </w:r>
      <w:r w:rsidR="004459B1">
        <w:t>stable</w:t>
      </w:r>
      <w:r w:rsidRPr="108C08C8">
        <w:t xml:space="preserve"> in both sexes over time. </w:t>
      </w:r>
    </w:p>
    <w:p w14:paraId="42A23591" w14:textId="77777777" w:rsidR="00F55E6A" w:rsidRDefault="00F55E6A" w:rsidP="00F55E6A">
      <w:pPr>
        <w:spacing w:after="0" w:line="240" w:lineRule="auto"/>
        <w:rPr>
          <w:rFonts w:cstheme="minorHAnsi"/>
        </w:rPr>
      </w:pPr>
    </w:p>
    <w:tbl>
      <w:tblPr>
        <w:tblStyle w:val="TableGrid"/>
        <w:tblW w:w="986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8"/>
      </w:tblGrid>
      <w:tr w:rsidR="00F55E6A" w:rsidRPr="00DA1426" w14:paraId="38B73D03" w14:textId="77777777" w:rsidTr="0041177B">
        <w:trPr>
          <w:trHeight w:val="113"/>
        </w:trPr>
        <w:tc>
          <w:tcPr>
            <w:tcW w:w="9868" w:type="dxa"/>
            <w:shd w:val="clear" w:color="auto" w:fill="002060"/>
            <w:vAlign w:val="center"/>
          </w:tcPr>
          <w:p w14:paraId="63EDE6AC" w14:textId="2E01A837" w:rsidR="00F55E6A" w:rsidRPr="00DA1426" w:rsidRDefault="00F55E6A" w:rsidP="0041177B">
            <w:pPr>
              <w:rPr>
                <w:rFonts w:asciiTheme="minorHAnsi" w:hAnsiTheme="minorHAnsi"/>
                <w:b/>
                <w:bCs/>
              </w:rPr>
            </w:pPr>
            <w:r w:rsidRPr="00DA1426">
              <w:rPr>
                <w:rFonts w:asciiTheme="minorHAnsi" w:hAnsiTheme="minorHAnsi"/>
                <w:b/>
                <w:bCs/>
              </w:rPr>
              <w:t xml:space="preserve">Figure </w:t>
            </w:r>
            <w:r w:rsidR="000F36DE">
              <w:rPr>
                <w:rFonts w:asciiTheme="minorHAnsi" w:hAnsiTheme="minorHAnsi"/>
                <w:b/>
                <w:bCs/>
              </w:rPr>
              <w:t>14.2:</w:t>
            </w:r>
            <w:r w:rsidRPr="00DA1426">
              <w:rPr>
                <w:rFonts w:asciiTheme="minorHAnsi" w:hAnsiTheme="minorHAnsi"/>
                <w:b/>
                <w:bCs/>
              </w:rPr>
              <w:t xml:space="preserve">   Age-</w:t>
            </w:r>
            <w:r w:rsidRPr="00DA1426">
              <w:rPr>
                <w:rFonts w:asciiTheme="minorHAnsi" w:hAnsiTheme="minorHAnsi"/>
                <w:b/>
                <w:bCs/>
                <w:bdr w:val="single" w:sz="4" w:space="0" w:color="auto"/>
              </w:rPr>
              <w:t>standardised incidence rate 1994-2022, C32 laryngeal cancer</w:t>
            </w:r>
          </w:p>
        </w:tc>
      </w:tr>
      <w:tr w:rsidR="00F55E6A" w:rsidRPr="00DA1426" w14:paraId="37B1459D" w14:textId="77777777" w:rsidTr="0041177B">
        <w:trPr>
          <w:trHeight w:val="113"/>
        </w:trPr>
        <w:tc>
          <w:tcPr>
            <w:tcW w:w="9868" w:type="dxa"/>
            <w:vAlign w:val="center"/>
          </w:tcPr>
          <w:p w14:paraId="68AC5E79" w14:textId="77777777" w:rsidR="00F55E6A" w:rsidRPr="00DA1426" w:rsidRDefault="00F55E6A" w:rsidP="0041177B">
            <w:pPr>
              <w:rPr>
                <w:rFonts w:asciiTheme="minorHAnsi" w:hAnsiTheme="minorHAnsi"/>
              </w:rPr>
            </w:pPr>
            <w:r>
              <w:rPr>
                <w:rFonts w:eastAsia="Times New Roman" w:cs="Times New Roman"/>
                <w:noProof/>
                <w:lang w:eastAsia="en-GB"/>
              </w:rPr>
              <w:drawing>
                <wp:inline distT="0" distB="0" distL="0" distR="0" wp14:anchorId="56C8D526" wp14:editId="33422DCA">
                  <wp:extent cx="5755005" cy="3017520"/>
                  <wp:effectExtent l="0" t="0" r="0" b="0"/>
                  <wp:docPr id="1707229614" name="Picture 2" descr="A graph with blue and orang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29614" name="Picture 2" descr="A graph with blue and orange dots&#10;&#10;AI-generated content may be incorrect."/>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755005" cy="3017520"/>
                          </a:xfrm>
                          <a:prstGeom prst="rect">
                            <a:avLst/>
                          </a:prstGeom>
                          <a:noFill/>
                        </pic:spPr>
                      </pic:pic>
                    </a:graphicData>
                  </a:graphic>
                </wp:inline>
              </w:drawing>
            </w:r>
          </w:p>
        </w:tc>
      </w:tr>
      <w:tr w:rsidR="00F55E6A" w:rsidRPr="00DA1426" w14:paraId="48A04770" w14:textId="77777777" w:rsidTr="0041177B">
        <w:trPr>
          <w:trHeight w:val="113"/>
        </w:trPr>
        <w:tc>
          <w:tcPr>
            <w:tcW w:w="9868" w:type="dxa"/>
            <w:vAlign w:val="center"/>
          </w:tcPr>
          <w:tbl>
            <w:tblPr>
              <w:tblpPr w:leftFromText="180" w:rightFromText="180" w:vertAnchor="page" w:horzAnchor="margin" w:tblpXSpec="center" w:tblpY="1"/>
              <w:tblOverlap w:val="never"/>
              <w:tblW w:w="0" w:type="auto"/>
              <w:tblCellMar>
                <w:top w:w="15" w:type="dxa"/>
                <w:bottom w:w="15" w:type="dxa"/>
              </w:tblCellMar>
              <w:tblLook w:val="04A0" w:firstRow="1" w:lastRow="0" w:firstColumn="1" w:lastColumn="0" w:noHBand="0" w:noVBand="1"/>
            </w:tblPr>
            <w:tblGrid>
              <w:gridCol w:w="530"/>
              <w:gridCol w:w="1139"/>
              <w:gridCol w:w="771"/>
              <w:gridCol w:w="883"/>
              <w:gridCol w:w="706"/>
              <w:gridCol w:w="530"/>
              <w:gridCol w:w="1139"/>
              <w:gridCol w:w="771"/>
              <w:gridCol w:w="868"/>
              <w:gridCol w:w="706"/>
            </w:tblGrid>
            <w:tr w:rsidR="00F55E6A" w:rsidRPr="00F15B1D" w14:paraId="7A942684" w14:textId="77777777" w:rsidTr="0041177B">
              <w:trPr>
                <w:trHeight w:val="113"/>
              </w:trPr>
              <w:tc>
                <w:tcPr>
                  <w:tcW w:w="0" w:type="auto"/>
                  <w:tcBorders>
                    <w:top w:val="nil"/>
                    <w:left w:val="nil"/>
                    <w:bottom w:val="nil"/>
                    <w:right w:val="nil"/>
                  </w:tcBorders>
                  <w:noWrap/>
                  <w:vAlign w:val="center"/>
                  <w:hideMark/>
                </w:tcPr>
                <w:p w14:paraId="26C862F7" w14:textId="77777777" w:rsidR="00F55E6A" w:rsidRPr="00F15B1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F15B1D">
                    <w:rPr>
                      <w:rFonts w:eastAsia="Times New Roman" w:cs="Times New Roman"/>
                      <w:b/>
                      <w:bCs/>
                      <w:color w:val="000000"/>
                      <w:kern w:val="0"/>
                      <w:sz w:val="20"/>
                      <w:szCs w:val="20"/>
                      <w:u w:val="single"/>
                      <w:lang w:eastAsia="en-GB"/>
                      <w14:ligatures w14:val="none"/>
                    </w:rPr>
                    <w:t>sex</w:t>
                  </w:r>
                </w:p>
              </w:tc>
              <w:tc>
                <w:tcPr>
                  <w:tcW w:w="0" w:type="auto"/>
                  <w:tcBorders>
                    <w:top w:val="nil"/>
                    <w:left w:val="nil"/>
                    <w:bottom w:val="nil"/>
                    <w:right w:val="nil"/>
                  </w:tcBorders>
                  <w:noWrap/>
                  <w:vAlign w:val="center"/>
                  <w:hideMark/>
                </w:tcPr>
                <w:p w14:paraId="708969C8" w14:textId="77777777" w:rsidR="00F55E6A" w:rsidRPr="00F15B1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F15B1D">
                    <w:rPr>
                      <w:rFonts w:eastAsia="Times New Roman" w:cs="Times New Roman"/>
                      <w:b/>
                      <w:bCs/>
                      <w:color w:val="000000"/>
                      <w:kern w:val="0"/>
                      <w:sz w:val="20"/>
                      <w:szCs w:val="20"/>
                      <w:u w:val="single"/>
                      <w:lang w:eastAsia="en-GB"/>
                      <w14:ligatures w14:val="none"/>
                    </w:rPr>
                    <w:t>period</w:t>
                  </w:r>
                </w:p>
              </w:tc>
              <w:tc>
                <w:tcPr>
                  <w:tcW w:w="0" w:type="auto"/>
                  <w:tcBorders>
                    <w:top w:val="nil"/>
                    <w:left w:val="nil"/>
                    <w:bottom w:val="nil"/>
                    <w:right w:val="nil"/>
                  </w:tcBorders>
                  <w:noWrap/>
                  <w:vAlign w:val="center"/>
                  <w:hideMark/>
                </w:tcPr>
                <w:p w14:paraId="62AC0581" w14:textId="77777777" w:rsidR="00F55E6A" w:rsidRPr="00F15B1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F15B1D">
                    <w:rPr>
                      <w:rFonts w:eastAsia="Times New Roman" w:cs="Times New Roman"/>
                      <w:b/>
                      <w:bCs/>
                      <w:color w:val="000000"/>
                      <w:kern w:val="0"/>
                      <w:sz w:val="20"/>
                      <w:szCs w:val="20"/>
                      <w:u w:val="single"/>
                      <w:lang w:eastAsia="en-GB"/>
                      <w14:ligatures w14:val="none"/>
                    </w:rPr>
                    <w:t>APC%</w:t>
                  </w:r>
                </w:p>
              </w:tc>
              <w:tc>
                <w:tcPr>
                  <w:tcW w:w="0" w:type="auto"/>
                  <w:tcBorders>
                    <w:top w:val="nil"/>
                    <w:left w:val="nil"/>
                    <w:bottom w:val="nil"/>
                    <w:right w:val="nil"/>
                  </w:tcBorders>
                  <w:noWrap/>
                  <w:vAlign w:val="center"/>
                  <w:hideMark/>
                </w:tcPr>
                <w:p w14:paraId="7C5C1CC5" w14:textId="77777777" w:rsidR="00F55E6A" w:rsidRPr="00F15B1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F15B1D">
                    <w:rPr>
                      <w:rFonts w:eastAsia="Times New Roman" w:cs="Times New Roman"/>
                      <w:b/>
                      <w:bCs/>
                      <w:color w:val="000000"/>
                      <w:kern w:val="0"/>
                      <w:sz w:val="20"/>
                      <w:szCs w:val="20"/>
                      <w:u w:val="single"/>
                      <w:lang w:eastAsia="en-GB"/>
                      <w14:ligatures w14:val="none"/>
                    </w:rPr>
                    <w:t>95%CI</w:t>
                  </w:r>
                </w:p>
              </w:tc>
              <w:tc>
                <w:tcPr>
                  <w:tcW w:w="0" w:type="auto"/>
                  <w:tcBorders>
                    <w:top w:val="nil"/>
                    <w:left w:val="nil"/>
                    <w:bottom w:val="nil"/>
                    <w:right w:val="single" w:sz="4" w:space="0" w:color="auto"/>
                  </w:tcBorders>
                  <w:noWrap/>
                  <w:vAlign w:val="center"/>
                  <w:hideMark/>
                </w:tcPr>
                <w:p w14:paraId="74C8BBE2" w14:textId="77777777" w:rsidR="00F55E6A" w:rsidRPr="00F15B1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F15B1D">
                    <w:rPr>
                      <w:rFonts w:eastAsia="Times New Roman" w:cs="Times New Roman"/>
                      <w:b/>
                      <w:bCs/>
                      <w:color w:val="000000"/>
                      <w:kern w:val="0"/>
                      <w:sz w:val="20"/>
                      <w:szCs w:val="20"/>
                      <w:u w:val="single"/>
                      <w:lang w:eastAsia="en-GB"/>
                      <w14:ligatures w14:val="none"/>
                    </w:rPr>
                    <w:t>trend</w:t>
                  </w:r>
                </w:p>
              </w:tc>
              <w:tc>
                <w:tcPr>
                  <w:tcW w:w="0" w:type="auto"/>
                  <w:tcBorders>
                    <w:top w:val="nil"/>
                    <w:left w:val="nil"/>
                    <w:bottom w:val="nil"/>
                    <w:right w:val="nil"/>
                  </w:tcBorders>
                  <w:vAlign w:val="center"/>
                </w:tcPr>
                <w:p w14:paraId="53DCB2EE" w14:textId="77777777" w:rsidR="00F55E6A" w:rsidRPr="00F15B1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F15B1D">
                    <w:rPr>
                      <w:rFonts w:eastAsia="Times New Roman" w:cs="Times New Roman"/>
                      <w:b/>
                      <w:bCs/>
                      <w:color w:val="000000"/>
                      <w:kern w:val="0"/>
                      <w:sz w:val="20"/>
                      <w:szCs w:val="20"/>
                      <w:u w:val="single"/>
                      <w:lang w:eastAsia="en-GB"/>
                      <w14:ligatures w14:val="none"/>
                    </w:rPr>
                    <w:t>sex</w:t>
                  </w:r>
                </w:p>
              </w:tc>
              <w:tc>
                <w:tcPr>
                  <w:tcW w:w="0" w:type="auto"/>
                  <w:tcBorders>
                    <w:top w:val="nil"/>
                    <w:left w:val="nil"/>
                    <w:bottom w:val="nil"/>
                    <w:right w:val="nil"/>
                  </w:tcBorders>
                  <w:vAlign w:val="center"/>
                </w:tcPr>
                <w:p w14:paraId="54C9289B" w14:textId="77777777" w:rsidR="00F55E6A" w:rsidRPr="00F15B1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F15B1D">
                    <w:rPr>
                      <w:rFonts w:eastAsia="Times New Roman" w:cs="Times New Roman"/>
                      <w:b/>
                      <w:bCs/>
                      <w:color w:val="000000"/>
                      <w:kern w:val="0"/>
                      <w:sz w:val="20"/>
                      <w:szCs w:val="20"/>
                      <w:u w:val="single"/>
                      <w:lang w:eastAsia="en-GB"/>
                      <w14:ligatures w14:val="none"/>
                    </w:rPr>
                    <w:t>period</w:t>
                  </w:r>
                </w:p>
              </w:tc>
              <w:tc>
                <w:tcPr>
                  <w:tcW w:w="0" w:type="auto"/>
                  <w:tcBorders>
                    <w:top w:val="nil"/>
                    <w:left w:val="nil"/>
                    <w:bottom w:val="nil"/>
                    <w:right w:val="nil"/>
                  </w:tcBorders>
                  <w:vAlign w:val="center"/>
                </w:tcPr>
                <w:p w14:paraId="44279B79" w14:textId="77777777" w:rsidR="00F55E6A" w:rsidRPr="00F15B1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F15B1D">
                    <w:rPr>
                      <w:rFonts w:eastAsia="Times New Roman" w:cs="Times New Roman"/>
                      <w:b/>
                      <w:bCs/>
                      <w:color w:val="000000"/>
                      <w:kern w:val="0"/>
                      <w:sz w:val="20"/>
                      <w:szCs w:val="20"/>
                      <w:u w:val="single"/>
                      <w:lang w:eastAsia="en-GB"/>
                      <w14:ligatures w14:val="none"/>
                    </w:rPr>
                    <w:t>APC%</w:t>
                  </w:r>
                </w:p>
              </w:tc>
              <w:tc>
                <w:tcPr>
                  <w:tcW w:w="0" w:type="auto"/>
                  <w:tcBorders>
                    <w:top w:val="nil"/>
                    <w:left w:val="nil"/>
                    <w:bottom w:val="nil"/>
                    <w:right w:val="nil"/>
                  </w:tcBorders>
                  <w:vAlign w:val="center"/>
                </w:tcPr>
                <w:p w14:paraId="3E8450A4" w14:textId="77777777" w:rsidR="00F55E6A" w:rsidRPr="00F15B1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F15B1D">
                    <w:rPr>
                      <w:rFonts w:eastAsia="Times New Roman" w:cs="Times New Roman"/>
                      <w:b/>
                      <w:bCs/>
                      <w:color w:val="000000"/>
                      <w:kern w:val="0"/>
                      <w:sz w:val="20"/>
                      <w:szCs w:val="20"/>
                      <w:u w:val="single"/>
                      <w:lang w:eastAsia="en-GB"/>
                      <w14:ligatures w14:val="none"/>
                    </w:rPr>
                    <w:t>95%CI</w:t>
                  </w:r>
                </w:p>
              </w:tc>
              <w:tc>
                <w:tcPr>
                  <w:tcW w:w="0" w:type="auto"/>
                  <w:tcBorders>
                    <w:top w:val="nil"/>
                    <w:left w:val="nil"/>
                    <w:bottom w:val="nil"/>
                  </w:tcBorders>
                  <w:vAlign w:val="center"/>
                </w:tcPr>
                <w:p w14:paraId="75167BB1" w14:textId="77777777" w:rsidR="00F55E6A" w:rsidRPr="00F15B1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F15B1D">
                    <w:rPr>
                      <w:rFonts w:eastAsia="Times New Roman" w:cs="Times New Roman"/>
                      <w:b/>
                      <w:bCs/>
                      <w:color w:val="000000"/>
                      <w:kern w:val="0"/>
                      <w:sz w:val="20"/>
                      <w:szCs w:val="20"/>
                      <w:u w:val="single"/>
                      <w:lang w:eastAsia="en-GB"/>
                      <w14:ligatures w14:val="none"/>
                    </w:rPr>
                    <w:t>trend</w:t>
                  </w:r>
                </w:p>
              </w:tc>
            </w:tr>
            <w:tr w:rsidR="00F55E6A" w:rsidRPr="00F15B1D" w14:paraId="4B2EB006" w14:textId="77777777" w:rsidTr="0041177B">
              <w:trPr>
                <w:trHeight w:val="113"/>
              </w:trPr>
              <w:tc>
                <w:tcPr>
                  <w:tcW w:w="0" w:type="auto"/>
                  <w:tcBorders>
                    <w:top w:val="nil"/>
                    <w:left w:val="nil"/>
                    <w:bottom w:val="nil"/>
                    <w:right w:val="nil"/>
                  </w:tcBorders>
                  <w:noWrap/>
                  <w:vAlign w:val="center"/>
                  <w:hideMark/>
                </w:tcPr>
                <w:p w14:paraId="2096817A" w14:textId="77777777" w:rsidR="00F55E6A" w:rsidRPr="00F15B1D" w:rsidRDefault="00F55E6A" w:rsidP="0041177B">
                  <w:pPr>
                    <w:spacing w:after="0" w:line="240" w:lineRule="auto"/>
                    <w:jc w:val="center"/>
                    <w:rPr>
                      <w:rFonts w:eastAsia="Times New Roman" w:cs="Times New Roman"/>
                      <w:color w:val="000000"/>
                      <w:kern w:val="0"/>
                      <w:sz w:val="20"/>
                      <w:szCs w:val="20"/>
                      <w:lang w:eastAsia="en-GB"/>
                      <w14:ligatures w14:val="none"/>
                    </w:rPr>
                  </w:pPr>
                  <w:r w:rsidRPr="00F15B1D">
                    <w:rPr>
                      <w:rFonts w:eastAsia="Times New Roman" w:cs="Times New Roman"/>
                      <w:color w:val="000000"/>
                      <w:kern w:val="0"/>
                      <w:sz w:val="20"/>
                      <w:szCs w:val="20"/>
                      <w:lang w:eastAsia="en-GB"/>
                      <w14:ligatures w14:val="none"/>
                    </w:rPr>
                    <w:t>M</w:t>
                  </w:r>
                </w:p>
              </w:tc>
              <w:tc>
                <w:tcPr>
                  <w:tcW w:w="0" w:type="auto"/>
                  <w:tcBorders>
                    <w:top w:val="nil"/>
                    <w:left w:val="nil"/>
                    <w:bottom w:val="nil"/>
                    <w:right w:val="nil"/>
                  </w:tcBorders>
                  <w:noWrap/>
                  <w:vAlign w:val="center"/>
                  <w:hideMark/>
                </w:tcPr>
                <w:p w14:paraId="48F1F1F9" w14:textId="77777777" w:rsidR="00F55E6A" w:rsidRPr="00F15B1D" w:rsidRDefault="00F55E6A" w:rsidP="0041177B">
                  <w:pPr>
                    <w:spacing w:after="0" w:line="240" w:lineRule="auto"/>
                    <w:jc w:val="center"/>
                    <w:rPr>
                      <w:rFonts w:eastAsia="Times New Roman" w:cs="Times New Roman"/>
                      <w:color w:val="000000"/>
                      <w:kern w:val="0"/>
                      <w:sz w:val="20"/>
                      <w:szCs w:val="20"/>
                      <w:lang w:eastAsia="en-GB"/>
                      <w14:ligatures w14:val="none"/>
                    </w:rPr>
                  </w:pPr>
                  <w:r w:rsidRPr="00F15B1D">
                    <w:rPr>
                      <w:rFonts w:eastAsia="Times New Roman" w:cs="Times New Roman"/>
                      <w:color w:val="000000"/>
                      <w:kern w:val="0"/>
                      <w:sz w:val="20"/>
                      <w:szCs w:val="20"/>
                      <w:lang w:eastAsia="en-GB"/>
                      <w14:ligatures w14:val="none"/>
                    </w:rPr>
                    <w:t>1994-2022</w:t>
                  </w:r>
                </w:p>
              </w:tc>
              <w:tc>
                <w:tcPr>
                  <w:tcW w:w="0" w:type="auto"/>
                  <w:tcBorders>
                    <w:top w:val="nil"/>
                    <w:left w:val="nil"/>
                    <w:bottom w:val="nil"/>
                    <w:right w:val="nil"/>
                  </w:tcBorders>
                  <w:noWrap/>
                  <w:vAlign w:val="center"/>
                  <w:hideMark/>
                </w:tcPr>
                <w:p w14:paraId="04DCB055" w14:textId="77777777" w:rsidR="00F55E6A" w:rsidRPr="00F15B1D" w:rsidRDefault="00F55E6A" w:rsidP="0041177B">
                  <w:pPr>
                    <w:spacing w:after="0" w:line="240" w:lineRule="auto"/>
                    <w:jc w:val="center"/>
                    <w:rPr>
                      <w:rFonts w:eastAsia="Times New Roman" w:cs="Times New Roman"/>
                      <w:color w:val="000000"/>
                      <w:kern w:val="0"/>
                      <w:sz w:val="20"/>
                      <w:szCs w:val="20"/>
                      <w:lang w:eastAsia="en-GB"/>
                      <w14:ligatures w14:val="none"/>
                    </w:rPr>
                  </w:pPr>
                  <w:r w:rsidRPr="00F15B1D">
                    <w:rPr>
                      <w:color w:val="000000"/>
                      <w:sz w:val="20"/>
                      <w:szCs w:val="20"/>
                    </w:rPr>
                    <w:t>-0.3</w:t>
                  </w:r>
                </w:p>
              </w:tc>
              <w:tc>
                <w:tcPr>
                  <w:tcW w:w="0" w:type="auto"/>
                  <w:tcBorders>
                    <w:top w:val="nil"/>
                    <w:left w:val="nil"/>
                    <w:bottom w:val="nil"/>
                    <w:right w:val="nil"/>
                  </w:tcBorders>
                  <w:noWrap/>
                  <w:vAlign w:val="center"/>
                  <w:hideMark/>
                </w:tcPr>
                <w:p w14:paraId="21655C50" w14:textId="77777777" w:rsidR="00F55E6A" w:rsidRPr="00F15B1D" w:rsidRDefault="00F55E6A" w:rsidP="0041177B">
                  <w:pPr>
                    <w:spacing w:after="0" w:line="240" w:lineRule="auto"/>
                    <w:jc w:val="center"/>
                    <w:rPr>
                      <w:rFonts w:eastAsia="Times New Roman" w:cs="Times New Roman"/>
                      <w:color w:val="000000"/>
                      <w:kern w:val="0"/>
                      <w:sz w:val="20"/>
                      <w:szCs w:val="20"/>
                      <w:lang w:eastAsia="en-GB"/>
                      <w14:ligatures w14:val="none"/>
                    </w:rPr>
                  </w:pPr>
                  <w:r w:rsidRPr="00F15B1D">
                    <w:rPr>
                      <w:color w:val="000000"/>
                      <w:sz w:val="20"/>
                      <w:szCs w:val="20"/>
                    </w:rPr>
                    <w:t>-0.8,0.1</w:t>
                  </w:r>
                </w:p>
              </w:tc>
              <w:tc>
                <w:tcPr>
                  <w:tcW w:w="0" w:type="auto"/>
                  <w:tcBorders>
                    <w:top w:val="nil"/>
                    <w:left w:val="nil"/>
                    <w:bottom w:val="nil"/>
                    <w:right w:val="single" w:sz="4" w:space="0" w:color="auto"/>
                  </w:tcBorders>
                  <w:noWrap/>
                  <w:vAlign w:val="center"/>
                  <w:hideMark/>
                </w:tcPr>
                <w:p w14:paraId="48931BB7" w14:textId="77777777" w:rsidR="00F55E6A" w:rsidRPr="00F15B1D" w:rsidRDefault="00F55E6A" w:rsidP="0041177B">
                  <w:pPr>
                    <w:spacing w:after="0" w:line="240" w:lineRule="auto"/>
                    <w:jc w:val="center"/>
                    <w:rPr>
                      <w:rFonts w:eastAsia="Times New Roman" w:cs="Times New Roman"/>
                      <w:color w:val="000000"/>
                      <w:kern w:val="0"/>
                      <w:sz w:val="20"/>
                      <w:szCs w:val="20"/>
                      <w:lang w:eastAsia="en-GB"/>
                      <w14:ligatures w14:val="none"/>
                    </w:rPr>
                  </w:pPr>
                  <w:r w:rsidRPr="00F15B1D">
                    <w:rPr>
                      <w:color w:val="000000"/>
                      <w:sz w:val="20"/>
                      <w:szCs w:val="20"/>
                    </w:rPr>
                    <w:t>flat</w:t>
                  </w:r>
                </w:p>
              </w:tc>
              <w:tc>
                <w:tcPr>
                  <w:tcW w:w="0" w:type="auto"/>
                  <w:tcBorders>
                    <w:top w:val="nil"/>
                    <w:left w:val="single" w:sz="4" w:space="0" w:color="auto"/>
                    <w:bottom w:val="nil"/>
                    <w:right w:val="nil"/>
                  </w:tcBorders>
                  <w:vAlign w:val="center"/>
                </w:tcPr>
                <w:p w14:paraId="4E9B0D3A" w14:textId="77777777" w:rsidR="00F55E6A" w:rsidRPr="00F15B1D" w:rsidRDefault="00F55E6A" w:rsidP="0041177B">
                  <w:pPr>
                    <w:spacing w:after="0" w:line="240" w:lineRule="auto"/>
                    <w:jc w:val="center"/>
                    <w:rPr>
                      <w:color w:val="000000"/>
                      <w:sz w:val="20"/>
                      <w:szCs w:val="20"/>
                    </w:rPr>
                  </w:pPr>
                  <w:r w:rsidRPr="00F15B1D">
                    <w:rPr>
                      <w:rFonts w:eastAsia="Times New Roman" w:cs="Times New Roman"/>
                      <w:color w:val="000000"/>
                      <w:kern w:val="0"/>
                      <w:sz w:val="20"/>
                      <w:szCs w:val="20"/>
                      <w:lang w:eastAsia="en-GB"/>
                      <w14:ligatures w14:val="none"/>
                    </w:rPr>
                    <w:t>F</w:t>
                  </w:r>
                </w:p>
              </w:tc>
              <w:tc>
                <w:tcPr>
                  <w:tcW w:w="0" w:type="auto"/>
                  <w:tcBorders>
                    <w:top w:val="nil"/>
                    <w:left w:val="nil"/>
                    <w:bottom w:val="nil"/>
                    <w:right w:val="nil"/>
                  </w:tcBorders>
                  <w:vAlign w:val="center"/>
                </w:tcPr>
                <w:p w14:paraId="2D574A6E" w14:textId="77777777" w:rsidR="00F55E6A" w:rsidRPr="00F15B1D" w:rsidRDefault="00F55E6A" w:rsidP="0041177B">
                  <w:pPr>
                    <w:spacing w:after="0" w:line="240" w:lineRule="auto"/>
                    <w:jc w:val="center"/>
                    <w:rPr>
                      <w:color w:val="000000"/>
                      <w:sz w:val="20"/>
                      <w:szCs w:val="20"/>
                    </w:rPr>
                  </w:pPr>
                  <w:r w:rsidRPr="00F15B1D">
                    <w:rPr>
                      <w:rFonts w:eastAsia="Times New Roman" w:cs="Times New Roman"/>
                      <w:color w:val="000000"/>
                      <w:kern w:val="0"/>
                      <w:sz w:val="20"/>
                      <w:szCs w:val="20"/>
                      <w:lang w:eastAsia="en-GB"/>
                      <w14:ligatures w14:val="none"/>
                    </w:rPr>
                    <w:t>1994-2022</w:t>
                  </w:r>
                </w:p>
              </w:tc>
              <w:tc>
                <w:tcPr>
                  <w:tcW w:w="0" w:type="auto"/>
                  <w:tcBorders>
                    <w:top w:val="nil"/>
                    <w:left w:val="nil"/>
                    <w:bottom w:val="nil"/>
                    <w:right w:val="nil"/>
                  </w:tcBorders>
                  <w:vAlign w:val="center"/>
                </w:tcPr>
                <w:p w14:paraId="08CF2812" w14:textId="77777777" w:rsidR="00F55E6A" w:rsidRPr="00F15B1D" w:rsidRDefault="00F55E6A" w:rsidP="0041177B">
                  <w:pPr>
                    <w:spacing w:after="0" w:line="240" w:lineRule="auto"/>
                    <w:jc w:val="center"/>
                    <w:rPr>
                      <w:color w:val="000000"/>
                      <w:sz w:val="20"/>
                      <w:szCs w:val="20"/>
                    </w:rPr>
                  </w:pPr>
                  <w:r w:rsidRPr="00F15B1D">
                    <w:rPr>
                      <w:color w:val="000000"/>
                      <w:sz w:val="20"/>
                      <w:szCs w:val="20"/>
                    </w:rPr>
                    <w:t>-0.2</w:t>
                  </w:r>
                </w:p>
              </w:tc>
              <w:tc>
                <w:tcPr>
                  <w:tcW w:w="0" w:type="auto"/>
                  <w:tcBorders>
                    <w:top w:val="nil"/>
                    <w:left w:val="nil"/>
                    <w:bottom w:val="nil"/>
                    <w:right w:val="nil"/>
                  </w:tcBorders>
                  <w:vAlign w:val="center"/>
                </w:tcPr>
                <w:p w14:paraId="0E40E04E" w14:textId="77777777" w:rsidR="00F55E6A" w:rsidRPr="00F15B1D" w:rsidRDefault="00F55E6A" w:rsidP="0041177B">
                  <w:pPr>
                    <w:spacing w:after="0" w:line="240" w:lineRule="auto"/>
                    <w:jc w:val="center"/>
                    <w:rPr>
                      <w:color w:val="000000"/>
                      <w:sz w:val="20"/>
                      <w:szCs w:val="20"/>
                    </w:rPr>
                  </w:pPr>
                  <w:r w:rsidRPr="00F15B1D">
                    <w:rPr>
                      <w:color w:val="000000"/>
                      <w:sz w:val="20"/>
                      <w:szCs w:val="20"/>
                    </w:rPr>
                    <w:t>-1.1,0.7</w:t>
                  </w:r>
                </w:p>
              </w:tc>
              <w:tc>
                <w:tcPr>
                  <w:tcW w:w="0" w:type="auto"/>
                  <w:tcBorders>
                    <w:top w:val="nil"/>
                    <w:left w:val="nil"/>
                    <w:bottom w:val="nil"/>
                  </w:tcBorders>
                  <w:vAlign w:val="center"/>
                </w:tcPr>
                <w:p w14:paraId="69E9D8CA" w14:textId="77777777" w:rsidR="00F55E6A" w:rsidRPr="00F15B1D" w:rsidRDefault="00F55E6A" w:rsidP="0041177B">
                  <w:pPr>
                    <w:spacing w:after="0" w:line="240" w:lineRule="auto"/>
                    <w:jc w:val="center"/>
                    <w:rPr>
                      <w:color w:val="000000"/>
                      <w:sz w:val="20"/>
                      <w:szCs w:val="20"/>
                    </w:rPr>
                  </w:pPr>
                  <w:r w:rsidRPr="00F15B1D">
                    <w:rPr>
                      <w:color w:val="000000"/>
                      <w:sz w:val="20"/>
                      <w:szCs w:val="20"/>
                    </w:rPr>
                    <w:t>flat</w:t>
                  </w:r>
                </w:p>
              </w:tc>
            </w:tr>
          </w:tbl>
          <w:p w14:paraId="5923AC92" w14:textId="77777777" w:rsidR="00F55E6A" w:rsidRPr="00DA1426" w:rsidRDefault="00F55E6A" w:rsidP="0041177B">
            <w:pPr>
              <w:jc w:val="center"/>
              <w:rPr>
                <w:rFonts w:eastAsia="Times New Roman" w:cs="Times New Roman"/>
                <w:b/>
                <w:bCs/>
                <w:color w:val="000000"/>
                <w:sz w:val="14"/>
                <w:szCs w:val="14"/>
                <w:u w:val="single"/>
                <w:lang w:eastAsia="en-GB"/>
              </w:rPr>
            </w:pPr>
          </w:p>
        </w:tc>
      </w:tr>
      <w:tr w:rsidR="00F55E6A" w:rsidRPr="00DA1426" w14:paraId="0C8252CF" w14:textId="77777777" w:rsidTr="0041177B">
        <w:trPr>
          <w:trHeight w:val="113"/>
        </w:trPr>
        <w:tc>
          <w:tcPr>
            <w:tcW w:w="9868" w:type="dxa"/>
            <w:vAlign w:val="center"/>
          </w:tcPr>
          <w:p w14:paraId="47E16AD4" w14:textId="77777777" w:rsidR="00F55E6A" w:rsidRPr="00DA1426" w:rsidRDefault="00F55E6A" w:rsidP="0041177B">
            <w:pPr>
              <w:pBdr>
                <w:bottom w:val="single" w:sz="4" w:space="1" w:color="auto"/>
              </w:pBdr>
              <w:rPr>
                <w:rFonts w:asciiTheme="minorHAnsi" w:hAnsiTheme="minorHAnsi"/>
                <w:bCs/>
                <w:sz w:val="18"/>
                <w:szCs w:val="16"/>
              </w:rPr>
            </w:pPr>
            <w:r w:rsidRPr="00DA1426">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2DCC2A5F" w14:textId="77777777" w:rsidR="00F55E6A" w:rsidRPr="00DA1426" w:rsidRDefault="00F55E6A" w:rsidP="0041177B">
            <w:pPr>
              <w:rPr>
                <w:rFonts w:asciiTheme="minorHAnsi" w:hAnsiTheme="minorHAnsi"/>
                <w:b/>
                <w:bCs/>
                <w:noProof/>
                <w:sz w:val="14"/>
                <w:szCs w:val="14"/>
                <w:u w:val="single"/>
              </w:rPr>
            </w:pPr>
          </w:p>
        </w:tc>
      </w:tr>
    </w:tbl>
    <w:p w14:paraId="7FDE166D" w14:textId="77777777" w:rsidR="00F55E6A" w:rsidRPr="00946C08" w:rsidRDefault="00F55E6A" w:rsidP="00F55E6A">
      <w:pPr>
        <w:pStyle w:val="Heading3"/>
        <w:spacing w:before="0" w:after="0" w:line="240" w:lineRule="auto"/>
      </w:pPr>
      <w:bookmarkStart w:id="274" w:name="_Toc197557129"/>
      <w:bookmarkStart w:id="275" w:name="_Toc201512520"/>
      <w:r w:rsidRPr="00946C08">
        <w:t xml:space="preserve">Variation </w:t>
      </w:r>
      <w:r>
        <w:t xml:space="preserve">in incidence </w:t>
      </w:r>
      <w:r w:rsidRPr="00946C08">
        <w:t>by deprivation quintile</w:t>
      </w:r>
      <w:bookmarkEnd w:id="274"/>
      <w:bookmarkEnd w:id="275"/>
      <w:r w:rsidRPr="00946C08">
        <w:t xml:space="preserve"> </w:t>
      </w:r>
    </w:p>
    <w:p w14:paraId="060F44BE" w14:textId="10917310" w:rsidR="00F55E6A" w:rsidRPr="000518C3" w:rsidRDefault="00F55E6A" w:rsidP="00F55E6A">
      <w:pPr>
        <w:spacing w:after="0" w:line="240" w:lineRule="auto"/>
        <w:rPr>
          <w:color w:val="000000" w:themeColor="text1"/>
        </w:rPr>
      </w:pPr>
      <w:r w:rsidRPr="2C80090D">
        <w:rPr>
          <w:color w:val="000000" w:themeColor="text1"/>
        </w:rPr>
        <w:t xml:space="preserve">Age-standardised incidence rates of </w:t>
      </w:r>
      <w:r>
        <w:t xml:space="preserve">laryngeal cancer </w:t>
      </w:r>
      <w:r w:rsidRPr="2C80090D">
        <w:rPr>
          <w:color w:val="000000" w:themeColor="text1"/>
        </w:rPr>
        <w:t xml:space="preserve">in 2014-2018 ranged from 3.3 to 7.1 cases per 100,000 population in the least deprived quintile to the most deprived quintiles respectively (Figure </w:t>
      </w:r>
      <w:r w:rsidR="00305CC4">
        <w:rPr>
          <w:color w:val="000000" w:themeColor="text1"/>
        </w:rPr>
        <w:t>14.3</w:t>
      </w:r>
      <w:r w:rsidRPr="2C80090D">
        <w:rPr>
          <w:color w:val="000000" w:themeColor="text1"/>
        </w:rPr>
        <w:t xml:space="preserve">). </w:t>
      </w:r>
      <w:r w:rsidR="004459B1">
        <w:rPr>
          <w:color w:val="000000" w:themeColor="text1"/>
        </w:rPr>
        <w:t>A d</w:t>
      </w:r>
      <w:r w:rsidRPr="2C80090D">
        <w:rPr>
          <w:color w:val="000000" w:themeColor="text1"/>
        </w:rPr>
        <w:t>ifference in rates of laryngeal cancer among males between the most and least deprived quintiles w</w:t>
      </w:r>
      <w:r w:rsidR="004459B1">
        <w:rPr>
          <w:color w:val="000000" w:themeColor="text1"/>
        </w:rPr>
        <w:t>as</w:t>
      </w:r>
      <w:r w:rsidRPr="2C80090D">
        <w:rPr>
          <w:color w:val="000000" w:themeColor="text1"/>
        </w:rPr>
        <w:t xml:space="preserve"> observed (6.6 for least deprived and 12.4 for most deprived). </w:t>
      </w:r>
      <w:r w:rsidR="004459B1">
        <w:rPr>
          <w:color w:val="000000" w:themeColor="text1"/>
        </w:rPr>
        <w:t>I</w:t>
      </w:r>
      <w:r w:rsidRPr="2C80090D">
        <w:rPr>
          <w:color w:val="000000" w:themeColor="text1"/>
        </w:rPr>
        <w:t xml:space="preserve">ncidence was lower overall in females compared to males, </w:t>
      </w:r>
      <w:r w:rsidR="004459B1">
        <w:rPr>
          <w:color w:val="000000" w:themeColor="text1"/>
        </w:rPr>
        <w:t xml:space="preserve">but </w:t>
      </w:r>
      <w:r w:rsidRPr="2C80090D">
        <w:rPr>
          <w:color w:val="000000" w:themeColor="text1"/>
        </w:rPr>
        <w:t xml:space="preserve">a difference in rates between the most and least deprived quintiles was </w:t>
      </w:r>
      <w:r w:rsidR="004459B1">
        <w:rPr>
          <w:color w:val="000000" w:themeColor="text1"/>
        </w:rPr>
        <w:t>still</w:t>
      </w:r>
      <w:r w:rsidRPr="2C80090D">
        <w:rPr>
          <w:color w:val="000000" w:themeColor="text1"/>
        </w:rPr>
        <w:t xml:space="preserve"> evident (0.5 for least deprived and 2.4 for most deprived).</w:t>
      </w:r>
    </w:p>
    <w:p w14:paraId="12CCEB4B" w14:textId="77777777" w:rsidR="00F55E6A" w:rsidRDefault="00F55E6A" w:rsidP="00F55E6A">
      <w:pPr>
        <w:spacing w:after="0" w:line="240" w:lineRule="auto"/>
        <w:rPr>
          <w:rFonts w:cstheme="minorHAnsi"/>
          <w:color w:val="000000" w:themeColor="text1"/>
        </w:rPr>
      </w:pPr>
    </w:p>
    <w:tbl>
      <w:tblPr>
        <w:tblStyle w:val="TableGrid"/>
        <w:tblW w:w="976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256"/>
        <w:gridCol w:w="3256"/>
      </w:tblGrid>
      <w:tr w:rsidR="00F55E6A" w:rsidRPr="009038A2" w14:paraId="618AE1A1" w14:textId="77777777" w:rsidTr="0041177B">
        <w:trPr>
          <w:trHeight w:val="113"/>
        </w:trPr>
        <w:tc>
          <w:tcPr>
            <w:tcW w:w="9768" w:type="dxa"/>
            <w:gridSpan w:val="3"/>
            <w:shd w:val="clear" w:color="auto" w:fill="002060"/>
          </w:tcPr>
          <w:p w14:paraId="5A6B4D8C" w14:textId="0CC6C03C" w:rsidR="00F55E6A" w:rsidRPr="00305CC4" w:rsidRDefault="00F55E6A" w:rsidP="0041177B">
            <w:pPr>
              <w:rPr>
                <w:rFonts w:asciiTheme="minorHAnsi" w:hAnsiTheme="minorHAnsi" w:cstheme="minorHAnsi"/>
                <w:b/>
                <w:bCs/>
                <w:color w:val="FFFFFF" w:themeColor="background1"/>
              </w:rPr>
            </w:pPr>
            <w:r w:rsidRPr="00305CC4">
              <w:rPr>
                <w:rFonts w:asciiTheme="minorHAnsi" w:hAnsiTheme="minorHAnsi" w:cstheme="minorHAnsi"/>
                <w:b/>
                <w:bCs/>
                <w:color w:val="FFFFFF" w:themeColor="background1"/>
              </w:rPr>
              <w:t xml:space="preserve">Figure </w:t>
            </w:r>
            <w:r w:rsidR="00305CC4">
              <w:rPr>
                <w:rFonts w:asciiTheme="minorHAnsi" w:hAnsiTheme="minorHAnsi" w:cstheme="minorHAnsi"/>
                <w:b/>
                <w:bCs/>
                <w:color w:val="FFFFFF" w:themeColor="background1"/>
              </w:rPr>
              <w:t>14.3:</w:t>
            </w:r>
            <w:r w:rsidRPr="00305CC4">
              <w:rPr>
                <w:rFonts w:asciiTheme="minorHAnsi" w:hAnsiTheme="minorHAnsi" w:cstheme="minorHAnsi"/>
                <w:b/>
                <w:bCs/>
                <w:color w:val="FFFFFF" w:themeColor="background1"/>
              </w:rPr>
              <w:t xml:space="preserve"> Incidence rate (per 100,000) for laryngeal cancer by deprivation quintile, 2014-2018</w:t>
            </w:r>
          </w:p>
        </w:tc>
      </w:tr>
      <w:tr w:rsidR="00F55E6A" w:rsidRPr="009038A2" w14:paraId="56690B23" w14:textId="77777777" w:rsidTr="0041177B">
        <w:trPr>
          <w:trHeight w:val="113"/>
        </w:trPr>
        <w:tc>
          <w:tcPr>
            <w:tcW w:w="3256" w:type="dxa"/>
            <w:shd w:val="clear" w:color="auto" w:fill="auto"/>
          </w:tcPr>
          <w:p w14:paraId="27FEBB4D" w14:textId="77777777" w:rsidR="00F55E6A" w:rsidRPr="009038A2" w:rsidRDefault="00F55E6A" w:rsidP="0041177B">
            <w:pPr>
              <w:jc w:val="center"/>
              <w:rPr>
                <w:rFonts w:asciiTheme="minorHAnsi" w:hAnsiTheme="minorHAnsi" w:cstheme="minorHAnsi"/>
                <w:color w:val="000000" w:themeColor="text1"/>
              </w:rPr>
            </w:pPr>
            <w:r w:rsidRPr="009038A2">
              <w:rPr>
                <w:rFonts w:asciiTheme="minorHAnsi" w:hAnsiTheme="minorHAnsi" w:cstheme="minorHAnsi"/>
                <w:color w:val="000000" w:themeColor="text1"/>
              </w:rPr>
              <w:t>Total</w:t>
            </w:r>
          </w:p>
        </w:tc>
        <w:tc>
          <w:tcPr>
            <w:tcW w:w="3256" w:type="dxa"/>
            <w:shd w:val="clear" w:color="auto" w:fill="auto"/>
          </w:tcPr>
          <w:p w14:paraId="72643C55" w14:textId="77777777" w:rsidR="00F55E6A" w:rsidRPr="009038A2" w:rsidRDefault="00F55E6A" w:rsidP="0041177B">
            <w:pPr>
              <w:jc w:val="center"/>
              <w:rPr>
                <w:rFonts w:asciiTheme="minorHAnsi" w:hAnsiTheme="minorHAnsi" w:cstheme="minorHAnsi"/>
                <w:color w:val="000000" w:themeColor="text1"/>
              </w:rPr>
            </w:pPr>
            <w:r w:rsidRPr="009038A2">
              <w:rPr>
                <w:rFonts w:asciiTheme="minorHAnsi" w:hAnsiTheme="minorHAnsi" w:cstheme="minorHAnsi"/>
                <w:color w:val="000000" w:themeColor="text1"/>
              </w:rPr>
              <w:t>Males</w:t>
            </w:r>
          </w:p>
        </w:tc>
        <w:tc>
          <w:tcPr>
            <w:tcW w:w="3256" w:type="dxa"/>
          </w:tcPr>
          <w:p w14:paraId="0A6B6E09" w14:textId="77777777" w:rsidR="00F55E6A" w:rsidRPr="009038A2" w:rsidRDefault="00F55E6A" w:rsidP="0041177B">
            <w:pPr>
              <w:jc w:val="center"/>
              <w:rPr>
                <w:rFonts w:asciiTheme="minorHAnsi" w:hAnsiTheme="minorHAnsi" w:cstheme="minorHAnsi"/>
                <w:color w:val="000000" w:themeColor="text1"/>
              </w:rPr>
            </w:pPr>
            <w:r w:rsidRPr="009038A2">
              <w:rPr>
                <w:rFonts w:asciiTheme="minorHAnsi" w:hAnsiTheme="minorHAnsi" w:cstheme="minorHAnsi"/>
                <w:color w:val="000000" w:themeColor="text1"/>
              </w:rPr>
              <w:t>Females</w:t>
            </w:r>
          </w:p>
        </w:tc>
      </w:tr>
      <w:tr w:rsidR="00F55E6A" w:rsidRPr="009038A2" w14:paraId="71E89EF5" w14:textId="77777777" w:rsidTr="0041177B">
        <w:trPr>
          <w:trHeight w:val="113"/>
        </w:trPr>
        <w:tc>
          <w:tcPr>
            <w:tcW w:w="3256" w:type="dxa"/>
            <w:shd w:val="clear" w:color="auto" w:fill="auto"/>
          </w:tcPr>
          <w:p w14:paraId="16DD1C94" w14:textId="77777777" w:rsidR="00F55E6A" w:rsidRPr="009038A2" w:rsidRDefault="00F55E6A" w:rsidP="0041177B">
            <w:pPr>
              <w:rPr>
                <w:rFonts w:asciiTheme="minorHAnsi" w:hAnsiTheme="minorHAnsi" w:cstheme="minorHAnsi"/>
                <w:color w:val="000000" w:themeColor="text1"/>
              </w:rPr>
            </w:pPr>
            <w:r w:rsidRPr="009038A2">
              <w:rPr>
                <w:rFonts w:cstheme="minorHAnsi"/>
                <w:noProof/>
                <w:color w:val="000000" w:themeColor="text1"/>
              </w:rPr>
              <w:drawing>
                <wp:inline distT="0" distB="0" distL="0" distR="0" wp14:anchorId="0582A6F8" wp14:editId="0CE36E56">
                  <wp:extent cx="1908000" cy="1483960"/>
                  <wp:effectExtent l="0" t="0" r="0" b="2540"/>
                  <wp:docPr id="1535726529" name="Picture 10"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726529" name="Picture 10" descr="A graph with numbers and a bar&#10;&#10;AI-generated content may be incorrect."/>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908000" cy="1483960"/>
                          </a:xfrm>
                          <a:prstGeom prst="rect">
                            <a:avLst/>
                          </a:prstGeom>
                          <a:noFill/>
                        </pic:spPr>
                      </pic:pic>
                    </a:graphicData>
                  </a:graphic>
                </wp:inline>
              </w:drawing>
            </w:r>
          </w:p>
        </w:tc>
        <w:tc>
          <w:tcPr>
            <w:tcW w:w="3256" w:type="dxa"/>
            <w:shd w:val="clear" w:color="auto" w:fill="auto"/>
          </w:tcPr>
          <w:p w14:paraId="3B9E0B98" w14:textId="77777777" w:rsidR="00F55E6A" w:rsidRPr="009038A2" w:rsidRDefault="00F55E6A" w:rsidP="0041177B">
            <w:pPr>
              <w:rPr>
                <w:rFonts w:asciiTheme="minorHAnsi" w:hAnsiTheme="minorHAnsi" w:cstheme="minorHAnsi"/>
                <w:color w:val="000000" w:themeColor="text1"/>
                <w:lang w:val="en-GB"/>
              </w:rPr>
            </w:pPr>
            <w:r w:rsidRPr="009038A2">
              <w:rPr>
                <w:rFonts w:eastAsia="Times New Roman" w:cs="Times New Roman"/>
                <w:noProof/>
                <w:lang w:eastAsia="en-GB"/>
              </w:rPr>
              <w:drawing>
                <wp:inline distT="0" distB="0" distL="0" distR="0" wp14:anchorId="07CB33B6" wp14:editId="0C0C8574">
                  <wp:extent cx="1908000" cy="1483959"/>
                  <wp:effectExtent l="0" t="0" r="0" b="2540"/>
                  <wp:docPr id="852132815" name="Picture 7" descr="A graph with blue rectangular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32815" name="Picture 7" descr="A graph with blue rectangular bars&#10;&#10;AI-generated content may be incorrect."/>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908000" cy="1483959"/>
                          </a:xfrm>
                          <a:prstGeom prst="rect">
                            <a:avLst/>
                          </a:prstGeom>
                          <a:noFill/>
                        </pic:spPr>
                      </pic:pic>
                    </a:graphicData>
                  </a:graphic>
                </wp:inline>
              </w:drawing>
            </w:r>
          </w:p>
        </w:tc>
        <w:tc>
          <w:tcPr>
            <w:tcW w:w="3256" w:type="dxa"/>
          </w:tcPr>
          <w:p w14:paraId="392F980B" w14:textId="77777777" w:rsidR="00F55E6A" w:rsidRPr="009038A2" w:rsidRDefault="00F55E6A" w:rsidP="0041177B">
            <w:pPr>
              <w:jc w:val="center"/>
              <w:rPr>
                <w:rFonts w:asciiTheme="minorHAnsi" w:hAnsiTheme="minorHAnsi" w:cstheme="minorHAnsi"/>
                <w:color w:val="000000" w:themeColor="text1"/>
              </w:rPr>
            </w:pPr>
            <w:r w:rsidRPr="009038A2">
              <w:rPr>
                <w:rFonts w:eastAsia="Times New Roman" w:cs="Times New Roman"/>
                <w:noProof/>
                <w:lang w:eastAsia="en-GB"/>
              </w:rPr>
              <w:drawing>
                <wp:inline distT="0" distB="0" distL="0" distR="0" wp14:anchorId="1832E2E0" wp14:editId="57686D0F">
                  <wp:extent cx="1908000" cy="1483959"/>
                  <wp:effectExtent l="0" t="0" r="0" b="2540"/>
                  <wp:docPr id="378070424" name="Picture 9"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70424" name="Picture 9" descr="A graph with numbers and lines&#10;&#10;AI-generated content may be incorrect."/>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908000" cy="1483959"/>
                          </a:xfrm>
                          <a:prstGeom prst="rect">
                            <a:avLst/>
                          </a:prstGeom>
                          <a:noFill/>
                        </pic:spPr>
                      </pic:pic>
                    </a:graphicData>
                  </a:graphic>
                </wp:inline>
              </w:drawing>
            </w:r>
          </w:p>
        </w:tc>
      </w:tr>
    </w:tbl>
    <w:p w14:paraId="0773FA25" w14:textId="77777777" w:rsidR="001A3B02" w:rsidRDefault="001A3B02" w:rsidP="001A3B02">
      <w:bookmarkStart w:id="276" w:name="_Toc197557130"/>
    </w:p>
    <w:p w14:paraId="689E8E58" w14:textId="77777777" w:rsidR="00F55E6A" w:rsidRDefault="00F55E6A" w:rsidP="00F55E6A">
      <w:pPr>
        <w:pStyle w:val="Heading2"/>
        <w:spacing w:before="0" w:after="0" w:line="240" w:lineRule="auto"/>
      </w:pPr>
      <w:bookmarkStart w:id="277" w:name="_Toc201512521"/>
      <w:r>
        <w:t>Mortality</w:t>
      </w:r>
      <w:bookmarkEnd w:id="276"/>
      <w:bookmarkEnd w:id="277"/>
    </w:p>
    <w:p w14:paraId="25C7BF34" w14:textId="4C4D90BB" w:rsidR="00F55E6A" w:rsidRDefault="00F55E6A" w:rsidP="00F55E6A">
      <w:pPr>
        <w:spacing w:after="0" w:line="240" w:lineRule="auto"/>
      </w:pPr>
      <w:r>
        <w:t xml:space="preserve">Age-standardised mortality rates of laryngeal cancer </w:t>
      </w:r>
      <w:r w:rsidR="00AB7A9C">
        <w:t>during the period</w:t>
      </w:r>
      <w:r>
        <w:t xml:space="preserve">1994-2022 were 4.2 deaths per 100,000 males and 0.7 deaths per 100,000 females per year. Figure </w:t>
      </w:r>
      <w:r w:rsidR="00305CC4">
        <w:t>14.4</w:t>
      </w:r>
      <w:r>
        <w:t xml:space="preserve"> provides data on mortality by sex and age group. Mortality rates were higher among males than females across all age groups, and higher among older age groups in both sexes.</w:t>
      </w:r>
    </w:p>
    <w:p w14:paraId="7AFF03AE" w14:textId="77777777" w:rsidR="00F55E6A" w:rsidRDefault="00F55E6A" w:rsidP="00F55E6A">
      <w:pPr>
        <w:spacing w:after="0" w:line="240" w:lineRule="auto"/>
      </w:pPr>
    </w:p>
    <w:tbl>
      <w:tblPr>
        <w:tblStyle w:val="TableGrid"/>
        <w:tblW w:w="976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9"/>
        <w:gridCol w:w="3220"/>
        <w:gridCol w:w="3279"/>
      </w:tblGrid>
      <w:tr w:rsidR="00F55E6A" w:rsidRPr="00D771A7" w14:paraId="5971579A" w14:textId="77777777" w:rsidTr="0041177B">
        <w:trPr>
          <w:trHeight w:val="113"/>
        </w:trPr>
        <w:tc>
          <w:tcPr>
            <w:tcW w:w="9768" w:type="dxa"/>
            <w:gridSpan w:val="3"/>
            <w:shd w:val="clear" w:color="auto" w:fill="002060"/>
          </w:tcPr>
          <w:p w14:paraId="243D2997" w14:textId="14994AB8" w:rsidR="00F55E6A" w:rsidRPr="00305CC4" w:rsidRDefault="00F55E6A" w:rsidP="0041177B">
            <w:pPr>
              <w:rPr>
                <w:rFonts w:asciiTheme="minorHAnsi" w:hAnsiTheme="minorHAnsi" w:cstheme="minorHAnsi"/>
                <w:b/>
                <w:bCs/>
                <w:color w:val="FFFFFF" w:themeColor="background1"/>
              </w:rPr>
            </w:pPr>
            <w:r w:rsidRPr="00305CC4">
              <w:rPr>
                <w:rFonts w:asciiTheme="minorHAnsi" w:hAnsiTheme="minorHAnsi" w:cstheme="minorHAnsi"/>
                <w:b/>
                <w:bCs/>
                <w:color w:val="FFFFFF" w:themeColor="background1"/>
              </w:rPr>
              <w:t xml:space="preserve">Figure </w:t>
            </w:r>
            <w:r w:rsidR="00305CC4" w:rsidRPr="00305CC4">
              <w:rPr>
                <w:rFonts w:asciiTheme="minorHAnsi" w:hAnsiTheme="minorHAnsi" w:cstheme="minorHAnsi"/>
                <w:b/>
                <w:bCs/>
                <w:color w:val="FFFFFF" w:themeColor="background1"/>
              </w:rPr>
              <w:t>14.4:</w:t>
            </w:r>
            <w:r w:rsidRPr="00305CC4">
              <w:rPr>
                <w:rFonts w:asciiTheme="minorHAnsi" w:hAnsiTheme="minorHAnsi" w:cstheme="minorHAnsi"/>
                <w:b/>
                <w:bCs/>
                <w:color w:val="FFFFFF" w:themeColor="background1"/>
              </w:rPr>
              <w:t xml:space="preserve">  Mortality rate (per 100,000) for laryngeal cancer by </w:t>
            </w:r>
            <w:r w:rsidR="00366242">
              <w:rPr>
                <w:rFonts w:asciiTheme="minorHAnsi" w:hAnsiTheme="minorHAnsi" w:cstheme="minorHAnsi"/>
                <w:b/>
                <w:bCs/>
                <w:color w:val="FFFFFF" w:themeColor="background1"/>
              </w:rPr>
              <w:t>age group</w:t>
            </w:r>
            <w:r w:rsidRPr="00305CC4">
              <w:rPr>
                <w:rFonts w:asciiTheme="minorHAnsi" w:hAnsiTheme="minorHAnsi" w:cstheme="minorHAnsi"/>
                <w:b/>
                <w:bCs/>
                <w:color w:val="FFFFFF" w:themeColor="background1"/>
              </w:rPr>
              <w:t>, 1994-2022</w:t>
            </w:r>
          </w:p>
        </w:tc>
      </w:tr>
      <w:tr w:rsidR="00F55E6A" w:rsidRPr="00D771A7" w14:paraId="76CC1109" w14:textId="77777777" w:rsidTr="0041177B">
        <w:trPr>
          <w:trHeight w:val="113"/>
        </w:trPr>
        <w:tc>
          <w:tcPr>
            <w:tcW w:w="3232" w:type="dxa"/>
            <w:shd w:val="clear" w:color="auto" w:fill="auto"/>
          </w:tcPr>
          <w:p w14:paraId="6C3A8F4D" w14:textId="77777777" w:rsidR="00F55E6A" w:rsidRPr="00D771A7" w:rsidRDefault="00F55E6A" w:rsidP="0041177B">
            <w:pPr>
              <w:jc w:val="center"/>
              <w:rPr>
                <w:rFonts w:asciiTheme="minorHAnsi" w:hAnsiTheme="minorHAnsi" w:cstheme="minorHAnsi"/>
                <w:color w:val="000000" w:themeColor="text1"/>
              </w:rPr>
            </w:pPr>
            <w:r w:rsidRPr="00D771A7">
              <w:rPr>
                <w:rFonts w:asciiTheme="minorHAnsi" w:hAnsiTheme="minorHAnsi" w:cstheme="minorHAnsi"/>
                <w:color w:val="000000" w:themeColor="text1"/>
              </w:rPr>
              <w:t>Total</w:t>
            </w:r>
          </w:p>
        </w:tc>
        <w:tc>
          <w:tcPr>
            <w:tcW w:w="3203" w:type="dxa"/>
            <w:shd w:val="clear" w:color="auto" w:fill="auto"/>
          </w:tcPr>
          <w:p w14:paraId="1D986D71" w14:textId="77777777" w:rsidR="00F55E6A" w:rsidRPr="00D771A7" w:rsidRDefault="00F55E6A" w:rsidP="0041177B">
            <w:pPr>
              <w:jc w:val="center"/>
              <w:rPr>
                <w:rFonts w:asciiTheme="minorHAnsi" w:hAnsiTheme="minorHAnsi" w:cstheme="minorHAnsi"/>
                <w:color w:val="000000" w:themeColor="text1"/>
              </w:rPr>
            </w:pPr>
            <w:r w:rsidRPr="00D771A7">
              <w:rPr>
                <w:rFonts w:asciiTheme="minorHAnsi" w:hAnsiTheme="minorHAnsi" w:cstheme="minorHAnsi"/>
                <w:color w:val="000000" w:themeColor="text1"/>
              </w:rPr>
              <w:t>Males</w:t>
            </w:r>
          </w:p>
        </w:tc>
        <w:tc>
          <w:tcPr>
            <w:tcW w:w="3333" w:type="dxa"/>
          </w:tcPr>
          <w:p w14:paraId="7BAB5440" w14:textId="77777777" w:rsidR="00F55E6A" w:rsidRPr="00D771A7" w:rsidRDefault="00F55E6A" w:rsidP="0041177B">
            <w:pPr>
              <w:jc w:val="center"/>
              <w:rPr>
                <w:rFonts w:asciiTheme="minorHAnsi" w:hAnsiTheme="minorHAnsi" w:cstheme="minorHAnsi"/>
                <w:color w:val="000000" w:themeColor="text1"/>
              </w:rPr>
            </w:pPr>
            <w:r w:rsidRPr="00D771A7">
              <w:rPr>
                <w:rFonts w:asciiTheme="minorHAnsi" w:hAnsiTheme="minorHAnsi" w:cstheme="minorHAnsi"/>
                <w:color w:val="000000" w:themeColor="text1"/>
              </w:rPr>
              <w:t>Females</w:t>
            </w:r>
          </w:p>
        </w:tc>
      </w:tr>
      <w:tr w:rsidR="00F55E6A" w:rsidRPr="00D771A7" w14:paraId="1973DE01" w14:textId="77777777" w:rsidTr="0041177B">
        <w:trPr>
          <w:trHeight w:val="113"/>
        </w:trPr>
        <w:tc>
          <w:tcPr>
            <w:tcW w:w="3232" w:type="dxa"/>
            <w:shd w:val="clear" w:color="auto" w:fill="auto"/>
          </w:tcPr>
          <w:p w14:paraId="0DB674CB" w14:textId="77777777" w:rsidR="00F55E6A" w:rsidRPr="00D771A7" w:rsidRDefault="00F55E6A" w:rsidP="0041177B">
            <w:pPr>
              <w:rPr>
                <w:rFonts w:asciiTheme="minorHAnsi" w:eastAsia="Times New Roman" w:hAnsiTheme="minorHAnsi" w:cs="Times New Roman"/>
                <w:lang w:eastAsia="en-GB"/>
              </w:rPr>
            </w:pPr>
            <w:r w:rsidRPr="00D771A7">
              <w:rPr>
                <w:rFonts w:eastAsia="Times New Roman" w:cs="Times New Roman"/>
                <w:noProof/>
                <w:lang w:eastAsia="en-GB"/>
              </w:rPr>
              <w:drawing>
                <wp:inline distT="0" distB="0" distL="0" distR="0" wp14:anchorId="06CF1F39" wp14:editId="391C9576">
                  <wp:extent cx="1959609" cy="1720317"/>
                  <wp:effectExtent l="0" t="0" r="3175" b="0"/>
                  <wp:docPr id="25"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3"/>
                          <pic:cNvPicPr>
                            <a:picLocks noChangeAspect="1" noChangeArrowheads="1"/>
                          </pic:cNvPicPr>
                        </pic:nvPicPr>
                        <pic:blipFill>
                          <a:blip r:embed="rId211">
                            <a:extLst>
                              <a:ext uri="{96DAC541-7B7A-43D3-8B79-37D633B846F1}">
                                <asvg:svgBlip xmlns:asvg="http://schemas.microsoft.com/office/drawing/2016/SVG/main" r:embed="rId212"/>
                              </a:ext>
                            </a:extLst>
                          </a:blip>
                          <a:stretch>
                            <a:fillRect/>
                          </a:stretch>
                        </pic:blipFill>
                        <pic:spPr bwMode="auto">
                          <a:xfrm>
                            <a:off x="0" y="0"/>
                            <a:ext cx="1959609" cy="1720317"/>
                          </a:xfrm>
                          <a:prstGeom prst="rect">
                            <a:avLst/>
                          </a:prstGeom>
                        </pic:spPr>
                      </pic:pic>
                    </a:graphicData>
                  </a:graphic>
                </wp:inline>
              </w:drawing>
            </w:r>
          </w:p>
        </w:tc>
        <w:tc>
          <w:tcPr>
            <w:tcW w:w="3203" w:type="dxa"/>
            <w:shd w:val="clear" w:color="auto" w:fill="auto"/>
          </w:tcPr>
          <w:p w14:paraId="2BAB403A" w14:textId="77777777" w:rsidR="00F55E6A" w:rsidRPr="00D771A7" w:rsidRDefault="00F55E6A" w:rsidP="0041177B">
            <w:pPr>
              <w:rPr>
                <w:rFonts w:asciiTheme="minorHAnsi" w:hAnsiTheme="minorHAnsi" w:cstheme="minorHAnsi"/>
                <w:color w:val="000000" w:themeColor="text1"/>
                <w:lang w:val="en-GB"/>
              </w:rPr>
            </w:pPr>
            <w:r w:rsidRPr="00D771A7">
              <w:rPr>
                <w:rFonts w:eastAsia="Times New Roman" w:cs="Times New Roman"/>
                <w:noProof/>
                <w:lang w:eastAsia="en-GB"/>
              </w:rPr>
              <w:drawing>
                <wp:inline distT="0" distB="0" distL="0" distR="0" wp14:anchorId="7B11CA4C" wp14:editId="3C195787">
                  <wp:extent cx="1915886" cy="1714500"/>
                  <wp:effectExtent l="0" t="0" r="8255" b="0"/>
                  <wp:docPr id="30" name="Picture 27" descr="A graph with numbers and a ba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27" descr="A graph with numbers and a bar&#10;&#10;AI-generated content may be incorrect."/>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926955" cy="1724405"/>
                          </a:xfrm>
                          <a:prstGeom prst="rect">
                            <a:avLst/>
                          </a:prstGeom>
                          <a:noFill/>
                          <a:ln>
                            <a:noFill/>
                          </a:ln>
                        </pic:spPr>
                      </pic:pic>
                    </a:graphicData>
                  </a:graphic>
                </wp:inline>
              </w:drawing>
            </w:r>
          </w:p>
        </w:tc>
        <w:tc>
          <w:tcPr>
            <w:tcW w:w="3333" w:type="dxa"/>
          </w:tcPr>
          <w:p w14:paraId="63CBB88D" w14:textId="77777777" w:rsidR="00F55E6A" w:rsidRPr="00D771A7" w:rsidRDefault="00F55E6A" w:rsidP="0041177B">
            <w:pPr>
              <w:rPr>
                <w:rFonts w:asciiTheme="minorHAnsi" w:hAnsiTheme="minorHAnsi" w:cstheme="minorHAnsi"/>
                <w:color w:val="000000" w:themeColor="text1"/>
              </w:rPr>
            </w:pPr>
            <w:r w:rsidRPr="00D771A7">
              <w:rPr>
                <w:rFonts w:eastAsia="Times New Roman" w:cs="Times New Roman"/>
                <w:noProof/>
                <w:lang w:eastAsia="en-GB"/>
              </w:rPr>
              <w:drawing>
                <wp:inline distT="0" distB="0" distL="0" distR="0" wp14:anchorId="09525FA5" wp14:editId="1ACAB21A">
                  <wp:extent cx="1957534" cy="1718496"/>
                  <wp:effectExtent l="0" t="0" r="5080" b="0"/>
                  <wp:docPr id="27"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5"/>
                          <pic:cNvPicPr>
                            <a:picLocks noChangeAspect="1" noChangeArrowheads="1"/>
                          </pic:cNvPicPr>
                        </pic:nvPicPr>
                        <pic:blipFill>
                          <a:blip r:embed="rId214">
                            <a:extLst>
                              <a:ext uri="{96DAC541-7B7A-43D3-8B79-37D633B846F1}">
                                <asvg:svgBlip xmlns:asvg="http://schemas.microsoft.com/office/drawing/2016/SVG/main" r:embed="rId215"/>
                              </a:ext>
                            </a:extLst>
                          </a:blip>
                          <a:stretch>
                            <a:fillRect/>
                          </a:stretch>
                        </pic:blipFill>
                        <pic:spPr bwMode="auto">
                          <a:xfrm>
                            <a:off x="0" y="0"/>
                            <a:ext cx="1957534" cy="1718496"/>
                          </a:xfrm>
                          <a:prstGeom prst="rect">
                            <a:avLst/>
                          </a:prstGeom>
                        </pic:spPr>
                      </pic:pic>
                    </a:graphicData>
                  </a:graphic>
                </wp:inline>
              </w:drawing>
            </w:r>
          </w:p>
        </w:tc>
      </w:tr>
    </w:tbl>
    <w:p w14:paraId="0D188B9B" w14:textId="77777777" w:rsidR="00F55E6A" w:rsidRDefault="00F55E6A" w:rsidP="00F55E6A">
      <w:pPr>
        <w:spacing w:after="0" w:line="240" w:lineRule="auto"/>
      </w:pPr>
    </w:p>
    <w:p w14:paraId="01B0787A" w14:textId="77777777" w:rsidR="00F55E6A" w:rsidRPr="007C06DE" w:rsidRDefault="00F55E6A" w:rsidP="00F55E6A">
      <w:pPr>
        <w:spacing w:after="0" w:line="240" w:lineRule="auto"/>
      </w:pPr>
    </w:p>
    <w:p w14:paraId="6A0A9884" w14:textId="77777777" w:rsidR="00F55E6A" w:rsidRDefault="00F55E6A" w:rsidP="00F55E6A">
      <w:pPr>
        <w:spacing w:after="0" w:line="240" w:lineRule="auto"/>
        <w:sectPr w:rsidR="00F55E6A" w:rsidSect="002746C0">
          <w:pgSz w:w="11906" w:h="16838"/>
          <w:pgMar w:top="1440" w:right="1440" w:bottom="1440" w:left="1440" w:header="708" w:footer="708" w:gutter="0"/>
          <w:cols w:space="708"/>
          <w:docGrid w:linePitch="360"/>
        </w:sectPr>
      </w:pPr>
    </w:p>
    <w:p w14:paraId="3389E2A3" w14:textId="77777777" w:rsidR="00F55E6A" w:rsidRPr="00325650" w:rsidRDefault="00F55E6A" w:rsidP="00F55E6A">
      <w:pPr>
        <w:pStyle w:val="Heading3"/>
        <w:spacing w:before="0" w:after="0" w:line="240" w:lineRule="auto"/>
      </w:pPr>
      <w:bookmarkStart w:id="278" w:name="_Toc197557131"/>
      <w:bookmarkStart w:id="279" w:name="_Toc201512522"/>
      <w:bookmarkStart w:id="280" w:name="_Hlk196492719"/>
      <w:r w:rsidRPr="00325650">
        <w:t>Trends over time</w:t>
      </w:r>
      <w:bookmarkEnd w:id="278"/>
      <w:bookmarkEnd w:id="279"/>
    </w:p>
    <w:p w14:paraId="4BC85A29" w14:textId="0801B49D" w:rsidR="00F55E6A" w:rsidRDefault="00F55E6A" w:rsidP="00F55E6A">
      <w:pPr>
        <w:spacing w:after="0" w:line="240" w:lineRule="auto"/>
      </w:pPr>
      <w:r w:rsidRPr="00A602BD">
        <w:rPr>
          <w:rStyle w:val="normaltextrun"/>
          <w:rFonts w:ascii="Aptos" w:hAnsi="Aptos"/>
          <w:color w:val="000000"/>
          <w:shd w:val="clear" w:color="auto" w:fill="FFFFFF"/>
        </w:rPr>
        <w:t xml:space="preserve">Figure </w:t>
      </w:r>
      <w:r w:rsidR="00305CC4">
        <w:rPr>
          <w:rStyle w:val="normaltextrun"/>
          <w:rFonts w:ascii="Aptos" w:hAnsi="Aptos"/>
          <w:color w:val="000000"/>
          <w:shd w:val="clear" w:color="auto" w:fill="FFFFFF"/>
        </w:rPr>
        <w:t xml:space="preserve">14.5 </w:t>
      </w:r>
      <w:r w:rsidRPr="00A602BD">
        <w:rPr>
          <w:rStyle w:val="normaltextrun"/>
          <w:rFonts w:ascii="Aptos" w:hAnsi="Aptos"/>
          <w:color w:val="000000"/>
          <w:shd w:val="clear" w:color="auto" w:fill="FFFFFF"/>
        </w:rPr>
        <w:t>shows age</w:t>
      </w:r>
      <w:r w:rsidR="00366242">
        <w:rPr>
          <w:rStyle w:val="normaltextrun"/>
          <w:rFonts w:ascii="Aptos" w:hAnsi="Aptos"/>
          <w:color w:val="000000"/>
          <w:shd w:val="clear" w:color="auto" w:fill="FFFFFF"/>
        </w:rPr>
        <w:t>-</w:t>
      </w:r>
      <w:r w:rsidRPr="00A602BD">
        <w:rPr>
          <w:rStyle w:val="normaltextrun"/>
          <w:rFonts w:ascii="Aptos" w:hAnsi="Aptos"/>
          <w:color w:val="000000"/>
          <w:shd w:val="clear" w:color="auto" w:fill="FFFFFF"/>
        </w:rPr>
        <w:t>standardised mortality rates for laryngeal cancer from 1994 to 2022</w:t>
      </w:r>
      <w:r>
        <w:rPr>
          <w:rStyle w:val="normaltextrun"/>
          <w:rFonts w:ascii="Aptos" w:hAnsi="Aptos"/>
          <w:color w:val="000000"/>
          <w:shd w:val="clear" w:color="auto" w:fill="FFFFFF"/>
        </w:rPr>
        <w:t xml:space="preserve"> for males and females</w:t>
      </w:r>
      <w:r w:rsidRPr="00A602BD">
        <w:rPr>
          <w:rStyle w:val="normaltextrun"/>
          <w:rFonts w:ascii="Aptos" w:hAnsi="Aptos"/>
          <w:color w:val="000000"/>
          <w:shd w:val="clear" w:color="auto" w:fill="FFFFFF"/>
        </w:rPr>
        <w:t>. There was a decrease in mortality</w:t>
      </w:r>
      <w:r>
        <w:rPr>
          <w:rStyle w:val="normaltextrun"/>
          <w:rFonts w:ascii="Aptos" w:hAnsi="Aptos"/>
          <w:color w:val="000000"/>
          <w:shd w:val="clear" w:color="auto" w:fill="FFFFFF"/>
        </w:rPr>
        <w:t xml:space="preserve"> </w:t>
      </w:r>
      <w:r w:rsidRPr="00A602BD">
        <w:rPr>
          <w:rStyle w:val="normaltextrun"/>
          <w:rFonts w:ascii="Aptos" w:hAnsi="Aptos"/>
          <w:color w:val="000000"/>
          <w:shd w:val="clear" w:color="auto" w:fill="FFFFFF"/>
        </w:rPr>
        <w:t>among males by</w:t>
      </w:r>
      <w:r w:rsidR="000B3063">
        <w:rPr>
          <w:rStyle w:val="normaltextrun"/>
          <w:rFonts w:ascii="Aptos" w:hAnsi="Aptos"/>
          <w:color w:val="000000"/>
          <w:shd w:val="clear" w:color="auto" w:fill="FFFFFF"/>
        </w:rPr>
        <w:t xml:space="preserve"> -</w:t>
      </w:r>
      <w:r w:rsidRPr="00A602BD">
        <w:rPr>
          <w:rStyle w:val="normaltextrun"/>
          <w:rFonts w:ascii="Aptos" w:hAnsi="Aptos"/>
          <w:color w:val="000000"/>
          <w:shd w:val="clear" w:color="auto" w:fill="FFFFFF"/>
        </w:rPr>
        <w:t>1.6% per year (95% CI: -2.4;</w:t>
      </w:r>
      <w:r>
        <w:rPr>
          <w:rStyle w:val="normaltextrun"/>
          <w:rFonts w:ascii="Aptos" w:hAnsi="Aptos"/>
          <w:color w:val="000000"/>
          <w:shd w:val="clear" w:color="auto" w:fill="FFFFFF"/>
        </w:rPr>
        <w:t xml:space="preserve"> </w:t>
      </w:r>
      <w:r w:rsidRPr="00A602BD">
        <w:rPr>
          <w:rStyle w:val="normaltextrun"/>
          <w:rFonts w:ascii="Aptos" w:hAnsi="Aptos"/>
          <w:color w:val="000000"/>
          <w:shd w:val="clear" w:color="auto" w:fill="FFFFFF"/>
        </w:rPr>
        <w:t xml:space="preserve">-0.8) and a decrease in mortality for females by </w:t>
      </w:r>
      <w:r w:rsidR="001B1C3A">
        <w:rPr>
          <w:rStyle w:val="normaltextrun"/>
          <w:rFonts w:ascii="Aptos" w:hAnsi="Aptos"/>
          <w:color w:val="000000"/>
          <w:shd w:val="clear" w:color="auto" w:fill="FFFFFF"/>
        </w:rPr>
        <w:t>-</w:t>
      </w:r>
      <w:r w:rsidRPr="00A602BD">
        <w:rPr>
          <w:rStyle w:val="normaltextrun"/>
          <w:rFonts w:ascii="Aptos" w:hAnsi="Aptos"/>
          <w:color w:val="000000"/>
          <w:shd w:val="clear" w:color="auto" w:fill="FFFFFF"/>
        </w:rPr>
        <w:t>2.4% per year (95% CI: -3.7;</w:t>
      </w:r>
      <w:r>
        <w:rPr>
          <w:rStyle w:val="normaltextrun"/>
          <w:rFonts w:ascii="Aptos" w:hAnsi="Aptos"/>
          <w:color w:val="000000"/>
          <w:shd w:val="clear" w:color="auto" w:fill="FFFFFF"/>
        </w:rPr>
        <w:t xml:space="preserve"> </w:t>
      </w:r>
      <w:r w:rsidRPr="00A602BD">
        <w:rPr>
          <w:rStyle w:val="normaltextrun"/>
          <w:rFonts w:ascii="Aptos" w:hAnsi="Aptos"/>
          <w:color w:val="000000"/>
          <w:shd w:val="clear" w:color="auto" w:fill="FFFFFF"/>
        </w:rPr>
        <w:t>-1.1).</w:t>
      </w:r>
      <w:r w:rsidRPr="00A602BD">
        <w:rPr>
          <w:rStyle w:val="eop"/>
          <w:rFonts w:ascii="Aptos" w:hAnsi="Aptos"/>
          <w:color w:val="000000"/>
          <w:shd w:val="clear" w:color="auto" w:fill="FFFFFF"/>
        </w:rPr>
        <w:t> </w:t>
      </w:r>
      <w:r>
        <w:t xml:space="preserve"> </w:t>
      </w:r>
    </w:p>
    <w:bookmarkEnd w:id="280"/>
    <w:p w14:paraId="6037B3A7" w14:textId="77777777" w:rsidR="00F55E6A" w:rsidRPr="00325650" w:rsidRDefault="00F55E6A" w:rsidP="00F55E6A">
      <w:pPr>
        <w:spacing w:after="0" w:line="240" w:lineRule="auto"/>
      </w:pPr>
    </w:p>
    <w:tbl>
      <w:tblPr>
        <w:tblStyle w:val="TableGrid"/>
        <w:tblW w:w="986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6"/>
      </w:tblGrid>
      <w:tr w:rsidR="00F55E6A" w:rsidRPr="000470B3" w14:paraId="54073E38" w14:textId="77777777" w:rsidTr="0041177B">
        <w:trPr>
          <w:trHeight w:val="113"/>
        </w:trPr>
        <w:tc>
          <w:tcPr>
            <w:tcW w:w="9866" w:type="dxa"/>
            <w:shd w:val="clear" w:color="auto" w:fill="002060"/>
            <w:vAlign w:val="center"/>
          </w:tcPr>
          <w:p w14:paraId="53F408ED" w14:textId="613C61CF" w:rsidR="00F55E6A" w:rsidRPr="000470B3" w:rsidRDefault="00F55E6A" w:rsidP="0041177B">
            <w:pPr>
              <w:rPr>
                <w:rFonts w:asciiTheme="minorHAnsi" w:hAnsiTheme="minorHAnsi"/>
                <w:b/>
                <w:bCs/>
              </w:rPr>
            </w:pPr>
            <w:r w:rsidRPr="000470B3">
              <w:rPr>
                <w:rFonts w:asciiTheme="minorHAnsi" w:hAnsiTheme="minorHAnsi"/>
                <w:b/>
                <w:bCs/>
              </w:rPr>
              <w:t xml:space="preserve">Figure </w:t>
            </w:r>
            <w:r w:rsidR="00305CC4">
              <w:rPr>
                <w:rFonts w:asciiTheme="minorHAnsi" w:hAnsiTheme="minorHAnsi"/>
                <w:b/>
                <w:bCs/>
              </w:rPr>
              <w:t>14.5:</w:t>
            </w:r>
            <w:r w:rsidRPr="000470B3">
              <w:rPr>
                <w:rFonts w:asciiTheme="minorHAnsi" w:hAnsiTheme="minorHAnsi"/>
                <w:b/>
                <w:bCs/>
              </w:rPr>
              <w:t xml:space="preserve">   Age-</w:t>
            </w:r>
            <w:r w:rsidRPr="000470B3">
              <w:rPr>
                <w:rFonts w:asciiTheme="minorHAnsi" w:hAnsiTheme="minorHAnsi"/>
                <w:b/>
                <w:bCs/>
                <w:bdr w:val="single" w:sz="4" w:space="0" w:color="auto"/>
              </w:rPr>
              <w:t>standardised mortality rate 1994-2022, C32 laryngeal cancer</w:t>
            </w:r>
          </w:p>
        </w:tc>
      </w:tr>
      <w:tr w:rsidR="00F55E6A" w:rsidRPr="000470B3" w14:paraId="2DE80B93" w14:textId="77777777" w:rsidTr="0041177B">
        <w:trPr>
          <w:trHeight w:val="113"/>
        </w:trPr>
        <w:tc>
          <w:tcPr>
            <w:tcW w:w="9866" w:type="dxa"/>
            <w:vAlign w:val="center"/>
          </w:tcPr>
          <w:p w14:paraId="34EAC72E" w14:textId="77777777" w:rsidR="00F55E6A" w:rsidRPr="000470B3" w:rsidRDefault="00F55E6A" w:rsidP="0041177B">
            <w:pPr>
              <w:rPr>
                <w:rFonts w:asciiTheme="minorHAnsi" w:hAnsiTheme="minorHAnsi"/>
              </w:rPr>
            </w:pPr>
            <w:r>
              <w:rPr>
                <w:noProof/>
              </w:rPr>
              <w:drawing>
                <wp:inline distT="0" distB="0" distL="0" distR="0" wp14:anchorId="0634E742" wp14:editId="333F9E20">
                  <wp:extent cx="5755005" cy="3017520"/>
                  <wp:effectExtent l="0" t="0" r="0" b="0"/>
                  <wp:docPr id="388191084" name="Picture 3" descr="A graph with blue and orang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191084" name="Picture 3" descr="A graph with blue and orange dots&#10;&#10;AI-generated content may be incorrect."/>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755005" cy="3017520"/>
                          </a:xfrm>
                          <a:prstGeom prst="rect">
                            <a:avLst/>
                          </a:prstGeom>
                          <a:noFill/>
                        </pic:spPr>
                      </pic:pic>
                    </a:graphicData>
                  </a:graphic>
                </wp:inline>
              </w:drawing>
            </w:r>
          </w:p>
        </w:tc>
      </w:tr>
      <w:tr w:rsidR="00F55E6A" w:rsidRPr="000470B3" w14:paraId="23E8B9EE" w14:textId="77777777" w:rsidTr="0041177B">
        <w:trPr>
          <w:trHeight w:val="113"/>
        </w:trPr>
        <w:tc>
          <w:tcPr>
            <w:tcW w:w="9866" w:type="dxa"/>
            <w:vAlign w:val="center"/>
          </w:tcPr>
          <w:tbl>
            <w:tblPr>
              <w:tblpPr w:leftFromText="180" w:rightFromText="180" w:vertAnchor="page" w:horzAnchor="margin" w:tblpXSpec="center" w:tblpY="1"/>
              <w:tblOverlap w:val="never"/>
              <w:tblW w:w="0" w:type="auto"/>
              <w:tblCellMar>
                <w:top w:w="15" w:type="dxa"/>
                <w:bottom w:w="15" w:type="dxa"/>
              </w:tblCellMar>
              <w:tblLook w:val="04A0" w:firstRow="1" w:lastRow="0" w:firstColumn="1" w:lastColumn="0" w:noHBand="0" w:noVBand="1"/>
            </w:tblPr>
            <w:tblGrid>
              <w:gridCol w:w="530"/>
              <w:gridCol w:w="1139"/>
              <w:gridCol w:w="771"/>
              <w:gridCol w:w="992"/>
              <w:gridCol w:w="706"/>
              <w:gridCol w:w="530"/>
              <w:gridCol w:w="1139"/>
              <w:gridCol w:w="771"/>
              <w:gridCol w:w="977"/>
              <w:gridCol w:w="706"/>
            </w:tblGrid>
            <w:tr w:rsidR="00F55E6A" w:rsidRPr="004D11BE" w14:paraId="691BE963" w14:textId="77777777" w:rsidTr="0041177B">
              <w:trPr>
                <w:trHeight w:val="113"/>
              </w:trPr>
              <w:tc>
                <w:tcPr>
                  <w:tcW w:w="0" w:type="auto"/>
                  <w:tcBorders>
                    <w:top w:val="nil"/>
                    <w:left w:val="nil"/>
                    <w:bottom w:val="nil"/>
                    <w:right w:val="nil"/>
                  </w:tcBorders>
                  <w:noWrap/>
                  <w:vAlign w:val="center"/>
                  <w:hideMark/>
                </w:tcPr>
                <w:p w14:paraId="3A10D467" w14:textId="77777777" w:rsidR="00F55E6A" w:rsidRPr="004D11BE"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4D11BE">
                    <w:rPr>
                      <w:rFonts w:eastAsia="Times New Roman" w:cs="Times New Roman"/>
                      <w:b/>
                      <w:bCs/>
                      <w:color w:val="000000"/>
                      <w:kern w:val="0"/>
                      <w:sz w:val="20"/>
                      <w:szCs w:val="20"/>
                      <w:u w:val="single"/>
                      <w:lang w:eastAsia="en-GB"/>
                      <w14:ligatures w14:val="none"/>
                    </w:rPr>
                    <w:t>sex</w:t>
                  </w:r>
                </w:p>
              </w:tc>
              <w:tc>
                <w:tcPr>
                  <w:tcW w:w="0" w:type="auto"/>
                  <w:tcBorders>
                    <w:top w:val="nil"/>
                    <w:left w:val="nil"/>
                    <w:bottom w:val="nil"/>
                    <w:right w:val="nil"/>
                  </w:tcBorders>
                  <w:noWrap/>
                  <w:vAlign w:val="center"/>
                  <w:hideMark/>
                </w:tcPr>
                <w:p w14:paraId="32B150A1" w14:textId="77777777" w:rsidR="00F55E6A" w:rsidRPr="004D11BE"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4D11BE">
                    <w:rPr>
                      <w:rFonts w:eastAsia="Times New Roman" w:cs="Times New Roman"/>
                      <w:b/>
                      <w:bCs/>
                      <w:color w:val="000000"/>
                      <w:kern w:val="0"/>
                      <w:sz w:val="20"/>
                      <w:szCs w:val="20"/>
                      <w:u w:val="single"/>
                      <w:lang w:eastAsia="en-GB"/>
                      <w14:ligatures w14:val="none"/>
                    </w:rPr>
                    <w:t>period</w:t>
                  </w:r>
                </w:p>
              </w:tc>
              <w:tc>
                <w:tcPr>
                  <w:tcW w:w="0" w:type="auto"/>
                  <w:tcBorders>
                    <w:top w:val="nil"/>
                    <w:left w:val="nil"/>
                    <w:bottom w:val="nil"/>
                    <w:right w:val="nil"/>
                  </w:tcBorders>
                  <w:noWrap/>
                  <w:vAlign w:val="center"/>
                  <w:hideMark/>
                </w:tcPr>
                <w:p w14:paraId="576F08D4" w14:textId="77777777" w:rsidR="00F55E6A" w:rsidRPr="004D11BE"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4D11BE">
                    <w:rPr>
                      <w:rFonts w:eastAsia="Times New Roman" w:cs="Times New Roman"/>
                      <w:b/>
                      <w:bCs/>
                      <w:color w:val="000000"/>
                      <w:kern w:val="0"/>
                      <w:sz w:val="20"/>
                      <w:szCs w:val="20"/>
                      <w:u w:val="single"/>
                      <w:lang w:eastAsia="en-GB"/>
                      <w14:ligatures w14:val="none"/>
                    </w:rPr>
                    <w:t>APC%</w:t>
                  </w:r>
                </w:p>
              </w:tc>
              <w:tc>
                <w:tcPr>
                  <w:tcW w:w="0" w:type="auto"/>
                  <w:tcBorders>
                    <w:top w:val="nil"/>
                    <w:left w:val="nil"/>
                    <w:bottom w:val="nil"/>
                    <w:right w:val="nil"/>
                  </w:tcBorders>
                  <w:noWrap/>
                  <w:vAlign w:val="center"/>
                  <w:hideMark/>
                </w:tcPr>
                <w:p w14:paraId="59B28CC6" w14:textId="77777777" w:rsidR="00F55E6A" w:rsidRPr="004D11BE"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4D11BE">
                    <w:rPr>
                      <w:rFonts w:eastAsia="Times New Roman" w:cs="Times New Roman"/>
                      <w:b/>
                      <w:bCs/>
                      <w:color w:val="000000"/>
                      <w:kern w:val="0"/>
                      <w:sz w:val="20"/>
                      <w:szCs w:val="20"/>
                      <w:u w:val="single"/>
                      <w:lang w:eastAsia="en-GB"/>
                      <w14:ligatures w14:val="none"/>
                    </w:rPr>
                    <w:t>95%CI</w:t>
                  </w:r>
                </w:p>
              </w:tc>
              <w:tc>
                <w:tcPr>
                  <w:tcW w:w="0" w:type="auto"/>
                  <w:tcBorders>
                    <w:top w:val="nil"/>
                    <w:left w:val="nil"/>
                    <w:bottom w:val="nil"/>
                    <w:right w:val="single" w:sz="4" w:space="0" w:color="auto"/>
                  </w:tcBorders>
                  <w:noWrap/>
                  <w:vAlign w:val="center"/>
                  <w:hideMark/>
                </w:tcPr>
                <w:p w14:paraId="31CF6704" w14:textId="77777777" w:rsidR="00F55E6A" w:rsidRPr="004D11BE"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4D11BE">
                    <w:rPr>
                      <w:rFonts w:eastAsia="Times New Roman" w:cs="Times New Roman"/>
                      <w:b/>
                      <w:bCs/>
                      <w:color w:val="000000"/>
                      <w:kern w:val="0"/>
                      <w:sz w:val="20"/>
                      <w:szCs w:val="20"/>
                      <w:u w:val="single"/>
                      <w:lang w:eastAsia="en-GB"/>
                      <w14:ligatures w14:val="none"/>
                    </w:rPr>
                    <w:t>trend</w:t>
                  </w:r>
                </w:p>
              </w:tc>
              <w:tc>
                <w:tcPr>
                  <w:tcW w:w="0" w:type="auto"/>
                  <w:tcBorders>
                    <w:top w:val="nil"/>
                    <w:left w:val="nil"/>
                    <w:bottom w:val="nil"/>
                    <w:right w:val="nil"/>
                  </w:tcBorders>
                  <w:vAlign w:val="center"/>
                </w:tcPr>
                <w:p w14:paraId="7CAFCB2F" w14:textId="77777777" w:rsidR="00F55E6A" w:rsidRPr="004D11BE"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4D11BE">
                    <w:rPr>
                      <w:rFonts w:eastAsia="Times New Roman" w:cs="Times New Roman"/>
                      <w:b/>
                      <w:bCs/>
                      <w:color w:val="000000"/>
                      <w:kern w:val="0"/>
                      <w:sz w:val="20"/>
                      <w:szCs w:val="20"/>
                      <w:u w:val="single"/>
                      <w:lang w:eastAsia="en-GB"/>
                      <w14:ligatures w14:val="none"/>
                    </w:rPr>
                    <w:t>sex</w:t>
                  </w:r>
                </w:p>
              </w:tc>
              <w:tc>
                <w:tcPr>
                  <w:tcW w:w="0" w:type="auto"/>
                  <w:tcBorders>
                    <w:top w:val="nil"/>
                    <w:left w:val="nil"/>
                    <w:bottom w:val="nil"/>
                    <w:right w:val="nil"/>
                  </w:tcBorders>
                  <w:vAlign w:val="center"/>
                </w:tcPr>
                <w:p w14:paraId="7F12B5E4" w14:textId="77777777" w:rsidR="00F55E6A" w:rsidRPr="004D11BE"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4D11BE">
                    <w:rPr>
                      <w:rFonts w:eastAsia="Times New Roman" w:cs="Times New Roman"/>
                      <w:b/>
                      <w:bCs/>
                      <w:color w:val="000000"/>
                      <w:kern w:val="0"/>
                      <w:sz w:val="20"/>
                      <w:szCs w:val="20"/>
                      <w:u w:val="single"/>
                      <w:lang w:eastAsia="en-GB"/>
                      <w14:ligatures w14:val="none"/>
                    </w:rPr>
                    <w:t>period</w:t>
                  </w:r>
                </w:p>
              </w:tc>
              <w:tc>
                <w:tcPr>
                  <w:tcW w:w="0" w:type="auto"/>
                  <w:tcBorders>
                    <w:top w:val="nil"/>
                    <w:left w:val="nil"/>
                    <w:bottom w:val="nil"/>
                    <w:right w:val="nil"/>
                  </w:tcBorders>
                  <w:vAlign w:val="center"/>
                </w:tcPr>
                <w:p w14:paraId="0BD8FAB8" w14:textId="77777777" w:rsidR="00F55E6A" w:rsidRPr="004D11BE"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4D11BE">
                    <w:rPr>
                      <w:rFonts w:eastAsia="Times New Roman" w:cs="Times New Roman"/>
                      <w:b/>
                      <w:bCs/>
                      <w:color w:val="000000"/>
                      <w:kern w:val="0"/>
                      <w:sz w:val="20"/>
                      <w:szCs w:val="20"/>
                      <w:u w:val="single"/>
                      <w:lang w:eastAsia="en-GB"/>
                      <w14:ligatures w14:val="none"/>
                    </w:rPr>
                    <w:t>APC%</w:t>
                  </w:r>
                </w:p>
              </w:tc>
              <w:tc>
                <w:tcPr>
                  <w:tcW w:w="0" w:type="auto"/>
                  <w:tcBorders>
                    <w:top w:val="nil"/>
                    <w:left w:val="nil"/>
                    <w:bottom w:val="nil"/>
                    <w:right w:val="nil"/>
                  </w:tcBorders>
                  <w:vAlign w:val="center"/>
                </w:tcPr>
                <w:p w14:paraId="1E17274F" w14:textId="77777777" w:rsidR="00F55E6A" w:rsidRPr="004D11BE"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4D11BE">
                    <w:rPr>
                      <w:rFonts w:eastAsia="Times New Roman" w:cs="Times New Roman"/>
                      <w:b/>
                      <w:bCs/>
                      <w:color w:val="000000"/>
                      <w:kern w:val="0"/>
                      <w:sz w:val="20"/>
                      <w:szCs w:val="20"/>
                      <w:u w:val="single"/>
                      <w:lang w:eastAsia="en-GB"/>
                      <w14:ligatures w14:val="none"/>
                    </w:rPr>
                    <w:t>95%CI</w:t>
                  </w:r>
                </w:p>
              </w:tc>
              <w:tc>
                <w:tcPr>
                  <w:tcW w:w="0" w:type="auto"/>
                  <w:tcBorders>
                    <w:top w:val="nil"/>
                    <w:left w:val="nil"/>
                    <w:bottom w:val="nil"/>
                  </w:tcBorders>
                  <w:vAlign w:val="center"/>
                </w:tcPr>
                <w:p w14:paraId="794BB998" w14:textId="77777777" w:rsidR="00F55E6A" w:rsidRPr="004D11BE"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4D11BE">
                    <w:rPr>
                      <w:rFonts w:eastAsia="Times New Roman" w:cs="Times New Roman"/>
                      <w:b/>
                      <w:bCs/>
                      <w:color w:val="000000"/>
                      <w:kern w:val="0"/>
                      <w:sz w:val="20"/>
                      <w:szCs w:val="20"/>
                      <w:u w:val="single"/>
                      <w:lang w:eastAsia="en-GB"/>
                      <w14:ligatures w14:val="none"/>
                    </w:rPr>
                    <w:t>trend</w:t>
                  </w:r>
                </w:p>
              </w:tc>
            </w:tr>
            <w:tr w:rsidR="00F55E6A" w:rsidRPr="004D11BE" w14:paraId="12F0BD62" w14:textId="77777777" w:rsidTr="0041177B">
              <w:trPr>
                <w:trHeight w:val="113"/>
              </w:trPr>
              <w:tc>
                <w:tcPr>
                  <w:tcW w:w="0" w:type="auto"/>
                  <w:tcBorders>
                    <w:top w:val="nil"/>
                    <w:left w:val="nil"/>
                    <w:bottom w:val="nil"/>
                    <w:right w:val="nil"/>
                  </w:tcBorders>
                  <w:noWrap/>
                  <w:vAlign w:val="center"/>
                  <w:hideMark/>
                </w:tcPr>
                <w:p w14:paraId="6ED56DD4" w14:textId="77777777" w:rsidR="00F55E6A" w:rsidRPr="004D11BE" w:rsidRDefault="00F55E6A" w:rsidP="0041177B">
                  <w:pPr>
                    <w:spacing w:after="0" w:line="240" w:lineRule="auto"/>
                    <w:jc w:val="center"/>
                    <w:rPr>
                      <w:rFonts w:eastAsia="Times New Roman" w:cs="Times New Roman"/>
                      <w:color w:val="000000"/>
                      <w:kern w:val="0"/>
                      <w:sz w:val="20"/>
                      <w:szCs w:val="20"/>
                      <w:lang w:eastAsia="en-GB"/>
                      <w14:ligatures w14:val="none"/>
                    </w:rPr>
                  </w:pPr>
                  <w:r w:rsidRPr="004D11BE">
                    <w:rPr>
                      <w:rFonts w:eastAsia="Times New Roman" w:cs="Times New Roman"/>
                      <w:color w:val="000000"/>
                      <w:kern w:val="0"/>
                      <w:sz w:val="20"/>
                      <w:szCs w:val="20"/>
                      <w:lang w:eastAsia="en-GB"/>
                      <w14:ligatures w14:val="none"/>
                    </w:rPr>
                    <w:t>M</w:t>
                  </w:r>
                </w:p>
              </w:tc>
              <w:tc>
                <w:tcPr>
                  <w:tcW w:w="0" w:type="auto"/>
                  <w:tcBorders>
                    <w:top w:val="nil"/>
                    <w:left w:val="nil"/>
                    <w:bottom w:val="nil"/>
                    <w:right w:val="nil"/>
                  </w:tcBorders>
                  <w:noWrap/>
                  <w:vAlign w:val="center"/>
                  <w:hideMark/>
                </w:tcPr>
                <w:p w14:paraId="0CE34951" w14:textId="77777777" w:rsidR="00F55E6A" w:rsidRPr="004D11BE" w:rsidRDefault="00F55E6A" w:rsidP="0041177B">
                  <w:pPr>
                    <w:spacing w:after="0" w:line="240" w:lineRule="auto"/>
                    <w:jc w:val="center"/>
                    <w:rPr>
                      <w:rFonts w:eastAsia="Times New Roman" w:cs="Times New Roman"/>
                      <w:color w:val="000000"/>
                      <w:kern w:val="0"/>
                      <w:sz w:val="20"/>
                      <w:szCs w:val="20"/>
                      <w:lang w:eastAsia="en-GB"/>
                      <w14:ligatures w14:val="none"/>
                    </w:rPr>
                  </w:pPr>
                  <w:r w:rsidRPr="004D11BE">
                    <w:rPr>
                      <w:rFonts w:eastAsia="Times New Roman" w:cs="Times New Roman"/>
                      <w:color w:val="000000"/>
                      <w:kern w:val="0"/>
                      <w:sz w:val="20"/>
                      <w:szCs w:val="20"/>
                      <w:lang w:eastAsia="en-GB"/>
                      <w14:ligatures w14:val="none"/>
                    </w:rPr>
                    <w:t>1994-2022</w:t>
                  </w:r>
                </w:p>
              </w:tc>
              <w:tc>
                <w:tcPr>
                  <w:tcW w:w="0" w:type="auto"/>
                  <w:tcBorders>
                    <w:top w:val="nil"/>
                    <w:left w:val="nil"/>
                    <w:bottom w:val="nil"/>
                    <w:right w:val="nil"/>
                  </w:tcBorders>
                  <w:noWrap/>
                  <w:vAlign w:val="center"/>
                  <w:hideMark/>
                </w:tcPr>
                <w:p w14:paraId="0680601A" w14:textId="77777777" w:rsidR="00F55E6A" w:rsidRPr="004D11BE" w:rsidRDefault="00F55E6A" w:rsidP="0041177B">
                  <w:pPr>
                    <w:spacing w:after="0" w:line="240" w:lineRule="auto"/>
                    <w:jc w:val="center"/>
                    <w:rPr>
                      <w:rFonts w:eastAsia="Times New Roman" w:cs="Times New Roman"/>
                      <w:color w:val="000000"/>
                      <w:kern w:val="0"/>
                      <w:sz w:val="20"/>
                      <w:szCs w:val="20"/>
                      <w:lang w:eastAsia="en-GB"/>
                      <w14:ligatures w14:val="none"/>
                    </w:rPr>
                  </w:pPr>
                  <w:r w:rsidRPr="004D11BE">
                    <w:rPr>
                      <w:color w:val="000000"/>
                      <w:sz w:val="20"/>
                      <w:szCs w:val="20"/>
                    </w:rPr>
                    <w:t>-1.6</w:t>
                  </w:r>
                </w:p>
              </w:tc>
              <w:tc>
                <w:tcPr>
                  <w:tcW w:w="0" w:type="auto"/>
                  <w:tcBorders>
                    <w:top w:val="nil"/>
                    <w:left w:val="nil"/>
                    <w:bottom w:val="nil"/>
                    <w:right w:val="nil"/>
                  </w:tcBorders>
                  <w:noWrap/>
                  <w:vAlign w:val="center"/>
                  <w:hideMark/>
                </w:tcPr>
                <w:p w14:paraId="05F3775A" w14:textId="2058CB2D" w:rsidR="00F55E6A" w:rsidRPr="004D11BE" w:rsidRDefault="00F55E6A" w:rsidP="0041177B">
                  <w:pPr>
                    <w:spacing w:after="0" w:line="240" w:lineRule="auto"/>
                    <w:jc w:val="center"/>
                    <w:rPr>
                      <w:rFonts w:eastAsia="Times New Roman" w:cs="Times New Roman"/>
                      <w:color w:val="000000"/>
                      <w:kern w:val="0"/>
                      <w:sz w:val="20"/>
                      <w:szCs w:val="20"/>
                      <w:lang w:eastAsia="en-GB"/>
                      <w14:ligatures w14:val="none"/>
                    </w:rPr>
                  </w:pPr>
                  <w:r w:rsidRPr="004D11BE">
                    <w:rPr>
                      <w:color w:val="000000"/>
                      <w:sz w:val="20"/>
                      <w:szCs w:val="20"/>
                    </w:rPr>
                    <w:t>-2.</w:t>
                  </w:r>
                  <w:r w:rsidR="00E716DB" w:rsidRPr="004D11BE">
                    <w:rPr>
                      <w:color w:val="000000"/>
                      <w:sz w:val="20"/>
                      <w:szCs w:val="20"/>
                    </w:rPr>
                    <w:t>4, -</w:t>
                  </w:r>
                  <w:r w:rsidRPr="004D11BE">
                    <w:rPr>
                      <w:color w:val="000000"/>
                      <w:sz w:val="20"/>
                      <w:szCs w:val="20"/>
                    </w:rPr>
                    <w:t>0.8</w:t>
                  </w:r>
                </w:p>
              </w:tc>
              <w:tc>
                <w:tcPr>
                  <w:tcW w:w="0" w:type="auto"/>
                  <w:tcBorders>
                    <w:top w:val="nil"/>
                    <w:left w:val="nil"/>
                    <w:bottom w:val="nil"/>
                    <w:right w:val="single" w:sz="4" w:space="0" w:color="auto"/>
                  </w:tcBorders>
                  <w:noWrap/>
                  <w:vAlign w:val="center"/>
                  <w:hideMark/>
                </w:tcPr>
                <w:p w14:paraId="68366A1F" w14:textId="77777777" w:rsidR="00F55E6A" w:rsidRPr="004D11BE" w:rsidRDefault="00F55E6A" w:rsidP="0041177B">
                  <w:pPr>
                    <w:spacing w:after="0" w:line="240" w:lineRule="auto"/>
                    <w:jc w:val="center"/>
                    <w:rPr>
                      <w:rFonts w:eastAsia="Times New Roman" w:cs="Times New Roman"/>
                      <w:color w:val="000000"/>
                      <w:kern w:val="0"/>
                      <w:sz w:val="20"/>
                      <w:szCs w:val="20"/>
                      <w:lang w:eastAsia="en-GB"/>
                      <w14:ligatures w14:val="none"/>
                    </w:rPr>
                  </w:pPr>
                  <w:r w:rsidRPr="004D11BE">
                    <w:rPr>
                      <w:color w:val="000000"/>
                      <w:sz w:val="20"/>
                      <w:szCs w:val="20"/>
                    </w:rPr>
                    <w:t>down</w:t>
                  </w:r>
                </w:p>
              </w:tc>
              <w:tc>
                <w:tcPr>
                  <w:tcW w:w="0" w:type="auto"/>
                  <w:tcBorders>
                    <w:top w:val="nil"/>
                    <w:left w:val="nil"/>
                    <w:bottom w:val="nil"/>
                    <w:right w:val="nil"/>
                  </w:tcBorders>
                  <w:vAlign w:val="center"/>
                </w:tcPr>
                <w:p w14:paraId="0A920A78" w14:textId="77777777" w:rsidR="00F55E6A" w:rsidRPr="004D11BE" w:rsidRDefault="00F55E6A" w:rsidP="0041177B">
                  <w:pPr>
                    <w:spacing w:after="0" w:line="240" w:lineRule="auto"/>
                    <w:jc w:val="center"/>
                    <w:rPr>
                      <w:color w:val="000000"/>
                      <w:sz w:val="20"/>
                      <w:szCs w:val="20"/>
                    </w:rPr>
                  </w:pPr>
                  <w:r w:rsidRPr="004D11BE">
                    <w:rPr>
                      <w:rFonts w:eastAsia="Times New Roman" w:cs="Times New Roman"/>
                      <w:color w:val="000000"/>
                      <w:kern w:val="0"/>
                      <w:sz w:val="20"/>
                      <w:szCs w:val="20"/>
                      <w:lang w:eastAsia="en-GB"/>
                      <w14:ligatures w14:val="none"/>
                    </w:rPr>
                    <w:t>F</w:t>
                  </w:r>
                </w:p>
              </w:tc>
              <w:tc>
                <w:tcPr>
                  <w:tcW w:w="0" w:type="auto"/>
                  <w:tcBorders>
                    <w:top w:val="nil"/>
                    <w:left w:val="nil"/>
                    <w:bottom w:val="nil"/>
                    <w:right w:val="nil"/>
                  </w:tcBorders>
                  <w:vAlign w:val="center"/>
                </w:tcPr>
                <w:p w14:paraId="1FA863F4" w14:textId="77777777" w:rsidR="00F55E6A" w:rsidRPr="004D11BE" w:rsidRDefault="00F55E6A" w:rsidP="0041177B">
                  <w:pPr>
                    <w:spacing w:after="0" w:line="240" w:lineRule="auto"/>
                    <w:jc w:val="center"/>
                    <w:rPr>
                      <w:color w:val="000000"/>
                      <w:sz w:val="20"/>
                      <w:szCs w:val="20"/>
                    </w:rPr>
                  </w:pPr>
                  <w:r w:rsidRPr="004D11BE">
                    <w:rPr>
                      <w:rFonts w:eastAsia="Times New Roman" w:cs="Times New Roman"/>
                      <w:color w:val="000000"/>
                      <w:kern w:val="0"/>
                      <w:sz w:val="20"/>
                      <w:szCs w:val="20"/>
                      <w:lang w:eastAsia="en-GB"/>
                      <w14:ligatures w14:val="none"/>
                    </w:rPr>
                    <w:t>1994-2022</w:t>
                  </w:r>
                </w:p>
              </w:tc>
              <w:tc>
                <w:tcPr>
                  <w:tcW w:w="0" w:type="auto"/>
                  <w:tcBorders>
                    <w:top w:val="nil"/>
                    <w:left w:val="nil"/>
                    <w:bottom w:val="nil"/>
                    <w:right w:val="nil"/>
                  </w:tcBorders>
                  <w:vAlign w:val="center"/>
                </w:tcPr>
                <w:p w14:paraId="1A0F50A0" w14:textId="77777777" w:rsidR="00F55E6A" w:rsidRPr="004D11BE" w:rsidRDefault="00F55E6A" w:rsidP="0041177B">
                  <w:pPr>
                    <w:spacing w:after="0" w:line="240" w:lineRule="auto"/>
                    <w:jc w:val="center"/>
                    <w:rPr>
                      <w:color w:val="000000"/>
                      <w:sz w:val="20"/>
                      <w:szCs w:val="20"/>
                    </w:rPr>
                  </w:pPr>
                  <w:r w:rsidRPr="004D11BE">
                    <w:rPr>
                      <w:color w:val="000000"/>
                      <w:sz w:val="20"/>
                      <w:szCs w:val="20"/>
                    </w:rPr>
                    <w:t>-2.4</w:t>
                  </w:r>
                </w:p>
              </w:tc>
              <w:tc>
                <w:tcPr>
                  <w:tcW w:w="0" w:type="auto"/>
                  <w:tcBorders>
                    <w:top w:val="nil"/>
                    <w:left w:val="nil"/>
                    <w:bottom w:val="nil"/>
                    <w:right w:val="nil"/>
                  </w:tcBorders>
                  <w:vAlign w:val="center"/>
                </w:tcPr>
                <w:p w14:paraId="5894BA74" w14:textId="77777777" w:rsidR="00F55E6A" w:rsidRPr="004D11BE" w:rsidRDefault="00F55E6A" w:rsidP="0041177B">
                  <w:pPr>
                    <w:spacing w:after="0" w:line="240" w:lineRule="auto"/>
                    <w:jc w:val="center"/>
                    <w:rPr>
                      <w:color w:val="000000"/>
                      <w:sz w:val="20"/>
                      <w:szCs w:val="20"/>
                    </w:rPr>
                  </w:pPr>
                  <w:r w:rsidRPr="004D11BE">
                    <w:rPr>
                      <w:color w:val="000000"/>
                      <w:sz w:val="20"/>
                      <w:szCs w:val="20"/>
                    </w:rPr>
                    <w:t>-3.7, -1.1</w:t>
                  </w:r>
                </w:p>
              </w:tc>
              <w:tc>
                <w:tcPr>
                  <w:tcW w:w="0" w:type="auto"/>
                  <w:tcBorders>
                    <w:top w:val="nil"/>
                    <w:left w:val="nil"/>
                    <w:bottom w:val="nil"/>
                  </w:tcBorders>
                  <w:vAlign w:val="center"/>
                </w:tcPr>
                <w:p w14:paraId="5CC1D40C" w14:textId="77777777" w:rsidR="00F55E6A" w:rsidRPr="004D11BE" w:rsidRDefault="00F55E6A" w:rsidP="0041177B">
                  <w:pPr>
                    <w:spacing w:after="0" w:line="240" w:lineRule="auto"/>
                    <w:jc w:val="center"/>
                    <w:rPr>
                      <w:color w:val="000000"/>
                      <w:sz w:val="20"/>
                      <w:szCs w:val="20"/>
                    </w:rPr>
                  </w:pPr>
                  <w:r w:rsidRPr="004D11BE">
                    <w:rPr>
                      <w:rFonts w:eastAsia="Times New Roman" w:cs="Times New Roman"/>
                      <w:color w:val="000000"/>
                      <w:kern w:val="0"/>
                      <w:sz w:val="20"/>
                      <w:szCs w:val="20"/>
                      <w:lang w:eastAsia="en-GB"/>
                      <w14:ligatures w14:val="none"/>
                    </w:rPr>
                    <w:t>down</w:t>
                  </w:r>
                </w:p>
              </w:tc>
            </w:tr>
          </w:tbl>
          <w:p w14:paraId="389E1718" w14:textId="77777777" w:rsidR="00F55E6A" w:rsidRPr="000470B3" w:rsidRDefault="00F55E6A" w:rsidP="0041177B">
            <w:pPr>
              <w:jc w:val="center"/>
              <w:rPr>
                <w:rFonts w:eastAsia="Times New Roman" w:cs="Times New Roman"/>
                <w:b/>
                <w:bCs/>
                <w:color w:val="000000"/>
                <w:sz w:val="14"/>
                <w:szCs w:val="14"/>
                <w:u w:val="single"/>
                <w:lang w:eastAsia="en-GB"/>
              </w:rPr>
            </w:pPr>
          </w:p>
        </w:tc>
      </w:tr>
      <w:tr w:rsidR="00F55E6A" w:rsidRPr="000470B3" w14:paraId="2B13E245" w14:textId="77777777" w:rsidTr="0041177B">
        <w:trPr>
          <w:trHeight w:val="113"/>
        </w:trPr>
        <w:tc>
          <w:tcPr>
            <w:tcW w:w="9866" w:type="dxa"/>
            <w:vAlign w:val="center"/>
          </w:tcPr>
          <w:p w14:paraId="32319A81" w14:textId="77777777" w:rsidR="00F55E6A" w:rsidRPr="000470B3" w:rsidRDefault="00F55E6A" w:rsidP="0041177B">
            <w:pPr>
              <w:pBdr>
                <w:bottom w:val="single" w:sz="4" w:space="1" w:color="auto"/>
              </w:pBdr>
              <w:rPr>
                <w:rFonts w:asciiTheme="minorHAnsi" w:hAnsiTheme="minorHAnsi"/>
                <w:bCs/>
                <w:sz w:val="18"/>
                <w:szCs w:val="16"/>
              </w:rPr>
            </w:pPr>
            <w:r w:rsidRPr="000470B3">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340125CC" w14:textId="77777777" w:rsidR="00F55E6A" w:rsidRPr="000470B3" w:rsidRDefault="00F55E6A" w:rsidP="0041177B">
            <w:pPr>
              <w:rPr>
                <w:rFonts w:asciiTheme="minorHAnsi" w:hAnsiTheme="minorHAnsi"/>
                <w:b/>
                <w:bCs/>
                <w:noProof/>
                <w:sz w:val="14"/>
                <w:szCs w:val="14"/>
                <w:u w:val="single"/>
              </w:rPr>
            </w:pPr>
          </w:p>
        </w:tc>
      </w:tr>
    </w:tbl>
    <w:p w14:paraId="34DC3EC5" w14:textId="77777777" w:rsidR="00F55E6A" w:rsidRPr="00325650" w:rsidRDefault="00F55E6A" w:rsidP="00F55E6A">
      <w:pPr>
        <w:spacing w:after="0" w:line="240" w:lineRule="auto"/>
      </w:pPr>
      <w:r w:rsidRPr="00325650">
        <w:t xml:space="preserve">  </w:t>
      </w:r>
    </w:p>
    <w:p w14:paraId="0060CCE8" w14:textId="77777777" w:rsidR="00F55E6A" w:rsidRDefault="00F55E6A" w:rsidP="00F55E6A">
      <w:pPr>
        <w:spacing w:after="0" w:line="240" w:lineRule="auto"/>
        <w:sectPr w:rsidR="00F55E6A" w:rsidSect="002746C0">
          <w:pgSz w:w="11906" w:h="16838"/>
          <w:pgMar w:top="1440" w:right="1440" w:bottom="1440" w:left="1440" w:header="708" w:footer="708" w:gutter="0"/>
          <w:cols w:space="708"/>
          <w:docGrid w:linePitch="360"/>
        </w:sectPr>
      </w:pPr>
    </w:p>
    <w:p w14:paraId="1CA1A2BF" w14:textId="77777777" w:rsidR="00F55E6A" w:rsidRPr="000C58A6" w:rsidRDefault="00F55E6A" w:rsidP="00F55E6A">
      <w:pPr>
        <w:pStyle w:val="Heading2"/>
        <w:spacing w:before="0" w:after="0" w:line="240" w:lineRule="auto"/>
      </w:pPr>
      <w:bookmarkStart w:id="281" w:name="_Toc197557132"/>
      <w:bookmarkStart w:id="282" w:name="_Toc201512523"/>
      <w:r w:rsidRPr="000C58A6">
        <w:t>Survival</w:t>
      </w:r>
      <w:bookmarkEnd w:id="281"/>
      <w:bookmarkEnd w:id="282"/>
      <w:r w:rsidRPr="000C58A6">
        <w:t xml:space="preserve"> </w:t>
      </w:r>
    </w:p>
    <w:p w14:paraId="7FED3148" w14:textId="58C11840" w:rsidR="00F55E6A" w:rsidRDefault="00F55E6A" w:rsidP="00F55E6A">
      <w:pPr>
        <w:spacing w:after="0" w:line="240" w:lineRule="auto"/>
        <w:rPr>
          <w:rFonts w:cstheme="minorHAnsi"/>
        </w:rPr>
      </w:pPr>
      <w:bookmarkStart w:id="283" w:name="_Hlk196492772"/>
      <w:r w:rsidRPr="000C58A6">
        <w:rPr>
          <w:rFonts w:cstheme="minorHAnsi"/>
        </w:rPr>
        <w:t xml:space="preserve">For </w:t>
      </w:r>
      <w:r>
        <w:rPr>
          <w:rFonts w:cstheme="minorHAnsi"/>
        </w:rPr>
        <w:t>laryngeal</w:t>
      </w:r>
      <w:r w:rsidRPr="000C58A6">
        <w:rPr>
          <w:rFonts w:cstheme="minorHAnsi"/>
        </w:rPr>
        <w:t xml:space="preserve"> cancer in Ireland overall 5-year net survival was </w:t>
      </w:r>
      <w:r>
        <w:rPr>
          <w:rFonts w:cstheme="minorHAnsi"/>
        </w:rPr>
        <w:t>64</w:t>
      </w:r>
      <w:r w:rsidRPr="000C58A6">
        <w:rPr>
          <w:rFonts w:cstheme="minorHAnsi"/>
        </w:rPr>
        <w:t xml:space="preserve">% for cases diagnosed during 2019-2022 (Figure </w:t>
      </w:r>
      <w:r w:rsidR="00305CC4">
        <w:rPr>
          <w:rFonts w:cstheme="minorHAnsi"/>
        </w:rPr>
        <w:t>14.6</w:t>
      </w:r>
      <w:r w:rsidRPr="000C58A6">
        <w:rPr>
          <w:rFonts w:cstheme="minorHAnsi"/>
        </w:rPr>
        <w:t>). 5-year net survival for 2019-202</w:t>
      </w:r>
      <w:r>
        <w:rPr>
          <w:rFonts w:cstheme="minorHAnsi"/>
        </w:rPr>
        <w:t xml:space="preserve">2 was the same for males and females. There was greater variability in survival estimates for females over time likely reflecting fewer cases of laryngeal cancer in females. </w:t>
      </w:r>
    </w:p>
    <w:bookmarkEnd w:id="283"/>
    <w:p w14:paraId="498892B6" w14:textId="77777777" w:rsidR="00F55E6A" w:rsidRDefault="00F55E6A" w:rsidP="00F55E6A">
      <w:pPr>
        <w:spacing w:after="0" w:line="240" w:lineRule="auto"/>
        <w:rPr>
          <w:rFonts w:cstheme="minorHAnsi"/>
        </w:rPr>
      </w:pPr>
    </w:p>
    <w:tbl>
      <w:tblPr>
        <w:tblStyle w:val="TableGrid"/>
        <w:tblW w:w="9452" w:type="dxa"/>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3151"/>
        <w:gridCol w:w="3151"/>
      </w:tblGrid>
      <w:tr w:rsidR="00F55E6A" w:rsidRPr="000470B3" w14:paraId="6E6B8AC1" w14:textId="77777777" w:rsidTr="0041177B">
        <w:trPr>
          <w:trHeight w:val="113"/>
        </w:trPr>
        <w:tc>
          <w:tcPr>
            <w:tcW w:w="9452" w:type="dxa"/>
            <w:gridSpan w:val="3"/>
            <w:shd w:val="clear" w:color="auto" w:fill="002060"/>
          </w:tcPr>
          <w:p w14:paraId="17713E31" w14:textId="43F78DE8" w:rsidR="00F55E6A" w:rsidRPr="00305CC4" w:rsidRDefault="00F55E6A" w:rsidP="0041177B">
            <w:pPr>
              <w:rPr>
                <w:rFonts w:asciiTheme="minorHAnsi" w:hAnsiTheme="minorHAnsi" w:cstheme="minorHAnsi"/>
                <w:b/>
                <w:bCs/>
              </w:rPr>
            </w:pPr>
            <w:r w:rsidRPr="00305CC4">
              <w:rPr>
                <w:rFonts w:asciiTheme="minorHAnsi" w:hAnsiTheme="minorHAnsi" w:cstheme="minorHAnsi"/>
                <w:b/>
                <w:bCs/>
              </w:rPr>
              <w:t xml:space="preserve">Figure </w:t>
            </w:r>
            <w:r w:rsidR="00305CC4" w:rsidRPr="00305CC4">
              <w:rPr>
                <w:rFonts w:asciiTheme="minorHAnsi" w:hAnsiTheme="minorHAnsi" w:cstheme="minorHAnsi"/>
                <w:b/>
                <w:bCs/>
              </w:rPr>
              <w:t xml:space="preserve">14.6: </w:t>
            </w:r>
            <w:r w:rsidRPr="00305CC4">
              <w:rPr>
                <w:rFonts w:asciiTheme="minorHAnsi" w:hAnsiTheme="minorHAnsi" w:cstheme="minorHAnsi"/>
                <w:b/>
                <w:bCs/>
              </w:rPr>
              <w:t>Age-standardised 5-year net survival (%) for laryngeal cancer over six consecutive diagnosis periods</w:t>
            </w:r>
          </w:p>
        </w:tc>
      </w:tr>
      <w:tr w:rsidR="00F55E6A" w:rsidRPr="000470B3" w14:paraId="2F96B374" w14:textId="77777777" w:rsidTr="0041177B">
        <w:trPr>
          <w:trHeight w:val="113"/>
        </w:trPr>
        <w:tc>
          <w:tcPr>
            <w:tcW w:w="2934" w:type="dxa"/>
            <w:shd w:val="clear" w:color="auto" w:fill="auto"/>
          </w:tcPr>
          <w:p w14:paraId="2EB70DB8" w14:textId="77777777" w:rsidR="00F55E6A" w:rsidRPr="000470B3" w:rsidRDefault="00F55E6A" w:rsidP="0041177B">
            <w:pPr>
              <w:jc w:val="center"/>
              <w:rPr>
                <w:rFonts w:asciiTheme="minorHAnsi" w:hAnsiTheme="minorHAnsi" w:cstheme="minorHAnsi"/>
                <w:color w:val="000000" w:themeColor="text1"/>
              </w:rPr>
            </w:pPr>
            <w:r w:rsidRPr="000470B3">
              <w:rPr>
                <w:rFonts w:asciiTheme="minorHAnsi" w:hAnsiTheme="minorHAnsi" w:cstheme="minorHAnsi"/>
                <w:color w:val="000000" w:themeColor="text1"/>
              </w:rPr>
              <w:t>Total</w:t>
            </w:r>
          </w:p>
        </w:tc>
        <w:tc>
          <w:tcPr>
            <w:tcW w:w="3259" w:type="dxa"/>
            <w:shd w:val="clear" w:color="auto" w:fill="auto"/>
          </w:tcPr>
          <w:p w14:paraId="3F960C35" w14:textId="77777777" w:rsidR="00F55E6A" w:rsidRPr="000470B3" w:rsidRDefault="00F55E6A" w:rsidP="0041177B">
            <w:pPr>
              <w:jc w:val="center"/>
              <w:rPr>
                <w:rFonts w:asciiTheme="minorHAnsi" w:hAnsiTheme="minorHAnsi" w:cstheme="minorHAnsi"/>
                <w:color w:val="000000" w:themeColor="text1"/>
              </w:rPr>
            </w:pPr>
            <w:r w:rsidRPr="000470B3">
              <w:rPr>
                <w:rFonts w:asciiTheme="minorHAnsi" w:hAnsiTheme="minorHAnsi" w:cstheme="minorHAnsi"/>
                <w:color w:val="000000" w:themeColor="text1"/>
              </w:rPr>
              <w:t>Males</w:t>
            </w:r>
          </w:p>
        </w:tc>
        <w:tc>
          <w:tcPr>
            <w:tcW w:w="3259" w:type="dxa"/>
          </w:tcPr>
          <w:p w14:paraId="7A5F2837" w14:textId="77777777" w:rsidR="00F55E6A" w:rsidRPr="000470B3" w:rsidRDefault="00F55E6A" w:rsidP="0041177B">
            <w:pPr>
              <w:jc w:val="center"/>
              <w:rPr>
                <w:rFonts w:asciiTheme="minorHAnsi" w:hAnsiTheme="minorHAnsi" w:cstheme="minorHAnsi"/>
                <w:color w:val="000000" w:themeColor="text1"/>
              </w:rPr>
            </w:pPr>
            <w:r w:rsidRPr="000470B3">
              <w:rPr>
                <w:rFonts w:asciiTheme="minorHAnsi" w:hAnsiTheme="minorHAnsi" w:cstheme="minorHAnsi"/>
                <w:color w:val="000000" w:themeColor="text1"/>
              </w:rPr>
              <w:t>Females</w:t>
            </w:r>
          </w:p>
        </w:tc>
      </w:tr>
      <w:tr w:rsidR="00F55E6A" w:rsidRPr="000470B3" w14:paraId="73C30205" w14:textId="77777777" w:rsidTr="0041177B">
        <w:trPr>
          <w:trHeight w:val="113"/>
        </w:trPr>
        <w:tc>
          <w:tcPr>
            <w:tcW w:w="2934" w:type="dxa"/>
            <w:shd w:val="clear" w:color="auto" w:fill="auto"/>
          </w:tcPr>
          <w:p w14:paraId="436F2B27" w14:textId="77777777" w:rsidR="00F55E6A" w:rsidRPr="000470B3" w:rsidRDefault="00F55E6A" w:rsidP="0041177B">
            <w:pPr>
              <w:rPr>
                <w:rFonts w:asciiTheme="minorHAnsi" w:eastAsia="Times New Roman" w:hAnsiTheme="minorHAnsi" w:cs="Times New Roman"/>
                <w:lang w:eastAsia="en-GB"/>
              </w:rPr>
            </w:pPr>
            <w:r w:rsidRPr="000470B3">
              <w:rPr>
                <w:rFonts w:eastAsia="Times New Roman" w:cs="Times New Roman"/>
                <w:noProof/>
                <w:lang w:eastAsia="en-GB"/>
              </w:rPr>
              <w:drawing>
                <wp:inline distT="0" distB="0" distL="0" distR="0" wp14:anchorId="12DFF8AE" wp14:editId="5B5F4F04">
                  <wp:extent cx="2326845" cy="1440000"/>
                  <wp:effectExtent l="0" t="0" r="0" b="8255"/>
                  <wp:docPr id="1417851352" name="Picture 12" descr="A graph with numbers and a number of percent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51352" name="Picture 12" descr="A graph with numbers and a number of percentages&#10;&#10;AI-generated content may be incorrect."/>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326845" cy="1440000"/>
                          </a:xfrm>
                          <a:prstGeom prst="rect">
                            <a:avLst/>
                          </a:prstGeom>
                          <a:noFill/>
                          <a:ln>
                            <a:noFill/>
                          </a:ln>
                        </pic:spPr>
                      </pic:pic>
                    </a:graphicData>
                  </a:graphic>
                </wp:inline>
              </w:drawing>
            </w:r>
          </w:p>
        </w:tc>
        <w:tc>
          <w:tcPr>
            <w:tcW w:w="3259" w:type="dxa"/>
            <w:shd w:val="clear" w:color="auto" w:fill="auto"/>
          </w:tcPr>
          <w:p w14:paraId="1AD751FC" w14:textId="77777777" w:rsidR="00F55E6A" w:rsidRPr="000470B3" w:rsidRDefault="00F55E6A" w:rsidP="0041177B">
            <w:pPr>
              <w:rPr>
                <w:rFonts w:asciiTheme="minorHAnsi" w:hAnsiTheme="minorHAnsi" w:cstheme="minorHAnsi"/>
                <w:color w:val="000000" w:themeColor="text1"/>
                <w:lang w:val="en-GB"/>
              </w:rPr>
            </w:pPr>
            <w:r w:rsidRPr="000470B3">
              <w:rPr>
                <w:rFonts w:eastAsia="Times New Roman" w:cs="Times New Roman"/>
                <w:noProof/>
                <w:lang w:eastAsia="en-GB"/>
              </w:rPr>
              <w:drawing>
                <wp:inline distT="0" distB="0" distL="0" distR="0" wp14:anchorId="6DA416D5" wp14:editId="1D302745">
                  <wp:extent cx="2326845" cy="1440000"/>
                  <wp:effectExtent l="0" t="0" r="0" b="8255"/>
                  <wp:docPr id="1283240324" name="Picture 16" descr="A graph with numbers and a number of percent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40324" name="Picture 16" descr="A graph with numbers and a number of percentages&#10;&#10;AI-generated content may be incorrect."/>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326845" cy="1440000"/>
                          </a:xfrm>
                          <a:prstGeom prst="rect">
                            <a:avLst/>
                          </a:prstGeom>
                          <a:noFill/>
                          <a:ln>
                            <a:noFill/>
                          </a:ln>
                        </pic:spPr>
                      </pic:pic>
                    </a:graphicData>
                  </a:graphic>
                </wp:inline>
              </w:drawing>
            </w:r>
          </w:p>
        </w:tc>
        <w:tc>
          <w:tcPr>
            <w:tcW w:w="3259" w:type="dxa"/>
          </w:tcPr>
          <w:p w14:paraId="5170E9B7" w14:textId="77777777" w:rsidR="00F55E6A" w:rsidRPr="000470B3" w:rsidRDefault="00F55E6A" w:rsidP="0041177B">
            <w:pPr>
              <w:rPr>
                <w:rFonts w:asciiTheme="minorHAnsi" w:hAnsiTheme="minorHAnsi" w:cstheme="minorHAnsi"/>
                <w:color w:val="000000" w:themeColor="text1"/>
              </w:rPr>
            </w:pPr>
            <w:r w:rsidRPr="000470B3">
              <w:rPr>
                <w:rFonts w:eastAsia="Times New Roman" w:cs="Times New Roman"/>
                <w:noProof/>
                <w:lang w:eastAsia="en-GB"/>
              </w:rPr>
              <w:drawing>
                <wp:inline distT="0" distB="0" distL="0" distR="0" wp14:anchorId="45A3F654" wp14:editId="15FCC577">
                  <wp:extent cx="2326845" cy="1440000"/>
                  <wp:effectExtent l="0" t="0" r="0" b="8255"/>
                  <wp:docPr id="14" name="Picture 13" descr="A graph of a bar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graph of a bar graph&#10;&#10;AI-generated content may be incorrect."/>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326845" cy="1440000"/>
                          </a:xfrm>
                          <a:prstGeom prst="rect">
                            <a:avLst/>
                          </a:prstGeom>
                          <a:noFill/>
                          <a:ln>
                            <a:noFill/>
                          </a:ln>
                        </pic:spPr>
                      </pic:pic>
                    </a:graphicData>
                  </a:graphic>
                </wp:inline>
              </w:drawing>
            </w:r>
          </w:p>
        </w:tc>
      </w:tr>
    </w:tbl>
    <w:p w14:paraId="1B317347" w14:textId="77777777" w:rsidR="001A3B02" w:rsidRPr="001A3B02" w:rsidRDefault="001A3B02" w:rsidP="001A3B02">
      <w:bookmarkStart w:id="284" w:name="_Toc197557133"/>
    </w:p>
    <w:p w14:paraId="53202F34" w14:textId="77777777" w:rsidR="00F55E6A" w:rsidRDefault="00F55E6A" w:rsidP="00F55E6A">
      <w:pPr>
        <w:pStyle w:val="Heading2"/>
        <w:spacing w:before="0" w:after="0" w:line="240" w:lineRule="auto"/>
      </w:pPr>
      <w:bookmarkStart w:id="285" w:name="_Toc201512524"/>
      <w:r>
        <w:t>Population Attributable Fraction</w:t>
      </w:r>
      <w:bookmarkEnd w:id="284"/>
      <w:bookmarkEnd w:id="285"/>
    </w:p>
    <w:p w14:paraId="14BFB183" w14:textId="79583B94" w:rsidR="00F55E6A" w:rsidRDefault="00F55E6A" w:rsidP="00F55E6A">
      <w:pPr>
        <w:spacing w:after="0" w:line="240" w:lineRule="auto"/>
        <w:rPr>
          <w:rFonts w:cstheme="minorHAnsi"/>
        </w:rPr>
      </w:pPr>
      <w:r w:rsidRPr="00BB5FC5">
        <w:rPr>
          <w:rFonts w:cstheme="minorHAnsi"/>
        </w:rPr>
        <w:t>In 2022, 184 cases of laryngeal cancer were recorded (153 males, 31 females).</w:t>
      </w:r>
      <w:r>
        <w:rPr>
          <w:rFonts w:cstheme="minorHAnsi"/>
        </w:rPr>
        <w:t xml:space="preserve"> The estimated total number of laryngeal cancer cases attributable to smoking in Ireland in 2022 was 121 (PAF 65.9%). Table </w:t>
      </w:r>
      <w:r w:rsidR="00305CC4">
        <w:rPr>
          <w:rFonts w:cstheme="minorHAnsi"/>
        </w:rPr>
        <w:t>14.1</w:t>
      </w:r>
      <w:r>
        <w:rPr>
          <w:rFonts w:cstheme="minorHAnsi"/>
        </w:rPr>
        <w:t xml:space="preserve"> presents the difference between male and female laryngeal cancer incidence related to smoking.</w:t>
      </w:r>
      <w:r>
        <w:t xml:space="preserve"> </w:t>
      </w:r>
      <w:r>
        <w:rPr>
          <w:rFonts w:cstheme="minorHAnsi"/>
        </w:rPr>
        <w:t>Males had a higher PAF than females, 66.5% vs 62.9%.</w:t>
      </w:r>
    </w:p>
    <w:p w14:paraId="1909BD58" w14:textId="77777777" w:rsidR="00F55E6A" w:rsidRDefault="00F55E6A" w:rsidP="00F55E6A">
      <w:pPr>
        <w:spacing w:after="0" w:line="240" w:lineRule="auto"/>
        <w:rPr>
          <w:rFonts w:cstheme="minorHAnsi"/>
        </w:rPr>
      </w:pPr>
    </w:p>
    <w:tbl>
      <w:tblPr>
        <w:tblStyle w:val="TableGrid"/>
        <w:tblW w:w="5239" w:type="pct"/>
        <w:tblInd w:w="-431" w:type="dxa"/>
        <w:tblLook w:val="04A0" w:firstRow="1" w:lastRow="0" w:firstColumn="1" w:lastColumn="0" w:noHBand="0" w:noVBand="1"/>
      </w:tblPr>
      <w:tblGrid>
        <w:gridCol w:w="2465"/>
        <w:gridCol w:w="2299"/>
        <w:gridCol w:w="2435"/>
        <w:gridCol w:w="2248"/>
      </w:tblGrid>
      <w:tr w:rsidR="00F55E6A" w14:paraId="26D8E96D" w14:textId="77777777">
        <w:tc>
          <w:tcPr>
            <w:tcW w:w="5000" w:type="pct"/>
            <w:gridSpan w:val="4"/>
            <w:tcBorders>
              <w:top w:val="single" w:sz="4" w:space="0" w:color="auto"/>
              <w:left w:val="single" w:sz="4" w:space="0" w:color="auto"/>
              <w:bottom w:val="single" w:sz="4" w:space="0" w:color="auto"/>
              <w:right w:val="single" w:sz="4" w:space="0" w:color="auto"/>
            </w:tcBorders>
            <w:shd w:val="clear" w:color="auto" w:fill="002060"/>
            <w:hideMark/>
          </w:tcPr>
          <w:p w14:paraId="25B188C6" w14:textId="6B4EA36B" w:rsidR="00F55E6A" w:rsidRPr="00305CC4" w:rsidRDefault="00F55E6A" w:rsidP="0041177B">
            <w:pPr>
              <w:rPr>
                <w:rFonts w:asciiTheme="minorHAnsi" w:hAnsiTheme="minorHAnsi" w:cstheme="minorHAnsi"/>
                <w:b/>
                <w:bCs/>
                <w:color w:val="FFFFFF" w:themeColor="background1"/>
              </w:rPr>
            </w:pPr>
            <w:r w:rsidRPr="00305CC4">
              <w:rPr>
                <w:rFonts w:asciiTheme="minorHAnsi" w:hAnsiTheme="minorHAnsi" w:cstheme="minorHAnsi"/>
                <w:b/>
                <w:bCs/>
                <w:color w:val="FFFFFF" w:themeColor="background1"/>
              </w:rPr>
              <w:t xml:space="preserve">Table </w:t>
            </w:r>
            <w:r w:rsidR="00305CC4" w:rsidRPr="00305CC4">
              <w:rPr>
                <w:rFonts w:asciiTheme="minorHAnsi" w:hAnsiTheme="minorHAnsi" w:cstheme="minorHAnsi"/>
                <w:b/>
                <w:bCs/>
                <w:color w:val="FFFFFF" w:themeColor="background1"/>
              </w:rPr>
              <w:t>14.1</w:t>
            </w:r>
            <w:r w:rsidRPr="00305CC4">
              <w:rPr>
                <w:rFonts w:asciiTheme="minorHAnsi" w:hAnsiTheme="minorHAnsi" w:cstheme="minorHAnsi"/>
                <w:b/>
                <w:bCs/>
                <w:color w:val="FFFFFF" w:themeColor="background1"/>
              </w:rPr>
              <w:t xml:space="preserve">: Population attributable fraction and attributable cases for </w:t>
            </w:r>
            <w:r w:rsidRPr="00305CC4">
              <w:rPr>
                <w:rFonts w:asciiTheme="minorHAnsi" w:hAnsiTheme="minorHAnsi" w:cstheme="minorHAnsi"/>
                <w:b/>
                <w:bCs/>
              </w:rPr>
              <w:t xml:space="preserve">larynx </w:t>
            </w:r>
            <w:r w:rsidRPr="00305CC4">
              <w:rPr>
                <w:rFonts w:asciiTheme="minorHAnsi" w:hAnsiTheme="minorHAnsi" w:cstheme="minorHAnsi"/>
                <w:b/>
                <w:bCs/>
                <w:color w:val="FFFFFF" w:themeColor="background1"/>
              </w:rPr>
              <w:t>cancer in 2022</w:t>
            </w:r>
          </w:p>
        </w:tc>
      </w:tr>
      <w:tr w:rsidR="00F55E6A" w14:paraId="5C8797CF" w14:textId="77777777" w:rsidTr="006C1190">
        <w:tc>
          <w:tcPr>
            <w:tcW w:w="1304" w:type="pct"/>
            <w:tcBorders>
              <w:top w:val="single" w:sz="4" w:space="0" w:color="auto"/>
              <w:left w:val="single" w:sz="4" w:space="0" w:color="auto"/>
              <w:bottom w:val="single" w:sz="4" w:space="0" w:color="auto"/>
              <w:right w:val="single" w:sz="4" w:space="0" w:color="auto"/>
            </w:tcBorders>
          </w:tcPr>
          <w:p w14:paraId="6A7FB7BD" w14:textId="77777777" w:rsidR="00F55E6A" w:rsidRDefault="00F55E6A" w:rsidP="0041177B">
            <w:pPr>
              <w:rPr>
                <w:rFonts w:asciiTheme="minorHAnsi" w:hAnsiTheme="minorHAnsi" w:cstheme="minorHAnsi"/>
              </w:rPr>
            </w:pPr>
          </w:p>
        </w:tc>
        <w:tc>
          <w:tcPr>
            <w:tcW w:w="1217" w:type="pct"/>
            <w:tcBorders>
              <w:top w:val="single" w:sz="4" w:space="0" w:color="auto"/>
              <w:left w:val="single" w:sz="4" w:space="0" w:color="auto"/>
              <w:bottom w:val="single" w:sz="4" w:space="0" w:color="auto"/>
              <w:right w:val="single" w:sz="4" w:space="0" w:color="auto"/>
            </w:tcBorders>
            <w:hideMark/>
          </w:tcPr>
          <w:p w14:paraId="40B8AFE4" w14:textId="77777777" w:rsidR="00F55E6A" w:rsidRDefault="00F55E6A" w:rsidP="0041177B">
            <w:pPr>
              <w:jc w:val="center"/>
              <w:rPr>
                <w:rFonts w:asciiTheme="minorHAnsi" w:hAnsiTheme="minorHAnsi" w:cstheme="minorHAnsi"/>
              </w:rPr>
            </w:pPr>
            <w:r>
              <w:rPr>
                <w:rFonts w:asciiTheme="minorHAnsi" w:hAnsiTheme="minorHAnsi" w:cstheme="minorHAnsi"/>
              </w:rPr>
              <w:t>Total</w:t>
            </w:r>
          </w:p>
        </w:tc>
        <w:tc>
          <w:tcPr>
            <w:tcW w:w="1289" w:type="pct"/>
            <w:tcBorders>
              <w:top w:val="single" w:sz="4" w:space="0" w:color="auto"/>
              <w:left w:val="single" w:sz="4" w:space="0" w:color="auto"/>
              <w:bottom w:val="single" w:sz="4" w:space="0" w:color="auto"/>
              <w:right w:val="single" w:sz="4" w:space="0" w:color="auto"/>
            </w:tcBorders>
            <w:hideMark/>
          </w:tcPr>
          <w:p w14:paraId="08409CB1" w14:textId="77777777" w:rsidR="00F55E6A" w:rsidRDefault="00F55E6A" w:rsidP="0041177B">
            <w:pPr>
              <w:jc w:val="center"/>
              <w:rPr>
                <w:rFonts w:asciiTheme="minorHAnsi" w:hAnsiTheme="minorHAnsi" w:cstheme="minorHAnsi"/>
              </w:rPr>
            </w:pPr>
            <w:r>
              <w:rPr>
                <w:rFonts w:asciiTheme="minorHAnsi" w:hAnsiTheme="minorHAnsi" w:cstheme="minorHAnsi"/>
              </w:rPr>
              <w:t>Males</w:t>
            </w:r>
          </w:p>
        </w:tc>
        <w:tc>
          <w:tcPr>
            <w:tcW w:w="1191" w:type="pct"/>
            <w:tcBorders>
              <w:top w:val="single" w:sz="4" w:space="0" w:color="auto"/>
              <w:left w:val="single" w:sz="4" w:space="0" w:color="auto"/>
              <w:bottom w:val="single" w:sz="4" w:space="0" w:color="auto"/>
              <w:right w:val="single" w:sz="4" w:space="0" w:color="auto"/>
            </w:tcBorders>
            <w:hideMark/>
          </w:tcPr>
          <w:p w14:paraId="31C7E421" w14:textId="77777777" w:rsidR="00F55E6A" w:rsidRDefault="00F55E6A" w:rsidP="0041177B">
            <w:pPr>
              <w:jc w:val="center"/>
              <w:rPr>
                <w:rFonts w:asciiTheme="minorHAnsi" w:hAnsiTheme="minorHAnsi" w:cstheme="minorHAnsi"/>
              </w:rPr>
            </w:pPr>
            <w:r>
              <w:rPr>
                <w:rFonts w:asciiTheme="minorHAnsi" w:hAnsiTheme="minorHAnsi" w:cstheme="minorHAnsi"/>
              </w:rPr>
              <w:t>Females</w:t>
            </w:r>
          </w:p>
        </w:tc>
      </w:tr>
      <w:tr w:rsidR="00F55E6A" w14:paraId="53A4A548" w14:textId="77777777" w:rsidTr="006C1190">
        <w:tc>
          <w:tcPr>
            <w:tcW w:w="1304" w:type="pct"/>
            <w:tcBorders>
              <w:top w:val="single" w:sz="4" w:space="0" w:color="auto"/>
              <w:left w:val="single" w:sz="4" w:space="0" w:color="auto"/>
              <w:bottom w:val="single" w:sz="4" w:space="0" w:color="auto"/>
              <w:right w:val="single" w:sz="4" w:space="0" w:color="auto"/>
            </w:tcBorders>
            <w:hideMark/>
          </w:tcPr>
          <w:p w14:paraId="58D7C786" w14:textId="77777777" w:rsidR="00F55E6A" w:rsidRPr="004A5AD0" w:rsidRDefault="00F55E6A" w:rsidP="0041177B">
            <w:pPr>
              <w:rPr>
                <w:rFonts w:asciiTheme="minorHAnsi" w:hAnsiTheme="minorHAnsi" w:cstheme="minorHAnsi"/>
              </w:rPr>
            </w:pPr>
            <w:r w:rsidRPr="004A5AD0">
              <w:rPr>
                <w:rFonts w:asciiTheme="minorHAnsi" w:hAnsiTheme="minorHAnsi" w:cstheme="minorHAnsi"/>
              </w:rPr>
              <w:t>PAF (%)</w:t>
            </w:r>
          </w:p>
        </w:tc>
        <w:tc>
          <w:tcPr>
            <w:tcW w:w="1217" w:type="pct"/>
            <w:tcBorders>
              <w:top w:val="single" w:sz="4" w:space="0" w:color="auto"/>
              <w:left w:val="single" w:sz="4" w:space="0" w:color="auto"/>
              <w:bottom w:val="single" w:sz="4" w:space="0" w:color="auto"/>
              <w:right w:val="single" w:sz="4" w:space="0" w:color="auto"/>
            </w:tcBorders>
            <w:hideMark/>
          </w:tcPr>
          <w:p w14:paraId="690E4C06" w14:textId="77777777" w:rsidR="00F55E6A" w:rsidRPr="004A5AD0" w:rsidRDefault="00F55E6A" w:rsidP="0041177B">
            <w:pPr>
              <w:jc w:val="center"/>
              <w:rPr>
                <w:rFonts w:asciiTheme="minorHAnsi" w:hAnsiTheme="minorHAnsi" w:cstheme="minorHAnsi"/>
              </w:rPr>
            </w:pPr>
            <w:r w:rsidRPr="004A5AD0">
              <w:rPr>
                <w:rFonts w:asciiTheme="minorHAnsi" w:hAnsiTheme="minorHAnsi" w:cstheme="minorHAnsi"/>
              </w:rPr>
              <w:t>65.9</w:t>
            </w:r>
          </w:p>
        </w:tc>
        <w:tc>
          <w:tcPr>
            <w:tcW w:w="1289" w:type="pct"/>
            <w:tcBorders>
              <w:top w:val="single" w:sz="4" w:space="0" w:color="auto"/>
              <w:left w:val="single" w:sz="4" w:space="0" w:color="auto"/>
              <w:bottom w:val="single" w:sz="4" w:space="0" w:color="auto"/>
              <w:right w:val="single" w:sz="4" w:space="0" w:color="auto"/>
            </w:tcBorders>
            <w:hideMark/>
          </w:tcPr>
          <w:p w14:paraId="6487750B" w14:textId="77777777" w:rsidR="00F55E6A" w:rsidRPr="004A5AD0" w:rsidRDefault="00F55E6A" w:rsidP="0041177B">
            <w:pPr>
              <w:jc w:val="center"/>
              <w:rPr>
                <w:rFonts w:asciiTheme="minorHAnsi" w:hAnsiTheme="minorHAnsi" w:cstheme="minorHAnsi"/>
              </w:rPr>
            </w:pPr>
            <w:r w:rsidRPr="004A5AD0">
              <w:rPr>
                <w:rFonts w:asciiTheme="minorHAnsi" w:hAnsiTheme="minorHAnsi" w:cstheme="minorHAnsi"/>
              </w:rPr>
              <w:t>66.5</w:t>
            </w:r>
          </w:p>
        </w:tc>
        <w:tc>
          <w:tcPr>
            <w:tcW w:w="1191" w:type="pct"/>
            <w:tcBorders>
              <w:top w:val="single" w:sz="4" w:space="0" w:color="auto"/>
              <w:left w:val="single" w:sz="4" w:space="0" w:color="auto"/>
              <w:bottom w:val="single" w:sz="4" w:space="0" w:color="auto"/>
              <w:right w:val="single" w:sz="4" w:space="0" w:color="auto"/>
            </w:tcBorders>
            <w:hideMark/>
          </w:tcPr>
          <w:p w14:paraId="3BA2124B" w14:textId="77777777" w:rsidR="00F55E6A" w:rsidRPr="004A5AD0" w:rsidRDefault="00F55E6A" w:rsidP="0041177B">
            <w:pPr>
              <w:jc w:val="center"/>
              <w:rPr>
                <w:rFonts w:asciiTheme="minorHAnsi" w:hAnsiTheme="minorHAnsi" w:cstheme="minorHAnsi"/>
              </w:rPr>
            </w:pPr>
            <w:r w:rsidRPr="004A5AD0">
              <w:rPr>
                <w:rFonts w:asciiTheme="minorHAnsi" w:hAnsiTheme="minorHAnsi" w:cstheme="minorHAnsi"/>
              </w:rPr>
              <w:t>62.9</w:t>
            </w:r>
          </w:p>
        </w:tc>
      </w:tr>
      <w:tr w:rsidR="004A5AD0" w14:paraId="4AD83FFD" w14:textId="77777777" w:rsidTr="006C1190">
        <w:tc>
          <w:tcPr>
            <w:tcW w:w="1304" w:type="pct"/>
            <w:tcBorders>
              <w:top w:val="single" w:sz="4" w:space="0" w:color="auto"/>
              <w:left w:val="single" w:sz="4" w:space="0" w:color="auto"/>
              <w:bottom w:val="single" w:sz="4" w:space="0" w:color="auto"/>
              <w:right w:val="single" w:sz="4" w:space="0" w:color="auto"/>
            </w:tcBorders>
          </w:tcPr>
          <w:p w14:paraId="6B8C75E4" w14:textId="62488FF5" w:rsidR="004A5AD0" w:rsidRPr="006C1190" w:rsidRDefault="004A5AD0" w:rsidP="0041177B">
            <w:pPr>
              <w:rPr>
                <w:rFonts w:asciiTheme="minorHAnsi" w:hAnsiTheme="minorHAnsi" w:cstheme="minorHAnsi"/>
              </w:rPr>
            </w:pPr>
            <w:r w:rsidRPr="007F6D97">
              <w:rPr>
                <w:rFonts w:asciiTheme="minorHAnsi" w:hAnsiTheme="minorHAnsi" w:cstheme="minorHAnsi"/>
              </w:rPr>
              <w:t>Total cases</w:t>
            </w:r>
          </w:p>
        </w:tc>
        <w:tc>
          <w:tcPr>
            <w:tcW w:w="1217" w:type="pct"/>
            <w:tcBorders>
              <w:top w:val="single" w:sz="4" w:space="0" w:color="auto"/>
              <w:left w:val="single" w:sz="4" w:space="0" w:color="auto"/>
              <w:bottom w:val="single" w:sz="4" w:space="0" w:color="auto"/>
              <w:right w:val="single" w:sz="4" w:space="0" w:color="auto"/>
            </w:tcBorders>
          </w:tcPr>
          <w:p w14:paraId="06939F99" w14:textId="73EBA9AD" w:rsidR="004A5AD0" w:rsidRPr="006C1190" w:rsidRDefault="00BF5C2E" w:rsidP="0041177B">
            <w:pPr>
              <w:jc w:val="center"/>
              <w:rPr>
                <w:rFonts w:asciiTheme="minorHAnsi" w:hAnsiTheme="minorHAnsi" w:cstheme="minorHAnsi"/>
              </w:rPr>
            </w:pPr>
            <w:r>
              <w:rPr>
                <w:rFonts w:asciiTheme="minorHAnsi" w:hAnsiTheme="minorHAnsi" w:cstheme="minorHAnsi"/>
              </w:rPr>
              <w:t>184</w:t>
            </w:r>
          </w:p>
        </w:tc>
        <w:tc>
          <w:tcPr>
            <w:tcW w:w="1289" w:type="pct"/>
            <w:tcBorders>
              <w:top w:val="single" w:sz="4" w:space="0" w:color="auto"/>
              <w:left w:val="single" w:sz="4" w:space="0" w:color="auto"/>
              <w:bottom w:val="single" w:sz="4" w:space="0" w:color="auto"/>
              <w:right w:val="single" w:sz="4" w:space="0" w:color="auto"/>
            </w:tcBorders>
          </w:tcPr>
          <w:p w14:paraId="685E561E" w14:textId="713A28FB" w:rsidR="004A5AD0" w:rsidRPr="006C1190" w:rsidRDefault="00BF5C2E" w:rsidP="0041177B">
            <w:pPr>
              <w:jc w:val="center"/>
              <w:rPr>
                <w:rFonts w:asciiTheme="minorHAnsi" w:hAnsiTheme="minorHAnsi" w:cstheme="minorHAnsi"/>
              </w:rPr>
            </w:pPr>
            <w:r>
              <w:rPr>
                <w:rFonts w:asciiTheme="minorHAnsi" w:hAnsiTheme="minorHAnsi" w:cstheme="minorHAnsi"/>
              </w:rPr>
              <w:t>153</w:t>
            </w:r>
          </w:p>
        </w:tc>
        <w:tc>
          <w:tcPr>
            <w:tcW w:w="1191" w:type="pct"/>
            <w:tcBorders>
              <w:top w:val="single" w:sz="4" w:space="0" w:color="auto"/>
              <w:left w:val="single" w:sz="4" w:space="0" w:color="auto"/>
              <w:bottom w:val="single" w:sz="4" w:space="0" w:color="auto"/>
              <w:right w:val="single" w:sz="4" w:space="0" w:color="auto"/>
            </w:tcBorders>
          </w:tcPr>
          <w:p w14:paraId="061ABD2E" w14:textId="5B6A0111" w:rsidR="004A5AD0" w:rsidRPr="006C1190" w:rsidRDefault="00BF5C2E" w:rsidP="0041177B">
            <w:pPr>
              <w:jc w:val="center"/>
              <w:rPr>
                <w:rFonts w:asciiTheme="minorHAnsi" w:hAnsiTheme="minorHAnsi" w:cstheme="minorHAnsi"/>
              </w:rPr>
            </w:pPr>
            <w:r>
              <w:rPr>
                <w:rFonts w:asciiTheme="minorHAnsi" w:hAnsiTheme="minorHAnsi" w:cstheme="minorHAnsi"/>
              </w:rPr>
              <w:t>31</w:t>
            </w:r>
          </w:p>
        </w:tc>
      </w:tr>
      <w:tr w:rsidR="00F55E6A" w14:paraId="0AAA4B07" w14:textId="77777777" w:rsidTr="006C1190">
        <w:tc>
          <w:tcPr>
            <w:tcW w:w="1304" w:type="pct"/>
            <w:tcBorders>
              <w:top w:val="single" w:sz="4" w:space="0" w:color="auto"/>
              <w:left w:val="single" w:sz="4" w:space="0" w:color="auto"/>
              <w:bottom w:val="single" w:sz="4" w:space="0" w:color="auto"/>
              <w:right w:val="single" w:sz="4" w:space="0" w:color="auto"/>
            </w:tcBorders>
            <w:hideMark/>
          </w:tcPr>
          <w:p w14:paraId="6E65936B" w14:textId="77777777" w:rsidR="00F55E6A" w:rsidRPr="004A5AD0" w:rsidRDefault="00F55E6A" w:rsidP="0041177B">
            <w:pPr>
              <w:rPr>
                <w:rFonts w:asciiTheme="minorHAnsi" w:hAnsiTheme="minorHAnsi" w:cstheme="minorHAnsi"/>
              </w:rPr>
            </w:pPr>
            <w:r w:rsidRPr="004A5AD0">
              <w:rPr>
                <w:rFonts w:asciiTheme="minorHAnsi" w:hAnsiTheme="minorHAnsi" w:cstheme="minorHAnsi"/>
              </w:rPr>
              <w:t>Attributable cases</w:t>
            </w:r>
          </w:p>
        </w:tc>
        <w:tc>
          <w:tcPr>
            <w:tcW w:w="1217" w:type="pct"/>
            <w:tcBorders>
              <w:top w:val="single" w:sz="4" w:space="0" w:color="auto"/>
              <w:left w:val="single" w:sz="4" w:space="0" w:color="auto"/>
              <w:bottom w:val="single" w:sz="4" w:space="0" w:color="auto"/>
              <w:right w:val="single" w:sz="4" w:space="0" w:color="auto"/>
            </w:tcBorders>
            <w:hideMark/>
          </w:tcPr>
          <w:p w14:paraId="49D56F06" w14:textId="77777777" w:rsidR="00F55E6A" w:rsidRPr="004A5AD0" w:rsidRDefault="00F55E6A" w:rsidP="0041177B">
            <w:pPr>
              <w:jc w:val="center"/>
              <w:rPr>
                <w:rFonts w:asciiTheme="minorHAnsi" w:hAnsiTheme="minorHAnsi" w:cstheme="minorHAnsi"/>
              </w:rPr>
            </w:pPr>
            <w:r w:rsidRPr="004A5AD0">
              <w:rPr>
                <w:rFonts w:asciiTheme="minorHAnsi" w:hAnsiTheme="minorHAnsi" w:cstheme="minorHAnsi"/>
              </w:rPr>
              <w:t>121</w:t>
            </w:r>
          </w:p>
        </w:tc>
        <w:tc>
          <w:tcPr>
            <w:tcW w:w="1289" w:type="pct"/>
            <w:tcBorders>
              <w:top w:val="single" w:sz="4" w:space="0" w:color="auto"/>
              <w:left w:val="single" w:sz="4" w:space="0" w:color="auto"/>
              <w:bottom w:val="single" w:sz="4" w:space="0" w:color="auto"/>
              <w:right w:val="single" w:sz="4" w:space="0" w:color="auto"/>
            </w:tcBorders>
            <w:hideMark/>
          </w:tcPr>
          <w:p w14:paraId="1C111C76" w14:textId="77777777" w:rsidR="00F55E6A" w:rsidRPr="004A5AD0" w:rsidRDefault="00F55E6A" w:rsidP="0041177B">
            <w:pPr>
              <w:jc w:val="center"/>
              <w:rPr>
                <w:rFonts w:asciiTheme="minorHAnsi" w:hAnsiTheme="minorHAnsi" w:cstheme="minorHAnsi"/>
              </w:rPr>
            </w:pPr>
            <w:r w:rsidRPr="004A5AD0">
              <w:rPr>
                <w:rFonts w:asciiTheme="minorHAnsi" w:hAnsiTheme="minorHAnsi" w:cstheme="minorHAnsi"/>
              </w:rPr>
              <w:t>102</w:t>
            </w:r>
          </w:p>
        </w:tc>
        <w:tc>
          <w:tcPr>
            <w:tcW w:w="1191" w:type="pct"/>
            <w:tcBorders>
              <w:top w:val="single" w:sz="4" w:space="0" w:color="auto"/>
              <w:left w:val="single" w:sz="4" w:space="0" w:color="auto"/>
              <w:bottom w:val="single" w:sz="4" w:space="0" w:color="auto"/>
              <w:right w:val="single" w:sz="4" w:space="0" w:color="auto"/>
            </w:tcBorders>
            <w:hideMark/>
          </w:tcPr>
          <w:p w14:paraId="577DA831" w14:textId="77777777" w:rsidR="00F55E6A" w:rsidRPr="004A5AD0" w:rsidRDefault="00F55E6A" w:rsidP="0041177B">
            <w:pPr>
              <w:jc w:val="center"/>
              <w:rPr>
                <w:rFonts w:asciiTheme="minorHAnsi" w:hAnsiTheme="minorHAnsi" w:cstheme="minorHAnsi"/>
              </w:rPr>
            </w:pPr>
            <w:r w:rsidRPr="004A5AD0">
              <w:rPr>
                <w:rFonts w:asciiTheme="minorHAnsi" w:hAnsiTheme="minorHAnsi" w:cstheme="minorHAnsi"/>
              </w:rPr>
              <w:t>20</w:t>
            </w:r>
          </w:p>
        </w:tc>
      </w:tr>
    </w:tbl>
    <w:p w14:paraId="420CFC3F" w14:textId="77777777" w:rsidR="00F55E6A" w:rsidRDefault="00F55E6A" w:rsidP="00F55E6A">
      <w:pPr>
        <w:spacing w:after="0" w:line="240" w:lineRule="auto"/>
      </w:pPr>
    </w:p>
    <w:p w14:paraId="0735D947" w14:textId="77777777" w:rsidR="00F55E6A" w:rsidRPr="00325650" w:rsidRDefault="00F55E6A" w:rsidP="00F55E6A">
      <w:pPr>
        <w:spacing w:after="0" w:line="240" w:lineRule="auto"/>
        <w:rPr>
          <w:rFonts w:cstheme="minorHAnsi"/>
        </w:rPr>
      </w:pPr>
    </w:p>
    <w:p w14:paraId="37DD2AD9" w14:textId="77777777" w:rsidR="00F55E6A" w:rsidRDefault="00F55E6A" w:rsidP="00F55E6A">
      <w:pPr>
        <w:spacing w:after="0" w:line="240" w:lineRule="auto"/>
        <w:rPr>
          <w:rFonts w:asciiTheme="majorHAnsi" w:eastAsiaTheme="majorEastAsia" w:hAnsiTheme="majorHAnsi" w:cstheme="majorBidi"/>
          <w:color w:val="0F4761" w:themeColor="accent1" w:themeShade="BF"/>
          <w:sz w:val="32"/>
          <w:szCs w:val="32"/>
        </w:rPr>
      </w:pPr>
      <w:r>
        <w:br w:type="page"/>
      </w:r>
    </w:p>
    <w:p w14:paraId="3AC18732" w14:textId="77777777" w:rsidR="00F55E6A" w:rsidRDefault="00F55E6A" w:rsidP="00F55E6A">
      <w:pPr>
        <w:pStyle w:val="Heading2"/>
        <w:spacing w:before="0" w:after="0" w:line="240" w:lineRule="auto"/>
        <w:sectPr w:rsidR="00F55E6A" w:rsidSect="002746C0">
          <w:pgSz w:w="11906" w:h="16838"/>
          <w:pgMar w:top="1440" w:right="1440" w:bottom="1440" w:left="1440" w:header="708" w:footer="708" w:gutter="0"/>
          <w:cols w:space="708"/>
          <w:docGrid w:linePitch="360"/>
        </w:sectPr>
      </w:pPr>
    </w:p>
    <w:p w14:paraId="2D6C6421" w14:textId="77777777" w:rsidR="00F55E6A" w:rsidRDefault="00F55E6A" w:rsidP="00F55E6A">
      <w:pPr>
        <w:pStyle w:val="Heading1"/>
        <w:spacing w:before="0" w:after="0" w:line="240" w:lineRule="auto"/>
      </w:pPr>
      <w:r>
        <w:t xml:space="preserve"> </w:t>
      </w:r>
      <w:bookmarkStart w:id="286" w:name="_Toc197557134"/>
      <w:bookmarkStart w:id="287" w:name="_Toc201512525"/>
      <w:r>
        <w:t>Lung</w:t>
      </w:r>
      <w:r>
        <w:tab/>
        <w:t>C33-34</w:t>
      </w:r>
      <w:bookmarkEnd w:id="286"/>
      <w:bookmarkEnd w:id="287"/>
    </w:p>
    <w:p w14:paraId="324A0D19" w14:textId="77777777" w:rsidR="00F55E6A" w:rsidRDefault="00F55E6A" w:rsidP="00F55E6A">
      <w:pPr>
        <w:pStyle w:val="Subtitle"/>
        <w:spacing w:after="0" w:line="240" w:lineRule="auto"/>
        <w:rPr>
          <w:rStyle w:val="IntenseEmphasis"/>
          <w:rFonts w:cstheme="minorHAnsi"/>
        </w:rPr>
      </w:pPr>
      <w:r w:rsidRPr="00D5410C">
        <w:rPr>
          <w:rStyle w:val="IntenseEmphasis"/>
          <w:rFonts w:cstheme="minorHAnsi"/>
        </w:rPr>
        <w:t>Key points</w:t>
      </w:r>
    </w:p>
    <w:p w14:paraId="5DE53A04" w14:textId="77777777" w:rsidR="00F55E6A" w:rsidRPr="006F127F" w:rsidRDefault="00F55E6A" w:rsidP="00F55E6A">
      <w:pPr>
        <w:pStyle w:val="Subtitle"/>
        <w:spacing w:after="0" w:line="240" w:lineRule="auto"/>
        <w:rPr>
          <w:rFonts w:cstheme="minorHAnsi"/>
          <w:i/>
          <w:iCs/>
        </w:rPr>
      </w:pPr>
      <w:r w:rsidRPr="006F127F">
        <w:rPr>
          <w:rFonts w:cstheme="minorHAnsi"/>
          <w:i/>
          <w:iCs/>
        </w:rPr>
        <w:t>Incidence</w:t>
      </w:r>
    </w:p>
    <w:p w14:paraId="3DEFA5A9" w14:textId="799945D9" w:rsidR="00F55E6A" w:rsidRPr="006F127F" w:rsidRDefault="00F55E6A">
      <w:pPr>
        <w:numPr>
          <w:ilvl w:val="0"/>
          <w:numId w:val="3"/>
        </w:numPr>
        <w:spacing w:after="0" w:line="240" w:lineRule="auto"/>
        <w:contextualSpacing/>
      </w:pPr>
      <w:r w:rsidRPr="108C08C8">
        <w:t>Incidence rates among males decreased from 1994 to 2022</w:t>
      </w:r>
      <w:r w:rsidR="00305CC4">
        <w:t>.</w:t>
      </w:r>
    </w:p>
    <w:p w14:paraId="2DB3280D" w14:textId="09D7F628" w:rsidR="00F55E6A" w:rsidRPr="006F127F" w:rsidRDefault="00F55E6A">
      <w:pPr>
        <w:numPr>
          <w:ilvl w:val="0"/>
          <w:numId w:val="3"/>
        </w:numPr>
        <w:spacing w:after="0" w:line="240" w:lineRule="auto"/>
        <w:contextualSpacing/>
        <w:rPr>
          <w:rFonts w:cstheme="minorHAnsi"/>
        </w:rPr>
      </w:pPr>
      <w:r w:rsidRPr="006F127F">
        <w:rPr>
          <w:rFonts w:cstheme="minorHAnsi"/>
        </w:rPr>
        <w:t>Incidence rates a</w:t>
      </w:r>
      <w:r w:rsidR="006E4134">
        <w:rPr>
          <w:rFonts w:cstheme="minorHAnsi"/>
        </w:rPr>
        <w:t>mong females</w:t>
      </w:r>
      <w:r w:rsidRPr="006F127F">
        <w:rPr>
          <w:rFonts w:cstheme="minorHAnsi"/>
        </w:rPr>
        <w:t xml:space="preserve"> only started to decline from 2015.</w:t>
      </w:r>
    </w:p>
    <w:p w14:paraId="4D144487" w14:textId="77777777" w:rsidR="00F55E6A" w:rsidRPr="006F127F" w:rsidRDefault="00F55E6A">
      <w:pPr>
        <w:numPr>
          <w:ilvl w:val="0"/>
          <w:numId w:val="3"/>
        </w:numPr>
        <w:spacing w:after="0" w:line="240" w:lineRule="auto"/>
        <w:contextualSpacing/>
        <w:jc w:val="both"/>
        <w:rPr>
          <w:rFonts w:cstheme="minorHAnsi"/>
          <w:i/>
          <w:iCs/>
        </w:rPr>
      </w:pPr>
      <w:r w:rsidRPr="006F127F">
        <w:rPr>
          <w:rFonts w:eastAsia="Times New Roman" w:cstheme="minorHAnsi"/>
          <w:lang w:eastAsia="en-IE"/>
        </w:rPr>
        <w:t xml:space="preserve">Incidence rates in the diagnosis period 2014-2018 were lowest in </w:t>
      </w:r>
      <w:r>
        <w:rPr>
          <w:rFonts w:eastAsia="Times New Roman" w:cstheme="minorHAnsi"/>
          <w:lang w:eastAsia="en-IE"/>
        </w:rPr>
        <w:t xml:space="preserve">the </w:t>
      </w:r>
      <w:r w:rsidRPr="006F127F">
        <w:rPr>
          <w:rFonts w:eastAsia="Times New Roman" w:cstheme="minorHAnsi"/>
          <w:lang w:eastAsia="en-IE"/>
        </w:rPr>
        <w:t xml:space="preserve">least deprived population quintile and highest in the </w:t>
      </w:r>
      <w:r>
        <w:rPr>
          <w:rFonts w:eastAsia="Times New Roman" w:cstheme="minorHAnsi"/>
          <w:lang w:eastAsia="en-IE"/>
        </w:rPr>
        <w:t>most</w:t>
      </w:r>
      <w:r w:rsidRPr="006F127F">
        <w:rPr>
          <w:rFonts w:eastAsia="Times New Roman" w:cstheme="minorHAnsi"/>
          <w:lang w:eastAsia="en-IE"/>
        </w:rPr>
        <w:t xml:space="preserve"> deprived quintile with clear evidence of a socioeconomic gradient.</w:t>
      </w:r>
    </w:p>
    <w:p w14:paraId="15CCBD56" w14:textId="77777777" w:rsidR="00F55E6A" w:rsidRPr="006F127F" w:rsidRDefault="00F55E6A" w:rsidP="00F55E6A">
      <w:pPr>
        <w:spacing w:after="0" w:line="240" w:lineRule="auto"/>
        <w:jc w:val="both"/>
        <w:rPr>
          <w:rFonts w:eastAsia="Times New Roman" w:cstheme="minorHAnsi"/>
          <w:i/>
          <w:iCs/>
          <w:color w:val="808080" w:themeColor="background1" w:themeShade="80"/>
        </w:rPr>
      </w:pPr>
      <w:r w:rsidRPr="006F127F">
        <w:rPr>
          <w:rFonts w:cstheme="minorHAnsi"/>
          <w:i/>
          <w:iCs/>
          <w:color w:val="808080" w:themeColor="background1" w:themeShade="80"/>
        </w:rPr>
        <w:t>Mortality</w:t>
      </w:r>
    </w:p>
    <w:p w14:paraId="6A885705" w14:textId="4D544C8B" w:rsidR="00F55E6A" w:rsidRPr="006F127F" w:rsidRDefault="00F55E6A">
      <w:pPr>
        <w:numPr>
          <w:ilvl w:val="0"/>
          <w:numId w:val="5"/>
        </w:numPr>
        <w:spacing w:after="0" w:line="240" w:lineRule="auto"/>
        <w:ind w:left="709" w:hanging="283"/>
        <w:contextualSpacing/>
        <w:jc w:val="both"/>
        <w:rPr>
          <w:rFonts w:ascii="Aptos" w:hAnsi="Aptos"/>
          <w:color w:val="000000"/>
          <w:shd w:val="clear" w:color="auto" w:fill="FFFFFF"/>
        </w:rPr>
      </w:pPr>
      <w:r w:rsidRPr="006F127F">
        <w:rPr>
          <w:rFonts w:ascii="Aptos" w:hAnsi="Aptos"/>
          <w:color w:val="000000"/>
          <w:shd w:val="clear" w:color="auto" w:fill="FFFFFF"/>
        </w:rPr>
        <w:t>Age</w:t>
      </w:r>
      <w:r w:rsidR="00366242">
        <w:rPr>
          <w:rFonts w:ascii="Aptos" w:hAnsi="Aptos"/>
          <w:color w:val="000000"/>
          <w:shd w:val="clear" w:color="auto" w:fill="FFFFFF"/>
        </w:rPr>
        <w:t>-</w:t>
      </w:r>
      <w:r w:rsidRPr="006F127F">
        <w:rPr>
          <w:rFonts w:ascii="Aptos" w:hAnsi="Aptos"/>
          <w:color w:val="000000"/>
          <w:shd w:val="clear" w:color="auto" w:fill="FFFFFF"/>
        </w:rPr>
        <w:t>standardised mortality rates decreased between 1994 and 2022 among males</w:t>
      </w:r>
      <w:r w:rsidR="007F6D97">
        <w:rPr>
          <w:rFonts w:ascii="Aptos" w:hAnsi="Aptos"/>
          <w:color w:val="000000"/>
          <w:shd w:val="clear" w:color="auto" w:fill="FFFFFF"/>
        </w:rPr>
        <w:t>.</w:t>
      </w:r>
    </w:p>
    <w:p w14:paraId="0B7F3F4C" w14:textId="77777777" w:rsidR="00F55E6A" w:rsidRPr="006F127F" w:rsidRDefault="00F55E6A">
      <w:pPr>
        <w:numPr>
          <w:ilvl w:val="0"/>
          <w:numId w:val="5"/>
        </w:numPr>
        <w:spacing w:after="0" w:line="240" w:lineRule="auto"/>
        <w:ind w:left="709" w:hanging="283"/>
        <w:contextualSpacing/>
        <w:jc w:val="both"/>
        <w:rPr>
          <w:rFonts w:ascii="Aptos" w:hAnsi="Aptos"/>
          <w:color w:val="000000"/>
          <w:shd w:val="clear" w:color="auto" w:fill="FFFFFF"/>
        </w:rPr>
      </w:pPr>
      <w:r w:rsidRPr="006F127F">
        <w:rPr>
          <w:rFonts w:cstheme="minorHAnsi"/>
        </w:rPr>
        <w:t>Mortality rates among females only started to decline from 2016.</w:t>
      </w:r>
    </w:p>
    <w:p w14:paraId="02FBA942" w14:textId="77777777" w:rsidR="00F55E6A" w:rsidRPr="006F127F" w:rsidRDefault="00F55E6A" w:rsidP="00F55E6A">
      <w:pPr>
        <w:numPr>
          <w:ilvl w:val="1"/>
          <w:numId w:val="0"/>
        </w:numPr>
        <w:spacing w:after="0" w:line="240" w:lineRule="auto"/>
        <w:rPr>
          <w:rFonts w:eastAsiaTheme="majorEastAsia" w:cstheme="minorHAnsi"/>
          <w:i/>
          <w:iCs/>
          <w:color w:val="595959" w:themeColor="text1" w:themeTint="A6"/>
          <w:spacing w:val="15"/>
        </w:rPr>
      </w:pPr>
      <w:r w:rsidRPr="006F127F">
        <w:rPr>
          <w:rFonts w:eastAsiaTheme="majorEastAsia" w:cstheme="minorHAnsi"/>
          <w:i/>
          <w:iCs/>
          <w:color w:val="595959" w:themeColor="text1" w:themeTint="A6"/>
          <w:spacing w:val="15"/>
        </w:rPr>
        <w:t>Survival</w:t>
      </w:r>
    </w:p>
    <w:p w14:paraId="0B98FFAE" w14:textId="65A74057" w:rsidR="00F55E6A" w:rsidRPr="006F127F" w:rsidRDefault="00F55E6A">
      <w:pPr>
        <w:numPr>
          <w:ilvl w:val="0"/>
          <w:numId w:val="4"/>
        </w:numPr>
        <w:spacing w:after="0" w:line="240" w:lineRule="auto"/>
        <w:contextualSpacing/>
        <w:rPr>
          <w:rFonts w:cstheme="minorHAnsi"/>
        </w:rPr>
      </w:pPr>
      <w:r w:rsidRPr="006F127F">
        <w:rPr>
          <w:rFonts w:cstheme="minorHAnsi"/>
        </w:rPr>
        <w:t>5-year net survival was</w:t>
      </w:r>
      <w:r>
        <w:rPr>
          <w:rFonts w:cstheme="minorHAnsi"/>
        </w:rPr>
        <w:t xml:space="preserve"> </w:t>
      </w:r>
      <w:r w:rsidRPr="006F127F">
        <w:rPr>
          <w:rFonts w:cstheme="minorHAnsi"/>
        </w:rPr>
        <w:t>25% for cases diagnosed during 2019-2022.</w:t>
      </w:r>
    </w:p>
    <w:p w14:paraId="07B4483F" w14:textId="77777777" w:rsidR="00F55E6A" w:rsidRPr="006F127F" w:rsidRDefault="00F55E6A" w:rsidP="00F55E6A">
      <w:pPr>
        <w:numPr>
          <w:ilvl w:val="1"/>
          <w:numId w:val="0"/>
        </w:numPr>
        <w:spacing w:after="0" w:line="240" w:lineRule="auto"/>
        <w:rPr>
          <w:rFonts w:cstheme="minorHAnsi"/>
          <w:i/>
          <w:iCs/>
        </w:rPr>
      </w:pPr>
      <w:r w:rsidRPr="006F127F">
        <w:rPr>
          <w:rFonts w:eastAsiaTheme="majorEastAsia" w:cstheme="minorHAnsi"/>
          <w:i/>
          <w:iCs/>
          <w:color w:val="595959" w:themeColor="text1" w:themeTint="A6"/>
          <w:spacing w:val="15"/>
        </w:rPr>
        <w:t>Population attributable fraction</w:t>
      </w:r>
    </w:p>
    <w:p w14:paraId="2A445EE6" w14:textId="77777777" w:rsidR="00F55E6A" w:rsidRPr="006F127F" w:rsidRDefault="00F55E6A">
      <w:pPr>
        <w:numPr>
          <w:ilvl w:val="0"/>
          <w:numId w:val="2"/>
        </w:numPr>
        <w:spacing w:after="0" w:line="240" w:lineRule="auto"/>
        <w:contextualSpacing/>
        <w:rPr>
          <w:rFonts w:eastAsiaTheme="majorEastAsia" w:cstheme="minorHAnsi"/>
          <w:color w:val="0F4761" w:themeColor="accent1" w:themeShade="BF"/>
        </w:rPr>
      </w:pPr>
      <w:r w:rsidRPr="006F127F">
        <w:rPr>
          <w:rFonts w:eastAsia="Calibri" w:cstheme="minorHAnsi"/>
          <w:color w:val="000000" w:themeColor="text1"/>
        </w:rPr>
        <w:t xml:space="preserve">In 2022 the estimated total number of cases of </w:t>
      </w:r>
      <w:r>
        <w:rPr>
          <w:rFonts w:eastAsia="Calibri" w:cstheme="minorHAnsi"/>
          <w:color w:val="000000" w:themeColor="text1"/>
        </w:rPr>
        <w:t>lung</w:t>
      </w:r>
      <w:r w:rsidRPr="006F127F">
        <w:rPr>
          <w:rFonts w:eastAsia="Calibri" w:cstheme="minorHAnsi"/>
          <w:color w:val="000000" w:themeColor="text1"/>
        </w:rPr>
        <w:t xml:space="preserve"> cancer attributable to smoking in Ireland was </w:t>
      </w:r>
      <w:r>
        <w:rPr>
          <w:rFonts w:eastAsia="Calibri" w:cstheme="minorHAnsi"/>
          <w:color w:val="000000" w:themeColor="text1"/>
        </w:rPr>
        <w:t xml:space="preserve">2,010 </w:t>
      </w:r>
      <w:r w:rsidRPr="006F127F">
        <w:rPr>
          <w:rFonts w:eastAsia="Calibri" w:cstheme="minorHAnsi"/>
          <w:color w:val="000000" w:themeColor="text1"/>
        </w:rPr>
        <w:t>(PAF</w:t>
      </w:r>
      <w:r>
        <w:rPr>
          <w:rFonts w:eastAsia="Calibri" w:cstheme="minorHAnsi"/>
          <w:color w:val="000000" w:themeColor="text1"/>
        </w:rPr>
        <w:t xml:space="preserve"> 73.3</w:t>
      </w:r>
      <w:r w:rsidRPr="006F127F">
        <w:rPr>
          <w:rFonts w:eastAsia="Calibri" w:cstheme="minorHAnsi"/>
          <w:color w:val="000000" w:themeColor="text1"/>
        </w:rPr>
        <w:t xml:space="preserve">%). </w:t>
      </w:r>
    </w:p>
    <w:p w14:paraId="1BF97178" w14:textId="77777777" w:rsidR="00F55E6A" w:rsidRDefault="00F55E6A" w:rsidP="00F55E6A">
      <w:pPr>
        <w:tabs>
          <w:tab w:val="left" w:pos="1080"/>
        </w:tabs>
        <w:spacing w:after="0" w:line="240" w:lineRule="auto"/>
        <w:sectPr w:rsidR="00F55E6A" w:rsidSect="002746C0">
          <w:pgSz w:w="11906" w:h="16838"/>
          <w:pgMar w:top="1440" w:right="1440" w:bottom="1440" w:left="1440" w:header="708" w:footer="708" w:gutter="0"/>
          <w:cols w:space="708"/>
          <w:docGrid w:linePitch="360"/>
        </w:sectPr>
      </w:pPr>
    </w:p>
    <w:p w14:paraId="4B82BD9B" w14:textId="77777777" w:rsidR="00F55E6A" w:rsidRDefault="00F55E6A" w:rsidP="00F55E6A">
      <w:pPr>
        <w:pStyle w:val="Heading2"/>
        <w:spacing w:before="0" w:after="0" w:line="240" w:lineRule="auto"/>
      </w:pPr>
      <w:bookmarkStart w:id="288" w:name="_Toc197557135"/>
      <w:bookmarkStart w:id="289" w:name="_Toc201512526"/>
      <w:r>
        <w:t>Incidence</w:t>
      </w:r>
      <w:bookmarkEnd w:id="288"/>
      <w:bookmarkEnd w:id="289"/>
    </w:p>
    <w:p w14:paraId="71B0BD8F" w14:textId="4B3785BB" w:rsidR="00F55E6A" w:rsidRDefault="00F55E6A" w:rsidP="00F55E6A">
      <w:pPr>
        <w:spacing w:after="0" w:line="240" w:lineRule="auto"/>
      </w:pPr>
      <w:r>
        <w:t>Between 1994 and</w:t>
      </w:r>
      <w:r w:rsidR="003D3530">
        <w:t xml:space="preserve"> </w:t>
      </w:r>
      <w:r>
        <w:t xml:space="preserve">2022, 60,635 cases of lung cancer were recorded (35,042 in males, 25,593 in females). Median age at diagnosis was 71 years (IQR: 63-77) for males and 71 years (IQR: 63-78) for females. </w:t>
      </w:r>
      <w:r w:rsidRPr="09A20818">
        <w:t xml:space="preserve">On average between 1994-2022 the age-standardised incidence rate of lung cancer </w:t>
      </w:r>
      <w:r w:rsidR="00947BE8">
        <w:t>during the period</w:t>
      </w:r>
      <w:r w:rsidRPr="09A20818">
        <w:t xml:space="preserve"> 1994-2</w:t>
      </w:r>
      <w:r w:rsidR="007535AF">
        <w:t>0</w:t>
      </w:r>
      <w:r w:rsidRPr="09A20818">
        <w:t xml:space="preserve">22 was 94.9 cases per 100,000 males and 55.6 cases per 100,000 females per year. Figure </w:t>
      </w:r>
      <w:r w:rsidR="00A52FFD">
        <w:t>15.1</w:t>
      </w:r>
      <w:r w:rsidRPr="09A20818">
        <w:t xml:space="preserve"> breaks this down further by sex and age group.</w:t>
      </w:r>
    </w:p>
    <w:p w14:paraId="2464FBCE" w14:textId="77777777" w:rsidR="00F55E6A" w:rsidRDefault="00F55E6A" w:rsidP="00F55E6A">
      <w:pPr>
        <w:spacing w:after="0" w:line="240" w:lineRule="auto"/>
      </w:pPr>
    </w:p>
    <w:tbl>
      <w:tblPr>
        <w:tblStyle w:val="TableGrid"/>
        <w:tblW w:w="9452" w:type="dxa"/>
        <w:tblInd w:w="-426"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58"/>
        <w:gridCol w:w="3364"/>
        <w:gridCol w:w="2930"/>
      </w:tblGrid>
      <w:tr w:rsidR="00F55E6A" w:rsidRPr="00511DFB" w14:paraId="5A054B25" w14:textId="77777777" w:rsidTr="00947BE8">
        <w:trPr>
          <w:trHeight w:val="113"/>
        </w:trPr>
        <w:tc>
          <w:tcPr>
            <w:tcW w:w="9452" w:type="dxa"/>
            <w:gridSpan w:val="3"/>
            <w:shd w:val="clear" w:color="auto" w:fill="002060"/>
          </w:tcPr>
          <w:p w14:paraId="511CD431" w14:textId="06269B11" w:rsidR="00F55E6A" w:rsidRPr="00A52FFD" w:rsidRDefault="00F55E6A" w:rsidP="0041177B">
            <w:pPr>
              <w:rPr>
                <w:rFonts w:asciiTheme="minorHAnsi" w:hAnsiTheme="minorHAnsi" w:cstheme="minorHAnsi"/>
                <w:b/>
                <w:bCs/>
                <w:color w:val="FFFFFF" w:themeColor="background1"/>
              </w:rPr>
            </w:pPr>
            <w:r w:rsidRPr="00A52FFD">
              <w:rPr>
                <w:rFonts w:asciiTheme="minorHAnsi" w:hAnsiTheme="minorHAnsi" w:cstheme="minorHAnsi"/>
                <w:b/>
                <w:bCs/>
                <w:color w:val="FFFFFF" w:themeColor="background1"/>
              </w:rPr>
              <w:t xml:space="preserve">Figure </w:t>
            </w:r>
            <w:r w:rsidR="00A52FFD" w:rsidRPr="00A52FFD">
              <w:rPr>
                <w:rFonts w:asciiTheme="minorHAnsi" w:hAnsiTheme="minorHAnsi" w:cstheme="minorHAnsi"/>
                <w:b/>
                <w:bCs/>
                <w:color w:val="FFFFFF" w:themeColor="background1"/>
              </w:rPr>
              <w:t>15.1:</w:t>
            </w:r>
            <w:r w:rsidRPr="00A52FFD">
              <w:rPr>
                <w:rFonts w:asciiTheme="minorHAnsi" w:hAnsiTheme="minorHAnsi" w:cstheme="minorHAnsi"/>
                <w:b/>
                <w:bCs/>
                <w:color w:val="FFFFFF" w:themeColor="background1"/>
              </w:rPr>
              <w:t xml:space="preserve">  Incidence rate (per 100,000) for lung cancer by </w:t>
            </w:r>
            <w:r w:rsidR="00366242">
              <w:rPr>
                <w:rFonts w:asciiTheme="minorHAnsi" w:hAnsiTheme="minorHAnsi" w:cstheme="minorHAnsi"/>
                <w:b/>
                <w:bCs/>
                <w:color w:val="FFFFFF" w:themeColor="background1"/>
              </w:rPr>
              <w:t>age group</w:t>
            </w:r>
            <w:r w:rsidRPr="00A52FFD">
              <w:rPr>
                <w:rFonts w:asciiTheme="minorHAnsi" w:hAnsiTheme="minorHAnsi" w:cstheme="minorHAnsi"/>
                <w:b/>
                <w:bCs/>
                <w:color w:val="FFFFFF" w:themeColor="background1"/>
              </w:rPr>
              <w:t>,1994-2022</w:t>
            </w:r>
          </w:p>
        </w:tc>
      </w:tr>
      <w:tr w:rsidR="00F55E6A" w:rsidRPr="00511DFB" w14:paraId="0BFB887E" w14:textId="77777777" w:rsidTr="00947BE8">
        <w:trPr>
          <w:trHeight w:val="113"/>
        </w:trPr>
        <w:tc>
          <w:tcPr>
            <w:tcW w:w="3158" w:type="dxa"/>
            <w:shd w:val="clear" w:color="auto" w:fill="auto"/>
          </w:tcPr>
          <w:p w14:paraId="1820A123" w14:textId="77777777" w:rsidR="00F55E6A" w:rsidRPr="00511DFB" w:rsidRDefault="00F55E6A" w:rsidP="0041177B">
            <w:pPr>
              <w:jc w:val="center"/>
              <w:rPr>
                <w:rFonts w:asciiTheme="minorHAnsi" w:hAnsiTheme="minorHAnsi" w:cstheme="minorHAnsi"/>
                <w:color w:val="000000" w:themeColor="text1"/>
              </w:rPr>
            </w:pPr>
            <w:r w:rsidRPr="00511DFB">
              <w:rPr>
                <w:rFonts w:asciiTheme="minorHAnsi" w:hAnsiTheme="minorHAnsi" w:cstheme="minorHAnsi"/>
                <w:color w:val="000000" w:themeColor="text1"/>
              </w:rPr>
              <w:t>Total</w:t>
            </w:r>
          </w:p>
        </w:tc>
        <w:tc>
          <w:tcPr>
            <w:tcW w:w="3364" w:type="dxa"/>
            <w:shd w:val="clear" w:color="auto" w:fill="auto"/>
          </w:tcPr>
          <w:p w14:paraId="36D27543" w14:textId="77777777" w:rsidR="00F55E6A" w:rsidRPr="00511DFB" w:rsidRDefault="00F55E6A" w:rsidP="0041177B">
            <w:pPr>
              <w:jc w:val="center"/>
              <w:rPr>
                <w:rFonts w:asciiTheme="minorHAnsi" w:hAnsiTheme="minorHAnsi" w:cstheme="minorHAnsi"/>
                <w:color w:val="000000" w:themeColor="text1"/>
              </w:rPr>
            </w:pPr>
            <w:r w:rsidRPr="00511DFB">
              <w:rPr>
                <w:rFonts w:asciiTheme="minorHAnsi" w:hAnsiTheme="minorHAnsi" w:cstheme="minorHAnsi"/>
                <w:color w:val="000000" w:themeColor="text1"/>
              </w:rPr>
              <w:t>Males</w:t>
            </w:r>
          </w:p>
        </w:tc>
        <w:tc>
          <w:tcPr>
            <w:tcW w:w="2930" w:type="dxa"/>
          </w:tcPr>
          <w:p w14:paraId="42E951FF" w14:textId="77777777" w:rsidR="00F55E6A" w:rsidRPr="00511DFB" w:rsidRDefault="00F55E6A" w:rsidP="0041177B">
            <w:pPr>
              <w:jc w:val="center"/>
              <w:rPr>
                <w:rFonts w:asciiTheme="minorHAnsi" w:hAnsiTheme="minorHAnsi" w:cstheme="minorHAnsi"/>
                <w:color w:val="000000" w:themeColor="text1"/>
              </w:rPr>
            </w:pPr>
            <w:r w:rsidRPr="00511DFB">
              <w:rPr>
                <w:rFonts w:asciiTheme="minorHAnsi" w:hAnsiTheme="minorHAnsi" w:cstheme="minorHAnsi"/>
                <w:color w:val="000000" w:themeColor="text1"/>
              </w:rPr>
              <w:t>Females</w:t>
            </w:r>
          </w:p>
        </w:tc>
      </w:tr>
      <w:tr w:rsidR="00F55E6A" w:rsidRPr="00511DFB" w14:paraId="42BD808B" w14:textId="77777777" w:rsidTr="00947BE8">
        <w:trPr>
          <w:trHeight w:val="113"/>
        </w:trPr>
        <w:tc>
          <w:tcPr>
            <w:tcW w:w="3158" w:type="dxa"/>
            <w:shd w:val="clear" w:color="auto" w:fill="auto"/>
          </w:tcPr>
          <w:p w14:paraId="4BB00FFB" w14:textId="77777777" w:rsidR="00F55E6A" w:rsidRPr="00511DFB" w:rsidRDefault="00F55E6A" w:rsidP="0041177B">
            <w:pPr>
              <w:jc w:val="center"/>
              <w:rPr>
                <w:rFonts w:asciiTheme="minorHAnsi" w:eastAsia="Times New Roman" w:hAnsiTheme="minorHAnsi" w:cs="Times New Roman"/>
                <w:lang w:eastAsia="en-GB"/>
              </w:rPr>
            </w:pPr>
            <w:r w:rsidRPr="00511DFB">
              <w:rPr>
                <w:rFonts w:eastAsia="Times New Roman" w:cs="Times New Roman"/>
                <w:noProof/>
                <w:lang w:eastAsia="en-GB"/>
              </w:rPr>
              <w:drawing>
                <wp:inline distT="0" distB="0" distL="0" distR="0" wp14:anchorId="7FD65945" wp14:editId="2AA2016D">
                  <wp:extent cx="2027474" cy="1224000"/>
                  <wp:effectExtent l="0" t="0" r="0" b="0"/>
                  <wp:docPr id="36" name="Picture 33"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3" descr="A graph with numbers and a bar&#10;&#10;AI-generated content may be incorrect."/>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027474" cy="1224000"/>
                          </a:xfrm>
                          <a:prstGeom prst="rect">
                            <a:avLst/>
                          </a:prstGeom>
                          <a:noFill/>
                          <a:ln>
                            <a:noFill/>
                          </a:ln>
                        </pic:spPr>
                      </pic:pic>
                    </a:graphicData>
                  </a:graphic>
                </wp:inline>
              </w:drawing>
            </w:r>
          </w:p>
        </w:tc>
        <w:tc>
          <w:tcPr>
            <w:tcW w:w="3364" w:type="dxa"/>
            <w:shd w:val="clear" w:color="auto" w:fill="auto"/>
          </w:tcPr>
          <w:p w14:paraId="3C61F197" w14:textId="77777777" w:rsidR="00F55E6A" w:rsidRPr="00511DFB" w:rsidRDefault="00F55E6A" w:rsidP="0041177B">
            <w:pPr>
              <w:rPr>
                <w:rFonts w:asciiTheme="minorHAnsi" w:hAnsiTheme="minorHAnsi" w:cstheme="minorHAnsi"/>
                <w:color w:val="000000" w:themeColor="text1"/>
              </w:rPr>
            </w:pPr>
            <w:r w:rsidRPr="00511DFB">
              <w:rPr>
                <w:rFonts w:eastAsia="Times New Roman" w:cs="Times New Roman"/>
                <w:noProof/>
                <w:lang w:eastAsia="en-GB"/>
              </w:rPr>
              <w:drawing>
                <wp:inline distT="0" distB="0" distL="0" distR="0" wp14:anchorId="6C88A6C0" wp14:editId="75A2F7F7">
                  <wp:extent cx="2031627" cy="1224000"/>
                  <wp:effectExtent l="0" t="0" r="6985" b="0"/>
                  <wp:docPr id="33" name="Picture 30"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0" descr="A graph with numbers and a bar&#10;&#10;AI-generated content may be incorrect."/>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031627" cy="1224000"/>
                          </a:xfrm>
                          <a:prstGeom prst="rect">
                            <a:avLst/>
                          </a:prstGeom>
                          <a:noFill/>
                          <a:ln>
                            <a:noFill/>
                          </a:ln>
                        </pic:spPr>
                      </pic:pic>
                    </a:graphicData>
                  </a:graphic>
                </wp:inline>
              </w:drawing>
            </w:r>
          </w:p>
        </w:tc>
        <w:tc>
          <w:tcPr>
            <w:tcW w:w="2930" w:type="dxa"/>
          </w:tcPr>
          <w:p w14:paraId="147E0CCB" w14:textId="77777777" w:rsidR="00F55E6A" w:rsidRPr="00511DFB" w:rsidRDefault="00F55E6A" w:rsidP="0041177B">
            <w:pPr>
              <w:jc w:val="center"/>
              <w:rPr>
                <w:rFonts w:asciiTheme="minorHAnsi" w:hAnsiTheme="minorHAnsi" w:cstheme="minorHAnsi"/>
                <w:color w:val="000000" w:themeColor="text1"/>
              </w:rPr>
            </w:pPr>
            <w:r w:rsidRPr="00511DFB">
              <w:rPr>
                <w:rFonts w:eastAsia="Times New Roman" w:cs="Times New Roman"/>
                <w:noProof/>
                <w:lang w:eastAsia="en-GB"/>
              </w:rPr>
              <w:drawing>
                <wp:inline distT="0" distB="0" distL="0" distR="0" wp14:anchorId="1C161BC6" wp14:editId="080FAD07">
                  <wp:extent cx="1992754" cy="1224000"/>
                  <wp:effectExtent l="0" t="0" r="7620" b="0"/>
                  <wp:docPr id="1475238008" name="Picture 32"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38008" name="Picture 32" descr="A graph with numbers and a bar chart&#10;&#10;AI-generated content may be incorrect."/>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92754" cy="1224000"/>
                          </a:xfrm>
                          <a:prstGeom prst="rect">
                            <a:avLst/>
                          </a:prstGeom>
                          <a:noFill/>
                          <a:ln>
                            <a:noFill/>
                          </a:ln>
                        </pic:spPr>
                      </pic:pic>
                    </a:graphicData>
                  </a:graphic>
                </wp:inline>
              </w:drawing>
            </w:r>
          </w:p>
        </w:tc>
      </w:tr>
    </w:tbl>
    <w:p w14:paraId="7AF92232" w14:textId="77777777" w:rsidR="00F55E6A" w:rsidRDefault="00F55E6A" w:rsidP="00F55E6A">
      <w:pPr>
        <w:spacing w:after="0" w:line="240" w:lineRule="auto"/>
        <w:rPr>
          <w:b/>
          <w:bCs/>
        </w:rPr>
      </w:pPr>
    </w:p>
    <w:p w14:paraId="42A1BFDD" w14:textId="77777777" w:rsidR="00F55E6A" w:rsidRPr="001817D2" w:rsidRDefault="00F55E6A" w:rsidP="00F55E6A">
      <w:pPr>
        <w:pStyle w:val="Heading3"/>
        <w:spacing w:before="0" w:after="0" w:line="240" w:lineRule="auto"/>
      </w:pPr>
      <w:bookmarkStart w:id="290" w:name="_Toc197557136"/>
      <w:bookmarkStart w:id="291" w:name="_Toc201512527"/>
      <w:r w:rsidRPr="001817D2">
        <w:t>Trends over</w:t>
      </w:r>
      <w:r>
        <w:t xml:space="preserve"> </w:t>
      </w:r>
      <w:r w:rsidRPr="001817D2">
        <w:t>time</w:t>
      </w:r>
      <w:bookmarkEnd w:id="290"/>
      <w:bookmarkEnd w:id="291"/>
    </w:p>
    <w:p w14:paraId="524A6A1C" w14:textId="000495AF" w:rsidR="00F55E6A" w:rsidRPr="001817D2" w:rsidRDefault="00F55E6A" w:rsidP="00F55E6A">
      <w:pPr>
        <w:spacing w:after="0" w:line="240" w:lineRule="auto"/>
      </w:pPr>
      <w:r w:rsidRPr="108C08C8">
        <w:t xml:space="preserve">Figure </w:t>
      </w:r>
      <w:r w:rsidR="00A52FFD">
        <w:t>15.2</w:t>
      </w:r>
      <w:r w:rsidRPr="108C08C8">
        <w:t xml:space="preserve"> shows the incidence of lung cancer from 1994 to 2022</w:t>
      </w:r>
      <w:r>
        <w:rPr>
          <w:rStyle w:val="normaltextrun"/>
          <w:rFonts w:ascii="Aptos" w:hAnsi="Aptos"/>
          <w:color w:val="000000"/>
          <w:shd w:val="clear" w:color="auto" w:fill="FFFFFF"/>
        </w:rPr>
        <w:t xml:space="preserve">. Age-standardised lung cancer incidence rates in males decreased significantly at -0.6% per year </w:t>
      </w:r>
      <w:r w:rsidRPr="108C08C8">
        <w:rPr>
          <w:rStyle w:val="normaltextrun"/>
          <w:rFonts w:ascii="Aptos" w:hAnsi="Aptos"/>
          <w:color w:val="000000" w:themeColor="text1"/>
        </w:rPr>
        <w:t xml:space="preserve">(95%CI: -0.8, -0.4) </w:t>
      </w:r>
      <w:r>
        <w:rPr>
          <w:rStyle w:val="normaltextrun"/>
          <w:rFonts w:ascii="Aptos" w:hAnsi="Aptos"/>
          <w:color w:val="000000"/>
          <w:shd w:val="clear" w:color="auto" w:fill="FFFFFF"/>
        </w:rPr>
        <w:t>during 1994-2017 subsequently declining at –4.8% per year during 2017-2022 (95%CI: -6.6, -3.0). By contrast, age-standardised lung cancer incidence in females increased at 2.3%</w:t>
      </w:r>
      <w:r w:rsidRPr="108C08C8">
        <w:rPr>
          <w:rStyle w:val="normaltextrun"/>
          <w:rFonts w:ascii="Aptos" w:hAnsi="Aptos"/>
          <w:color w:val="000000" w:themeColor="text1"/>
        </w:rPr>
        <w:t xml:space="preserve"> per year</w:t>
      </w:r>
      <w:r>
        <w:rPr>
          <w:rStyle w:val="normaltextrun"/>
          <w:rFonts w:ascii="Aptos" w:hAnsi="Aptos"/>
          <w:color w:val="000000"/>
          <w:shd w:val="clear" w:color="auto" w:fill="FFFFFF"/>
        </w:rPr>
        <w:t xml:space="preserve"> (95%CI: 2.1, 2.5</w:t>
      </w:r>
      <w:r w:rsidR="00A52FFD">
        <w:rPr>
          <w:rStyle w:val="normaltextrun"/>
          <w:rFonts w:ascii="Aptos" w:hAnsi="Aptos"/>
          <w:color w:val="000000"/>
          <w:shd w:val="clear" w:color="auto" w:fill="FFFFFF"/>
        </w:rPr>
        <w:t>) during</w:t>
      </w:r>
      <w:r>
        <w:rPr>
          <w:rStyle w:val="normaltextrun"/>
          <w:rFonts w:ascii="Aptos" w:hAnsi="Aptos"/>
          <w:color w:val="000000"/>
          <w:shd w:val="clear" w:color="auto" w:fill="FFFFFF"/>
        </w:rPr>
        <w:t xml:space="preserve"> 1994-2015 then declined by -1.8%</w:t>
      </w:r>
      <w:r w:rsidRPr="108C08C8">
        <w:rPr>
          <w:rStyle w:val="normaltextrun"/>
          <w:rFonts w:ascii="Aptos" w:hAnsi="Aptos"/>
          <w:color w:val="000000" w:themeColor="text1"/>
        </w:rPr>
        <w:t xml:space="preserve"> per year</w:t>
      </w:r>
      <w:r>
        <w:rPr>
          <w:rStyle w:val="normaltextrun"/>
          <w:rFonts w:ascii="Aptos" w:hAnsi="Aptos"/>
          <w:color w:val="000000"/>
          <w:shd w:val="clear" w:color="auto" w:fill="FFFFFF"/>
        </w:rPr>
        <w:t xml:space="preserve"> (95%CI: -2.7; -1.0) from 2015-2022. </w:t>
      </w:r>
      <w:r>
        <w:rPr>
          <w:rStyle w:val="eop"/>
          <w:rFonts w:ascii="Aptos" w:hAnsi="Aptos"/>
          <w:color w:val="000000"/>
          <w:shd w:val="clear" w:color="auto" w:fill="FFFFFF"/>
        </w:rPr>
        <w:t> </w:t>
      </w:r>
    </w:p>
    <w:p w14:paraId="0BD5926F" w14:textId="77777777" w:rsidR="00F55E6A" w:rsidRDefault="00F55E6A" w:rsidP="00F55E6A">
      <w:pPr>
        <w:spacing w:after="0" w:line="240" w:lineRule="auto"/>
      </w:pPr>
    </w:p>
    <w:tbl>
      <w:tblPr>
        <w:tblStyle w:val="TableGrid"/>
        <w:tblW w:w="963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tblGrid>
      <w:tr w:rsidR="00F55E6A" w:rsidRPr="006D3BA7" w14:paraId="37D0ABC7" w14:textId="77777777" w:rsidTr="0041177B">
        <w:trPr>
          <w:trHeight w:val="113"/>
        </w:trPr>
        <w:tc>
          <w:tcPr>
            <w:tcW w:w="9634" w:type="dxa"/>
            <w:shd w:val="clear" w:color="auto" w:fill="002060"/>
            <w:vAlign w:val="center"/>
          </w:tcPr>
          <w:p w14:paraId="1B5F7322" w14:textId="62C581DE" w:rsidR="00F55E6A" w:rsidRPr="006D3BA7" w:rsidRDefault="00F55E6A" w:rsidP="0041177B">
            <w:pPr>
              <w:rPr>
                <w:rFonts w:asciiTheme="minorHAnsi" w:hAnsiTheme="minorHAnsi"/>
                <w:b/>
                <w:bCs/>
              </w:rPr>
            </w:pPr>
            <w:r w:rsidRPr="006D3BA7">
              <w:rPr>
                <w:rFonts w:asciiTheme="minorHAnsi" w:hAnsiTheme="minorHAnsi"/>
                <w:b/>
                <w:bCs/>
              </w:rPr>
              <w:t xml:space="preserve">Figure </w:t>
            </w:r>
            <w:r w:rsidR="00A52FFD">
              <w:rPr>
                <w:rFonts w:asciiTheme="minorHAnsi" w:hAnsiTheme="minorHAnsi"/>
                <w:b/>
                <w:bCs/>
              </w:rPr>
              <w:t>15.2:</w:t>
            </w:r>
            <w:r w:rsidRPr="006D3BA7">
              <w:rPr>
                <w:rFonts w:asciiTheme="minorHAnsi" w:hAnsiTheme="minorHAnsi"/>
                <w:b/>
                <w:bCs/>
              </w:rPr>
              <w:t xml:space="preserve">   Age-</w:t>
            </w:r>
            <w:r w:rsidRPr="006D3BA7">
              <w:rPr>
                <w:rFonts w:asciiTheme="minorHAnsi" w:hAnsiTheme="minorHAnsi"/>
                <w:b/>
                <w:bCs/>
                <w:bdr w:val="single" w:sz="4" w:space="0" w:color="auto"/>
              </w:rPr>
              <w:t>standardised incidence rate 1994-2022, lung cancer</w:t>
            </w:r>
          </w:p>
        </w:tc>
      </w:tr>
      <w:tr w:rsidR="00F55E6A" w:rsidRPr="006D3BA7" w14:paraId="46C216EB" w14:textId="77777777" w:rsidTr="0041177B">
        <w:trPr>
          <w:trHeight w:val="113"/>
        </w:trPr>
        <w:tc>
          <w:tcPr>
            <w:tcW w:w="9634" w:type="dxa"/>
            <w:vAlign w:val="center"/>
          </w:tcPr>
          <w:p w14:paraId="5B5AD59F" w14:textId="77777777" w:rsidR="00F55E6A" w:rsidRPr="006D3BA7" w:rsidRDefault="00F55E6A" w:rsidP="0041177B">
            <w:pPr>
              <w:tabs>
                <w:tab w:val="left" w:pos="240"/>
              </w:tabs>
              <w:jc w:val="center"/>
              <w:rPr>
                <w:rFonts w:asciiTheme="minorHAnsi" w:hAnsiTheme="minorHAnsi"/>
              </w:rPr>
            </w:pPr>
            <w:r>
              <w:rPr>
                <w:noProof/>
              </w:rPr>
              <w:drawing>
                <wp:inline distT="0" distB="0" distL="0" distR="0" wp14:anchorId="48B13445" wp14:editId="5C6DA767">
                  <wp:extent cx="5492750" cy="2737485"/>
                  <wp:effectExtent l="0" t="0" r="0" b="5715"/>
                  <wp:docPr id="1112874704" name="Picture 4" descr="A graph of a number of men and wom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874704" name="Picture 4" descr="A graph of a number of men and women&#10;&#10;AI-generated content may be incorrect."/>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492750" cy="2737485"/>
                          </a:xfrm>
                          <a:prstGeom prst="rect">
                            <a:avLst/>
                          </a:prstGeom>
                          <a:noFill/>
                        </pic:spPr>
                      </pic:pic>
                    </a:graphicData>
                  </a:graphic>
                </wp:inline>
              </w:drawing>
            </w:r>
          </w:p>
        </w:tc>
      </w:tr>
      <w:tr w:rsidR="00F55E6A" w:rsidRPr="006D3BA7" w14:paraId="68D3DE6D" w14:textId="77777777" w:rsidTr="0041177B">
        <w:trPr>
          <w:trHeight w:val="113"/>
        </w:trPr>
        <w:tc>
          <w:tcPr>
            <w:tcW w:w="9634" w:type="dxa"/>
            <w:vAlign w:val="center"/>
          </w:tcPr>
          <w:tbl>
            <w:tblPr>
              <w:tblpPr w:leftFromText="180" w:rightFromText="180" w:vertAnchor="page" w:horzAnchor="margin" w:tblpXSpec="center" w:tblpY="1"/>
              <w:tblOverlap w:val="never"/>
              <w:tblW w:w="0" w:type="auto"/>
              <w:tblCellMar>
                <w:top w:w="15" w:type="dxa"/>
                <w:bottom w:w="15" w:type="dxa"/>
              </w:tblCellMar>
              <w:tblLook w:val="04A0" w:firstRow="1" w:lastRow="0" w:firstColumn="1" w:lastColumn="0" w:noHBand="0" w:noVBand="1"/>
            </w:tblPr>
            <w:tblGrid>
              <w:gridCol w:w="530"/>
              <w:gridCol w:w="1180"/>
              <w:gridCol w:w="771"/>
              <w:gridCol w:w="992"/>
              <w:gridCol w:w="706"/>
              <w:gridCol w:w="530"/>
              <w:gridCol w:w="1139"/>
              <w:gridCol w:w="771"/>
              <w:gridCol w:w="977"/>
              <w:gridCol w:w="706"/>
            </w:tblGrid>
            <w:tr w:rsidR="00F55E6A" w:rsidRPr="004D11BE" w14:paraId="20139C83" w14:textId="77777777" w:rsidTr="0041177B">
              <w:trPr>
                <w:trHeight w:val="113"/>
              </w:trPr>
              <w:tc>
                <w:tcPr>
                  <w:tcW w:w="0" w:type="auto"/>
                  <w:tcBorders>
                    <w:top w:val="nil"/>
                    <w:left w:val="nil"/>
                    <w:bottom w:val="nil"/>
                    <w:right w:val="nil"/>
                  </w:tcBorders>
                  <w:noWrap/>
                  <w:vAlign w:val="center"/>
                  <w:hideMark/>
                </w:tcPr>
                <w:p w14:paraId="1EF60D44" w14:textId="77777777" w:rsidR="00F55E6A" w:rsidRPr="004D11BE"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4D11BE">
                    <w:rPr>
                      <w:rFonts w:eastAsia="Times New Roman" w:cs="Times New Roman"/>
                      <w:b/>
                      <w:bCs/>
                      <w:color w:val="000000"/>
                      <w:kern w:val="0"/>
                      <w:sz w:val="20"/>
                      <w:szCs w:val="20"/>
                      <w:u w:val="single"/>
                      <w:lang w:eastAsia="en-GB"/>
                      <w14:ligatures w14:val="none"/>
                    </w:rPr>
                    <w:t>sex</w:t>
                  </w:r>
                </w:p>
              </w:tc>
              <w:tc>
                <w:tcPr>
                  <w:tcW w:w="0" w:type="auto"/>
                  <w:tcBorders>
                    <w:top w:val="nil"/>
                    <w:left w:val="nil"/>
                    <w:bottom w:val="nil"/>
                    <w:right w:val="nil"/>
                  </w:tcBorders>
                  <w:noWrap/>
                  <w:vAlign w:val="center"/>
                  <w:hideMark/>
                </w:tcPr>
                <w:p w14:paraId="60679FA6" w14:textId="77777777" w:rsidR="00F55E6A" w:rsidRPr="004D11BE"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4D11BE">
                    <w:rPr>
                      <w:rFonts w:eastAsia="Times New Roman" w:cs="Times New Roman"/>
                      <w:b/>
                      <w:bCs/>
                      <w:color w:val="000000"/>
                      <w:kern w:val="0"/>
                      <w:sz w:val="20"/>
                      <w:szCs w:val="20"/>
                      <w:u w:val="single"/>
                      <w:lang w:eastAsia="en-GB"/>
                      <w14:ligatures w14:val="none"/>
                    </w:rPr>
                    <w:t>period</w:t>
                  </w:r>
                </w:p>
              </w:tc>
              <w:tc>
                <w:tcPr>
                  <w:tcW w:w="0" w:type="auto"/>
                  <w:tcBorders>
                    <w:top w:val="nil"/>
                    <w:left w:val="nil"/>
                    <w:bottom w:val="nil"/>
                    <w:right w:val="nil"/>
                  </w:tcBorders>
                  <w:noWrap/>
                  <w:vAlign w:val="center"/>
                  <w:hideMark/>
                </w:tcPr>
                <w:p w14:paraId="02649B1E" w14:textId="77777777" w:rsidR="00F55E6A" w:rsidRPr="004D11BE"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4D11BE">
                    <w:rPr>
                      <w:rFonts w:eastAsia="Times New Roman" w:cs="Times New Roman"/>
                      <w:b/>
                      <w:bCs/>
                      <w:color w:val="000000"/>
                      <w:kern w:val="0"/>
                      <w:sz w:val="20"/>
                      <w:szCs w:val="20"/>
                      <w:u w:val="single"/>
                      <w:lang w:eastAsia="en-GB"/>
                      <w14:ligatures w14:val="none"/>
                    </w:rPr>
                    <w:t>APC%</w:t>
                  </w:r>
                </w:p>
              </w:tc>
              <w:tc>
                <w:tcPr>
                  <w:tcW w:w="0" w:type="auto"/>
                  <w:tcBorders>
                    <w:top w:val="nil"/>
                    <w:left w:val="nil"/>
                    <w:bottom w:val="nil"/>
                    <w:right w:val="nil"/>
                  </w:tcBorders>
                  <w:noWrap/>
                  <w:vAlign w:val="center"/>
                  <w:hideMark/>
                </w:tcPr>
                <w:p w14:paraId="689F9261" w14:textId="77777777" w:rsidR="00F55E6A" w:rsidRPr="004D11BE"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4D11BE">
                    <w:rPr>
                      <w:rFonts w:eastAsia="Times New Roman" w:cs="Times New Roman"/>
                      <w:b/>
                      <w:bCs/>
                      <w:color w:val="000000"/>
                      <w:kern w:val="0"/>
                      <w:sz w:val="20"/>
                      <w:szCs w:val="20"/>
                      <w:u w:val="single"/>
                      <w:lang w:eastAsia="en-GB"/>
                      <w14:ligatures w14:val="none"/>
                    </w:rPr>
                    <w:t>95%CI</w:t>
                  </w:r>
                </w:p>
              </w:tc>
              <w:tc>
                <w:tcPr>
                  <w:tcW w:w="0" w:type="auto"/>
                  <w:tcBorders>
                    <w:top w:val="nil"/>
                    <w:left w:val="nil"/>
                    <w:bottom w:val="nil"/>
                    <w:right w:val="single" w:sz="4" w:space="0" w:color="auto"/>
                  </w:tcBorders>
                  <w:noWrap/>
                  <w:vAlign w:val="center"/>
                  <w:hideMark/>
                </w:tcPr>
                <w:p w14:paraId="4CBF9431" w14:textId="77777777" w:rsidR="00F55E6A" w:rsidRPr="004D11BE"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4D11BE">
                    <w:rPr>
                      <w:rFonts w:eastAsia="Times New Roman" w:cs="Times New Roman"/>
                      <w:b/>
                      <w:bCs/>
                      <w:color w:val="000000"/>
                      <w:kern w:val="0"/>
                      <w:sz w:val="20"/>
                      <w:szCs w:val="20"/>
                      <w:u w:val="single"/>
                      <w:lang w:eastAsia="en-GB"/>
                      <w14:ligatures w14:val="none"/>
                    </w:rPr>
                    <w:t>trend</w:t>
                  </w:r>
                </w:p>
              </w:tc>
              <w:tc>
                <w:tcPr>
                  <w:tcW w:w="0" w:type="auto"/>
                  <w:tcBorders>
                    <w:top w:val="nil"/>
                    <w:left w:val="nil"/>
                    <w:bottom w:val="nil"/>
                    <w:right w:val="nil"/>
                  </w:tcBorders>
                  <w:vAlign w:val="center"/>
                </w:tcPr>
                <w:p w14:paraId="6CA4FD6E" w14:textId="77777777" w:rsidR="00F55E6A" w:rsidRPr="004D11BE"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4D11BE">
                    <w:rPr>
                      <w:rFonts w:eastAsia="Times New Roman" w:cs="Times New Roman"/>
                      <w:b/>
                      <w:bCs/>
                      <w:color w:val="000000"/>
                      <w:kern w:val="0"/>
                      <w:sz w:val="20"/>
                      <w:szCs w:val="20"/>
                      <w:u w:val="single"/>
                      <w:lang w:eastAsia="en-GB"/>
                      <w14:ligatures w14:val="none"/>
                    </w:rPr>
                    <w:t>sex</w:t>
                  </w:r>
                </w:p>
              </w:tc>
              <w:tc>
                <w:tcPr>
                  <w:tcW w:w="0" w:type="auto"/>
                  <w:tcBorders>
                    <w:top w:val="nil"/>
                    <w:left w:val="nil"/>
                    <w:bottom w:val="nil"/>
                    <w:right w:val="nil"/>
                  </w:tcBorders>
                  <w:vAlign w:val="center"/>
                </w:tcPr>
                <w:p w14:paraId="109B58CE" w14:textId="77777777" w:rsidR="00F55E6A" w:rsidRPr="004D11BE"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4D11BE">
                    <w:rPr>
                      <w:rFonts w:eastAsia="Times New Roman" w:cs="Times New Roman"/>
                      <w:b/>
                      <w:bCs/>
                      <w:color w:val="000000"/>
                      <w:kern w:val="0"/>
                      <w:sz w:val="20"/>
                      <w:szCs w:val="20"/>
                      <w:u w:val="single"/>
                      <w:lang w:eastAsia="en-GB"/>
                      <w14:ligatures w14:val="none"/>
                    </w:rPr>
                    <w:t>period</w:t>
                  </w:r>
                </w:p>
              </w:tc>
              <w:tc>
                <w:tcPr>
                  <w:tcW w:w="0" w:type="auto"/>
                  <w:tcBorders>
                    <w:top w:val="nil"/>
                    <w:left w:val="nil"/>
                    <w:bottom w:val="nil"/>
                    <w:right w:val="nil"/>
                  </w:tcBorders>
                  <w:vAlign w:val="center"/>
                </w:tcPr>
                <w:p w14:paraId="32AA836B" w14:textId="77777777" w:rsidR="00F55E6A" w:rsidRPr="004D11BE"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4D11BE">
                    <w:rPr>
                      <w:rFonts w:eastAsia="Times New Roman" w:cs="Times New Roman"/>
                      <w:b/>
                      <w:bCs/>
                      <w:color w:val="000000"/>
                      <w:kern w:val="0"/>
                      <w:sz w:val="20"/>
                      <w:szCs w:val="20"/>
                      <w:u w:val="single"/>
                      <w:lang w:eastAsia="en-GB"/>
                      <w14:ligatures w14:val="none"/>
                    </w:rPr>
                    <w:t>APC%</w:t>
                  </w:r>
                </w:p>
              </w:tc>
              <w:tc>
                <w:tcPr>
                  <w:tcW w:w="0" w:type="auto"/>
                  <w:tcBorders>
                    <w:top w:val="nil"/>
                    <w:left w:val="nil"/>
                    <w:bottom w:val="nil"/>
                    <w:right w:val="nil"/>
                  </w:tcBorders>
                  <w:vAlign w:val="center"/>
                </w:tcPr>
                <w:p w14:paraId="52807CA2" w14:textId="77777777" w:rsidR="00F55E6A" w:rsidRPr="004D11BE"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4D11BE">
                    <w:rPr>
                      <w:rFonts w:eastAsia="Times New Roman" w:cs="Times New Roman"/>
                      <w:b/>
                      <w:bCs/>
                      <w:color w:val="000000"/>
                      <w:kern w:val="0"/>
                      <w:sz w:val="20"/>
                      <w:szCs w:val="20"/>
                      <w:u w:val="single"/>
                      <w:lang w:eastAsia="en-GB"/>
                      <w14:ligatures w14:val="none"/>
                    </w:rPr>
                    <w:t>95%CI</w:t>
                  </w:r>
                </w:p>
              </w:tc>
              <w:tc>
                <w:tcPr>
                  <w:tcW w:w="0" w:type="auto"/>
                  <w:tcBorders>
                    <w:top w:val="nil"/>
                    <w:left w:val="nil"/>
                    <w:bottom w:val="nil"/>
                    <w:right w:val="single" w:sz="4" w:space="0" w:color="auto"/>
                  </w:tcBorders>
                  <w:vAlign w:val="center"/>
                </w:tcPr>
                <w:p w14:paraId="263A27BF" w14:textId="77777777" w:rsidR="00F55E6A" w:rsidRPr="004D11BE"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4D11BE">
                    <w:rPr>
                      <w:rFonts w:eastAsia="Times New Roman" w:cs="Times New Roman"/>
                      <w:b/>
                      <w:bCs/>
                      <w:color w:val="000000"/>
                      <w:kern w:val="0"/>
                      <w:sz w:val="20"/>
                      <w:szCs w:val="20"/>
                      <w:u w:val="single"/>
                      <w:lang w:eastAsia="en-GB"/>
                      <w14:ligatures w14:val="none"/>
                    </w:rPr>
                    <w:t>trend</w:t>
                  </w:r>
                </w:p>
              </w:tc>
            </w:tr>
            <w:tr w:rsidR="00F55E6A" w:rsidRPr="004D11BE" w14:paraId="4C6FA5ED" w14:textId="77777777" w:rsidTr="0041177B">
              <w:trPr>
                <w:trHeight w:val="113"/>
              </w:trPr>
              <w:tc>
                <w:tcPr>
                  <w:tcW w:w="0" w:type="auto"/>
                  <w:tcBorders>
                    <w:top w:val="nil"/>
                    <w:left w:val="nil"/>
                    <w:bottom w:val="nil"/>
                    <w:right w:val="nil"/>
                  </w:tcBorders>
                  <w:noWrap/>
                  <w:vAlign w:val="center"/>
                  <w:hideMark/>
                </w:tcPr>
                <w:p w14:paraId="2B680410" w14:textId="77777777" w:rsidR="00F55E6A" w:rsidRPr="004D11BE" w:rsidRDefault="00F55E6A" w:rsidP="0041177B">
                  <w:pPr>
                    <w:spacing w:after="0" w:line="240" w:lineRule="auto"/>
                    <w:jc w:val="center"/>
                    <w:rPr>
                      <w:rFonts w:eastAsia="Times New Roman" w:cs="Times New Roman"/>
                      <w:color w:val="000000"/>
                      <w:kern w:val="0"/>
                      <w:sz w:val="20"/>
                      <w:szCs w:val="20"/>
                      <w:lang w:eastAsia="en-GB"/>
                      <w14:ligatures w14:val="none"/>
                    </w:rPr>
                  </w:pPr>
                  <w:r w:rsidRPr="004D11BE">
                    <w:rPr>
                      <w:rFonts w:eastAsia="Times New Roman" w:cs="Times New Roman"/>
                      <w:color w:val="000000"/>
                      <w:kern w:val="0"/>
                      <w:sz w:val="20"/>
                      <w:szCs w:val="20"/>
                      <w:lang w:eastAsia="en-GB"/>
                      <w14:ligatures w14:val="none"/>
                    </w:rPr>
                    <w:t>M</w:t>
                  </w:r>
                </w:p>
              </w:tc>
              <w:tc>
                <w:tcPr>
                  <w:tcW w:w="0" w:type="auto"/>
                  <w:tcBorders>
                    <w:top w:val="nil"/>
                    <w:left w:val="nil"/>
                    <w:bottom w:val="nil"/>
                    <w:right w:val="nil"/>
                  </w:tcBorders>
                  <w:noWrap/>
                  <w:vAlign w:val="bottom"/>
                  <w:hideMark/>
                </w:tcPr>
                <w:p w14:paraId="5070B5AD" w14:textId="77777777" w:rsidR="00F55E6A" w:rsidRPr="004D11BE" w:rsidRDefault="00F55E6A" w:rsidP="0041177B">
                  <w:pPr>
                    <w:spacing w:after="0" w:line="240" w:lineRule="auto"/>
                    <w:jc w:val="center"/>
                    <w:rPr>
                      <w:rFonts w:eastAsia="Times New Roman" w:cs="Times New Roman"/>
                      <w:color w:val="000000"/>
                      <w:kern w:val="0"/>
                      <w:sz w:val="20"/>
                      <w:szCs w:val="20"/>
                      <w:lang w:eastAsia="en-GB"/>
                      <w14:ligatures w14:val="none"/>
                    </w:rPr>
                  </w:pPr>
                  <w:r w:rsidRPr="004D11BE">
                    <w:rPr>
                      <w:color w:val="000000"/>
                      <w:sz w:val="20"/>
                      <w:szCs w:val="20"/>
                    </w:rPr>
                    <w:t>1994-2017 </w:t>
                  </w:r>
                </w:p>
              </w:tc>
              <w:tc>
                <w:tcPr>
                  <w:tcW w:w="0" w:type="auto"/>
                  <w:tcBorders>
                    <w:top w:val="nil"/>
                    <w:left w:val="nil"/>
                    <w:bottom w:val="nil"/>
                    <w:right w:val="nil"/>
                  </w:tcBorders>
                  <w:noWrap/>
                  <w:vAlign w:val="bottom"/>
                  <w:hideMark/>
                </w:tcPr>
                <w:p w14:paraId="0EF67BDA" w14:textId="77777777" w:rsidR="00F55E6A" w:rsidRPr="004D11BE" w:rsidRDefault="00F55E6A" w:rsidP="0041177B">
                  <w:pPr>
                    <w:spacing w:after="0" w:line="240" w:lineRule="auto"/>
                    <w:jc w:val="center"/>
                    <w:rPr>
                      <w:rFonts w:eastAsia="Times New Roman" w:cs="Times New Roman"/>
                      <w:color w:val="000000"/>
                      <w:kern w:val="0"/>
                      <w:sz w:val="20"/>
                      <w:szCs w:val="20"/>
                      <w:lang w:eastAsia="en-GB"/>
                      <w14:ligatures w14:val="none"/>
                    </w:rPr>
                  </w:pPr>
                  <w:r w:rsidRPr="004D11BE">
                    <w:rPr>
                      <w:color w:val="000000"/>
                      <w:sz w:val="20"/>
                      <w:szCs w:val="20"/>
                    </w:rPr>
                    <w:t>-0.6</w:t>
                  </w:r>
                </w:p>
              </w:tc>
              <w:tc>
                <w:tcPr>
                  <w:tcW w:w="0" w:type="auto"/>
                  <w:tcBorders>
                    <w:top w:val="nil"/>
                    <w:left w:val="nil"/>
                    <w:bottom w:val="nil"/>
                    <w:right w:val="nil"/>
                  </w:tcBorders>
                  <w:noWrap/>
                  <w:vAlign w:val="bottom"/>
                  <w:hideMark/>
                </w:tcPr>
                <w:p w14:paraId="20FA110C" w14:textId="77777777" w:rsidR="00F55E6A" w:rsidRPr="004D11BE" w:rsidRDefault="00F55E6A" w:rsidP="0041177B">
                  <w:pPr>
                    <w:spacing w:after="0" w:line="240" w:lineRule="auto"/>
                    <w:jc w:val="center"/>
                    <w:rPr>
                      <w:rFonts w:eastAsia="Times New Roman" w:cs="Times New Roman"/>
                      <w:color w:val="000000"/>
                      <w:kern w:val="0"/>
                      <w:sz w:val="20"/>
                      <w:szCs w:val="20"/>
                      <w:lang w:eastAsia="en-GB"/>
                      <w14:ligatures w14:val="none"/>
                    </w:rPr>
                  </w:pPr>
                  <w:r w:rsidRPr="004D11BE">
                    <w:rPr>
                      <w:color w:val="000000"/>
                      <w:sz w:val="20"/>
                      <w:szCs w:val="20"/>
                    </w:rPr>
                    <w:t>-0.8, -0.4</w:t>
                  </w:r>
                </w:p>
              </w:tc>
              <w:tc>
                <w:tcPr>
                  <w:tcW w:w="0" w:type="auto"/>
                  <w:tcBorders>
                    <w:top w:val="nil"/>
                    <w:left w:val="nil"/>
                    <w:bottom w:val="nil"/>
                    <w:right w:val="single" w:sz="4" w:space="0" w:color="auto"/>
                  </w:tcBorders>
                  <w:noWrap/>
                  <w:vAlign w:val="bottom"/>
                  <w:hideMark/>
                </w:tcPr>
                <w:p w14:paraId="346CAB56" w14:textId="77777777" w:rsidR="00F55E6A" w:rsidRPr="004D11BE" w:rsidRDefault="00F55E6A" w:rsidP="0041177B">
                  <w:pPr>
                    <w:spacing w:after="0" w:line="240" w:lineRule="auto"/>
                    <w:jc w:val="center"/>
                    <w:rPr>
                      <w:rFonts w:eastAsia="Times New Roman" w:cs="Times New Roman"/>
                      <w:color w:val="000000"/>
                      <w:kern w:val="0"/>
                      <w:sz w:val="20"/>
                      <w:szCs w:val="20"/>
                      <w:lang w:eastAsia="en-GB"/>
                      <w14:ligatures w14:val="none"/>
                    </w:rPr>
                  </w:pPr>
                  <w:r w:rsidRPr="004D11BE">
                    <w:rPr>
                      <w:color w:val="000000"/>
                      <w:sz w:val="20"/>
                      <w:szCs w:val="20"/>
                    </w:rPr>
                    <w:t>down</w:t>
                  </w:r>
                </w:p>
              </w:tc>
              <w:tc>
                <w:tcPr>
                  <w:tcW w:w="0" w:type="auto"/>
                  <w:tcBorders>
                    <w:top w:val="nil"/>
                    <w:left w:val="single" w:sz="4" w:space="0" w:color="auto"/>
                    <w:bottom w:val="nil"/>
                    <w:right w:val="nil"/>
                  </w:tcBorders>
                  <w:vAlign w:val="center"/>
                </w:tcPr>
                <w:p w14:paraId="47F5E200" w14:textId="77777777" w:rsidR="00F55E6A" w:rsidRPr="004D11BE" w:rsidRDefault="00F55E6A" w:rsidP="0041177B">
                  <w:pPr>
                    <w:spacing w:after="0" w:line="240" w:lineRule="auto"/>
                    <w:jc w:val="center"/>
                    <w:rPr>
                      <w:color w:val="000000"/>
                      <w:sz w:val="20"/>
                      <w:szCs w:val="20"/>
                    </w:rPr>
                  </w:pPr>
                  <w:r w:rsidRPr="004D11BE">
                    <w:rPr>
                      <w:rFonts w:eastAsia="Times New Roman" w:cs="Times New Roman"/>
                      <w:color w:val="000000"/>
                      <w:kern w:val="0"/>
                      <w:sz w:val="20"/>
                      <w:szCs w:val="20"/>
                      <w:lang w:eastAsia="en-GB"/>
                      <w14:ligatures w14:val="none"/>
                    </w:rPr>
                    <w:t>F</w:t>
                  </w:r>
                </w:p>
              </w:tc>
              <w:tc>
                <w:tcPr>
                  <w:tcW w:w="0" w:type="auto"/>
                  <w:tcBorders>
                    <w:top w:val="nil"/>
                    <w:left w:val="nil"/>
                    <w:bottom w:val="nil"/>
                    <w:right w:val="nil"/>
                  </w:tcBorders>
                  <w:vAlign w:val="center"/>
                </w:tcPr>
                <w:p w14:paraId="3EEBF916" w14:textId="77777777" w:rsidR="00F55E6A" w:rsidRPr="004D11BE" w:rsidRDefault="00F55E6A" w:rsidP="0041177B">
                  <w:pPr>
                    <w:spacing w:after="0" w:line="240" w:lineRule="auto"/>
                    <w:jc w:val="center"/>
                    <w:rPr>
                      <w:color w:val="000000"/>
                      <w:sz w:val="20"/>
                      <w:szCs w:val="20"/>
                    </w:rPr>
                  </w:pPr>
                  <w:r w:rsidRPr="004D11BE">
                    <w:rPr>
                      <w:color w:val="000000"/>
                      <w:sz w:val="20"/>
                      <w:szCs w:val="20"/>
                    </w:rPr>
                    <w:t>1994-2015</w:t>
                  </w:r>
                </w:p>
              </w:tc>
              <w:tc>
                <w:tcPr>
                  <w:tcW w:w="0" w:type="auto"/>
                  <w:tcBorders>
                    <w:top w:val="nil"/>
                    <w:left w:val="nil"/>
                    <w:bottom w:val="nil"/>
                    <w:right w:val="nil"/>
                  </w:tcBorders>
                  <w:vAlign w:val="center"/>
                </w:tcPr>
                <w:p w14:paraId="7DBF87B9" w14:textId="77777777" w:rsidR="00F55E6A" w:rsidRPr="004D11BE" w:rsidRDefault="00F55E6A" w:rsidP="0041177B">
                  <w:pPr>
                    <w:spacing w:after="0" w:line="240" w:lineRule="auto"/>
                    <w:jc w:val="center"/>
                    <w:rPr>
                      <w:color w:val="000000"/>
                      <w:sz w:val="20"/>
                      <w:szCs w:val="20"/>
                    </w:rPr>
                  </w:pPr>
                  <w:r w:rsidRPr="004D11BE">
                    <w:rPr>
                      <w:color w:val="000000"/>
                      <w:sz w:val="20"/>
                      <w:szCs w:val="20"/>
                    </w:rPr>
                    <w:t>2.3</w:t>
                  </w:r>
                </w:p>
              </w:tc>
              <w:tc>
                <w:tcPr>
                  <w:tcW w:w="0" w:type="auto"/>
                  <w:tcBorders>
                    <w:top w:val="nil"/>
                    <w:left w:val="nil"/>
                    <w:bottom w:val="nil"/>
                    <w:right w:val="nil"/>
                  </w:tcBorders>
                  <w:vAlign w:val="center"/>
                </w:tcPr>
                <w:p w14:paraId="37C6B008" w14:textId="77777777" w:rsidR="00F55E6A" w:rsidRPr="004D11BE" w:rsidRDefault="00F55E6A" w:rsidP="0041177B">
                  <w:pPr>
                    <w:spacing w:after="0" w:line="240" w:lineRule="auto"/>
                    <w:jc w:val="center"/>
                    <w:rPr>
                      <w:color w:val="000000"/>
                      <w:sz w:val="20"/>
                      <w:szCs w:val="20"/>
                    </w:rPr>
                  </w:pPr>
                  <w:r w:rsidRPr="004D11BE">
                    <w:rPr>
                      <w:color w:val="000000"/>
                      <w:sz w:val="20"/>
                      <w:szCs w:val="20"/>
                    </w:rPr>
                    <w:t>2.1, 2.5</w:t>
                  </w:r>
                </w:p>
              </w:tc>
              <w:tc>
                <w:tcPr>
                  <w:tcW w:w="0" w:type="auto"/>
                  <w:tcBorders>
                    <w:top w:val="nil"/>
                    <w:left w:val="nil"/>
                    <w:bottom w:val="nil"/>
                    <w:right w:val="nil"/>
                  </w:tcBorders>
                  <w:vAlign w:val="center"/>
                </w:tcPr>
                <w:p w14:paraId="5C5BE511" w14:textId="77777777" w:rsidR="00F55E6A" w:rsidRPr="004D11BE" w:rsidRDefault="00F55E6A" w:rsidP="0041177B">
                  <w:pPr>
                    <w:spacing w:after="0" w:line="240" w:lineRule="auto"/>
                    <w:jc w:val="center"/>
                    <w:rPr>
                      <w:color w:val="000000"/>
                      <w:sz w:val="20"/>
                      <w:szCs w:val="20"/>
                    </w:rPr>
                  </w:pPr>
                  <w:r w:rsidRPr="004D11BE">
                    <w:rPr>
                      <w:color w:val="000000"/>
                      <w:sz w:val="20"/>
                      <w:szCs w:val="20"/>
                    </w:rPr>
                    <w:t>up</w:t>
                  </w:r>
                </w:p>
              </w:tc>
            </w:tr>
            <w:tr w:rsidR="00F55E6A" w:rsidRPr="004D11BE" w14:paraId="2364A911" w14:textId="77777777" w:rsidTr="0041177B">
              <w:trPr>
                <w:trHeight w:val="113"/>
              </w:trPr>
              <w:tc>
                <w:tcPr>
                  <w:tcW w:w="0" w:type="auto"/>
                  <w:tcBorders>
                    <w:top w:val="nil"/>
                    <w:left w:val="nil"/>
                    <w:bottom w:val="nil"/>
                    <w:right w:val="nil"/>
                  </w:tcBorders>
                  <w:noWrap/>
                  <w:vAlign w:val="center"/>
                  <w:hideMark/>
                </w:tcPr>
                <w:p w14:paraId="723D4C63" w14:textId="77777777" w:rsidR="00F55E6A" w:rsidRPr="004D11BE" w:rsidRDefault="00F55E6A" w:rsidP="0041177B">
                  <w:pPr>
                    <w:spacing w:after="0" w:line="240" w:lineRule="auto"/>
                    <w:jc w:val="center"/>
                    <w:rPr>
                      <w:rFonts w:eastAsia="Times New Roman" w:cs="Times New Roman"/>
                      <w:color w:val="000000"/>
                      <w:kern w:val="0"/>
                      <w:sz w:val="20"/>
                      <w:szCs w:val="20"/>
                      <w:lang w:eastAsia="en-GB"/>
                      <w14:ligatures w14:val="none"/>
                    </w:rPr>
                  </w:pPr>
                </w:p>
              </w:tc>
              <w:tc>
                <w:tcPr>
                  <w:tcW w:w="0" w:type="auto"/>
                  <w:tcBorders>
                    <w:top w:val="nil"/>
                    <w:left w:val="nil"/>
                    <w:bottom w:val="nil"/>
                    <w:right w:val="nil"/>
                  </w:tcBorders>
                  <w:noWrap/>
                  <w:vAlign w:val="bottom"/>
                  <w:hideMark/>
                </w:tcPr>
                <w:p w14:paraId="34A86342" w14:textId="77777777" w:rsidR="00F55E6A" w:rsidRPr="004D11BE" w:rsidRDefault="00F55E6A" w:rsidP="0041177B">
                  <w:pPr>
                    <w:spacing w:after="0" w:line="240" w:lineRule="auto"/>
                    <w:jc w:val="center"/>
                    <w:rPr>
                      <w:rFonts w:eastAsia="Times New Roman" w:cs="Times New Roman"/>
                      <w:color w:val="000000"/>
                      <w:kern w:val="0"/>
                      <w:sz w:val="20"/>
                      <w:szCs w:val="20"/>
                      <w:lang w:eastAsia="en-GB"/>
                      <w14:ligatures w14:val="none"/>
                    </w:rPr>
                  </w:pPr>
                  <w:r w:rsidRPr="004D11BE">
                    <w:rPr>
                      <w:color w:val="000000"/>
                      <w:sz w:val="20"/>
                      <w:szCs w:val="20"/>
                    </w:rPr>
                    <w:t>2017-2022</w:t>
                  </w:r>
                </w:p>
              </w:tc>
              <w:tc>
                <w:tcPr>
                  <w:tcW w:w="0" w:type="auto"/>
                  <w:tcBorders>
                    <w:top w:val="nil"/>
                    <w:left w:val="nil"/>
                    <w:bottom w:val="nil"/>
                    <w:right w:val="nil"/>
                  </w:tcBorders>
                  <w:noWrap/>
                  <w:vAlign w:val="bottom"/>
                  <w:hideMark/>
                </w:tcPr>
                <w:p w14:paraId="3AF4A708" w14:textId="77777777" w:rsidR="00F55E6A" w:rsidRPr="004D11BE" w:rsidRDefault="00F55E6A" w:rsidP="0041177B">
                  <w:pPr>
                    <w:spacing w:after="0" w:line="240" w:lineRule="auto"/>
                    <w:jc w:val="center"/>
                    <w:rPr>
                      <w:rFonts w:eastAsia="Times New Roman" w:cs="Times New Roman"/>
                      <w:color w:val="000000"/>
                      <w:kern w:val="0"/>
                      <w:sz w:val="20"/>
                      <w:szCs w:val="20"/>
                      <w:lang w:eastAsia="en-GB"/>
                      <w14:ligatures w14:val="none"/>
                    </w:rPr>
                  </w:pPr>
                  <w:r w:rsidRPr="004D11BE">
                    <w:rPr>
                      <w:color w:val="000000"/>
                      <w:sz w:val="20"/>
                      <w:szCs w:val="20"/>
                    </w:rPr>
                    <w:t>-4.8</w:t>
                  </w:r>
                </w:p>
              </w:tc>
              <w:tc>
                <w:tcPr>
                  <w:tcW w:w="0" w:type="auto"/>
                  <w:tcBorders>
                    <w:top w:val="nil"/>
                    <w:left w:val="nil"/>
                    <w:bottom w:val="nil"/>
                    <w:right w:val="nil"/>
                  </w:tcBorders>
                  <w:noWrap/>
                  <w:vAlign w:val="bottom"/>
                  <w:hideMark/>
                </w:tcPr>
                <w:p w14:paraId="56B89F64" w14:textId="77777777" w:rsidR="00F55E6A" w:rsidRPr="004D11BE" w:rsidRDefault="00F55E6A" w:rsidP="0041177B">
                  <w:pPr>
                    <w:spacing w:after="0" w:line="240" w:lineRule="auto"/>
                    <w:jc w:val="center"/>
                    <w:rPr>
                      <w:rFonts w:eastAsia="Times New Roman" w:cs="Times New Roman"/>
                      <w:color w:val="000000"/>
                      <w:kern w:val="0"/>
                      <w:sz w:val="20"/>
                      <w:szCs w:val="20"/>
                      <w:lang w:eastAsia="en-GB"/>
                      <w14:ligatures w14:val="none"/>
                    </w:rPr>
                  </w:pPr>
                  <w:r w:rsidRPr="004D11BE">
                    <w:rPr>
                      <w:color w:val="000000"/>
                      <w:sz w:val="20"/>
                      <w:szCs w:val="20"/>
                    </w:rPr>
                    <w:t>-6.6, -3.0</w:t>
                  </w:r>
                </w:p>
              </w:tc>
              <w:tc>
                <w:tcPr>
                  <w:tcW w:w="0" w:type="auto"/>
                  <w:tcBorders>
                    <w:top w:val="nil"/>
                    <w:left w:val="nil"/>
                    <w:bottom w:val="nil"/>
                    <w:right w:val="single" w:sz="4" w:space="0" w:color="auto"/>
                  </w:tcBorders>
                  <w:noWrap/>
                  <w:vAlign w:val="bottom"/>
                  <w:hideMark/>
                </w:tcPr>
                <w:p w14:paraId="03C7B618" w14:textId="77777777" w:rsidR="00F55E6A" w:rsidRPr="004D11BE" w:rsidRDefault="00F55E6A" w:rsidP="0041177B">
                  <w:pPr>
                    <w:spacing w:after="0" w:line="240" w:lineRule="auto"/>
                    <w:jc w:val="center"/>
                    <w:rPr>
                      <w:rFonts w:eastAsia="Times New Roman" w:cs="Times New Roman"/>
                      <w:color w:val="000000"/>
                      <w:kern w:val="0"/>
                      <w:sz w:val="20"/>
                      <w:szCs w:val="20"/>
                      <w:lang w:eastAsia="en-GB"/>
                      <w14:ligatures w14:val="none"/>
                    </w:rPr>
                  </w:pPr>
                  <w:r w:rsidRPr="004D11BE">
                    <w:rPr>
                      <w:color w:val="000000"/>
                      <w:sz w:val="20"/>
                      <w:szCs w:val="20"/>
                    </w:rPr>
                    <w:t>down</w:t>
                  </w:r>
                </w:p>
              </w:tc>
              <w:tc>
                <w:tcPr>
                  <w:tcW w:w="0" w:type="auto"/>
                  <w:tcBorders>
                    <w:top w:val="nil"/>
                    <w:left w:val="single" w:sz="4" w:space="0" w:color="auto"/>
                    <w:bottom w:val="nil"/>
                    <w:right w:val="nil"/>
                  </w:tcBorders>
                  <w:vAlign w:val="center"/>
                </w:tcPr>
                <w:p w14:paraId="1FA16660" w14:textId="77777777" w:rsidR="00F55E6A" w:rsidRPr="004D11BE" w:rsidRDefault="00F55E6A" w:rsidP="0041177B">
                  <w:pPr>
                    <w:spacing w:after="0" w:line="240" w:lineRule="auto"/>
                    <w:jc w:val="center"/>
                    <w:rPr>
                      <w:color w:val="000000"/>
                      <w:sz w:val="20"/>
                      <w:szCs w:val="20"/>
                    </w:rPr>
                  </w:pPr>
                </w:p>
              </w:tc>
              <w:tc>
                <w:tcPr>
                  <w:tcW w:w="0" w:type="auto"/>
                  <w:tcBorders>
                    <w:top w:val="nil"/>
                    <w:left w:val="nil"/>
                    <w:bottom w:val="nil"/>
                    <w:right w:val="nil"/>
                  </w:tcBorders>
                  <w:vAlign w:val="center"/>
                </w:tcPr>
                <w:p w14:paraId="0DE1386F" w14:textId="77777777" w:rsidR="00F55E6A" w:rsidRPr="004D11BE" w:rsidRDefault="00F55E6A" w:rsidP="0041177B">
                  <w:pPr>
                    <w:spacing w:after="0" w:line="240" w:lineRule="auto"/>
                    <w:jc w:val="center"/>
                    <w:rPr>
                      <w:color w:val="000000"/>
                      <w:sz w:val="20"/>
                      <w:szCs w:val="20"/>
                    </w:rPr>
                  </w:pPr>
                  <w:r w:rsidRPr="004D11BE">
                    <w:rPr>
                      <w:color w:val="000000"/>
                      <w:sz w:val="20"/>
                      <w:szCs w:val="20"/>
                    </w:rPr>
                    <w:t>2015-2022</w:t>
                  </w:r>
                </w:p>
              </w:tc>
              <w:tc>
                <w:tcPr>
                  <w:tcW w:w="0" w:type="auto"/>
                  <w:tcBorders>
                    <w:top w:val="nil"/>
                    <w:left w:val="nil"/>
                    <w:bottom w:val="nil"/>
                    <w:right w:val="nil"/>
                  </w:tcBorders>
                  <w:vAlign w:val="center"/>
                </w:tcPr>
                <w:p w14:paraId="143EBFB6" w14:textId="77777777" w:rsidR="00F55E6A" w:rsidRPr="004D11BE" w:rsidRDefault="00F55E6A" w:rsidP="0041177B">
                  <w:pPr>
                    <w:spacing w:after="0" w:line="240" w:lineRule="auto"/>
                    <w:jc w:val="center"/>
                    <w:rPr>
                      <w:color w:val="000000"/>
                      <w:sz w:val="20"/>
                      <w:szCs w:val="20"/>
                    </w:rPr>
                  </w:pPr>
                  <w:r w:rsidRPr="004D11BE">
                    <w:rPr>
                      <w:color w:val="000000"/>
                      <w:sz w:val="20"/>
                      <w:szCs w:val="20"/>
                    </w:rPr>
                    <w:t>-1.8</w:t>
                  </w:r>
                </w:p>
              </w:tc>
              <w:tc>
                <w:tcPr>
                  <w:tcW w:w="0" w:type="auto"/>
                  <w:tcBorders>
                    <w:top w:val="nil"/>
                    <w:left w:val="nil"/>
                    <w:bottom w:val="nil"/>
                    <w:right w:val="nil"/>
                  </w:tcBorders>
                  <w:vAlign w:val="center"/>
                </w:tcPr>
                <w:p w14:paraId="464D643C" w14:textId="77777777" w:rsidR="00F55E6A" w:rsidRPr="004D11BE" w:rsidRDefault="00F55E6A" w:rsidP="0041177B">
                  <w:pPr>
                    <w:spacing w:after="0" w:line="240" w:lineRule="auto"/>
                    <w:jc w:val="center"/>
                    <w:rPr>
                      <w:color w:val="000000"/>
                      <w:sz w:val="20"/>
                      <w:szCs w:val="20"/>
                    </w:rPr>
                  </w:pPr>
                  <w:r w:rsidRPr="004D11BE">
                    <w:rPr>
                      <w:color w:val="000000"/>
                      <w:sz w:val="20"/>
                      <w:szCs w:val="20"/>
                    </w:rPr>
                    <w:t>-2.7, -1.0</w:t>
                  </w:r>
                </w:p>
              </w:tc>
              <w:tc>
                <w:tcPr>
                  <w:tcW w:w="0" w:type="auto"/>
                  <w:tcBorders>
                    <w:top w:val="nil"/>
                    <w:left w:val="nil"/>
                    <w:bottom w:val="nil"/>
                    <w:right w:val="nil"/>
                  </w:tcBorders>
                  <w:vAlign w:val="center"/>
                </w:tcPr>
                <w:p w14:paraId="220B37B4" w14:textId="77777777" w:rsidR="00F55E6A" w:rsidRPr="004D11BE" w:rsidRDefault="00F55E6A" w:rsidP="0041177B">
                  <w:pPr>
                    <w:spacing w:after="0" w:line="240" w:lineRule="auto"/>
                    <w:jc w:val="center"/>
                    <w:rPr>
                      <w:color w:val="000000"/>
                      <w:sz w:val="20"/>
                      <w:szCs w:val="20"/>
                    </w:rPr>
                  </w:pPr>
                  <w:r w:rsidRPr="004D11BE">
                    <w:rPr>
                      <w:color w:val="000000"/>
                      <w:sz w:val="20"/>
                      <w:szCs w:val="20"/>
                    </w:rPr>
                    <w:t>down</w:t>
                  </w:r>
                </w:p>
              </w:tc>
            </w:tr>
          </w:tbl>
          <w:p w14:paraId="67B6BF40" w14:textId="77777777" w:rsidR="00F55E6A" w:rsidRPr="006D3BA7" w:rsidRDefault="00F55E6A" w:rsidP="0041177B">
            <w:pPr>
              <w:jc w:val="center"/>
              <w:rPr>
                <w:rFonts w:eastAsia="Times New Roman" w:cs="Times New Roman"/>
                <w:b/>
                <w:bCs/>
                <w:color w:val="000000"/>
                <w:sz w:val="14"/>
                <w:szCs w:val="14"/>
                <w:u w:val="single"/>
                <w:lang w:eastAsia="en-GB"/>
              </w:rPr>
            </w:pPr>
          </w:p>
        </w:tc>
      </w:tr>
      <w:tr w:rsidR="00F55E6A" w:rsidRPr="006D3BA7" w14:paraId="0A1A9409" w14:textId="77777777" w:rsidTr="0041177B">
        <w:trPr>
          <w:trHeight w:val="113"/>
        </w:trPr>
        <w:tc>
          <w:tcPr>
            <w:tcW w:w="9634" w:type="dxa"/>
            <w:vAlign w:val="center"/>
          </w:tcPr>
          <w:p w14:paraId="2308F62F" w14:textId="77777777" w:rsidR="00F55E6A" w:rsidRPr="006D3BA7" w:rsidRDefault="00F55E6A" w:rsidP="0041177B">
            <w:pPr>
              <w:pBdr>
                <w:bottom w:val="single" w:sz="4" w:space="1" w:color="auto"/>
              </w:pBdr>
              <w:rPr>
                <w:rFonts w:asciiTheme="minorHAnsi" w:hAnsiTheme="minorHAnsi"/>
                <w:bCs/>
                <w:sz w:val="18"/>
                <w:szCs w:val="16"/>
              </w:rPr>
            </w:pPr>
            <w:r w:rsidRPr="006D3BA7">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29D922D8" w14:textId="77777777" w:rsidR="00F55E6A" w:rsidRPr="006D3BA7" w:rsidRDefault="00F55E6A" w:rsidP="0041177B">
            <w:pPr>
              <w:rPr>
                <w:rFonts w:asciiTheme="minorHAnsi" w:hAnsiTheme="minorHAnsi"/>
                <w:b/>
                <w:bCs/>
                <w:noProof/>
                <w:sz w:val="14"/>
                <w:szCs w:val="14"/>
                <w:u w:val="single"/>
              </w:rPr>
            </w:pPr>
          </w:p>
        </w:tc>
      </w:tr>
    </w:tbl>
    <w:p w14:paraId="38ADCF66" w14:textId="77777777" w:rsidR="00F55E6A" w:rsidRDefault="00F55E6A" w:rsidP="00F55E6A">
      <w:pPr>
        <w:spacing w:after="0" w:line="240" w:lineRule="auto"/>
        <w:sectPr w:rsidR="00F55E6A" w:rsidSect="002746C0">
          <w:pgSz w:w="11906" w:h="16838"/>
          <w:pgMar w:top="1440" w:right="1440" w:bottom="1440" w:left="1440" w:header="708" w:footer="708" w:gutter="0"/>
          <w:cols w:space="708"/>
          <w:docGrid w:linePitch="360"/>
        </w:sectPr>
      </w:pPr>
    </w:p>
    <w:p w14:paraId="7EFA4362" w14:textId="77777777" w:rsidR="00F55E6A" w:rsidRPr="00CB2AF1" w:rsidRDefault="00F55E6A" w:rsidP="00F55E6A">
      <w:pPr>
        <w:pStyle w:val="Heading3"/>
        <w:spacing w:before="0" w:after="0" w:line="240" w:lineRule="auto"/>
      </w:pPr>
      <w:bookmarkStart w:id="292" w:name="_Toc197557137"/>
      <w:bookmarkStart w:id="293" w:name="_Toc201512528"/>
      <w:r w:rsidRPr="00CB2AF1">
        <w:t>Variation by deprivation quintile</w:t>
      </w:r>
      <w:bookmarkEnd w:id="292"/>
      <w:bookmarkEnd w:id="293"/>
      <w:r w:rsidRPr="00CB2AF1">
        <w:t xml:space="preserve"> </w:t>
      </w:r>
    </w:p>
    <w:p w14:paraId="61F803CE" w14:textId="512D7BB0" w:rsidR="00F55E6A" w:rsidRDefault="00F55E6A" w:rsidP="00F55E6A">
      <w:pPr>
        <w:spacing w:after="0" w:line="240" w:lineRule="auto"/>
        <w:rPr>
          <w:rFonts w:cstheme="minorHAnsi"/>
          <w:color w:val="000000" w:themeColor="text1"/>
        </w:rPr>
      </w:pPr>
      <w:r w:rsidRPr="000518C3">
        <w:rPr>
          <w:rFonts w:cstheme="minorHAnsi"/>
          <w:color w:val="000000" w:themeColor="text1"/>
        </w:rPr>
        <w:t xml:space="preserve">Age-standardised incidence rates of </w:t>
      </w:r>
      <w:r>
        <w:rPr>
          <w:rFonts w:cstheme="minorHAnsi"/>
        </w:rPr>
        <w:t xml:space="preserve">lung cancer </w:t>
      </w:r>
      <w:r w:rsidRPr="000518C3">
        <w:rPr>
          <w:rFonts w:cstheme="minorHAnsi"/>
          <w:color w:val="000000" w:themeColor="text1"/>
        </w:rPr>
        <w:t>in 2014-2018</w:t>
      </w:r>
      <w:bookmarkStart w:id="294" w:name="_Hlk196926963"/>
      <w:r w:rsidRPr="000518C3">
        <w:rPr>
          <w:rFonts w:cstheme="minorHAnsi"/>
          <w:color w:val="000000" w:themeColor="text1"/>
        </w:rPr>
        <w:t xml:space="preserve"> ranged </w:t>
      </w:r>
      <w:r>
        <w:rPr>
          <w:rFonts w:cstheme="minorHAnsi"/>
          <w:color w:val="000000" w:themeColor="text1"/>
        </w:rPr>
        <w:t>62.6 to 99.2</w:t>
      </w:r>
      <w:r w:rsidRPr="000518C3">
        <w:rPr>
          <w:rFonts w:cstheme="minorHAnsi"/>
          <w:color w:val="000000" w:themeColor="text1"/>
        </w:rPr>
        <w:t xml:space="preserve"> cases per 100,000 </w:t>
      </w:r>
      <w:r>
        <w:rPr>
          <w:rFonts w:cstheme="minorHAnsi"/>
          <w:color w:val="000000" w:themeColor="text1"/>
        </w:rPr>
        <w:t>in the least deprived to the most deprived</w:t>
      </w:r>
      <w:r w:rsidRPr="000518C3">
        <w:rPr>
          <w:rFonts w:cstheme="minorHAnsi"/>
          <w:color w:val="000000" w:themeColor="text1"/>
        </w:rPr>
        <w:t xml:space="preserve"> quintiles </w:t>
      </w:r>
      <w:r>
        <w:rPr>
          <w:rFonts w:cstheme="minorHAnsi"/>
          <w:color w:val="000000" w:themeColor="text1"/>
        </w:rPr>
        <w:t xml:space="preserve">respectively </w:t>
      </w:r>
      <w:bookmarkEnd w:id="294"/>
      <w:r w:rsidRPr="000518C3">
        <w:rPr>
          <w:rFonts w:cstheme="minorHAnsi"/>
          <w:color w:val="000000" w:themeColor="text1"/>
        </w:rPr>
        <w:t xml:space="preserve">(Figure </w:t>
      </w:r>
      <w:r w:rsidR="00A52FFD">
        <w:rPr>
          <w:rFonts w:cstheme="minorHAnsi"/>
          <w:color w:val="000000" w:themeColor="text1"/>
        </w:rPr>
        <w:t>15.3</w:t>
      </w:r>
      <w:r w:rsidRPr="000518C3">
        <w:rPr>
          <w:rFonts w:cstheme="minorHAnsi"/>
          <w:color w:val="000000" w:themeColor="text1"/>
        </w:rPr>
        <w:t>).</w:t>
      </w:r>
      <w:r>
        <w:rPr>
          <w:rFonts w:cstheme="minorHAnsi"/>
          <w:color w:val="000000" w:themeColor="text1"/>
        </w:rPr>
        <w:t xml:space="preserve"> </w:t>
      </w:r>
      <w:r w:rsidRPr="000518C3">
        <w:rPr>
          <w:rFonts w:cstheme="minorHAnsi"/>
          <w:color w:val="000000" w:themeColor="text1"/>
        </w:rPr>
        <w:t xml:space="preserve">There was a significant difference in rates of </w:t>
      </w:r>
      <w:r>
        <w:rPr>
          <w:rFonts w:cstheme="minorHAnsi"/>
          <w:color w:val="000000" w:themeColor="text1"/>
        </w:rPr>
        <w:t>lung</w:t>
      </w:r>
      <w:r w:rsidRPr="000518C3">
        <w:rPr>
          <w:rFonts w:cstheme="minorHAnsi"/>
          <w:color w:val="000000" w:themeColor="text1"/>
        </w:rPr>
        <w:t xml:space="preserve"> cancer between the most and least deprived quintiles for males (</w:t>
      </w:r>
      <w:r>
        <w:rPr>
          <w:rFonts w:cstheme="minorHAnsi"/>
          <w:color w:val="000000" w:themeColor="text1"/>
        </w:rPr>
        <w:t>75.4</w:t>
      </w:r>
      <w:r w:rsidRPr="000518C3">
        <w:rPr>
          <w:rFonts w:cstheme="minorHAnsi"/>
          <w:color w:val="000000" w:themeColor="text1"/>
        </w:rPr>
        <w:t xml:space="preserve"> for least deprived and </w:t>
      </w:r>
      <w:r>
        <w:rPr>
          <w:rFonts w:cstheme="minorHAnsi"/>
          <w:color w:val="000000" w:themeColor="text1"/>
        </w:rPr>
        <w:t>116.2</w:t>
      </w:r>
      <w:r w:rsidRPr="000518C3">
        <w:rPr>
          <w:rFonts w:cstheme="minorHAnsi"/>
          <w:color w:val="000000" w:themeColor="text1"/>
        </w:rPr>
        <w:t xml:space="preserve"> for most deprived).</w:t>
      </w:r>
      <w:r>
        <w:rPr>
          <w:rFonts w:cstheme="minorHAnsi"/>
          <w:color w:val="000000" w:themeColor="text1"/>
        </w:rPr>
        <w:t xml:space="preserve"> A</w:t>
      </w:r>
      <w:r w:rsidRPr="000518C3">
        <w:rPr>
          <w:rFonts w:cstheme="minorHAnsi"/>
          <w:color w:val="000000" w:themeColor="text1"/>
        </w:rPr>
        <w:t xml:space="preserve"> difference in rates between the most and least deprived quintiles was also seen in females (</w:t>
      </w:r>
      <w:r>
        <w:rPr>
          <w:rFonts w:cstheme="minorHAnsi"/>
          <w:color w:val="000000" w:themeColor="text1"/>
        </w:rPr>
        <w:t xml:space="preserve">54.3 </w:t>
      </w:r>
      <w:r w:rsidRPr="000518C3">
        <w:rPr>
          <w:rFonts w:cstheme="minorHAnsi"/>
          <w:color w:val="000000" w:themeColor="text1"/>
        </w:rPr>
        <w:t xml:space="preserve">for least deprived and </w:t>
      </w:r>
      <w:r>
        <w:rPr>
          <w:rFonts w:cstheme="minorHAnsi"/>
          <w:color w:val="000000" w:themeColor="text1"/>
        </w:rPr>
        <w:t>87.5</w:t>
      </w:r>
      <w:r w:rsidRPr="000518C3">
        <w:rPr>
          <w:rFonts w:cstheme="minorHAnsi"/>
          <w:color w:val="000000" w:themeColor="text1"/>
        </w:rPr>
        <w:t xml:space="preserve"> for most deprived).</w:t>
      </w:r>
    </w:p>
    <w:p w14:paraId="02B6E3C3" w14:textId="77777777" w:rsidR="00F55E6A" w:rsidRPr="000518C3" w:rsidRDefault="00F55E6A" w:rsidP="00F55E6A">
      <w:pPr>
        <w:spacing w:after="0" w:line="240" w:lineRule="auto"/>
        <w:rPr>
          <w:rFonts w:cstheme="minorHAnsi"/>
          <w:color w:val="000000" w:themeColor="text1"/>
        </w:rPr>
      </w:pPr>
    </w:p>
    <w:tbl>
      <w:tblPr>
        <w:tblStyle w:val="TableGrid"/>
        <w:tblW w:w="976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256"/>
        <w:gridCol w:w="3256"/>
      </w:tblGrid>
      <w:tr w:rsidR="00F55E6A" w:rsidRPr="006D3BA7" w14:paraId="337A2F68" w14:textId="77777777" w:rsidTr="0041177B">
        <w:trPr>
          <w:trHeight w:val="113"/>
        </w:trPr>
        <w:tc>
          <w:tcPr>
            <w:tcW w:w="9768" w:type="dxa"/>
            <w:gridSpan w:val="3"/>
            <w:shd w:val="clear" w:color="auto" w:fill="002060"/>
          </w:tcPr>
          <w:p w14:paraId="3D4C4EDC" w14:textId="30396602" w:rsidR="00F55E6A" w:rsidRPr="00A52FFD" w:rsidRDefault="00F55E6A" w:rsidP="0041177B">
            <w:pPr>
              <w:rPr>
                <w:rFonts w:asciiTheme="minorHAnsi" w:hAnsiTheme="minorHAnsi" w:cstheme="minorHAnsi"/>
                <w:b/>
                <w:bCs/>
                <w:color w:val="FFFFFF" w:themeColor="background1"/>
              </w:rPr>
            </w:pPr>
            <w:r w:rsidRPr="00A52FFD">
              <w:rPr>
                <w:rFonts w:asciiTheme="minorHAnsi" w:hAnsiTheme="minorHAnsi" w:cstheme="minorHAnsi"/>
                <w:b/>
                <w:bCs/>
                <w:color w:val="FFFFFF" w:themeColor="background1"/>
              </w:rPr>
              <w:t xml:space="preserve">Figure </w:t>
            </w:r>
            <w:r w:rsidR="00A52FFD" w:rsidRPr="00A52FFD">
              <w:rPr>
                <w:rFonts w:asciiTheme="minorHAnsi" w:hAnsiTheme="minorHAnsi" w:cstheme="minorHAnsi"/>
                <w:b/>
                <w:bCs/>
                <w:color w:val="FFFFFF" w:themeColor="background1"/>
              </w:rPr>
              <w:t>15.3:</w:t>
            </w:r>
            <w:r w:rsidRPr="00A52FFD">
              <w:rPr>
                <w:rFonts w:asciiTheme="minorHAnsi" w:hAnsiTheme="minorHAnsi" w:cstheme="minorHAnsi"/>
                <w:b/>
                <w:bCs/>
                <w:color w:val="FFFFFF" w:themeColor="background1"/>
              </w:rPr>
              <w:t xml:space="preserve">  Incidence rate (per 100,000) for lung cancer by deprivation quintile, 2014-2018</w:t>
            </w:r>
          </w:p>
        </w:tc>
      </w:tr>
      <w:tr w:rsidR="00F55E6A" w:rsidRPr="006D3BA7" w14:paraId="078DF787" w14:textId="77777777" w:rsidTr="0041177B">
        <w:trPr>
          <w:trHeight w:val="113"/>
        </w:trPr>
        <w:tc>
          <w:tcPr>
            <w:tcW w:w="3256" w:type="dxa"/>
            <w:shd w:val="clear" w:color="auto" w:fill="auto"/>
          </w:tcPr>
          <w:p w14:paraId="71797F52" w14:textId="77777777" w:rsidR="00F55E6A" w:rsidRPr="006D3BA7" w:rsidRDefault="00F55E6A" w:rsidP="0041177B">
            <w:pPr>
              <w:jc w:val="center"/>
              <w:rPr>
                <w:rFonts w:asciiTheme="minorHAnsi" w:hAnsiTheme="minorHAnsi" w:cstheme="minorHAnsi"/>
                <w:color w:val="000000" w:themeColor="text1"/>
              </w:rPr>
            </w:pPr>
            <w:r w:rsidRPr="006D3BA7">
              <w:rPr>
                <w:rFonts w:asciiTheme="minorHAnsi" w:hAnsiTheme="minorHAnsi" w:cstheme="minorHAnsi"/>
                <w:color w:val="000000" w:themeColor="text1"/>
              </w:rPr>
              <w:t>Total</w:t>
            </w:r>
          </w:p>
        </w:tc>
        <w:tc>
          <w:tcPr>
            <w:tcW w:w="3256" w:type="dxa"/>
            <w:shd w:val="clear" w:color="auto" w:fill="auto"/>
          </w:tcPr>
          <w:p w14:paraId="5D16651F" w14:textId="77777777" w:rsidR="00F55E6A" w:rsidRPr="006D3BA7" w:rsidRDefault="00F55E6A" w:rsidP="0041177B">
            <w:pPr>
              <w:jc w:val="center"/>
              <w:rPr>
                <w:rFonts w:asciiTheme="minorHAnsi" w:hAnsiTheme="minorHAnsi" w:cstheme="minorHAnsi"/>
                <w:color w:val="000000" w:themeColor="text1"/>
              </w:rPr>
            </w:pPr>
            <w:r w:rsidRPr="006D3BA7">
              <w:rPr>
                <w:rFonts w:asciiTheme="minorHAnsi" w:hAnsiTheme="minorHAnsi" w:cstheme="minorHAnsi"/>
                <w:color w:val="000000" w:themeColor="text1"/>
              </w:rPr>
              <w:t>Males</w:t>
            </w:r>
          </w:p>
        </w:tc>
        <w:tc>
          <w:tcPr>
            <w:tcW w:w="3256" w:type="dxa"/>
          </w:tcPr>
          <w:p w14:paraId="3F324BAD" w14:textId="77777777" w:rsidR="00F55E6A" w:rsidRPr="006D3BA7" w:rsidRDefault="00F55E6A" w:rsidP="0041177B">
            <w:pPr>
              <w:jc w:val="center"/>
              <w:rPr>
                <w:rFonts w:asciiTheme="minorHAnsi" w:hAnsiTheme="minorHAnsi" w:cstheme="minorHAnsi"/>
                <w:color w:val="000000" w:themeColor="text1"/>
              </w:rPr>
            </w:pPr>
            <w:r w:rsidRPr="006D3BA7">
              <w:rPr>
                <w:rFonts w:asciiTheme="minorHAnsi" w:hAnsiTheme="minorHAnsi" w:cstheme="minorHAnsi"/>
                <w:color w:val="000000" w:themeColor="text1"/>
              </w:rPr>
              <w:t>Females</w:t>
            </w:r>
          </w:p>
        </w:tc>
      </w:tr>
      <w:tr w:rsidR="00F55E6A" w:rsidRPr="006D3BA7" w14:paraId="18D1C2A6" w14:textId="77777777" w:rsidTr="0041177B">
        <w:trPr>
          <w:trHeight w:val="113"/>
        </w:trPr>
        <w:tc>
          <w:tcPr>
            <w:tcW w:w="3256" w:type="dxa"/>
            <w:shd w:val="clear" w:color="auto" w:fill="auto"/>
          </w:tcPr>
          <w:p w14:paraId="6C5DBB0D" w14:textId="77777777" w:rsidR="00F55E6A" w:rsidRPr="006D3BA7" w:rsidRDefault="00F55E6A" w:rsidP="0041177B">
            <w:pPr>
              <w:rPr>
                <w:rFonts w:asciiTheme="minorHAnsi" w:eastAsia="Times New Roman" w:hAnsiTheme="minorHAnsi" w:cs="Times New Roman"/>
                <w:lang w:eastAsia="en-GB"/>
              </w:rPr>
            </w:pPr>
            <w:r w:rsidRPr="006D3BA7">
              <w:rPr>
                <w:rFonts w:eastAsia="Times New Roman" w:cs="Times New Roman"/>
                <w:noProof/>
                <w:lang w:eastAsia="en-GB"/>
              </w:rPr>
              <w:drawing>
                <wp:inline distT="0" distB="0" distL="0" distR="0" wp14:anchorId="1855A208" wp14:editId="75BC0DA8">
                  <wp:extent cx="1846853" cy="1436400"/>
                  <wp:effectExtent l="0" t="0" r="1270" b="0"/>
                  <wp:docPr id="668857226" name="Picture 11" descr="A graph with numbers and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57226" name="Picture 11" descr="A graph with numbers and a number&#10;&#10;AI-generated content may be incorrect."/>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846853" cy="1436400"/>
                          </a:xfrm>
                          <a:prstGeom prst="rect">
                            <a:avLst/>
                          </a:prstGeom>
                          <a:noFill/>
                        </pic:spPr>
                      </pic:pic>
                    </a:graphicData>
                  </a:graphic>
                </wp:inline>
              </w:drawing>
            </w:r>
          </w:p>
        </w:tc>
        <w:tc>
          <w:tcPr>
            <w:tcW w:w="3256" w:type="dxa"/>
            <w:shd w:val="clear" w:color="auto" w:fill="auto"/>
          </w:tcPr>
          <w:p w14:paraId="62DDC6B9" w14:textId="77777777" w:rsidR="00F55E6A" w:rsidRPr="006D3BA7" w:rsidRDefault="00F55E6A" w:rsidP="0041177B">
            <w:pPr>
              <w:rPr>
                <w:rFonts w:asciiTheme="minorHAnsi" w:hAnsiTheme="minorHAnsi" w:cstheme="minorHAnsi"/>
                <w:color w:val="000000" w:themeColor="text1"/>
                <w:lang w:val="en-GB"/>
              </w:rPr>
            </w:pPr>
            <w:r w:rsidRPr="006D3BA7">
              <w:rPr>
                <w:rFonts w:eastAsia="Times New Roman" w:cs="Times New Roman"/>
                <w:noProof/>
                <w:lang w:eastAsia="en-GB"/>
              </w:rPr>
              <w:drawing>
                <wp:inline distT="0" distB="0" distL="0" distR="0" wp14:anchorId="31CBD9A5" wp14:editId="4A64CDCE">
                  <wp:extent cx="1846851" cy="1436400"/>
                  <wp:effectExtent l="0" t="0" r="1270" b="0"/>
                  <wp:docPr id="236385210" name="Picture 12"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385210" name="Picture 12" descr="A graph with numbers and a bar&#10;&#10;AI-generated content may be incorrect."/>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846851" cy="1436400"/>
                          </a:xfrm>
                          <a:prstGeom prst="rect">
                            <a:avLst/>
                          </a:prstGeom>
                          <a:noFill/>
                        </pic:spPr>
                      </pic:pic>
                    </a:graphicData>
                  </a:graphic>
                </wp:inline>
              </w:drawing>
            </w:r>
          </w:p>
        </w:tc>
        <w:tc>
          <w:tcPr>
            <w:tcW w:w="3256" w:type="dxa"/>
          </w:tcPr>
          <w:p w14:paraId="711DA1B6" w14:textId="77777777" w:rsidR="00F55E6A" w:rsidRPr="006D3BA7" w:rsidRDefault="00F55E6A" w:rsidP="0041177B">
            <w:pPr>
              <w:jc w:val="center"/>
              <w:rPr>
                <w:rFonts w:asciiTheme="minorHAnsi" w:hAnsiTheme="minorHAnsi" w:cstheme="minorHAnsi"/>
                <w:color w:val="000000" w:themeColor="text1"/>
              </w:rPr>
            </w:pPr>
            <w:r w:rsidRPr="006D3BA7">
              <w:rPr>
                <w:rFonts w:eastAsia="Times New Roman" w:cs="Times New Roman"/>
                <w:noProof/>
                <w:lang w:eastAsia="en-GB"/>
              </w:rPr>
              <w:drawing>
                <wp:inline distT="0" distB="0" distL="0" distR="0" wp14:anchorId="08E3097B" wp14:editId="183847B5">
                  <wp:extent cx="1846851" cy="1436400"/>
                  <wp:effectExtent l="0" t="0" r="1270" b="0"/>
                  <wp:docPr id="165855511" name="Picture 13"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5511" name="Picture 13" descr="A graph with numbers and a bar&#10;&#10;AI-generated content may be incorrect."/>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846851" cy="1436400"/>
                          </a:xfrm>
                          <a:prstGeom prst="rect">
                            <a:avLst/>
                          </a:prstGeom>
                          <a:noFill/>
                        </pic:spPr>
                      </pic:pic>
                    </a:graphicData>
                  </a:graphic>
                </wp:inline>
              </w:drawing>
            </w:r>
          </w:p>
        </w:tc>
      </w:tr>
    </w:tbl>
    <w:p w14:paraId="422513C6" w14:textId="77777777" w:rsidR="001A3B02" w:rsidRPr="001A3B02" w:rsidRDefault="001A3B02" w:rsidP="001A3B02">
      <w:bookmarkStart w:id="295" w:name="_Toc197557138"/>
    </w:p>
    <w:p w14:paraId="237478FC" w14:textId="77777777" w:rsidR="00F55E6A" w:rsidRDefault="00F55E6A" w:rsidP="00F55E6A">
      <w:pPr>
        <w:pStyle w:val="Heading2"/>
        <w:spacing w:before="0" w:after="0" w:line="240" w:lineRule="auto"/>
      </w:pPr>
      <w:bookmarkStart w:id="296" w:name="_Toc201512529"/>
      <w:r>
        <w:t>Mortality</w:t>
      </w:r>
      <w:bookmarkEnd w:id="295"/>
      <w:bookmarkEnd w:id="296"/>
    </w:p>
    <w:p w14:paraId="46521E28" w14:textId="0256BC35" w:rsidR="00F55E6A" w:rsidRDefault="00F55E6A" w:rsidP="00F55E6A">
      <w:pPr>
        <w:spacing w:after="0" w:line="240" w:lineRule="auto"/>
      </w:pPr>
      <w:r>
        <w:t xml:space="preserve">Age-standardised mortality rates for lung cancer </w:t>
      </w:r>
      <w:r w:rsidR="00F75DE1">
        <w:t>during the period</w:t>
      </w:r>
      <w:r>
        <w:t xml:space="preserve"> 1994-2022 were 83.2 deaths per 100,000 males and 44.7 deaths per 100,000 females per year. Figure </w:t>
      </w:r>
      <w:r w:rsidR="00A52FFD">
        <w:t>15.4</w:t>
      </w:r>
      <w:r>
        <w:t xml:space="preserve"> breaks this down further by sex and age group. Mortality rates increased with increasing age and were higher among males than females across age groups. </w:t>
      </w:r>
    </w:p>
    <w:p w14:paraId="575BD0BA" w14:textId="77777777" w:rsidR="00F55E6A" w:rsidRPr="007C06DE" w:rsidRDefault="00F55E6A" w:rsidP="00F55E6A">
      <w:pPr>
        <w:spacing w:after="0" w:line="240" w:lineRule="auto"/>
      </w:pPr>
    </w:p>
    <w:tbl>
      <w:tblPr>
        <w:tblStyle w:val="TableGrid"/>
        <w:tblW w:w="977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9"/>
        <w:gridCol w:w="3247"/>
        <w:gridCol w:w="3482"/>
      </w:tblGrid>
      <w:tr w:rsidR="00F55E6A" w:rsidRPr="00E06A2D" w14:paraId="15AD7FAE" w14:textId="77777777" w:rsidTr="0041177B">
        <w:trPr>
          <w:trHeight w:val="113"/>
        </w:trPr>
        <w:tc>
          <w:tcPr>
            <w:tcW w:w="9778" w:type="dxa"/>
            <w:gridSpan w:val="3"/>
            <w:shd w:val="clear" w:color="auto" w:fill="002060"/>
          </w:tcPr>
          <w:p w14:paraId="7863547F" w14:textId="03D02D7E" w:rsidR="00F55E6A" w:rsidRPr="00A52FFD" w:rsidRDefault="00F55E6A" w:rsidP="0041177B">
            <w:pPr>
              <w:rPr>
                <w:rFonts w:asciiTheme="minorHAnsi" w:hAnsiTheme="minorHAnsi" w:cstheme="minorHAnsi"/>
                <w:b/>
                <w:bCs/>
                <w:color w:val="FFFFFF" w:themeColor="background1"/>
              </w:rPr>
            </w:pPr>
            <w:r w:rsidRPr="00A52FFD">
              <w:rPr>
                <w:rFonts w:asciiTheme="minorHAnsi" w:hAnsiTheme="minorHAnsi" w:cstheme="minorHAnsi"/>
                <w:b/>
                <w:bCs/>
                <w:color w:val="FFFFFF" w:themeColor="background1"/>
              </w:rPr>
              <w:t xml:space="preserve">Figure </w:t>
            </w:r>
            <w:r w:rsidR="00A52FFD" w:rsidRPr="00A52FFD">
              <w:rPr>
                <w:rFonts w:asciiTheme="minorHAnsi" w:hAnsiTheme="minorHAnsi" w:cstheme="minorHAnsi"/>
                <w:b/>
                <w:bCs/>
                <w:color w:val="FFFFFF" w:themeColor="background1"/>
              </w:rPr>
              <w:t xml:space="preserve">15.4: </w:t>
            </w:r>
            <w:r w:rsidRPr="00A52FFD">
              <w:rPr>
                <w:rFonts w:asciiTheme="minorHAnsi" w:hAnsiTheme="minorHAnsi" w:cstheme="minorHAnsi"/>
                <w:b/>
                <w:bCs/>
                <w:color w:val="FFFFFF" w:themeColor="background1"/>
              </w:rPr>
              <w:t xml:space="preserve">Mortality rate (per 100,000) for lung cancer by </w:t>
            </w:r>
            <w:r w:rsidR="00366242">
              <w:rPr>
                <w:rFonts w:asciiTheme="minorHAnsi" w:hAnsiTheme="minorHAnsi" w:cstheme="minorHAnsi"/>
                <w:b/>
                <w:bCs/>
                <w:color w:val="FFFFFF" w:themeColor="background1"/>
              </w:rPr>
              <w:t>age group</w:t>
            </w:r>
            <w:r w:rsidRPr="00A52FFD">
              <w:rPr>
                <w:rFonts w:asciiTheme="minorHAnsi" w:hAnsiTheme="minorHAnsi" w:cstheme="minorHAnsi"/>
                <w:b/>
                <w:bCs/>
                <w:color w:val="FFFFFF" w:themeColor="background1"/>
              </w:rPr>
              <w:t>, 1994-2022</w:t>
            </w:r>
          </w:p>
        </w:tc>
      </w:tr>
      <w:tr w:rsidR="00F55E6A" w:rsidRPr="00E06A2D" w14:paraId="2B4555C6" w14:textId="77777777" w:rsidTr="0041177B">
        <w:trPr>
          <w:trHeight w:val="113"/>
        </w:trPr>
        <w:tc>
          <w:tcPr>
            <w:tcW w:w="3049" w:type="dxa"/>
            <w:shd w:val="clear" w:color="auto" w:fill="auto"/>
          </w:tcPr>
          <w:p w14:paraId="3C07ED49" w14:textId="77777777" w:rsidR="00F55E6A" w:rsidRPr="00E06A2D" w:rsidRDefault="00F55E6A" w:rsidP="0041177B">
            <w:pPr>
              <w:jc w:val="center"/>
              <w:rPr>
                <w:rFonts w:asciiTheme="minorHAnsi" w:hAnsiTheme="minorHAnsi" w:cstheme="minorHAnsi"/>
                <w:color w:val="000000" w:themeColor="text1"/>
              </w:rPr>
            </w:pPr>
            <w:r w:rsidRPr="00E06A2D">
              <w:rPr>
                <w:rFonts w:asciiTheme="minorHAnsi" w:hAnsiTheme="minorHAnsi" w:cstheme="minorHAnsi"/>
                <w:color w:val="000000" w:themeColor="text1"/>
              </w:rPr>
              <w:t>Total</w:t>
            </w:r>
          </w:p>
        </w:tc>
        <w:tc>
          <w:tcPr>
            <w:tcW w:w="3247" w:type="dxa"/>
            <w:shd w:val="clear" w:color="auto" w:fill="auto"/>
          </w:tcPr>
          <w:p w14:paraId="1726D068" w14:textId="77777777" w:rsidR="00F55E6A" w:rsidRPr="00E06A2D" w:rsidRDefault="00F55E6A" w:rsidP="0041177B">
            <w:pPr>
              <w:jc w:val="center"/>
              <w:rPr>
                <w:rFonts w:asciiTheme="minorHAnsi" w:hAnsiTheme="minorHAnsi" w:cstheme="minorHAnsi"/>
                <w:color w:val="000000" w:themeColor="text1"/>
              </w:rPr>
            </w:pPr>
            <w:r w:rsidRPr="00E06A2D">
              <w:rPr>
                <w:rFonts w:asciiTheme="minorHAnsi" w:hAnsiTheme="minorHAnsi" w:cstheme="minorHAnsi"/>
                <w:color w:val="000000" w:themeColor="text1"/>
              </w:rPr>
              <w:t>Males</w:t>
            </w:r>
          </w:p>
        </w:tc>
        <w:tc>
          <w:tcPr>
            <w:tcW w:w="3482" w:type="dxa"/>
          </w:tcPr>
          <w:p w14:paraId="4715D2D0" w14:textId="77777777" w:rsidR="00F55E6A" w:rsidRPr="00E06A2D" w:rsidRDefault="00F55E6A" w:rsidP="0041177B">
            <w:pPr>
              <w:jc w:val="center"/>
              <w:rPr>
                <w:rFonts w:asciiTheme="minorHAnsi" w:hAnsiTheme="minorHAnsi" w:cstheme="minorHAnsi"/>
                <w:color w:val="000000" w:themeColor="text1"/>
              </w:rPr>
            </w:pPr>
            <w:r w:rsidRPr="00E06A2D">
              <w:rPr>
                <w:rFonts w:asciiTheme="minorHAnsi" w:hAnsiTheme="minorHAnsi" w:cstheme="minorHAnsi"/>
                <w:color w:val="000000" w:themeColor="text1"/>
              </w:rPr>
              <w:t>Females</w:t>
            </w:r>
          </w:p>
        </w:tc>
      </w:tr>
      <w:tr w:rsidR="00F55E6A" w:rsidRPr="00E06A2D" w14:paraId="52A41527" w14:textId="77777777" w:rsidTr="0041177B">
        <w:trPr>
          <w:trHeight w:val="113"/>
        </w:trPr>
        <w:tc>
          <w:tcPr>
            <w:tcW w:w="3049" w:type="dxa"/>
            <w:shd w:val="clear" w:color="auto" w:fill="auto"/>
          </w:tcPr>
          <w:p w14:paraId="1DF84919" w14:textId="77777777" w:rsidR="00F55E6A" w:rsidRPr="00E06A2D" w:rsidRDefault="00F55E6A" w:rsidP="0041177B">
            <w:pPr>
              <w:rPr>
                <w:rFonts w:asciiTheme="minorHAnsi" w:eastAsia="Times New Roman" w:hAnsiTheme="minorHAnsi" w:cs="Times New Roman"/>
                <w:lang w:eastAsia="en-GB"/>
              </w:rPr>
            </w:pPr>
            <w:r w:rsidRPr="00E06A2D">
              <w:rPr>
                <w:rFonts w:eastAsia="Times New Roman" w:cs="Times New Roman"/>
                <w:noProof/>
                <w:lang w:eastAsia="en-GB"/>
              </w:rPr>
              <w:drawing>
                <wp:inline distT="0" distB="0" distL="0" distR="0" wp14:anchorId="64975314" wp14:editId="4223A57F">
                  <wp:extent cx="1834243" cy="1436400"/>
                  <wp:effectExtent l="0" t="0" r="0" b="0"/>
                  <wp:docPr id="41" name="Picture 37" descr="A graph with numbers and a ba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37" descr="A graph with numbers and a bar&#10;&#10;AI-generated content may be incorrect."/>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834243" cy="1436400"/>
                          </a:xfrm>
                          <a:prstGeom prst="rect">
                            <a:avLst/>
                          </a:prstGeom>
                          <a:noFill/>
                          <a:ln>
                            <a:noFill/>
                          </a:ln>
                        </pic:spPr>
                      </pic:pic>
                    </a:graphicData>
                  </a:graphic>
                </wp:inline>
              </w:drawing>
            </w:r>
          </w:p>
        </w:tc>
        <w:tc>
          <w:tcPr>
            <w:tcW w:w="3247" w:type="dxa"/>
            <w:shd w:val="clear" w:color="auto" w:fill="auto"/>
          </w:tcPr>
          <w:p w14:paraId="59191873" w14:textId="77777777" w:rsidR="00F55E6A" w:rsidRPr="00E06A2D" w:rsidRDefault="00F55E6A" w:rsidP="0041177B">
            <w:pPr>
              <w:rPr>
                <w:rFonts w:asciiTheme="minorHAnsi" w:hAnsiTheme="minorHAnsi" w:cstheme="minorHAnsi"/>
                <w:color w:val="000000" w:themeColor="text1"/>
              </w:rPr>
            </w:pPr>
            <w:r w:rsidRPr="00E06A2D">
              <w:rPr>
                <w:rFonts w:eastAsia="Times New Roman" w:cs="Times New Roman"/>
                <w:noProof/>
                <w:lang w:eastAsia="en-GB"/>
              </w:rPr>
              <w:drawing>
                <wp:inline distT="0" distB="0" distL="0" distR="0" wp14:anchorId="6FA05E1C" wp14:editId="6C90E28F">
                  <wp:extent cx="1959429" cy="1436400"/>
                  <wp:effectExtent l="0" t="0" r="3175" b="0"/>
                  <wp:docPr id="683374499" name="Picture 34" descr="A graph with numbers and a ba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3374499" name="Picture 34" descr="A graph with numbers and a bar&#10;&#10;AI-generated content may be incorrect."/>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959429" cy="1436400"/>
                          </a:xfrm>
                          <a:prstGeom prst="rect">
                            <a:avLst/>
                          </a:prstGeom>
                          <a:noFill/>
                          <a:ln>
                            <a:noFill/>
                          </a:ln>
                        </pic:spPr>
                      </pic:pic>
                    </a:graphicData>
                  </a:graphic>
                </wp:inline>
              </w:drawing>
            </w:r>
          </w:p>
        </w:tc>
        <w:tc>
          <w:tcPr>
            <w:tcW w:w="3482" w:type="dxa"/>
          </w:tcPr>
          <w:p w14:paraId="32CBE1D9" w14:textId="77777777" w:rsidR="00F55E6A" w:rsidRPr="00E06A2D" w:rsidRDefault="00F55E6A" w:rsidP="0041177B">
            <w:pPr>
              <w:rPr>
                <w:rFonts w:asciiTheme="minorHAnsi" w:hAnsiTheme="minorHAnsi" w:cstheme="minorHAnsi"/>
                <w:color w:val="000000" w:themeColor="text1"/>
              </w:rPr>
            </w:pPr>
            <w:r w:rsidRPr="00E06A2D">
              <w:rPr>
                <w:rFonts w:eastAsia="Times New Roman" w:cs="Times New Roman"/>
                <w:noProof/>
                <w:lang w:eastAsia="en-GB"/>
              </w:rPr>
              <w:drawing>
                <wp:inline distT="0" distB="0" distL="0" distR="0" wp14:anchorId="265BD78F" wp14:editId="0D507799">
                  <wp:extent cx="2111481" cy="1436400"/>
                  <wp:effectExtent l="0" t="0" r="3175" b="0"/>
                  <wp:docPr id="38" name="Picture 35" descr="A graph with numbers and a bar char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5" descr="A graph with numbers and a bar chart&#10;&#10;AI-generated content may be incorrect."/>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111481" cy="1436400"/>
                          </a:xfrm>
                          <a:prstGeom prst="rect">
                            <a:avLst/>
                          </a:prstGeom>
                          <a:noFill/>
                          <a:ln>
                            <a:noFill/>
                          </a:ln>
                        </pic:spPr>
                      </pic:pic>
                    </a:graphicData>
                  </a:graphic>
                </wp:inline>
              </w:drawing>
            </w:r>
          </w:p>
        </w:tc>
      </w:tr>
    </w:tbl>
    <w:p w14:paraId="7BCC5267" w14:textId="77777777" w:rsidR="00F55E6A" w:rsidRDefault="00F55E6A" w:rsidP="00F55E6A">
      <w:pPr>
        <w:spacing w:after="0" w:line="240" w:lineRule="auto"/>
      </w:pPr>
    </w:p>
    <w:p w14:paraId="6882466E" w14:textId="77777777" w:rsidR="00F55E6A" w:rsidRDefault="00F55E6A" w:rsidP="00F55E6A">
      <w:pPr>
        <w:spacing w:after="0" w:line="240" w:lineRule="auto"/>
        <w:sectPr w:rsidR="00F55E6A" w:rsidSect="002746C0">
          <w:pgSz w:w="11906" w:h="16838"/>
          <w:pgMar w:top="1440" w:right="1440" w:bottom="1440" w:left="1440" w:header="708" w:footer="708" w:gutter="0"/>
          <w:cols w:space="708"/>
          <w:docGrid w:linePitch="360"/>
        </w:sectPr>
      </w:pPr>
    </w:p>
    <w:p w14:paraId="68D4E477" w14:textId="77777777" w:rsidR="00F55E6A" w:rsidRPr="00325650" w:rsidRDefault="00F55E6A" w:rsidP="00F55E6A">
      <w:pPr>
        <w:pStyle w:val="Heading3"/>
        <w:spacing w:before="0" w:after="0" w:line="240" w:lineRule="auto"/>
      </w:pPr>
      <w:bookmarkStart w:id="297" w:name="_Toc197557139"/>
      <w:bookmarkStart w:id="298" w:name="_Toc201512530"/>
      <w:r w:rsidRPr="00325650">
        <w:t>Trends over time</w:t>
      </w:r>
      <w:bookmarkEnd w:id="297"/>
      <w:bookmarkEnd w:id="298"/>
    </w:p>
    <w:p w14:paraId="4A4DA8C2" w14:textId="44BA17B8" w:rsidR="00F55E6A" w:rsidRDefault="00F55E6A" w:rsidP="00F55E6A">
      <w:pPr>
        <w:spacing w:after="0" w:line="240" w:lineRule="auto"/>
        <w:rPr>
          <w:rStyle w:val="normaltextrun"/>
          <w:rFonts w:ascii="Aptos" w:hAnsi="Aptos"/>
          <w:color w:val="000000"/>
          <w:shd w:val="clear" w:color="auto" w:fill="FFFFFF"/>
        </w:rPr>
      </w:pPr>
      <w:r>
        <w:t xml:space="preserve">Figure </w:t>
      </w:r>
      <w:r w:rsidR="00A52FFD">
        <w:t>15.5</w:t>
      </w:r>
      <w:r>
        <w:t xml:space="preserve"> shows age</w:t>
      </w:r>
      <w:r w:rsidR="00366242">
        <w:t>-</w:t>
      </w:r>
      <w:r>
        <w:t xml:space="preserve">standardised mortality rates for lung cancer 1994 to 2022 for males and females. </w:t>
      </w:r>
      <w:r>
        <w:rPr>
          <w:rStyle w:val="normaltextrun"/>
          <w:rFonts w:ascii="Aptos" w:hAnsi="Aptos"/>
          <w:color w:val="000000"/>
          <w:shd w:val="clear" w:color="auto" w:fill="FFFFFF"/>
        </w:rPr>
        <w:t xml:space="preserve">Mortality rates in males declined at </w:t>
      </w:r>
      <w:r w:rsidR="007535AF">
        <w:rPr>
          <w:rStyle w:val="normaltextrun"/>
          <w:rFonts w:ascii="Aptos" w:hAnsi="Aptos"/>
          <w:color w:val="000000"/>
          <w:shd w:val="clear" w:color="auto" w:fill="FFFFFF"/>
        </w:rPr>
        <w:t>-</w:t>
      </w:r>
      <w:r>
        <w:rPr>
          <w:rStyle w:val="normaltextrun"/>
          <w:rFonts w:ascii="Aptos" w:hAnsi="Aptos"/>
          <w:color w:val="000000"/>
          <w:shd w:val="clear" w:color="auto" w:fill="FFFFFF"/>
        </w:rPr>
        <w:t xml:space="preserve">1.5% per year (95% CI: -1.8; -1.2) from 1994-2013 and at </w:t>
      </w:r>
      <w:r w:rsidR="007535AF">
        <w:rPr>
          <w:rStyle w:val="normaltextrun"/>
          <w:rFonts w:ascii="Aptos" w:hAnsi="Aptos"/>
          <w:color w:val="000000"/>
          <w:shd w:val="clear" w:color="auto" w:fill="FFFFFF"/>
        </w:rPr>
        <w:t>-</w:t>
      </w:r>
      <w:r>
        <w:rPr>
          <w:rStyle w:val="normaltextrun"/>
          <w:rFonts w:ascii="Aptos" w:hAnsi="Aptos"/>
          <w:color w:val="000000"/>
          <w:shd w:val="clear" w:color="auto" w:fill="FFFFFF"/>
        </w:rPr>
        <w:t xml:space="preserve">3.6% (-4.4; -2.7) per year during 2013-2022. Mortality rates increased in females by 0.6% per year (95%CI: 0.3;1.0) from 1994-2016 before starting to decline at </w:t>
      </w:r>
      <w:r w:rsidR="007535AF">
        <w:rPr>
          <w:rStyle w:val="normaltextrun"/>
          <w:rFonts w:ascii="Aptos" w:hAnsi="Aptos"/>
          <w:color w:val="000000"/>
          <w:shd w:val="clear" w:color="auto" w:fill="FFFFFF"/>
        </w:rPr>
        <w:t>-</w:t>
      </w:r>
      <w:r>
        <w:rPr>
          <w:rStyle w:val="normaltextrun"/>
          <w:rFonts w:ascii="Aptos" w:hAnsi="Aptos"/>
          <w:color w:val="000000"/>
          <w:shd w:val="clear" w:color="auto" w:fill="FFFFFF"/>
        </w:rPr>
        <w:t>2.8% per year (95% CI: -4.7;1.0) from 2016.</w:t>
      </w:r>
    </w:p>
    <w:p w14:paraId="204FFA2A" w14:textId="77777777" w:rsidR="00F55E6A" w:rsidRDefault="00F55E6A" w:rsidP="00F55E6A">
      <w:pPr>
        <w:spacing w:after="0" w:line="240" w:lineRule="auto"/>
        <w:rPr>
          <w:rStyle w:val="eop"/>
          <w:rFonts w:ascii="Aptos" w:hAnsi="Aptos"/>
          <w:color w:val="000000"/>
          <w:shd w:val="clear" w:color="auto" w:fill="FFFFFF"/>
        </w:rPr>
      </w:pPr>
    </w:p>
    <w:tbl>
      <w:tblPr>
        <w:tblStyle w:val="TableGrid"/>
        <w:tblW w:w="963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tblGrid>
      <w:tr w:rsidR="00F55E6A" w:rsidRPr="00E06A2D" w14:paraId="32DE70F2" w14:textId="77777777" w:rsidTr="0041177B">
        <w:trPr>
          <w:trHeight w:val="113"/>
        </w:trPr>
        <w:tc>
          <w:tcPr>
            <w:tcW w:w="9634" w:type="dxa"/>
            <w:shd w:val="clear" w:color="auto" w:fill="002060"/>
            <w:vAlign w:val="center"/>
          </w:tcPr>
          <w:p w14:paraId="373CCF03" w14:textId="6452626E" w:rsidR="00F55E6A" w:rsidRPr="00E06A2D" w:rsidRDefault="00F55E6A" w:rsidP="0041177B">
            <w:pPr>
              <w:rPr>
                <w:rFonts w:asciiTheme="minorHAnsi" w:hAnsiTheme="minorHAnsi"/>
                <w:b/>
                <w:bCs/>
              </w:rPr>
            </w:pPr>
            <w:r w:rsidRPr="00E06A2D">
              <w:rPr>
                <w:rFonts w:asciiTheme="minorHAnsi" w:hAnsiTheme="minorHAnsi"/>
                <w:b/>
                <w:bCs/>
              </w:rPr>
              <w:t xml:space="preserve">Figure </w:t>
            </w:r>
            <w:r w:rsidR="00A52FFD">
              <w:rPr>
                <w:rFonts w:asciiTheme="minorHAnsi" w:hAnsiTheme="minorHAnsi"/>
                <w:b/>
                <w:bCs/>
              </w:rPr>
              <w:t>15.5:</w:t>
            </w:r>
            <w:r w:rsidRPr="00E06A2D">
              <w:rPr>
                <w:rFonts w:asciiTheme="minorHAnsi" w:hAnsiTheme="minorHAnsi"/>
                <w:b/>
                <w:bCs/>
              </w:rPr>
              <w:t xml:space="preserve">  Age-</w:t>
            </w:r>
            <w:r w:rsidRPr="00E06A2D">
              <w:rPr>
                <w:rFonts w:asciiTheme="minorHAnsi" w:hAnsiTheme="minorHAnsi"/>
                <w:b/>
                <w:bCs/>
                <w:bdr w:val="single" w:sz="4" w:space="0" w:color="auto"/>
              </w:rPr>
              <w:t>standardised mortality rate 1994-2022, lung cancer</w:t>
            </w:r>
          </w:p>
        </w:tc>
      </w:tr>
      <w:tr w:rsidR="00F55E6A" w:rsidRPr="00E06A2D" w14:paraId="7C88FA9B" w14:textId="77777777" w:rsidTr="0041177B">
        <w:trPr>
          <w:trHeight w:val="113"/>
        </w:trPr>
        <w:tc>
          <w:tcPr>
            <w:tcW w:w="9634" w:type="dxa"/>
            <w:vAlign w:val="center"/>
          </w:tcPr>
          <w:p w14:paraId="1A9FB900" w14:textId="77777777" w:rsidR="00F55E6A" w:rsidRPr="00E06A2D" w:rsidRDefault="00F55E6A" w:rsidP="0041177B">
            <w:pPr>
              <w:jc w:val="center"/>
              <w:rPr>
                <w:rFonts w:asciiTheme="minorHAnsi" w:hAnsiTheme="minorHAnsi"/>
              </w:rPr>
            </w:pPr>
            <w:r w:rsidRPr="00E06A2D">
              <w:rPr>
                <w:rFonts w:eastAsia="Times New Roman" w:cs="Times New Roman"/>
                <w:noProof/>
                <w:lang w:eastAsia="en-GB"/>
              </w:rPr>
              <w:drawing>
                <wp:inline distT="0" distB="0" distL="0" distR="0" wp14:anchorId="610E3BEB" wp14:editId="7A1D80A8">
                  <wp:extent cx="5756290" cy="3016800"/>
                  <wp:effectExtent l="0" t="0" r="0" b="0"/>
                  <wp:docPr id="4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37"/>
                          <pic:cNvPicPr>
                            <a:picLocks noChangeAspect="1" noChangeArrowheads="1"/>
                          </pic:cNvPicPr>
                        </pic:nvPicPr>
                        <pic:blipFill>
                          <a:blip r:embed="rId230">
                            <a:extLst>
                              <a:ext uri="{96DAC541-7B7A-43D3-8B79-37D633B846F1}">
                                <asvg:svgBlip xmlns:asvg="http://schemas.microsoft.com/office/drawing/2016/SVG/main" r:embed="rId231"/>
                              </a:ext>
                            </a:extLst>
                          </a:blip>
                          <a:stretch>
                            <a:fillRect/>
                          </a:stretch>
                        </pic:blipFill>
                        <pic:spPr bwMode="auto">
                          <a:xfrm>
                            <a:off x="0" y="0"/>
                            <a:ext cx="5756290" cy="3016800"/>
                          </a:xfrm>
                          <a:prstGeom prst="rect">
                            <a:avLst/>
                          </a:prstGeom>
                        </pic:spPr>
                      </pic:pic>
                    </a:graphicData>
                  </a:graphic>
                </wp:inline>
              </w:drawing>
            </w:r>
          </w:p>
        </w:tc>
      </w:tr>
      <w:tr w:rsidR="00F55E6A" w:rsidRPr="00E06A2D" w14:paraId="712EC65B" w14:textId="77777777" w:rsidTr="0041177B">
        <w:trPr>
          <w:trHeight w:val="113"/>
        </w:trPr>
        <w:tc>
          <w:tcPr>
            <w:tcW w:w="9634" w:type="dxa"/>
            <w:vAlign w:val="center"/>
          </w:tcPr>
          <w:tbl>
            <w:tblPr>
              <w:tblpPr w:leftFromText="180" w:rightFromText="180" w:vertAnchor="page" w:horzAnchor="margin" w:tblpXSpec="center" w:tblpY="1"/>
              <w:tblOverlap w:val="never"/>
              <w:tblW w:w="0" w:type="auto"/>
              <w:tblCellMar>
                <w:top w:w="15" w:type="dxa"/>
                <w:bottom w:w="15" w:type="dxa"/>
              </w:tblCellMar>
              <w:tblLook w:val="04A0" w:firstRow="1" w:lastRow="0" w:firstColumn="1" w:lastColumn="0" w:noHBand="0" w:noVBand="1"/>
            </w:tblPr>
            <w:tblGrid>
              <w:gridCol w:w="530"/>
              <w:gridCol w:w="1139"/>
              <w:gridCol w:w="771"/>
              <w:gridCol w:w="992"/>
              <w:gridCol w:w="706"/>
              <w:gridCol w:w="530"/>
              <w:gridCol w:w="1139"/>
              <w:gridCol w:w="771"/>
              <w:gridCol w:w="977"/>
              <w:gridCol w:w="706"/>
            </w:tblGrid>
            <w:tr w:rsidR="00F55E6A" w:rsidRPr="00E55F3D" w14:paraId="2ADDDA2B" w14:textId="77777777" w:rsidTr="0041177B">
              <w:trPr>
                <w:trHeight w:val="113"/>
              </w:trPr>
              <w:tc>
                <w:tcPr>
                  <w:tcW w:w="0" w:type="auto"/>
                  <w:tcBorders>
                    <w:top w:val="nil"/>
                    <w:left w:val="nil"/>
                    <w:bottom w:val="nil"/>
                    <w:right w:val="nil"/>
                  </w:tcBorders>
                  <w:noWrap/>
                  <w:vAlign w:val="center"/>
                  <w:hideMark/>
                </w:tcPr>
                <w:p w14:paraId="2E0302B2" w14:textId="77777777" w:rsidR="00F55E6A" w:rsidRPr="00E55F3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E55F3D">
                    <w:rPr>
                      <w:rFonts w:eastAsia="Times New Roman" w:cs="Times New Roman"/>
                      <w:b/>
                      <w:bCs/>
                      <w:color w:val="000000"/>
                      <w:kern w:val="0"/>
                      <w:sz w:val="20"/>
                      <w:szCs w:val="20"/>
                      <w:u w:val="single"/>
                      <w:lang w:eastAsia="en-GB"/>
                      <w14:ligatures w14:val="none"/>
                    </w:rPr>
                    <w:t>sex</w:t>
                  </w:r>
                </w:p>
              </w:tc>
              <w:tc>
                <w:tcPr>
                  <w:tcW w:w="0" w:type="auto"/>
                  <w:tcBorders>
                    <w:top w:val="nil"/>
                    <w:left w:val="nil"/>
                    <w:bottom w:val="nil"/>
                    <w:right w:val="nil"/>
                  </w:tcBorders>
                  <w:noWrap/>
                  <w:vAlign w:val="center"/>
                  <w:hideMark/>
                </w:tcPr>
                <w:p w14:paraId="448B4034" w14:textId="77777777" w:rsidR="00F55E6A" w:rsidRPr="00E55F3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E55F3D">
                    <w:rPr>
                      <w:rFonts w:eastAsia="Times New Roman" w:cs="Times New Roman"/>
                      <w:b/>
                      <w:bCs/>
                      <w:color w:val="000000"/>
                      <w:kern w:val="0"/>
                      <w:sz w:val="20"/>
                      <w:szCs w:val="20"/>
                      <w:u w:val="single"/>
                      <w:lang w:eastAsia="en-GB"/>
                      <w14:ligatures w14:val="none"/>
                    </w:rPr>
                    <w:t>period</w:t>
                  </w:r>
                </w:p>
              </w:tc>
              <w:tc>
                <w:tcPr>
                  <w:tcW w:w="0" w:type="auto"/>
                  <w:tcBorders>
                    <w:top w:val="nil"/>
                    <w:left w:val="nil"/>
                    <w:bottom w:val="nil"/>
                    <w:right w:val="nil"/>
                  </w:tcBorders>
                  <w:noWrap/>
                  <w:vAlign w:val="center"/>
                  <w:hideMark/>
                </w:tcPr>
                <w:p w14:paraId="2D2AE70E" w14:textId="77777777" w:rsidR="00F55E6A" w:rsidRPr="00E55F3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E55F3D">
                    <w:rPr>
                      <w:rFonts w:eastAsia="Times New Roman" w:cs="Times New Roman"/>
                      <w:b/>
                      <w:bCs/>
                      <w:color w:val="000000"/>
                      <w:kern w:val="0"/>
                      <w:sz w:val="20"/>
                      <w:szCs w:val="20"/>
                      <w:u w:val="single"/>
                      <w:lang w:eastAsia="en-GB"/>
                      <w14:ligatures w14:val="none"/>
                    </w:rPr>
                    <w:t>APC%</w:t>
                  </w:r>
                </w:p>
              </w:tc>
              <w:tc>
                <w:tcPr>
                  <w:tcW w:w="0" w:type="auto"/>
                  <w:tcBorders>
                    <w:top w:val="nil"/>
                    <w:left w:val="nil"/>
                    <w:bottom w:val="nil"/>
                    <w:right w:val="nil"/>
                  </w:tcBorders>
                  <w:noWrap/>
                  <w:vAlign w:val="center"/>
                  <w:hideMark/>
                </w:tcPr>
                <w:p w14:paraId="61EEC798" w14:textId="77777777" w:rsidR="00F55E6A" w:rsidRPr="00E55F3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E55F3D">
                    <w:rPr>
                      <w:rFonts w:eastAsia="Times New Roman" w:cs="Times New Roman"/>
                      <w:b/>
                      <w:bCs/>
                      <w:color w:val="000000"/>
                      <w:kern w:val="0"/>
                      <w:sz w:val="20"/>
                      <w:szCs w:val="20"/>
                      <w:u w:val="single"/>
                      <w:lang w:eastAsia="en-GB"/>
                      <w14:ligatures w14:val="none"/>
                    </w:rPr>
                    <w:t>95%CI</w:t>
                  </w:r>
                </w:p>
              </w:tc>
              <w:tc>
                <w:tcPr>
                  <w:tcW w:w="0" w:type="auto"/>
                  <w:tcBorders>
                    <w:top w:val="nil"/>
                    <w:left w:val="nil"/>
                    <w:bottom w:val="nil"/>
                    <w:right w:val="single" w:sz="4" w:space="0" w:color="auto"/>
                  </w:tcBorders>
                  <w:noWrap/>
                  <w:vAlign w:val="center"/>
                  <w:hideMark/>
                </w:tcPr>
                <w:p w14:paraId="206C0550" w14:textId="77777777" w:rsidR="00F55E6A" w:rsidRPr="00E55F3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E55F3D">
                    <w:rPr>
                      <w:rFonts w:eastAsia="Times New Roman" w:cs="Times New Roman"/>
                      <w:b/>
                      <w:bCs/>
                      <w:color w:val="000000"/>
                      <w:kern w:val="0"/>
                      <w:sz w:val="20"/>
                      <w:szCs w:val="20"/>
                      <w:u w:val="single"/>
                      <w:lang w:eastAsia="en-GB"/>
                      <w14:ligatures w14:val="none"/>
                    </w:rPr>
                    <w:t>trend</w:t>
                  </w:r>
                </w:p>
              </w:tc>
              <w:tc>
                <w:tcPr>
                  <w:tcW w:w="0" w:type="auto"/>
                  <w:tcBorders>
                    <w:top w:val="nil"/>
                    <w:left w:val="single" w:sz="4" w:space="0" w:color="auto"/>
                    <w:bottom w:val="nil"/>
                    <w:right w:val="nil"/>
                  </w:tcBorders>
                  <w:vAlign w:val="center"/>
                </w:tcPr>
                <w:p w14:paraId="6B148189" w14:textId="77777777" w:rsidR="00F55E6A" w:rsidRPr="00E55F3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E55F3D">
                    <w:rPr>
                      <w:rFonts w:eastAsia="Times New Roman" w:cs="Times New Roman"/>
                      <w:b/>
                      <w:bCs/>
                      <w:color w:val="000000"/>
                      <w:kern w:val="0"/>
                      <w:sz w:val="20"/>
                      <w:szCs w:val="20"/>
                      <w:u w:val="single"/>
                      <w:lang w:eastAsia="en-GB"/>
                      <w14:ligatures w14:val="none"/>
                    </w:rPr>
                    <w:t>sex</w:t>
                  </w:r>
                </w:p>
              </w:tc>
              <w:tc>
                <w:tcPr>
                  <w:tcW w:w="0" w:type="auto"/>
                  <w:tcBorders>
                    <w:top w:val="nil"/>
                    <w:left w:val="nil"/>
                    <w:bottom w:val="nil"/>
                    <w:right w:val="nil"/>
                  </w:tcBorders>
                  <w:vAlign w:val="center"/>
                </w:tcPr>
                <w:p w14:paraId="0CBA5CCF" w14:textId="77777777" w:rsidR="00F55E6A" w:rsidRPr="00E55F3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E55F3D">
                    <w:rPr>
                      <w:rFonts w:eastAsia="Times New Roman" w:cs="Times New Roman"/>
                      <w:b/>
                      <w:bCs/>
                      <w:color w:val="000000"/>
                      <w:kern w:val="0"/>
                      <w:sz w:val="20"/>
                      <w:szCs w:val="20"/>
                      <w:u w:val="single"/>
                      <w:lang w:eastAsia="en-GB"/>
                      <w14:ligatures w14:val="none"/>
                    </w:rPr>
                    <w:t>period</w:t>
                  </w:r>
                </w:p>
              </w:tc>
              <w:tc>
                <w:tcPr>
                  <w:tcW w:w="0" w:type="auto"/>
                  <w:tcBorders>
                    <w:top w:val="nil"/>
                    <w:left w:val="nil"/>
                    <w:bottom w:val="nil"/>
                    <w:right w:val="nil"/>
                  </w:tcBorders>
                  <w:vAlign w:val="center"/>
                </w:tcPr>
                <w:p w14:paraId="64872460" w14:textId="77777777" w:rsidR="00F55E6A" w:rsidRPr="00E55F3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E55F3D">
                    <w:rPr>
                      <w:rFonts w:eastAsia="Times New Roman" w:cs="Times New Roman"/>
                      <w:b/>
                      <w:bCs/>
                      <w:color w:val="000000"/>
                      <w:kern w:val="0"/>
                      <w:sz w:val="20"/>
                      <w:szCs w:val="20"/>
                      <w:u w:val="single"/>
                      <w:lang w:eastAsia="en-GB"/>
                      <w14:ligatures w14:val="none"/>
                    </w:rPr>
                    <w:t>APC%</w:t>
                  </w:r>
                </w:p>
              </w:tc>
              <w:tc>
                <w:tcPr>
                  <w:tcW w:w="0" w:type="auto"/>
                  <w:tcBorders>
                    <w:top w:val="nil"/>
                    <w:left w:val="nil"/>
                    <w:bottom w:val="nil"/>
                    <w:right w:val="nil"/>
                  </w:tcBorders>
                  <w:vAlign w:val="center"/>
                </w:tcPr>
                <w:p w14:paraId="2F8B530A" w14:textId="77777777" w:rsidR="00F55E6A" w:rsidRPr="00E55F3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E55F3D">
                    <w:rPr>
                      <w:rFonts w:eastAsia="Times New Roman" w:cs="Times New Roman"/>
                      <w:b/>
                      <w:bCs/>
                      <w:color w:val="000000"/>
                      <w:kern w:val="0"/>
                      <w:sz w:val="20"/>
                      <w:szCs w:val="20"/>
                      <w:u w:val="single"/>
                      <w:lang w:eastAsia="en-GB"/>
                      <w14:ligatures w14:val="none"/>
                    </w:rPr>
                    <w:t>95%CI</w:t>
                  </w:r>
                </w:p>
              </w:tc>
              <w:tc>
                <w:tcPr>
                  <w:tcW w:w="0" w:type="auto"/>
                  <w:tcBorders>
                    <w:top w:val="nil"/>
                    <w:left w:val="nil"/>
                    <w:bottom w:val="nil"/>
                    <w:right w:val="nil"/>
                  </w:tcBorders>
                  <w:vAlign w:val="center"/>
                </w:tcPr>
                <w:p w14:paraId="0EFD6A26" w14:textId="77777777" w:rsidR="00F55E6A" w:rsidRPr="00E55F3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E55F3D">
                    <w:rPr>
                      <w:rFonts w:eastAsia="Times New Roman" w:cs="Times New Roman"/>
                      <w:b/>
                      <w:bCs/>
                      <w:color w:val="000000"/>
                      <w:kern w:val="0"/>
                      <w:sz w:val="20"/>
                      <w:szCs w:val="20"/>
                      <w:u w:val="single"/>
                      <w:lang w:eastAsia="en-GB"/>
                      <w14:ligatures w14:val="none"/>
                    </w:rPr>
                    <w:t>trend</w:t>
                  </w:r>
                </w:p>
              </w:tc>
            </w:tr>
            <w:tr w:rsidR="00F55E6A" w:rsidRPr="00E55F3D" w14:paraId="5D1E70F9" w14:textId="77777777" w:rsidTr="0041177B">
              <w:trPr>
                <w:trHeight w:val="113"/>
              </w:trPr>
              <w:tc>
                <w:tcPr>
                  <w:tcW w:w="0" w:type="auto"/>
                  <w:tcBorders>
                    <w:top w:val="nil"/>
                    <w:left w:val="nil"/>
                    <w:bottom w:val="nil"/>
                    <w:right w:val="nil"/>
                  </w:tcBorders>
                  <w:noWrap/>
                  <w:vAlign w:val="center"/>
                  <w:hideMark/>
                </w:tcPr>
                <w:p w14:paraId="1C077D76" w14:textId="77777777" w:rsidR="00F55E6A" w:rsidRPr="00E55F3D" w:rsidRDefault="00F55E6A" w:rsidP="0041177B">
                  <w:pPr>
                    <w:spacing w:after="0" w:line="240" w:lineRule="auto"/>
                    <w:jc w:val="center"/>
                    <w:rPr>
                      <w:rFonts w:eastAsia="Times New Roman" w:cs="Times New Roman"/>
                      <w:color w:val="000000"/>
                      <w:kern w:val="0"/>
                      <w:sz w:val="20"/>
                      <w:szCs w:val="20"/>
                      <w:lang w:eastAsia="en-GB"/>
                      <w14:ligatures w14:val="none"/>
                    </w:rPr>
                  </w:pPr>
                  <w:r w:rsidRPr="00E55F3D">
                    <w:rPr>
                      <w:rFonts w:eastAsia="Times New Roman" w:cs="Times New Roman"/>
                      <w:color w:val="000000"/>
                      <w:kern w:val="0"/>
                      <w:sz w:val="20"/>
                      <w:szCs w:val="20"/>
                      <w:lang w:eastAsia="en-GB"/>
                      <w14:ligatures w14:val="none"/>
                    </w:rPr>
                    <w:t>M</w:t>
                  </w:r>
                </w:p>
              </w:tc>
              <w:tc>
                <w:tcPr>
                  <w:tcW w:w="0" w:type="auto"/>
                  <w:tcBorders>
                    <w:top w:val="nil"/>
                    <w:left w:val="nil"/>
                    <w:bottom w:val="nil"/>
                    <w:right w:val="nil"/>
                  </w:tcBorders>
                  <w:noWrap/>
                  <w:vAlign w:val="center"/>
                  <w:hideMark/>
                </w:tcPr>
                <w:p w14:paraId="6664E989" w14:textId="77777777" w:rsidR="00F55E6A" w:rsidRPr="00E55F3D" w:rsidRDefault="00F55E6A" w:rsidP="0041177B">
                  <w:pPr>
                    <w:spacing w:after="0" w:line="240" w:lineRule="auto"/>
                    <w:jc w:val="center"/>
                    <w:rPr>
                      <w:rFonts w:eastAsia="Times New Roman" w:cs="Times New Roman"/>
                      <w:color w:val="000000"/>
                      <w:kern w:val="0"/>
                      <w:sz w:val="20"/>
                      <w:szCs w:val="20"/>
                      <w:lang w:eastAsia="en-GB"/>
                      <w14:ligatures w14:val="none"/>
                    </w:rPr>
                  </w:pPr>
                  <w:r w:rsidRPr="00E55F3D">
                    <w:rPr>
                      <w:color w:val="000000"/>
                      <w:sz w:val="20"/>
                      <w:szCs w:val="20"/>
                    </w:rPr>
                    <w:t>1994-2013</w:t>
                  </w:r>
                </w:p>
              </w:tc>
              <w:tc>
                <w:tcPr>
                  <w:tcW w:w="0" w:type="auto"/>
                  <w:tcBorders>
                    <w:top w:val="nil"/>
                    <w:left w:val="nil"/>
                    <w:bottom w:val="nil"/>
                    <w:right w:val="nil"/>
                  </w:tcBorders>
                  <w:noWrap/>
                  <w:vAlign w:val="center"/>
                  <w:hideMark/>
                </w:tcPr>
                <w:p w14:paraId="48602C86" w14:textId="77777777" w:rsidR="00F55E6A" w:rsidRPr="00E55F3D" w:rsidRDefault="00F55E6A" w:rsidP="0041177B">
                  <w:pPr>
                    <w:spacing w:after="0" w:line="240" w:lineRule="auto"/>
                    <w:jc w:val="center"/>
                    <w:rPr>
                      <w:rFonts w:eastAsia="Times New Roman" w:cs="Times New Roman"/>
                      <w:color w:val="000000"/>
                      <w:kern w:val="0"/>
                      <w:sz w:val="20"/>
                      <w:szCs w:val="20"/>
                      <w:lang w:eastAsia="en-GB"/>
                      <w14:ligatures w14:val="none"/>
                    </w:rPr>
                  </w:pPr>
                  <w:r w:rsidRPr="00E55F3D">
                    <w:rPr>
                      <w:color w:val="000000"/>
                      <w:sz w:val="20"/>
                      <w:szCs w:val="20"/>
                    </w:rPr>
                    <w:t>-1.5</w:t>
                  </w:r>
                </w:p>
              </w:tc>
              <w:tc>
                <w:tcPr>
                  <w:tcW w:w="0" w:type="auto"/>
                  <w:tcBorders>
                    <w:top w:val="nil"/>
                    <w:left w:val="nil"/>
                    <w:bottom w:val="nil"/>
                    <w:right w:val="nil"/>
                  </w:tcBorders>
                  <w:noWrap/>
                  <w:vAlign w:val="center"/>
                  <w:hideMark/>
                </w:tcPr>
                <w:p w14:paraId="2C98DEE8" w14:textId="77777777" w:rsidR="00F55E6A" w:rsidRPr="00E55F3D" w:rsidRDefault="00F55E6A" w:rsidP="0041177B">
                  <w:pPr>
                    <w:spacing w:after="0" w:line="240" w:lineRule="auto"/>
                    <w:jc w:val="center"/>
                    <w:rPr>
                      <w:rFonts w:eastAsia="Times New Roman" w:cs="Times New Roman"/>
                      <w:color w:val="000000"/>
                      <w:kern w:val="0"/>
                      <w:sz w:val="20"/>
                      <w:szCs w:val="20"/>
                      <w:lang w:eastAsia="en-GB"/>
                      <w14:ligatures w14:val="none"/>
                    </w:rPr>
                  </w:pPr>
                  <w:r w:rsidRPr="00E55F3D">
                    <w:rPr>
                      <w:color w:val="000000"/>
                      <w:sz w:val="20"/>
                      <w:szCs w:val="20"/>
                    </w:rPr>
                    <w:t>-1.8, -1.2</w:t>
                  </w:r>
                </w:p>
              </w:tc>
              <w:tc>
                <w:tcPr>
                  <w:tcW w:w="0" w:type="auto"/>
                  <w:tcBorders>
                    <w:top w:val="nil"/>
                    <w:left w:val="nil"/>
                    <w:bottom w:val="nil"/>
                    <w:right w:val="single" w:sz="4" w:space="0" w:color="auto"/>
                  </w:tcBorders>
                  <w:noWrap/>
                  <w:vAlign w:val="center"/>
                  <w:hideMark/>
                </w:tcPr>
                <w:p w14:paraId="7FAC3608" w14:textId="77777777" w:rsidR="00F55E6A" w:rsidRPr="00E55F3D" w:rsidRDefault="00F55E6A" w:rsidP="0041177B">
                  <w:pPr>
                    <w:spacing w:after="0" w:line="240" w:lineRule="auto"/>
                    <w:jc w:val="center"/>
                    <w:rPr>
                      <w:rFonts w:eastAsia="Times New Roman" w:cs="Times New Roman"/>
                      <w:color w:val="000000"/>
                      <w:kern w:val="0"/>
                      <w:sz w:val="20"/>
                      <w:szCs w:val="20"/>
                      <w:lang w:eastAsia="en-GB"/>
                      <w14:ligatures w14:val="none"/>
                    </w:rPr>
                  </w:pPr>
                  <w:r w:rsidRPr="00E55F3D">
                    <w:rPr>
                      <w:color w:val="000000"/>
                      <w:sz w:val="20"/>
                      <w:szCs w:val="20"/>
                    </w:rPr>
                    <w:t>down</w:t>
                  </w:r>
                </w:p>
              </w:tc>
              <w:tc>
                <w:tcPr>
                  <w:tcW w:w="0" w:type="auto"/>
                  <w:tcBorders>
                    <w:top w:val="nil"/>
                    <w:left w:val="single" w:sz="4" w:space="0" w:color="auto"/>
                    <w:bottom w:val="nil"/>
                    <w:right w:val="nil"/>
                  </w:tcBorders>
                  <w:vAlign w:val="center"/>
                </w:tcPr>
                <w:p w14:paraId="0CA1C340" w14:textId="77777777" w:rsidR="00F55E6A" w:rsidRPr="00E55F3D" w:rsidRDefault="00F55E6A" w:rsidP="0041177B">
                  <w:pPr>
                    <w:spacing w:after="0" w:line="240" w:lineRule="auto"/>
                    <w:jc w:val="center"/>
                    <w:rPr>
                      <w:color w:val="000000"/>
                      <w:sz w:val="20"/>
                      <w:szCs w:val="20"/>
                    </w:rPr>
                  </w:pPr>
                  <w:r w:rsidRPr="00E55F3D">
                    <w:rPr>
                      <w:rFonts w:eastAsia="Times New Roman" w:cs="Times New Roman"/>
                      <w:color w:val="000000"/>
                      <w:kern w:val="0"/>
                      <w:sz w:val="20"/>
                      <w:szCs w:val="20"/>
                      <w:lang w:eastAsia="en-GB"/>
                      <w14:ligatures w14:val="none"/>
                    </w:rPr>
                    <w:t>F</w:t>
                  </w:r>
                </w:p>
              </w:tc>
              <w:tc>
                <w:tcPr>
                  <w:tcW w:w="0" w:type="auto"/>
                  <w:tcBorders>
                    <w:top w:val="nil"/>
                    <w:left w:val="nil"/>
                    <w:bottom w:val="nil"/>
                    <w:right w:val="nil"/>
                  </w:tcBorders>
                  <w:vAlign w:val="center"/>
                </w:tcPr>
                <w:p w14:paraId="34CC28EB" w14:textId="77777777" w:rsidR="00F55E6A" w:rsidRPr="00E55F3D" w:rsidRDefault="00F55E6A" w:rsidP="0041177B">
                  <w:pPr>
                    <w:spacing w:after="0" w:line="240" w:lineRule="auto"/>
                    <w:jc w:val="center"/>
                    <w:rPr>
                      <w:color w:val="000000"/>
                      <w:sz w:val="20"/>
                      <w:szCs w:val="20"/>
                    </w:rPr>
                  </w:pPr>
                  <w:r w:rsidRPr="00E55F3D">
                    <w:rPr>
                      <w:color w:val="000000"/>
                      <w:sz w:val="20"/>
                      <w:szCs w:val="20"/>
                    </w:rPr>
                    <w:t>1994-2016</w:t>
                  </w:r>
                </w:p>
              </w:tc>
              <w:tc>
                <w:tcPr>
                  <w:tcW w:w="0" w:type="auto"/>
                  <w:tcBorders>
                    <w:top w:val="nil"/>
                    <w:left w:val="nil"/>
                    <w:bottom w:val="nil"/>
                    <w:right w:val="nil"/>
                  </w:tcBorders>
                  <w:vAlign w:val="center"/>
                </w:tcPr>
                <w:p w14:paraId="174AA1D4" w14:textId="77777777" w:rsidR="00F55E6A" w:rsidRPr="00E55F3D" w:rsidRDefault="00F55E6A" w:rsidP="0041177B">
                  <w:pPr>
                    <w:spacing w:after="0" w:line="240" w:lineRule="auto"/>
                    <w:jc w:val="center"/>
                    <w:rPr>
                      <w:color w:val="000000"/>
                      <w:sz w:val="20"/>
                      <w:szCs w:val="20"/>
                    </w:rPr>
                  </w:pPr>
                  <w:r w:rsidRPr="00E55F3D">
                    <w:rPr>
                      <w:color w:val="000000"/>
                      <w:sz w:val="20"/>
                      <w:szCs w:val="20"/>
                    </w:rPr>
                    <w:t>0.6</w:t>
                  </w:r>
                </w:p>
              </w:tc>
              <w:tc>
                <w:tcPr>
                  <w:tcW w:w="0" w:type="auto"/>
                  <w:tcBorders>
                    <w:top w:val="nil"/>
                    <w:left w:val="nil"/>
                    <w:bottom w:val="nil"/>
                    <w:right w:val="nil"/>
                  </w:tcBorders>
                  <w:vAlign w:val="center"/>
                </w:tcPr>
                <w:p w14:paraId="252F0F6B" w14:textId="77777777" w:rsidR="00F55E6A" w:rsidRPr="00E55F3D" w:rsidRDefault="00F55E6A" w:rsidP="0041177B">
                  <w:pPr>
                    <w:spacing w:after="0" w:line="240" w:lineRule="auto"/>
                    <w:jc w:val="center"/>
                    <w:rPr>
                      <w:color w:val="000000"/>
                      <w:sz w:val="20"/>
                      <w:szCs w:val="20"/>
                    </w:rPr>
                  </w:pPr>
                  <w:r w:rsidRPr="00E55F3D">
                    <w:rPr>
                      <w:color w:val="000000"/>
                      <w:sz w:val="20"/>
                      <w:szCs w:val="20"/>
                    </w:rPr>
                    <w:t>0.3, 1.0</w:t>
                  </w:r>
                </w:p>
              </w:tc>
              <w:tc>
                <w:tcPr>
                  <w:tcW w:w="0" w:type="auto"/>
                  <w:tcBorders>
                    <w:top w:val="nil"/>
                    <w:left w:val="nil"/>
                    <w:bottom w:val="nil"/>
                    <w:right w:val="nil"/>
                  </w:tcBorders>
                  <w:vAlign w:val="center"/>
                </w:tcPr>
                <w:p w14:paraId="196F47B4" w14:textId="77777777" w:rsidR="00F55E6A" w:rsidRPr="00E55F3D" w:rsidRDefault="00F55E6A" w:rsidP="0041177B">
                  <w:pPr>
                    <w:spacing w:after="0" w:line="240" w:lineRule="auto"/>
                    <w:jc w:val="center"/>
                    <w:rPr>
                      <w:color w:val="000000"/>
                      <w:sz w:val="20"/>
                      <w:szCs w:val="20"/>
                    </w:rPr>
                  </w:pPr>
                  <w:r w:rsidRPr="00E55F3D">
                    <w:rPr>
                      <w:color w:val="000000"/>
                      <w:sz w:val="20"/>
                      <w:szCs w:val="20"/>
                    </w:rPr>
                    <w:t>up</w:t>
                  </w:r>
                </w:p>
              </w:tc>
            </w:tr>
            <w:tr w:rsidR="00F55E6A" w:rsidRPr="00E55F3D" w14:paraId="46F52724" w14:textId="77777777" w:rsidTr="0041177B">
              <w:trPr>
                <w:trHeight w:val="113"/>
              </w:trPr>
              <w:tc>
                <w:tcPr>
                  <w:tcW w:w="0" w:type="auto"/>
                  <w:tcBorders>
                    <w:top w:val="nil"/>
                    <w:left w:val="nil"/>
                    <w:bottom w:val="nil"/>
                    <w:right w:val="nil"/>
                  </w:tcBorders>
                  <w:noWrap/>
                  <w:vAlign w:val="center"/>
                  <w:hideMark/>
                </w:tcPr>
                <w:p w14:paraId="73E0DD37" w14:textId="77777777" w:rsidR="00F55E6A" w:rsidRPr="00E55F3D" w:rsidRDefault="00F55E6A" w:rsidP="0041177B">
                  <w:pPr>
                    <w:spacing w:after="0" w:line="240" w:lineRule="auto"/>
                    <w:jc w:val="center"/>
                    <w:rPr>
                      <w:rFonts w:eastAsia="Times New Roman" w:cs="Times New Roman"/>
                      <w:color w:val="000000"/>
                      <w:kern w:val="0"/>
                      <w:sz w:val="20"/>
                      <w:szCs w:val="20"/>
                      <w:lang w:eastAsia="en-GB"/>
                      <w14:ligatures w14:val="none"/>
                    </w:rPr>
                  </w:pPr>
                </w:p>
              </w:tc>
              <w:tc>
                <w:tcPr>
                  <w:tcW w:w="0" w:type="auto"/>
                  <w:tcBorders>
                    <w:top w:val="nil"/>
                    <w:left w:val="nil"/>
                    <w:bottom w:val="nil"/>
                    <w:right w:val="nil"/>
                  </w:tcBorders>
                  <w:noWrap/>
                  <w:vAlign w:val="center"/>
                  <w:hideMark/>
                </w:tcPr>
                <w:p w14:paraId="1493823E" w14:textId="77777777" w:rsidR="00F55E6A" w:rsidRPr="00E55F3D" w:rsidRDefault="00F55E6A" w:rsidP="0041177B">
                  <w:pPr>
                    <w:spacing w:after="0" w:line="240" w:lineRule="auto"/>
                    <w:jc w:val="center"/>
                    <w:rPr>
                      <w:rFonts w:eastAsia="Times New Roman" w:cs="Times New Roman"/>
                      <w:color w:val="000000"/>
                      <w:kern w:val="0"/>
                      <w:sz w:val="20"/>
                      <w:szCs w:val="20"/>
                      <w:lang w:eastAsia="en-GB"/>
                      <w14:ligatures w14:val="none"/>
                    </w:rPr>
                  </w:pPr>
                  <w:r w:rsidRPr="00E55F3D">
                    <w:rPr>
                      <w:color w:val="000000"/>
                      <w:sz w:val="20"/>
                      <w:szCs w:val="20"/>
                    </w:rPr>
                    <w:t>2013-2022</w:t>
                  </w:r>
                </w:p>
              </w:tc>
              <w:tc>
                <w:tcPr>
                  <w:tcW w:w="0" w:type="auto"/>
                  <w:tcBorders>
                    <w:top w:val="nil"/>
                    <w:left w:val="nil"/>
                    <w:bottom w:val="nil"/>
                    <w:right w:val="nil"/>
                  </w:tcBorders>
                  <w:noWrap/>
                  <w:vAlign w:val="center"/>
                  <w:hideMark/>
                </w:tcPr>
                <w:p w14:paraId="79F8305A" w14:textId="77777777" w:rsidR="00F55E6A" w:rsidRPr="00E55F3D" w:rsidRDefault="00F55E6A" w:rsidP="0041177B">
                  <w:pPr>
                    <w:spacing w:after="0" w:line="240" w:lineRule="auto"/>
                    <w:jc w:val="center"/>
                    <w:rPr>
                      <w:rFonts w:eastAsia="Times New Roman" w:cs="Times New Roman"/>
                      <w:color w:val="000000"/>
                      <w:kern w:val="0"/>
                      <w:sz w:val="20"/>
                      <w:szCs w:val="20"/>
                      <w:lang w:eastAsia="en-GB"/>
                      <w14:ligatures w14:val="none"/>
                    </w:rPr>
                  </w:pPr>
                  <w:r w:rsidRPr="00E55F3D">
                    <w:rPr>
                      <w:color w:val="000000"/>
                      <w:sz w:val="20"/>
                      <w:szCs w:val="20"/>
                    </w:rPr>
                    <w:t>-3.6</w:t>
                  </w:r>
                </w:p>
              </w:tc>
              <w:tc>
                <w:tcPr>
                  <w:tcW w:w="0" w:type="auto"/>
                  <w:tcBorders>
                    <w:top w:val="nil"/>
                    <w:left w:val="nil"/>
                    <w:bottom w:val="nil"/>
                    <w:right w:val="nil"/>
                  </w:tcBorders>
                  <w:noWrap/>
                  <w:vAlign w:val="center"/>
                  <w:hideMark/>
                </w:tcPr>
                <w:p w14:paraId="4163F6DD" w14:textId="77777777" w:rsidR="00F55E6A" w:rsidRPr="00E55F3D" w:rsidRDefault="00F55E6A" w:rsidP="0041177B">
                  <w:pPr>
                    <w:spacing w:after="0" w:line="240" w:lineRule="auto"/>
                    <w:jc w:val="center"/>
                    <w:rPr>
                      <w:rFonts w:eastAsia="Times New Roman" w:cs="Times New Roman"/>
                      <w:color w:val="000000"/>
                      <w:kern w:val="0"/>
                      <w:sz w:val="20"/>
                      <w:szCs w:val="20"/>
                      <w:lang w:eastAsia="en-GB"/>
                      <w14:ligatures w14:val="none"/>
                    </w:rPr>
                  </w:pPr>
                  <w:r w:rsidRPr="00E55F3D">
                    <w:rPr>
                      <w:color w:val="000000"/>
                      <w:sz w:val="20"/>
                      <w:szCs w:val="20"/>
                    </w:rPr>
                    <w:t>-4.4, -2.7</w:t>
                  </w:r>
                </w:p>
              </w:tc>
              <w:tc>
                <w:tcPr>
                  <w:tcW w:w="0" w:type="auto"/>
                  <w:tcBorders>
                    <w:top w:val="nil"/>
                    <w:left w:val="nil"/>
                    <w:bottom w:val="nil"/>
                    <w:right w:val="single" w:sz="4" w:space="0" w:color="auto"/>
                  </w:tcBorders>
                  <w:noWrap/>
                  <w:vAlign w:val="center"/>
                  <w:hideMark/>
                </w:tcPr>
                <w:p w14:paraId="33025407" w14:textId="77777777" w:rsidR="00F55E6A" w:rsidRPr="00E55F3D" w:rsidRDefault="00F55E6A" w:rsidP="0041177B">
                  <w:pPr>
                    <w:spacing w:after="0" w:line="240" w:lineRule="auto"/>
                    <w:jc w:val="center"/>
                    <w:rPr>
                      <w:rFonts w:eastAsia="Times New Roman" w:cs="Times New Roman"/>
                      <w:color w:val="000000"/>
                      <w:kern w:val="0"/>
                      <w:sz w:val="20"/>
                      <w:szCs w:val="20"/>
                      <w:lang w:eastAsia="en-GB"/>
                      <w14:ligatures w14:val="none"/>
                    </w:rPr>
                  </w:pPr>
                  <w:r w:rsidRPr="00E55F3D">
                    <w:rPr>
                      <w:color w:val="000000"/>
                      <w:sz w:val="20"/>
                      <w:szCs w:val="20"/>
                    </w:rPr>
                    <w:t>down</w:t>
                  </w:r>
                </w:p>
              </w:tc>
              <w:tc>
                <w:tcPr>
                  <w:tcW w:w="0" w:type="auto"/>
                  <w:tcBorders>
                    <w:top w:val="nil"/>
                    <w:left w:val="single" w:sz="4" w:space="0" w:color="auto"/>
                    <w:bottom w:val="nil"/>
                    <w:right w:val="nil"/>
                  </w:tcBorders>
                  <w:vAlign w:val="center"/>
                </w:tcPr>
                <w:p w14:paraId="7B5E5EEA" w14:textId="77777777" w:rsidR="00F55E6A" w:rsidRPr="00E55F3D" w:rsidRDefault="00F55E6A" w:rsidP="0041177B">
                  <w:pPr>
                    <w:spacing w:after="0" w:line="240" w:lineRule="auto"/>
                    <w:jc w:val="center"/>
                    <w:rPr>
                      <w:color w:val="000000"/>
                      <w:sz w:val="20"/>
                      <w:szCs w:val="20"/>
                    </w:rPr>
                  </w:pPr>
                </w:p>
              </w:tc>
              <w:tc>
                <w:tcPr>
                  <w:tcW w:w="0" w:type="auto"/>
                  <w:tcBorders>
                    <w:top w:val="nil"/>
                    <w:left w:val="nil"/>
                    <w:bottom w:val="nil"/>
                    <w:right w:val="nil"/>
                  </w:tcBorders>
                  <w:vAlign w:val="center"/>
                </w:tcPr>
                <w:p w14:paraId="6E6C370F" w14:textId="77777777" w:rsidR="00F55E6A" w:rsidRPr="00E55F3D" w:rsidRDefault="00F55E6A" w:rsidP="0041177B">
                  <w:pPr>
                    <w:spacing w:after="0" w:line="240" w:lineRule="auto"/>
                    <w:jc w:val="center"/>
                    <w:rPr>
                      <w:color w:val="000000"/>
                      <w:sz w:val="20"/>
                      <w:szCs w:val="20"/>
                    </w:rPr>
                  </w:pPr>
                  <w:r w:rsidRPr="00E55F3D">
                    <w:rPr>
                      <w:color w:val="000000"/>
                      <w:sz w:val="20"/>
                      <w:szCs w:val="20"/>
                    </w:rPr>
                    <w:t>2016-2022</w:t>
                  </w:r>
                </w:p>
              </w:tc>
              <w:tc>
                <w:tcPr>
                  <w:tcW w:w="0" w:type="auto"/>
                  <w:tcBorders>
                    <w:top w:val="nil"/>
                    <w:left w:val="nil"/>
                    <w:bottom w:val="nil"/>
                    <w:right w:val="nil"/>
                  </w:tcBorders>
                  <w:vAlign w:val="center"/>
                </w:tcPr>
                <w:p w14:paraId="4889249F" w14:textId="77777777" w:rsidR="00F55E6A" w:rsidRPr="00E55F3D" w:rsidRDefault="00F55E6A" w:rsidP="0041177B">
                  <w:pPr>
                    <w:spacing w:after="0" w:line="240" w:lineRule="auto"/>
                    <w:jc w:val="center"/>
                    <w:rPr>
                      <w:color w:val="000000"/>
                      <w:sz w:val="20"/>
                      <w:szCs w:val="20"/>
                    </w:rPr>
                  </w:pPr>
                  <w:r w:rsidRPr="00E55F3D">
                    <w:rPr>
                      <w:color w:val="000000"/>
                      <w:sz w:val="20"/>
                      <w:szCs w:val="20"/>
                    </w:rPr>
                    <w:t>-2.8</w:t>
                  </w:r>
                </w:p>
              </w:tc>
              <w:tc>
                <w:tcPr>
                  <w:tcW w:w="0" w:type="auto"/>
                  <w:tcBorders>
                    <w:top w:val="nil"/>
                    <w:left w:val="nil"/>
                    <w:bottom w:val="nil"/>
                    <w:right w:val="nil"/>
                  </w:tcBorders>
                  <w:vAlign w:val="center"/>
                </w:tcPr>
                <w:p w14:paraId="504ED070" w14:textId="77777777" w:rsidR="00F55E6A" w:rsidRPr="00E55F3D" w:rsidRDefault="00F55E6A" w:rsidP="0041177B">
                  <w:pPr>
                    <w:spacing w:after="0" w:line="240" w:lineRule="auto"/>
                    <w:jc w:val="center"/>
                    <w:rPr>
                      <w:color w:val="000000"/>
                      <w:sz w:val="20"/>
                      <w:szCs w:val="20"/>
                    </w:rPr>
                  </w:pPr>
                  <w:r w:rsidRPr="00E55F3D">
                    <w:rPr>
                      <w:color w:val="000000"/>
                      <w:sz w:val="20"/>
                      <w:szCs w:val="20"/>
                    </w:rPr>
                    <w:t>-4.7, -1.0</w:t>
                  </w:r>
                </w:p>
              </w:tc>
              <w:tc>
                <w:tcPr>
                  <w:tcW w:w="0" w:type="auto"/>
                  <w:tcBorders>
                    <w:top w:val="nil"/>
                    <w:left w:val="nil"/>
                    <w:bottom w:val="nil"/>
                    <w:right w:val="nil"/>
                  </w:tcBorders>
                  <w:vAlign w:val="center"/>
                </w:tcPr>
                <w:p w14:paraId="7A9F2902" w14:textId="77777777" w:rsidR="00F55E6A" w:rsidRPr="00E55F3D" w:rsidRDefault="00F55E6A" w:rsidP="0041177B">
                  <w:pPr>
                    <w:spacing w:after="0" w:line="240" w:lineRule="auto"/>
                    <w:jc w:val="center"/>
                    <w:rPr>
                      <w:color w:val="000000"/>
                      <w:sz w:val="20"/>
                      <w:szCs w:val="20"/>
                    </w:rPr>
                  </w:pPr>
                  <w:r w:rsidRPr="00E55F3D">
                    <w:rPr>
                      <w:color w:val="000000"/>
                      <w:sz w:val="20"/>
                      <w:szCs w:val="20"/>
                    </w:rPr>
                    <w:t>down</w:t>
                  </w:r>
                </w:p>
              </w:tc>
            </w:tr>
          </w:tbl>
          <w:p w14:paraId="45EB5BD5" w14:textId="77777777" w:rsidR="00F55E6A" w:rsidRPr="00E06A2D" w:rsidRDefault="00F55E6A" w:rsidP="0041177B">
            <w:pPr>
              <w:jc w:val="center"/>
              <w:rPr>
                <w:rFonts w:eastAsia="Times New Roman" w:cs="Times New Roman"/>
                <w:b/>
                <w:bCs/>
                <w:color w:val="000000"/>
                <w:sz w:val="14"/>
                <w:szCs w:val="14"/>
                <w:u w:val="single"/>
                <w:lang w:eastAsia="en-GB"/>
              </w:rPr>
            </w:pPr>
          </w:p>
        </w:tc>
      </w:tr>
      <w:tr w:rsidR="00F55E6A" w:rsidRPr="00E06A2D" w14:paraId="49E80B0D" w14:textId="77777777" w:rsidTr="0041177B">
        <w:trPr>
          <w:trHeight w:val="113"/>
        </w:trPr>
        <w:tc>
          <w:tcPr>
            <w:tcW w:w="9634" w:type="dxa"/>
            <w:vAlign w:val="center"/>
          </w:tcPr>
          <w:p w14:paraId="2A7C71F1" w14:textId="77777777" w:rsidR="00F55E6A" w:rsidRPr="00E06A2D" w:rsidRDefault="00F55E6A" w:rsidP="0041177B">
            <w:pPr>
              <w:pBdr>
                <w:bottom w:val="single" w:sz="4" w:space="1" w:color="auto"/>
              </w:pBdr>
              <w:rPr>
                <w:rFonts w:asciiTheme="minorHAnsi" w:hAnsiTheme="minorHAnsi"/>
                <w:bCs/>
                <w:sz w:val="18"/>
                <w:szCs w:val="16"/>
              </w:rPr>
            </w:pPr>
            <w:r w:rsidRPr="00E06A2D">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032BFF26" w14:textId="77777777" w:rsidR="00F55E6A" w:rsidRPr="00E06A2D" w:rsidRDefault="00F55E6A" w:rsidP="0041177B">
            <w:pPr>
              <w:rPr>
                <w:rFonts w:asciiTheme="minorHAnsi" w:hAnsiTheme="minorHAnsi"/>
                <w:b/>
                <w:bCs/>
                <w:noProof/>
                <w:sz w:val="14"/>
                <w:szCs w:val="14"/>
                <w:u w:val="single"/>
              </w:rPr>
            </w:pPr>
          </w:p>
        </w:tc>
      </w:tr>
    </w:tbl>
    <w:p w14:paraId="65FCDF0B" w14:textId="77777777" w:rsidR="00F55E6A" w:rsidRDefault="00F55E6A" w:rsidP="00F55E6A">
      <w:pPr>
        <w:spacing w:after="0" w:line="240" w:lineRule="auto"/>
        <w:rPr>
          <w:rStyle w:val="eop"/>
          <w:rFonts w:ascii="Aptos" w:hAnsi="Aptos"/>
          <w:color w:val="000000"/>
          <w:shd w:val="clear" w:color="auto" w:fill="FFFFFF"/>
        </w:rPr>
      </w:pPr>
      <w:r>
        <w:rPr>
          <w:rStyle w:val="eop"/>
          <w:rFonts w:ascii="Aptos" w:hAnsi="Aptos"/>
          <w:color w:val="000000"/>
          <w:shd w:val="clear" w:color="auto" w:fill="FFFFFF"/>
        </w:rPr>
        <w:t> </w:t>
      </w:r>
    </w:p>
    <w:p w14:paraId="31059A5D" w14:textId="77777777" w:rsidR="00F55E6A" w:rsidRDefault="00F55E6A" w:rsidP="00F55E6A">
      <w:pPr>
        <w:spacing w:after="0" w:line="240" w:lineRule="auto"/>
        <w:sectPr w:rsidR="00F55E6A" w:rsidSect="002746C0">
          <w:pgSz w:w="11906" w:h="16838"/>
          <w:pgMar w:top="1440" w:right="1440" w:bottom="1440" w:left="1440" w:header="708" w:footer="708" w:gutter="0"/>
          <w:cols w:space="708"/>
          <w:docGrid w:linePitch="360"/>
        </w:sectPr>
      </w:pPr>
    </w:p>
    <w:p w14:paraId="3EFFB4CE" w14:textId="77777777" w:rsidR="00F55E6A" w:rsidRDefault="00F55E6A" w:rsidP="00F55E6A">
      <w:pPr>
        <w:pStyle w:val="Heading2"/>
        <w:spacing w:before="0" w:after="0" w:line="240" w:lineRule="auto"/>
      </w:pPr>
      <w:bookmarkStart w:id="299" w:name="_Toc197557140"/>
      <w:bookmarkStart w:id="300" w:name="_Toc201512531"/>
      <w:r>
        <w:t>Survival</w:t>
      </w:r>
      <w:bookmarkEnd w:id="299"/>
      <w:bookmarkEnd w:id="300"/>
      <w:r>
        <w:t xml:space="preserve"> </w:t>
      </w:r>
    </w:p>
    <w:p w14:paraId="72C82690" w14:textId="079E3FD5" w:rsidR="00F55E6A" w:rsidRDefault="00F55E6A" w:rsidP="00F55E6A">
      <w:pPr>
        <w:spacing w:after="0" w:line="240" w:lineRule="auto"/>
        <w:rPr>
          <w:rFonts w:cstheme="minorHAnsi"/>
        </w:rPr>
      </w:pPr>
      <w:r>
        <w:rPr>
          <w:rFonts w:cstheme="minorHAnsi"/>
        </w:rPr>
        <w:t>Lung</w:t>
      </w:r>
      <w:r w:rsidRPr="000C58A6">
        <w:rPr>
          <w:rFonts w:cstheme="minorHAnsi"/>
        </w:rPr>
        <w:t xml:space="preserve"> cancer 5-year net survival was </w:t>
      </w:r>
      <w:r>
        <w:rPr>
          <w:rFonts w:cstheme="minorHAnsi"/>
        </w:rPr>
        <w:t>25</w:t>
      </w:r>
      <w:r w:rsidRPr="000C58A6">
        <w:rPr>
          <w:rFonts w:cstheme="minorHAnsi"/>
        </w:rPr>
        <w:t xml:space="preserve">% for cases diagnosed during 2019-2022 (Figure </w:t>
      </w:r>
      <w:r w:rsidR="00A52FFD">
        <w:rPr>
          <w:rFonts w:cstheme="minorHAnsi"/>
        </w:rPr>
        <w:t>15.6</w:t>
      </w:r>
      <w:r w:rsidRPr="000C58A6">
        <w:rPr>
          <w:rFonts w:cstheme="minorHAnsi"/>
        </w:rPr>
        <w:t xml:space="preserve">). </w:t>
      </w:r>
      <w:r>
        <w:rPr>
          <w:rFonts w:cstheme="minorHAnsi"/>
        </w:rPr>
        <w:t>Five</w:t>
      </w:r>
      <w:r w:rsidRPr="000C58A6">
        <w:rPr>
          <w:rFonts w:cstheme="minorHAnsi"/>
        </w:rPr>
        <w:t>-year net survival for 2019-202</w:t>
      </w:r>
      <w:r>
        <w:rPr>
          <w:rFonts w:cstheme="minorHAnsi"/>
        </w:rPr>
        <w:t xml:space="preserve">2 was 30% for females but only 20% for males. There have been large improvements in survival for both males and females compared to earlier periods. By comparison, 5-year net survival for 1994-1998 was 10% for females and 8% for males. </w:t>
      </w:r>
    </w:p>
    <w:p w14:paraId="037C5974" w14:textId="77777777" w:rsidR="00F55E6A" w:rsidRDefault="00F55E6A" w:rsidP="00F55E6A">
      <w:pPr>
        <w:spacing w:after="0" w:line="240" w:lineRule="auto"/>
        <w:rPr>
          <w:rFonts w:cstheme="minorHAnsi"/>
        </w:rPr>
      </w:pPr>
    </w:p>
    <w:tbl>
      <w:tblPr>
        <w:tblStyle w:val="TableGrid"/>
        <w:tblW w:w="9781" w:type="dxa"/>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3426"/>
        <w:gridCol w:w="3426"/>
      </w:tblGrid>
      <w:tr w:rsidR="00F55E6A" w:rsidRPr="00A03FB0" w14:paraId="5C730D7C" w14:textId="77777777" w:rsidTr="0041177B">
        <w:trPr>
          <w:trHeight w:val="113"/>
        </w:trPr>
        <w:tc>
          <w:tcPr>
            <w:tcW w:w="9781" w:type="dxa"/>
            <w:gridSpan w:val="3"/>
            <w:shd w:val="clear" w:color="auto" w:fill="002060"/>
          </w:tcPr>
          <w:p w14:paraId="5480636C" w14:textId="61F2A004" w:rsidR="00F55E6A" w:rsidRPr="00A52FFD" w:rsidRDefault="00F55E6A" w:rsidP="0041177B">
            <w:pPr>
              <w:rPr>
                <w:rFonts w:asciiTheme="minorHAnsi" w:hAnsiTheme="minorHAnsi" w:cstheme="minorHAnsi"/>
                <w:b/>
                <w:bCs/>
              </w:rPr>
            </w:pPr>
            <w:r w:rsidRPr="00A52FFD">
              <w:rPr>
                <w:rFonts w:asciiTheme="minorHAnsi" w:hAnsiTheme="minorHAnsi" w:cstheme="minorHAnsi"/>
                <w:b/>
                <w:bCs/>
              </w:rPr>
              <w:t xml:space="preserve">Figure </w:t>
            </w:r>
            <w:r w:rsidR="00A52FFD" w:rsidRPr="00A52FFD">
              <w:rPr>
                <w:rFonts w:asciiTheme="minorHAnsi" w:hAnsiTheme="minorHAnsi" w:cstheme="minorHAnsi"/>
                <w:b/>
                <w:bCs/>
              </w:rPr>
              <w:t>15.6:</w:t>
            </w:r>
            <w:r w:rsidRPr="00A52FFD">
              <w:rPr>
                <w:rFonts w:asciiTheme="minorHAnsi" w:hAnsiTheme="minorHAnsi" w:cstheme="minorHAnsi"/>
                <w:b/>
                <w:bCs/>
              </w:rPr>
              <w:t xml:space="preserve"> Age-standardised 5-year net survival (%) for lung cancer over six consecutive diagnosis periods</w:t>
            </w:r>
          </w:p>
        </w:tc>
      </w:tr>
      <w:tr w:rsidR="00F55E6A" w:rsidRPr="00A03FB0" w14:paraId="55959A42" w14:textId="77777777" w:rsidTr="0041177B">
        <w:trPr>
          <w:trHeight w:val="113"/>
        </w:trPr>
        <w:tc>
          <w:tcPr>
            <w:tcW w:w="3197" w:type="dxa"/>
            <w:shd w:val="clear" w:color="auto" w:fill="auto"/>
          </w:tcPr>
          <w:p w14:paraId="44D9336D" w14:textId="77777777" w:rsidR="00F55E6A" w:rsidRPr="00A03FB0" w:rsidRDefault="00F55E6A" w:rsidP="0041177B">
            <w:pPr>
              <w:jc w:val="center"/>
              <w:rPr>
                <w:rFonts w:asciiTheme="minorHAnsi" w:hAnsiTheme="minorHAnsi" w:cstheme="minorHAnsi"/>
                <w:color w:val="000000" w:themeColor="text1"/>
              </w:rPr>
            </w:pPr>
            <w:r w:rsidRPr="00A03FB0">
              <w:rPr>
                <w:rFonts w:asciiTheme="minorHAnsi" w:hAnsiTheme="minorHAnsi" w:cstheme="minorHAnsi"/>
                <w:color w:val="000000" w:themeColor="text1"/>
              </w:rPr>
              <w:t>Total</w:t>
            </w:r>
          </w:p>
        </w:tc>
        <w:tc>
          <w:tcPr>
            <w:tcW w:w="3198" w:type="dxa"/>
            <w:shd w:val="clear" w:color="auto" w:fill="auto"/>
          </w:tcPr>
          <w:p w14:paraId="5B96AD38" w14:textId="77777777" w:rsidR="00F55E6A" w:rsidRPr="00A03FB0" w:rsidRDefault="00F55E6A" w:rsidP="0041177B">
            <w:pPr>
              <w:jc w:val="center"/>
              <w:rPr>
                <w:rFonts w:asciiTheme="minorHAnsi" w:hAnsiTheme="minorHAnsi" w:cstheme="minorHAnsi"/>
                <w:color w:val="000000" w:themeColor="text1"/>
              </w:rPr>
            </w:pPr>
            <w:r w:rsidRPr="00A03FB0">
              <w:rPr>
                <w:rFonts w:asciiTheme="minorHAnsi" w:hAnsiTheme="minorHAnsi" w:cstheme="minorHAnsi"/>
                <w:color w:val="000000" w:themeColor="text1"/>
              </w:rPr>
              <w:t>Males</w:t>
            </w:r>
          </w:p>
        </w:tc>
        <w:tc>
          <w:tcPr>
            <w:tcW w:w="3386" w:type="dxa"/>
          </w:tcPr>
          <w:p w14:paraId="3E802844" w14:textId="77777777" w:rsidR="00F55E6A" w:rsidRPr="00A03FB0" w:rsidRDefault="00F55E6A" w:rsidP="0041177B">
            <w:pPr>
              <w:jc w:val="center"/>
              <w:rPr>
                <w:rFonts w:asciiTheme="minorHAnsi" w:hAnsiTheme="minorHAnsi" w:cstheme="minorHAnsi"/>
                <w:color w:val="000000" w:themeColor="text1"/>
              </w:rPr>
            </w:pPr>
            <w:r w:rsidRPr="00A03FB0">
              <w:rPr>
                <w:rFonts w:asciiTheme="minorHAnsi" w:hAnsiTheme="minorHAnsi" w:cstheme="minorHAnsi"/>
                <w:color w:val="000000" w:themeColor="text1"/>
              </w:rPr>
              <w:t>Females</w:t>
            </w:r>
          </w:p>
        </w:tc>
      </w:tr>
      <w:tr w:rsidR="00F55E6A" w:rsidRPr="00A03FB0" w14:paraId="76FD862F" w14:textId="77777777" w:rsidTr="0041177B">
        <w:trPr>
          <w:trHeight w:val="113"/>
        </w:trPr>
        <w:tc>
          <w:tcPr>
            <w:tcW w:w="3197" w:type="dxa"/>
            <w:shd w:val="clear" w:color="auto" w:fill="auto"/>
          </w:tcPr>
          <w:p w14:paraId="674BC2D8" w14:textId="77777777" w:rsidR="00F55E6A" w:rsidRPr="00A03FB0" w:rsidRDefault="00F55E6A" w:rsidP="0041177B">
            <w:pPr>
              <w:rPr>
                <w:rFonts w:asciiTheme="minorHAnsi" w:eastAsia="Times New Roman" w:hAnsiTheme="minorHAnsi" w:cs="Times New Roman"/>
                <w:lang w:val="en-GB" w:eastAsia="en-GB"/>
              </w:rPr>
            </w:pPr>
            <w:r w:rsidRPr="00A03FB0">
              <w:rPr>
                <w:rFonts w:eastAsia="Times New Roman" w:cs="Times New Roman"/>
                <w:noProof/>
                <w:lang w:eastAsia="en-GB"/>
              </w:rPr>
              <w:drawing>
                <wp:inline distT="0" distB="0" distL="0" distR="0" wp14:anchorId="58DDA883" wp14:editId="4A96909E">
                  <wp:extent cx="2036305" cy="1260000"/>
                  <wp:effectExtent l="0" t="0" r="2540" b="0"/>
                  <wp:docPr id="680649667" name="Picture 8" descr="A graph with numbers and percent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49667" name="Picture 8" descr="A graph with numbers and percentages&#10;&#10;AI-generated content may be incorrect."/>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036305" cy="1260000"/>
                          </a:xfrm>
                          <a:prstGeom prst="rect">
                            <a:avLst/>
                          </a:prstGeom>
                          <a:noFill/>
                          <a:ln>
                            <a:noFill/>
                          </a:ln>
                        </pic:spPr>
                      </pic:pic>
                    </a:graphicData>
                  </a:graphic>
                </wp:inline>
              </w:drawing>
            </w:r>
          </w:p>
        </w:tc>
        <w:tc>
          <w:tcPr>
            <w:tcW w:w="3198" w:type="dxa"/>
            <w:shd w:val="clear" w:color="auto" w:fill="auto"/>
          </w:tcPr>
          <w:p w14:paraId="607ED5BF" w14:textId="77777777" w:rsidR="00F55E6A" w:rsidRPr="00A03FB0" w:rsidRDefault="00F55E6A" w:rsidP="0041177B">
            <w:pPr>
              <w:rPr>
                <w:rFonts w:asciiTheme="minorHAnsi" w:hAnsiTheme="minorHAnsi" w:cstheme="minorHAnsi"/>
                <w:color w:val="000000" w:themeColor="text1"/>
                <w:lang w:val="en-GB"/>
              </w:rPr>
            </w:pPr>
            <w:r w:rsidRPr="00A03FB0">
              <w:rPr>
                <w:rFonts w:eastAsia="Times New Roman" w:cs="Times New Roman"/>
                <w:noProof/>
                <w:lang w:eastAsia="en-GB"/>
              </w:rPr>
              <w:drawing>
                <wp:inline distT="0" distB="0" distL="0" distR="0" wp14:anchorId="0D36CDE0" wp14:editId="0A84C100">
                  <wp:extent cx="2036160" cy="1260000"/>
                  <wp:effectExtent l="0" t="0" r="2540" b="0"/>
                  <wp:docPr id="45" name="Picture 36" descr="A graph with numbers and percent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6" descr="A graph with numbers and percentages&#10;&#10;AI-generated content may be incorrect."/>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036160" cy="1260000"/>
                          </a:xfrm>
                          <a:prstGeom prst="rect">
                            <a:avLst/>
                          </a:prstGeom>
                          <a:noFill/>
                          <a:ln>
                            <a:noFill/>
                          </a:ln>
                        </pic:spPr>
                      </pic:pic>
                    </a:graphicData>
                  </a:graphic>
                </wp:inline>
              </w:drawing>
            </w:r>
          </w:p>
        </w:tc>
        <w:tc>
          <w:tcPr>
            <w:tcW w:w="3386" w:type="dxa"/>
          </w:tcPr>
          <w:p w14:paraId="7CDAF532" w14:textId="77777777" w:rsidR="00F55E6A" w:rsidRPr="00A03FB0" w:rsidRDefault="00F55E6A" w:rsidP="0041177B">
            <w:pPr>
              <w:rPr>
                <w:rFonts w:asciiTheme="minorHAnsi" w:hAnsiTheme="minorHAnsi" w:cstheme="minorHAnsi"/>
                <w:color w:val="000000" w:themeColor="text1"/>
              </w:rPr>
            </w:pPr>
            <w:r w:rsidRPr="00A03FB0">
              <w:rPr>
                <w:rFonts w:eastAsia="Times New Roman" w:cs="Times New Roman"/>
                <w:noProof/>
                <w:lang w:eastAsia="en-GB"/>
              </w:rPr>
              <w:drawing>
                <wp:inline distT="0" distB="0" distL="0" distR="0" wp14:anchorId="21ECE070" wp14:editId="176AEE73">
                  <wp:extent cx="2036160" cy="1260000"/>
                  <wp:effectExtent l="0" t="0" r="2540" b="0"/>
                  <wp:docPr id="43" name="Picture 34" descr="A graph with numbers and a number of percent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34" descr="A graph with numbers and a number of percentages&#10;&#10;AI-generated content may be incorrect."/>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036160" cy="1260000"/>
                          </a:xfrm>
                          <a:prstGeom prst="rect">
                            <a:avLst/>
                          </a:prstGeom>
                          <a:noFill/>
                          <a:ln>
                            <a:noFill/>
                          </a:ln>
                        </pic:spPr>
                      </pic:pic>
                    </a:graphicData>
                  </a:graphic>
                </wp:inline>
              </w:drawing>
            </w:r>
          </w:p>
        </w:tc>
      </w:tr>
    </w:tbl>
    <w:p w14:paraId="77119F33" w14:textId="77777777" w:rsidR="001A3B02" w:rsidRPr="001A3B02" w:rsidRDefault="001A3B02" w:rsidP="001A3B02">
      <w:bookmarkStart w:id="301" w:name="_Toc197557141"/>
    </w:p>
    <w:p w14:paraId="7A15578B" w14:textId="77777777" w:rsidR="00F55E6A" w:rsidRDefault="00F55E6A" w:rsidP="00F55E6A">
      <w:pPr>
        <w:pStyle w:val="Heading2"/>
        <w:spacing w:before="0" w:after="0" w:line="240" w:lineRule="auto"/>
      </w:pPr>
      <w:bookmarkStart w:id="302" w:name="_Toc201512532"/>
      <w:r>
        <w:t>Population Attributable Fraction</w:t>
      </w:r>
      <w:bookmarkEnd w:id="301"/>
      <w:bookmarkEnd w:id="302"/>
    </w:p>
    <w:p w14:paraId="1FCC5E9E" w14:textId="3C9A49F3" w:rsidR="00F55E6A" w:rsidRDefault="00F55E6A" w:rsidP="00F55E6A">
      <w:pPr>
        <w:spacing w:after="0" w:line="240" w:lineRule="auto"/>
      </w:pPr>
      <w:r>
        <w:t xml:space="preserve">In 2022, 2,742 cases of lung cancer were recorded (1,426 in males, 1,316 in females). The estimated total number of lung cancer cases attributable to smoking in Ireland in 2022 was 2,010 (PAF 73.3%). The estimated </w:t>
      </w:r>
      <w:r w:rsidR="003359F3" w:rsidRPr="003359F3">
        <w:t xml:space="preserve">number of lung cancer cases attributable to </w:t>
      </w:r>
      <w:r>
        <w:t xml:space="preserve">second-hand smoke in Ireland in 2022 was 12 (PAF 4.8%). Table </w:t>
      </w:r>
      <w:r w:rsidR="00A52FFD">
        <w:t>15.1</w:t>
      </w:r>
      <w:r>
        <w:t xml:space="preserve"> presents the difference between male and female lung cancer incidence related to smoking. Males had a higher PAF for smoking than females (74.8% vs 71.7%) but a smaller PAF for second hand smoke (4.2% vs 5.3%)</w:t>
      </w:r>
    </w:p>
    <w:p w14:paraId="7E569542" w14:textId="77777777" w:rsidR="00F55E6A" w:rsidRDefault="00F55E6A" w:rsidP="00F55E6A">
      <w:pPr>
        <w:spacing w:after="0" w:line="240" w:lineRule="auto"/>
        <w:rPr>
          <w:rFonts w:cstheme="minorHAnsi"/>
        </w:rPr>
      </w:pPr>
    </w:p>
    <w:tbl>
      <w:tblPr>
        <w:tblStyle w:val="TableGrid"/>
        <w:tblW w:w="5660" w:type="pct"/>
        <w:tblInd w:w="-572" w:type="dxa"/>
        <w:tblLook w:val="04A0" w:firstRow="1" w:lastRow="0" w:firstColumn="1" w:lastColumn="0" w:noHBand="0" w:noVBand="1"/>
      </w:tblPr>
      <w:tblGrid>
        <w:gridCol w:w="1416"/>
        <w:gridCol w:w="1133"/>
        <w:gridCol w:w="1137"/>
        <w:gridCol w:w="1135"/>
        <w:gridCol w:w="1557"/>
        <w:gridCol w:w="1278"/>
        <w:gridCol w:w="1133"/>
        <w:gridCol w:w="1417"/>
      </w:tblGrid>
      <w:tr w:rsidR="00824C29" w14:paraId="1F473DE9" w14:textId="77777777" w:rsidTr="00824C29">
        <w:tc>
          <w:tcPr>
            <w:tcW w:w="5000" w:type="pct"/>
            <w:gridSpan w:val="8"/>
            <w:tcBorders>
              <w:top w:val="single" w:sz="4" w:space="0" w:color="auto"/>
              <w:left w:val="single" w:sz="4" w:space="0" w:color="auto"/>
              <w:bottom w:val="single" w:sz="4" w:space="0" w:color="auto"/>
              <w:right w:val="single" w:sz="4" w:space="0" w:color="auto"/>
            </w:tcBorders>
            <w:shd w:val="clear" w:color="auto" w:fill="002060"/>
          </w:tcPr>
          <w:p w14:paraId="5AA8F837" w14:textId="1D267956" w:rsidR="00824C29" w:rsidRPr="00A52FFD" w:rsidRDefault="00824C29" w:rsidP="0041177B">
            <w:pPr>
              <w:rPr>
                <w:rFonts w:cstheme="minorHAnsi"/>
                <w:b/>
                <w:bCs/>
                <w:color w:val="FFFFFF" w:themeColor="background1"/>
              </w:rPr>
            </w:pPr>
            <w:r w:rsidRPr="00A52FFD">
              <w:rPr>
                <w:rFonts w:asciiTheme="minorHAnsi" w:hAnsiTheme="minorHAnsi" w:cstheme="minorHAnsi"/>
                <w:b/>
                <w:bCs/>
                <w:color w:val="FFFFFF" w:themeColor="background1"/>
              </w:rPr>
              <w:t xml:space="preserve">Table </w:t>
            </w:r>
            <w:r>
              <w:rPr>
                <w:rFonts w:asciiTheme="minorHAnsi" w:hAnsiTheme="minorHAnsi" w:cstheme="minorHAnsi"/>
                <w:b/>
                <w:bCs/>
                <w:color w:val="FFFFFF" w:themeColor="background1"/>
              </w:rPr>
              <w:t>15.1</w:t>
            </w:r>
            <w:r w:rsidRPr="00A52FFD">
              <w:rPr>
                <w:rFonts w:asciiTheme="minorHAnsi" w:hAnsiTheme="minorHAnsi" w:cstheme="minorHAnsi"/>
                <w:b/>
                <w:bCs/>
                <w:color w:val="FFFFFF" w:themeColor="background1"/>
              </w:rPr>
              <w:t xml:space="preserve">: Population attributable fraction and attributable cases for </w:t>
            </w:r>
            <w:r w:rsidRPr="00A52FFD">
              <w:rPr>
                <w:rFonts w:asciiTheme="minorHAnsi" w:hAnsiTheme="minorHAnsi" w:cstheme="minorHAnsi"/>
                <w:b/>
                <w:bCs/>
              </w:rPr>
              <w:t xml:space="preserve">lung </w:t>
            </w:r>
            <w:r w:rsidRPr="00A52FFD">
              <w:rPr>
                <w:rFonts w:asciiTheme="minorHAnsi" w:hAnsiTheme="minorHAnsi" w:cstheme="minorHAnsi"/>
                <w:b/>
                <w:bCs/>
                <w:color w:val="FFFFFF" w:themeColor="background1"/>
              </w:rPr>
              <w:t>cancer in 2022</w:t>
            </w:r>
          </w:p>
        </w:tc>
      </w:tr>
      <w:tr w:rsidR="00824C29" w14:paraId="3F0E0084" w14:textId="77777777" w:rsidTr="006C1190">
        <w:tc>
          <w:tcPr>
            <w:tcW w:w="694" w:type="pct"/>
            <w:tcBorders>
              <w:top w:val="single" w:sz="4" w:space="0" w:color="auto"/>
              <w:left w:val="single" w:sz="4" w:space="0" w:color="auto"/>
              <w:bottom w:val="single" w:sz="4" w:space="0" w:color="auto"/>
              <w:right w:val="single" w:sz="4" w:space="0" w:color="auto"/>
            </w:tcBorders>
          </w:tcPr>
          <w:p w14:paraId="0B1EC4A7" w14:textId="77777777" w:rsidR="00824C29" w:rsidRPr="00D720F2" w:rsidRDefault="00824C29" w:rsidP="0041177B">
            <w:pPr>
              <w:rPr>
                <w:rFonts w:asciiTheme="minorHAnsi" w:hAnsiTheme="minorHAnsi" w:cstheme="minorHAnsi"/>
              </w:rPr>
            </w:pPr>
          </w:p>
        </w:tc>
        <w:tc>
          <w:tcPr>
            <w:tcW w:w="1668" w:type="pct"/>
            <w:gridSpan w:val="3"/>
            <w:tcBorders>
              <w:top w:val="single" w:sz="4" w:space="0" w:color="auto"/>
              <w:left w:val="single" w:sz="4" w:space="0" w:color="auto"/>
              <w:bottom w:val="single" w:sz="4" w:space="0" w:color="auto"/>
              <w:right w:val="single" w:sz="4" w:space="0" w:color="auto"/>
            </w:tcBorders>
          </w:tcPr>
          <w:p w14:paraId="366AE634" w14:textId="77777777" w:rsidR="00824C29" w:rsidRPr="00A27C47" w:rsidRDefault="00824C29" w:rsidP="0041177B">
            <w:pPr>
              <w:jc w:val="center"/>
              <w:rPr>
                <w:rFonts w:asciiTheme="minorHAnsi" w:hAnsiTheme="minorHAnsi" w:cstheme="minorHAnsi"/>
              </w:rPr>
            </w:pPr>
            <w:r w:rsidRPr="00A27C47">
              <w:rPr>
                <w:rFonts w:asciiTheme="minorHAnsi" w:hAnsiTheme="minorHAnsi" w:cstheme="minorHAnsi"/>
              </w:rPr>
              <w:t>Smoking</w:t>
            </w:r>
          </w:p>
        </w:tc>
        <w:tc>
          <w:tcPr>
            <w:tcW w:w="2638" w:type="pct"/>
            <w:gridSpan w:val="4"/>
            <w:tcBorders>
              <w:top w:val="single" w:sz="4" w:space="0" w:color="auto"/>
              <w:left w:val="single" w:sz="4" w:space="0" w:color="auto"/>
              <w:bottom w:val="single" w:sz="4" w:space="0" w:color="auto"/>
              <w:right w:val="single" w:sz="4" w:space="0" w:color="auto"/>
            </w:tcBorders>
          </w:tcPr>
          <w:p w14:paraId="3E0E20D2" w14:textId="14C8A538" w:rsidR="00824C29" w:rsidRPr="00A27C47" w:rsidRDefault="00824C29" w:rsidP="0041177B">
            <w:pPr>
              <w:jc w:val="center"/>
              <w:rPr>
                <w:rFonts w:asciiTheme="minorHAnsi" w:hAnsiTheme="minorHAnsi" w:cstheme="minorHAnsi"/>
              </w:rPr>
            </w:pPr>
            <w:r w:rsidRPr="00A27C47">
              <w:rPr>
                <w:rFonts w:asciiTheme="minorHAnsi" w:hAnsiTheme="minorHAnsi" w:cstheme="minorHAnsi"/>
              </w:rPr>
              <w:t>Second hand smoke</w:t>
            </w:r>
          </w:p>
        </w:tc>
      </w:tr>
      <w:tr w:rsidR="00824C29" w14:paraId="4C413C5C" w14:textId="77777777" w:rsidTr="00824C29">
        <w:tc>
          <w:tcPr>
            <w:tcW w:w="694" w:type="pct"/>
            <w:tcBorders>
              <w:top w:val="single" w:sz="4" w:space="0" w:color="auto"/>
              <w:left w:val="single" w:sz="4" w:space="0" w:color="auto"/>
              <w:bottom w:val="single" w:sz="4" w:space="0" w:color="auto"/>
              <w:right w:val="single" w:sz="4" w:space="0" w:color="auto"/>
            </w:tcBorders>
          </w:tcPr>
          <w:p w14:paraId="173694D5" w14:textId="77777777" w:rsidR="00824C29" w:rsidRDefault="00824C29" w:rsidP="0041177B">
            <w:pPr>
              <w:rPr>
                <w:rFonts w:asciiTheme="minorHAnsi" w:hAnsiTheme="minorHAnsi" w:cstheme="minorHAnsi"/>
              </w:rPr>
            </w:pPr>
          </w:p>
        </w:tc>
        <w:tc>
          <w:tcPr>
            <w:tcW w:w="555" w:type="pct"/>
            <w:tcBorders>
              <w:top w:val="single" w:sz="4" w:space="0" w:color="auto"/>
              <w:left w:val="single" w:sz="4" w:space="0" w:color="auto"/>
              <w:bottom w:val="single" w:sz="4" w:space="0" w:color="auto"/>
              <w:right w:val="single" w:sz="4" w:space="0" w:color="auto"/>
            </w:tcBorders>
            <w:hideMark/>
          </w:tcPr>
          <w:p w14:paraId="23F870CB" w14:textId="77777777" w:rsidR="00824C29" w:rsidRPr="00A27C47" w:rsidRDefault="00824C29" w:rsidP="0041177B">
            <w:pPr>
              <w:jc w:val="center"/>
              <w:rPr>
                <w:rFonts w:asciiTheme="minorHAnsi" w:hAnsiTheme="minorHAnsi" w:cstheme="minorHAnsi"/>
              </w:rPr>
            </w:pPr>
            <w:r w:rsidRPr="00A27C47">
              <w:rPr>
                <w:rFonts w:asciiTheme="minorHAnsi" w:hAnsiTheme="minorHAnsi" w:cstheme="minorHAnsi"/>
              </w:rPr>
              <w:t>Total</w:t>
            </w:r>
          </w:p>
        </w:tc>
        <w:tc>
          <w:tcPr>
            <w:tcW w:w="557" w:type="pct"/>
            <w:tcBorders>
              <w:top w:val="single" w:sz="4" w:space="0" w:color="auto"/>
              <w:left w:val="single" w:sz="4" w:space="0" w:color="auto"/>
              <w:bottom w:val="single" w:sz="4" w:space="0" w:color="auto"/>
              <w:right w:val="single" w:sz="4" w:space="0" w:color="auto"/>
            </w:tcBorders>
            <w:hideMark/>
          </w:tcPr>
          <w:p w14:paraId="0D0BE52E" w14:textId="77777777" w:rsidR="00824C29" w:rsidRPr="00A27C47" w:rsidRDefault="00824C29" w:rsidP="0041177B">
            <w:pPr>
              <w:jc w:val="center"/>
              <w:rPr>
                <w:rFonts w:asciiTheme="minorHAnsi" w:hAnsiTheme="minorHAnsi" w:cstheme="minorHAnsi"/>
              </w:rPr>
            </w:pPr>
            <w:r w:rsidRPr="00A27C47">
              <w:rPr>
                <w:rFonts w:asciiTheme="minorHAnsi" w:hAnsiTheme="minorHAnsi" w:cstheme="minorHAnsi"/>
              </w:rPr>
              <w:t>Males</w:t>
            </w:r>
          </w:p>
        </w:tc>
        <w:tc>
          <w:tcPr>
            <w:tcW w:w="556" w:type="pct"/>
            <w:tcBorders>
              <w:top w:val="single" w:sz="4" w:space="0" w:color="auto"/>
              <w:left w:val="single" w:sz="4" w:space="0" w:color="auto"/>
              <w:bottom w:val="single" w:sz="4" w:space="0" w:color="auto"/>
              <w:right w:val="single" w:sz="4" w:space="0" w:color="auto"/>
            </w:tcBorders>
            <w:hideMark/>
          </w:tcPr>
          <w:p w14:paraId="1C63C97D" w14:textId="77777777" w:rsidR="00824C29" w:rsidRPr="00A27C47" w:rsidRDefault="00824C29" w:rsidP="0041177B">
            <w:pPr>
              <w:jc w:val="center"/>
              <w:rPr>
                <w:rFonts w:asciiTheme="minorHAnsi" w:hAnsiTheme="minorHAnsi" w:cstheme="minorHAnsi"/>
              </w:rPr>
            </w:pPr>
            <w:r w:rsidRPr="00A27C47">
              <w:rPr>
                <w:rFonts w:asciiTheme="minorHAnsi" w:hAnsiTheme="minorHAnsi" w:cstheme="minorHAnsi"/>
              </w:rPr>
              <w:t>Females</w:t>
            </w:r>
          </w:p>
        </w:tc>
        <w:tc>
          <w:tcPr>
            <w:tcW w:w="763" w:type="pct"/>
            <w:tcBorders>
              <w:top w:val="single" w:sz="4" w:space="0" w:color="auto"/>
              <w:left w:val="single" w:sz="4" w:space="0" w:color="auto"/>
              <w:bottom w:val="single" w:sz="4" w:space="0" w:color="auto"/>
              <w:right w:val="single" w:sz="4" w:space="0" w:color="auto"/>
            </w:tcBorders>
          </w:tcPr>
          <w:p w14:paraId="42B2A41A" w14:textId="77777777" w:rsidR="00824C29" w:rsidRPr="00D720F2" w:rsidRDefault="00824C29" w:rsidP="0041177B">
            <w:pPr>
              <w:jc w:val="center"/>
              <w:rPr>
                <w:rFonts w:asciiTheme="minorHAnsi" w:hAnsiTheme="minorHAnsi" w:cstheme="minorHAnsi"/>
              </w:rPr>
            </w:pPr>
          </w:p>
        </w:tc>
        <w:tc>
          <w:tcPr>
            <w:tcW w:w="626" w:type="pct"/>
            <w:tcBorders>
              <w:top w:val="single" w:sz="4" w:space="0" w:color="auto"/>
              <w:left w:val="single" w:sz="4" w:space="0" w:color="auto"/>
              <w:bottom w:val="single" w:sz="4" w:space="0" w:color="auto"/>
              <w:right w:val="single" w:sz="4" w:space="0" w:color="auto"/>
            </w:tcBorders>
          </w:tcPr>
          <w:p w14:paraId="3B358798" w14:textId="0537A49C" w:rsidR="00824C29" w:rsidRPr="00A27C47" w:rsidRDefault="00824C29" w:rsidP="0041177B">
            <w:pPr>
              <w:jc w:val="center"/>
              <w:rPr>
                <w:rFonts w:asciiTheme="minorHAnsi" w:hAnsiTheme="minorHAnsi" w:cstheme="minorHAnsi"/>
              </w:rPr>
            </w:pPr>
            <w:r w:rsidRPr="00D720F2">
              <w:rPr>
                <w:rFonts w:asciiTheme="minorHAnsi" w:hAnsiTheme="minorHAnsi" w:cstheme="minorHAnsi"/>
              </w:rPr>
              <w:t>Total</w:t>
            </w:r>
          </w:p>
        </w:tc>
        <w:tc>
          <w:tcPr>
            <w:tcW w:w="555" w:type="pct"/>
            <w:tcBorders>
              <w:top w:val="single" w:sz="4" w:space="0" w:color="auto"/>
              <w:left w:val="single" w:sz="4" w:space="0" w:color="auto"/>
              <w:bottom w:val="single" w:sz="4" w:space="0" w:color="auto"/>
              <w:right w:val="single" w:sz="4" w:space="0" w:color="auto"/>
            </w:tcBorders>
          </w:tcPr>
          <w:p w14:paraId="0F9F9B21" w14:textId="77777777" w:rsidR="00824C29" w:rsidRPr="00A27C47" w:rsidRDefault="00824C29" w:rsidP="0041177B">
            <w:pPr>
              <w:jc w:val="center"/>
              <w:rPr>
                <w:rFonts w:asciiTheme="minorHAnsi" w:hAnsiTheme="minorHAnsi" w:cstheme="minorHAnsi"/>
              </w:rPr>
            </w:pPr>
            <w:r w:rsidRPr="00D720F2">
              <w:rPr>
                <w:rFonts w:asciiTheme="minorHAnsi" w:hAnsiTheme="minorHAnsi" w:cstheme="minorHAnsi"/>
              </w:rPr>
              <w:t>Males</w:t>
            </w:r>
          </w:p>
        </w:tc>
        <w:tc>
          <w:tcPr>
            <w:tcW w:w="694" w:type="pct"/>
            <w:tcBorders>
              <w:top w:val="single" w:sz="4" w:space="0" w:color="auto"/>
              <w:left w:val="single" w:sz="4" w:space="0" w:color="auto"/>
              <w:bottom w:val="single" w:sz="4" w:space="0" w:color="auto"/>
              <w:right w:val="single" w:sz="4" w:space="0" w:color="auto"/>
            </w:tcBorders>
          </w:tcPr>
          <w:p w14:paraId="790EEA58" w14:textId="77777777" w:rsidR="00824C29" w:rsidRPr="00A27C47" w:rsidRDefault="00824C29" w:rsidP="0041177B">
            <w:pPr>
              <w:jc w:val="center"/>
              <w:rPr>
                <w:rFonts w:asciiTheme="minorHAnsi" w:hAnsiTheme="minorHAnsi" w:cstheme="minorHAnsi"/>
              </w:rPr>
            </w:pPr>
            <w:r w:rsidRPr="00D720F2">
              <w:rPr>
                <w:rFonts w:asciiTheme="minorHAnsi" w:hAnsiTheme="minorHAnsi" w:cstheme="minorHAnsi"/>
              </w:rPr>
              <w:t>Females</w:t>
            </w:r>
          </w:p>
        </w:tc>
      </w:tr>
      <w:tr w:rsidR="00824C29" w14:paraId="77E2B955" w14:textId="77777777" w:rsidTr="006C1190">
        <w:tc>
          <w:tcPr>
            <w:tcW w:w="694" w:type="pct"/>
            <w:tcBorders>
              <w:top w:val="single" w:sz="4" w:space="0" w:color="auto"/>
              <w:left w:val="single" w:sz="4" w:space="0" w:color="auto"/>
              <w:bottom w:val="single" w:sz="4" w:space="0" w:color="auto"/>
              <w:right w:val="single" w:sz="4" w:space="0" w:color="auto"/>
            </w:tcBorders>
            <w:hideMark/>
          </w:tcPr>
          <w:p w14:paraId="7DB58224" w14:textId="77777777" w:rsidR="00824C29" w:rsidRPr="00F969D7" w:rsidRDefault="00824C29" w:rsidP="00824C29">
            <w:pPr>
              <w:rPr>
                <w:rFonts w:asciiTheme="minorHAnsi" w:hAnsiTheme="minorHAnsi" w:cstheme="minorHAnsi"/>
              </w:rPr>
            </w:pPr>
            <w:r w:rsidRPr="00F969D7">
              <w:rPr>
                <w:rFonts w:asciiTheme="minorHAnsi" w:hAnsiTheme="minorHAnsi" w:cstheme="minorHAnsi"/>
              </w:rPr>
              <w:t>PAF (%)</w:t>
            </w:r>
          </w:p>
        </w:tc>
        <w:tc>
          <w:tcPr>
            <w:tcW w:w="555" w:type="pct"/>
            <w:tcBorders>
              <w:top w:val="single" w:sz="4" w:space="0" w:color="auto"/>
              <w:left w:val="single" w:sz="4" w:space="0" w:color="auto"/>
              <w:bottom w:val="single" w:sz="4" w:space="0" w:color="auto"/>
              <w:right w:val="single" w:sz="4" w:space="0" w:color="auto"/>
            </w:tcBorders>
            <w:hideMark/>
          </w:tcPr>
          <w:p w14:paraId="374E8E6C" w14:textId="77777777" w:rsidR="00824C29" w:rsidRPr="00F969D7" w:rsidRDefault="00824C29" w:rsidP="00824C29">
            <w:pPr>
              <w:jc w:val="center"/>
              <w:rPr>
                <w:rFonts w:asciiTheme="minorHAnsi" w:hAnsiTheme="minorHAnsi" w:cstheme="minorHAnsi"/>
              </w:rPr>
            </w:pPr>
            <w:r w:rsidRPr="00F969D7">
              <w:rPr>
                <w:rFonts w:asciiTheme="minorHAnsi" w:hAnsiTheme="minorHAnsi" w:cstheme="minorHAnsi"/>
              </w:rPr>
              <w:t>73.3</w:t>
            </w:r>
          </w:p>
        </w:tc>
        <w:tc>
          <w:tcPr>
            <w:tcW w:w="557" w:type="pct"/>
            <w:tcBorders>
              <w:top w:val="single" w:sz="4" w:space="0" w:color="auto"/>
              <w:left w:val="single" w:sz="4" w:space="0" w:color="auto"/>
              <w:bottom w:val="single" w:sz="4" w:space="0" w:color="auto"/>
              <w:right w:val="single" w:sz="4" w:space="0" w:color="auto"/>
            </w:tcBorders>
            <w:hideMark/>
          </w:tcPr>
          <w:p w14:paraId="5BBA9C13" w14:textId="77777777" w:rsidR="00824C29" w:rsidRPr="00F969D7" w:rsidRDefault="00824C29" w:rsidP="00824C29">
            <w:pPr>
              <w:jc w:val="center"/>
              <w:rPr>
                <w:rFonts w:asciiTheme="minorHAnsi" w:hAnsiTheme="minorHAnsi" w:cstheme="minorHAnsi"/>
              </w:rPr>
            </w:pPr>
            <w:r w:rsidRPr="00F969D7">
              <w:rPr>
                <w:rFonts w:asciiTheme="minorHAnsi" w:hAnsiTheme="minorHAnsi" w:cstheme="minorHAnsi"/>
              </w:rPr>
              <w:t>74.8</w:t>
            </w:r>
          </w:p>
        </w:tc>
        <w:tc>
          <w:tcPr>
            <w:tcW w:w="556" w:type="pct"/>
            <w:tcBorders>
              <w:top w:val="single" w:sz="4" w:space="0" w:color="auto"/>
              <w:left w:val="single" w:sz="4" w:space="0" w:color="auto"/>
              <w:bottom w:val="single" w:sz="4" w:space="0" w:color="auto"/>
              <w:right w:val="single" w:sz="4" w:space="0" w:color="auto"/>
            </w:tcBorders>
            <w:hideMark/>
          </w:tcPr>
          <w:p w14:paraId="210272C0" w14:textId="77777777" w:rsidR="00824C29" w:rsidRPr="00F969D7" w:rsidRDefault="00824C29" w:rsidP="00824C29">
            <w:pPr>
              <w:jc w:val="center"/>
              <w:rPr>
                <w:rFonts w:asciiTheme="minorHAnsi" w:hAnsiTheme="minorHAnsi" w:cstheme="minorHAnsi"/>
              </w:rPr>
            </w:pPr>
            <w:r w:rsidRPr="00F969D7">
              <w:rPr>
                <w:rFonts w:asciiTheme="minorHAnsi" w:hAnsiTheme="minorHAnsi" w:cstheme="minorHAnsi"/>
              </w:rPr>
              <w:t>71.7</w:t>
            </w:r>
          </w:p>
        </w:tc>
        <w:tc>
          <w:tcPr>
            <w:tcW w:w="763" w:type="pct"/>
            <w:tcBorders>
              <w:top w:val="single" w:sz="4" w:space="0" w:color="auto"/>
              <w:left w:val="single" w:sz="4" w:space="0" w:color="auto"/>
              <w:bottom w:val="single" w:sz="4" w:space="0" w:color="auto"/>
              <w:right w:val="single" w:sz="4" w:space="0" w:color="auto"/>
            </w:tcBorders>
          </w:tcPr>
          <w:p w14:paraId="37A971CC" w14:textId="6BB0C9D6" w:rsidR="00824C29" w:rsidRPr="006C1190" w:rsidRDefault="00824C29" w:rsidP="00824C29">
            <w:pPr>
              <w:jc w:val="center"/>
              <w:rPr>
                <w:rFonts w:asciiTheme="minorHAnsi" w:hAnsiTheme="minorHAnsi" w:cstheme="minorHAnsi"/>
              </w:rPr>
            </w:pPr>
            <w:r w:rsidRPr="00D720F2">
              <w:rPr>
                <w:rFonts w:asciiTheme="minorHAnsi" w:hAnsiTheme="minorHAnsi" w:cstheme="minorHAnsi"/>
              </w:rPr>
              <w:t>PAF (%)</w:t>
            </w:r>
          </w:p>
        </w:tc>
        <w:tc>
          <w:tcPr>
            <w:tcW w:w="626" w:type="pct"/>
            <w:tcBorders>
              <w:top w:val="single" w:sz="4" w:space="0" w:color="auto"/>
              <w:left w:val="single" w:sz="4" w:space="0" w:color="auto"/>
              <w:bottom w:val="single" w:sz="4" w:space="0" w:color="auto"/>
              <w:right w:val="single" w:sz="4" w:space="0" w:color="auto"/>
            </w:tcBorders>
          </w:tcPr>
          <w:p w14:paraId="75F8EE2A" w14:textId="64414964" w:rsidR="00824C29" w:rsidRPr="00F969D7" w:rsidRDefault="00824C29" w:rsidP="00824C29">
            <w:pPr>
              <w:jc w:val="center"/>
              <w:rPr>
                <w:rFonts w:asciiTheme="minorHAnsi" w:hAnsiTheme="minorHAnsi" w:cstheme="minorHAnsi"/>
              </w:rPr>
            </w:pPr>
            <w:r w:rsidRPr="00F969D7">
              <w:rPr>
                <w:rFonts w:asciiTheme="minorHAnsi" w:hAnsiTheme="minorHAnsi" w:cstheme="minorHAnsi"/>
              </w:rPr>
              <w:t>4.8</w:t>
            </w:r>
          </w:p>
        </w:tc>
        <w:tc>
          <w:tcPr>
            <w:tcW w:w="555" w:type="pct"/>
            <w:tcBorders>
              <w:top w:val="single" w:sz="4" w:space="0" w:color="auto"/>
              <w:left w:val="single" w:sz="4" w:space="0" w:color="auto"/>
              <w:bottom w:val="single" w:sz="4" w:space="0" w:color="auto"/>
              <w:right w:val="single" w:sz="4" w:space="0" w:color="auto"/>
            </w:tcBorders>
          </w:tcPr>
          <w:p w14:paraId="69D5A6DC" w14:textId="77777777" w:rsidR="00824C29" w:rsidRPr="00F969D7" w:rsidRDefault="00824C29" w:rsidP="00824C29">
            <w:pPr>
              <w:jc w:val="center"/>
              <w:rPr>
                <w:rFonts w:asciiTheme="minorHAnsi" w:hAnsiTheme="minorHAnsi" w:cstheme="minorHAnsi"/>
              </w:rPr>
            </w:pPr>
            <w:r w:rsidRPr="00F969D7">
              <w:rPr>
                <w:rFonts w:asciiTheme="minorHAnsi" w:hAnsiTheme="minorHAnsi" w:cstheme="minorHAnsi"/>
              </w:rPr>
              <w:t>4.2</w:t>
            </w:r>
          </w:p>
        </w:tc>
        <w:tc>
          <w:tcPr>
            <w:tcW w:w="694" w:type="pct"/>
            <w:tcBorders>
              <w:top w:val="single" w:sz="4" w:space="0" w:color="auto"/>
              <w:left w:val="single" w:sz="4" w:space="0" w:color="auto"/>
              <w:bottom w:val="single" w:sz="4" w:space="0" w:color="auto"/>
              <w:right w:val="single" w:sz="4" w:space="0" w:color="auto"/>
            </w:tcBorders>
          </w:tcPr>
          <w:p w14:paraId="446F2B73" w14:textId="77777777" w:rsidR="00824C29" w:rsidRPr="00F969D7" w:rsidRDefault="00824C29" w:rsidP="00824C29">
            <w:pPr>
              <w:jc w:val="center"/>
              <w:rPr>
                <w:rFonts w:asciiTheme="minorHAnsi" w:hAnsiTheme="minorHAnsi" w:cstheme="minorHAnsi"/>
              </w:rPr>
            </w:pPr>
            <w:r w:rsidRPr="00F969D7">
              <w:rPr>
                <w:rFonts w:asciiTheme="minorHAnsi" w:hAnsiTheme="minorHAnsi" w:cstheme="minorHAnsi"/>
              </w:rPr>
              <w:t>5.3</w:t>
            </w:r>
          </w:p>
        </w:tc>
      </w:tr>
      <w:tr w:rsidR="00824C29" w14:paraId="7B98CB86" w14:textId="77777777" w:rsidTr="006C1190">
        <w:tc>
          <w:tcPr>
            <w:tcW w:w="694" w:type="pct"/>
            <w:tcBorders>
              <w:top w:val="single" w:sz="4" w:space="0" w:color="auto"/>
              <w:left w:val="single" w:sz="4" w:space="0" w:color="auto"/>
              <w:bottom w:val="single" w:sz="4" w:space="0" w:color="auto"/>
              <w:right w:val="single" w:sz="4" w:space="0" w:color="auto"/>
            </w:tcBorders>
          </w:tcPr>
          <w:p w14:paraId="43290B51" w14:textId="0D0528A2" w:rsidR="00824C29" w:rsidRPr="006C1190" w:rsidRDefault="00824C29" w:rsidP="00824C29">
            <w:pPr>
              <w:rPr>
                <w:rFonts w:asciiTheme="minorHAnsi" w:hAnsiTheme="minorHAnsi" w:cstheme="minorHAnsi"/>
              </w:rPr>
            </w:pPr>
            <w:r w:rsidRPr="00D720F2">
              <w:rPr>
                <w:rFonts w:asciiTheme="minorHAnsi" w:hAnsiTheme="minorHAnsi" w:cstheme="minorHAnsi"/>
              </w:rPr>
              <w:t>Total cases</w:t>
            </w:r>
          </w:p>
        </w:tc>
        <w:tc>
          <w:tcPr>
            <w:tcW w:w="555" w:type="pct"/>
            <w:tcBorders>
              <w:top w:val="single" w:sz="4" w:space="0" w:color="auto"/>
              <w:left w:val="single" w:sz="4" w:space="0" w:color="auto"/>
              <w:bottom w:val="single" w:sz="4" w:space="0" w:color="auto"/>
              <w:right w:val="single" w:sz="4" w:space="0" w:color="auto"/>
            </w:tcBorders>
          </w:tcPr>
          <w:p w14:paraId="18A3ECFB" w14:textId="183A3A45" w:rsidR="00824C29" w:rsidRPr="006C1190" w:rsidRDefault="00824C29" w:rsidP="00824C29">
            <w:pPr>
              <w:jc w:val="center"/>
              <w:rPr>
                <w:rFonts w:asciiTheme="minorHAnsi" w:hAnsiTheme="minorHAnsi" w:cstheme="minorHAnsi"/>
              </w:rPr>
            </w:pPr>
            <w:r w:rsidRPr="00A62329">
              <w:rPr>
                <w:rFonts w:asciiTheme="minorHAnsi" w:hAnsiTheme="minorHAnsi" w:cstheme="minorHAnsi"/>
              </w:rPr>
              <w:t>2,742</w:t>
            </w:r>
          </w:p>
        </w:tc>
        <w:tc>
          <w:tcPr>
            <w:tcW w:w="557" w:type="pct"/>
            <w:tcBorders>
              <w:top w:val="single" w:sz="4" w:space="0" w:color="auto"/>
              <w:left w:val="single" w:sz="4" w:space="0" w:color="auto"/>
              <w:bottom w:val="single" w:sz="4" w:space="0" w:color="auto"/>
              <w:right w:val="single" w:sz="4" w:space="0" w:color="auto"/>
            </w:tcBorders>
          </w:tcPr>
          <w:p w14:paraId="63C728C1" w14:textId="61BD0B22" w:rsidR="00824C29" w:rsidRPr="006C1190" w:rsidRDefault="00824C29" w:rsidP="00824C29">
            <w:pPr>
              <w:jc w:val="center"/>
              <w:rPr>
                <w:rFonts w:asciiTheme="minorHAnsi" w:hAnsiTheme="minorHAnsi" w:cstheme="minorHAnsi"/>
              </w:rPr>
            </w:pPr>
            <w:r w:rsidRPr="00A62329">
              <w:rPr>
                <w:rFonts w:asciiTheme="minorHAnsi" w:hAnsiTheme="minorHAnsi" w:cstheme="minorHAnsi"/>
              </w:rPr>
              <w:t>1,426</w:t>
            </w:r>
          </w:p>
        </w:tc>
        <w:tc>
          <w:tcPr>
            <w:tcW w:w="556" w:type="pct"/>
            <w:tcBorders>
              <w:top w:val="single" w:sz="4" w:space="0" w:color="auto"/>
              <w:left w:val="single" w:sz="4" w:space="0" w:color="auto"/>
              <w:bottom w:val="single" w:sz="4" w:space="0" w:color="auto"/>
              <w:right w:val="single" w:sz="4" w:space="0" w:color="auto"/>
            </w:tcBorders>
          </w:tcPr>
          <w:p w14:paraId="6A737091" w14:textId="2F421A1F" w:rsidR="00824C29" w:rsidRPr="006C1190" w:rsidRDefault="00824C29" w:rsidP="00824C29">
            <w:pPr>
              <w:jc w:val="center"/>
              <w:rPr>
                <w:rFonts w:asciiTheme="minorHAnsi" w:hAnsiTheme="minorHAnsi" w:cstheme="minorHAnsi"/>
              </w:rPr>
            </w:pPr>
            <w:r w:rsidRPr="00A62329">
              <w:rPr>
                <w:rFonts w:asciiTheme="minorHAnsi" w:hAnsiTheme="minorHAnsi" w:cstheme="minorHAnsi"/>
              </w:rPr>
              <w:t>1,316</w:t>
            </w:r>
          </w:p>
        </w:tc>
        <w:tc>
          <w:tcPr>
            <w:tcW w:w="763" w:type="pct"/>
            <w:tcBorders>
              <w:top w:val="single" w:sz="4" w:space="0" w:color="auto"/>
              <w:left w:val="single" w:sz="4" w:space="0" w:color="auto"/>
              <w:bottom w:val="single" w:sz="4" w:space="0" w:color="auto"/>
              <w:right w:val="single" w:sz="4" w:space="0" w:color="auto"/>
            </w:tcBorders>
          </w:tcPr>
          <w:p w14:paraId="09E6FB1D" w14:textId="6310002C" w:rsidR="00824C29" w:rsidRPr="00D720F2" w:rsidRDefault="00824C29" w:rsidP="00824C29">
            <w:pPr>
              <w:jc w:val="center"/>
              <w:rPr>
                <w:rFonts w:asciiTheme="minorHAnsi" w:hAnsiTheme="minorHAnsi" w:cstheme="minorHAnsi"/>
              </w:rPr>
            </w:pPr>
            <w:r w:rsidRPr="00D720F2">
              <w:rPr>
                <w:rFonts w:asciiTheme="minorHAnsi" w:hAnsiTheme="minorHAnsi" w:cstheme="minorHAnsi"/>
              </w:rPr>
              <w:t>Non-smoker burden</w:t>
            </w:r>
          </w:p>
        </w:tc>
        <w:tc>
          <w:tcPr>
            <w:tcW w:w="626" w:type="pct"/>
            <w:tcBorders>
              <w:top w:val="single" w:sz="4" w:space="0" w:color="auto"/>
              <w:left w:val="single" w:sz="4" w:space="0" w:color="auto"/>
              <w:bottom w:val="single" w:sz="4" w:space="0" w:color="auto"/>
              <w:right w:val="single" w:sz="4" w:space="0" w:color="auto"/>
            </w:tcBorders>
          </w:tcPr>
          <w:p w14:paraId="69B25F90" w14:textId="7BD46A0F" w:rsidR="00824C29" w:rsidRPr="006C1190" w:rsidRDefault="00AF174E" w:rsidP="00824C29">
            <w:pPr>
              <w:jc w:val="center"/>
              <w:rPr>
                <w:rFonts w:asciiTheme="minorHAnsi" w:hAnsiTheme="minorHAnsi" w:cstheme="minorHAnsi"/>
              </w:rPr>
            </w:pPr>
            <w:r w:rsidRPr="00D720F2">
              <w:rPr>
                <w:rFonts w:asciiTheme="minorHAnsi" w:hAnsiTheme="minorHAnsi" w:cstheme="minorHAnsi"/>
              </w:rPr>
              <w:t>249</w:t>
            </w:r>
          </w:p>
        </w:tc>
        <w:tc>
          <w:tcPr>
            <w:tcW w:w="555" w:type="pct"/>
            <w:tcBorders>
              <w:top w:val="single" w:sz="4" w:space="0" w:color="auto"/>
              <w:left w:val="single" w:sz="4" w:space="0" w:color="auto"/>
              <w:bottom w:val="single" w:sz="4" w:space="0" w:color="auto"/>
              <w:right w:val="single" w:sz="4" w:space="0" w:color="auto"/>
            </w:tcBorders>
          </w:tcPr>
          <w:p w14:paraId="7B08FEEF" w14:textId="166FE34E" w:rsidR="00824C29" w:rsidRPr="006C1190" w:rsidRDefault="00AF174E" w:rsidP="00824C29">
            <w:pPr>
              <w:jc w:val="center"/>
              <w:rPr>
                <w:rFonts w:asciiTheme="minorHAnsi" w:hAnsiTheme="minorHAnsi" w:cstheme="minorHAnsi"/>
              </w:rPr>
            </w:pPr>
            <w:r w:rsidRPr="00D720F2">
              <w:rPr>
                <w:rFonts w:asciiTheme="minorHAnsi" w:hAnsiTheme="minorHAnsi" w:cstheme="minorHAnsi"/>
              </w:rPr>
              <w:t>114</w:t>
            </w:r>
          </w:p>
        </w:tc>
        <w:tc>
          <w:tcPr>
            <w:tcW w:w="694" w:type="pct"/>
            <w:tcBorders>
              <w:top w:val="single" w:sz="4" w:space="0" w:color="auto"/>
              <w:left w:val="single" w:sz="4" w:space="0" w:color="auto"/>
              <w:bottom w:val="single" w:sz="4" w:space="0" w:color="auto"/>
              <w:right w:val="single" w:sz="4" w:space="0" w:color="auto"/>
            </w:tcBorders>
          </w:tcPr>
          <w:p w14:paraId="23291F0C" w14:textId="13F2C4B4" w:rsidR="00824C29" w:rsidRPr="006C1190" w:rsidRDefault="00AF174E" w:rsidP="00824C29">
            <w:pPr>
              <w:jc w:val="center"/>
              <w:rPr>
                <w:rFonts w:asciiTheme="minorHAnsi" w:hAnsiTheme="minorHAnsi" w:cstheme="minorHAnsi"/>
              </w:rPr>
            </w:pPr>
            <w:r w:rsidRPr="00D720F2">
              <w:rPr>
                <w:rFonts w:asciiTheme="minorHAnsi" w:hAnsiTheme="minorHAnsi" w:cstheme="minorHAnsi"/>
              </w:rPr>
              <w:t>135</w:t>
            </w:r>
          </w:p>
        </w:tc>
      </w:tr>
      <w:tr w:rsidR="00824C29" w14:paraId="5F6FCCFD" w14:textId="77777777" w:rsidTr="006C1190">
        <w:tc>
          <w:tcPr>
            <w:tcW w:w="694" w:type="pct"/>
            <w:tcBorders>
              <w:top w:val="single" w:sz="4" w:space="0" w:color="auto"/>
              <w:left w:val="single" w:sz="4" w:space="0" w:color="auto"/>
              <w:bottom w:val="single" w:sz="4" w:space="0" w:color="auto"/>
              <w:right w:val="single" w:sz="4" w:space="0" w:color="auto"/>
            </w:tcBorders>
            <w:hideMark/>
          </w:tcPr>
          <w:p w14:paraId="4FECFAEC" w14:textId="77777777" w:rsidR="00824C29" w:rsidRPr="00F969D7" w:rsidRDefault="00824C29" w:rsidP="00824C29">
            <w:pPr>
              <w:rPr>
                <w:rFonts w:asciiTheme="minorHAnsi" w:hAnsiTheme="minorHAnsi" w:cstheme="minorHAnsi"/>
              </w:rPr>
            </w:pPr>
            <w:r w:rsidRPr="00F969D7">
              <w:rPr>
                <w:rFonts w:asciiTheme="minorHAnsi" w:hAnsiTheme="minorHAnsi" w:cstheme="minorHAnsi"/>
              </w:rPr>
              <w:t>Attributable cases</w:t>
            </w:r>
          </w:p>
        </w:tc>
        <w:tc>
          <w:tcPr>
            <w:tcW w:w="555" w:type="pct"/>
            <w:tcBorders>
              <w:top w:val="single" w:sz="4" w:space="0" w:color="auto"/>
              <w:left w:val="single" w:sz="4" w:space="0" w:color="auto"/>
              <w:bottom w:val="single" w:sz="4" w:space="0" w:color="auto"/>
              <w:right w:val="single" w:sz="4" w:space="0" w:color="auto"/>
            </w:tcBorders>
            <w:hideMark/>
          </w:tcPr>
          <w:p w14:paraId="5163121D" w14:textId="77777777" w:rsidR="00824C29" w:rsidRPr="00F969D7" w:rsidRDefault="00824C29" w:rsidP="00824C29">
            <w:pPr>
              <w:jc w:val="center"/>
              <w:rPr>
                <w:rFonts w:asciiTheme="minorHAnsi" w:hAnsiTheme="minorHAnsi" w:cstheme="minorHAnsi"/>
              </w:rPr>
            </w:pPr>
            <w:r w:rsidRPr="00F969D7">
              <w:rPr>
                <w:rFonts w:asciiTheme="minorHAnsi" w:hAnsiTheme="minorHAnsi" w:cstheme="minorHAnsi"/>
              </w:rPr>
              <w:t>2,010</w:t>
            </w:r>
          </w:p>
        </w:tc>
        <w:tc>
          <w:tcPr>
            <w:tcW w:w="557" w:type="pct"/>
            <w:tcBorders>
              <w:top w:val="single" w:sz="4" w:space="0" w:color="auto"/>
              <w:left w:val="single" w:sz="4" w:space="0" w:color="auto"/>
              <w:bottom w:val="single" w:sz="4" w:space="0" w:color="auto"/>
              <w:right w:val="single" w:sz="4" w:space="0" w:color="auto"/>
            </w:tcBorders>
            <w:hideMark/>
          </w:tcPr>
          <w:p w14:paraId="60BACF54" w14:textId="77777777" w:rsidR="00824C29" w:rsidRPr="00F969D7" w:rsidRDefault="00824C29" w:rsidP="00824C29">
            <w:pPr>
              <w:jc w:val="center"/>
              <w:rPr>
                <w:rFonts w:asciiTheme="minorHAnsi" w:hAnsiTheme="minorHAnsi" w:cstheme="minorHAnsi"/>
              </w:rPr>
            </w:pPr>
            <w:r w:rsidRPr="00F969D7">
              <w:rPr>
                <w:rFonts w:asciiTheme="minorHAnsi" w:hAnsiTheme="minorHAnsi" w:cstheme="minorHAnsi"/>
              </w:rPr>
              <w:t>1,066</w:t>
            </w:r>
          </w:p>
        </w:tc>
        <w:tc>
          <w:tcPr>
            <w:tcW w:w="556" w:type="pct"/>
            <w:tcBorders>
              <w:top w:val="single" w:sz="4" w:space="0" w:color="auto"/>
              <w:left w:val="single" w:sz="4" w:space="0" w:color="auto"/>
              <w:bottom w:val="single" w:sz="4" w:space="0" w:color="auto"/>
              <w:right w:val="single" w:sz="4" w:space="0" w:color="auto"/>
            </w:tcBorders>
            <w:hideMark/>
          </w:tcPr>
          <w:p w14:paraId="79B0BFD3" w14:textId="77777777" w:rsidR="00824C29" w:rsidRPr="00F969D7" w:rsidRDefault="00824C29" w:rsidP="00824C29">
            <w:pPr>
              <w:jc w:val="center"/>
              <w:rPr>
                <w:rFonts w:asciiTheme="minorHAnsi" w:hAnsiTheme="minorHAnsi" w:cstheme="minorHAnsi"/>
              </w:rPr>
            </w:pPr>
            <w:r w:rsidRPr="00F969D7">
              <w:rPr>
                <w:rFonts w:asciiTheme="minorHAnsi" w:hAnsiTheme="minorHAnsi" w:cstheme="minorHAnsi"/>
              </w:rPr>
              <w:t>944</w:t>
            </w:r>
          </w:p>
        </w:tc>
        <w:tc>
          <w:tcPr>
            <w:tcW w:w="763" w:type="pct"/>
            <w:tcBorders>
              <w:top w:val="single" w:sz="4" w:space="0" w:color="auto"/>
              <w:left w:val="single" w:sz="4" w:space="0" w:color="auto"/>
              <w:bottom w:val="single" w:sz="4" w:space="0" w:color="auto"/>
              <w:right w:val="single" w:sz="4" w:space="0" w:color="auto"/>
            </w:tcBorders>
          </w:tcPr>
          <w:p w14:paraId="4169BC51" w14:textId="30668069" w:rsidR="00824C29" w:rsidRPr="006C1190" w:rsidRDefault="00824C29" w:rsidP="00824C29">
            <w:pPr>
              <w:jc w:val="center"/>
              <w:rPr>
                <w:rFonts w:asciiTheme="minorHAnsi" w:hAnsiTheme="minorHAnsi" w:cstheme="minorHAnsi"/>
              </w:rPr>
            </w:pPr>
            <w:r w:rsidRPr="00D720F2">
              <w:rPr>
                <w:rFonts w:asciiTheme="minorHAnsi" w:hAnsiTheme="minorHAnsi" w:cstheme="minorHAnsi"/>
              </w:rPr>
              <w:t>Attributable cases</w:t>
            </w:r>
          </w:p>
        </w:tc>
        <w:tc>
          <w:tcPr>
            <w:tcW w:w="626" w:type="pct"/>
            <w:tcBorders>
              <w:top w:val="single" w:sz="4" w:space="0" w:color="auto"/>
              <w:left w:val="single" w:sz="4" w:space="0" w:color="auto"/>
              <w:bottom w:val="single" w:sz="4" w:space="0" w:color="auto"/>
              <w:right w:val="single" w:sz="4" w:space="0" w:color="auto"/>
            </w:tcBorders>
          </w:tcPr>
          <w:p w14:paraId="0CBBFA97" w14:textId="3995C315" w:rsidR="00824C29" w:rsidRPr="00F969D7" w:rsidRDefault="00824C29" w:rsidP="00824C29">
            <w:pPr>
              <w:jc w:val="center"/>
              <w:rPr>
                <w:rFonts w:asciiTheme="minorHAnsi" w:hAnsiTheme="minorHAnsi" w:cstheme="minorHAnsi"/>
              </w:rPr>
            </w:pPr>
            <w:r w:rsidRPr="00F969D7">
              <w:rPr>
                <w:rFonts w:asciiTheme="minorHAnsi" w:hAnsiTheme="minorHAnsi" w:cstheme="minorHAnsi"/>
              </w:rPr>
              <w:t>12</w:t>
            </w:r>
          </w:p>
        </w:tc>
        <w:tc>
          <w:tcPr>
            <w:tcW w:w="555" w:type="pct"/>
            <w:tcBorders>
              <w:top w:val="single" w:sz="4" w:space="0" w:color="auto"/>
              <w:left w:val="single" w:sz="4" w:space="0" w:color="auto"/>
              <w:bottom w:val="single" w:sz="4" w:space="0" w:color="auto"/>
              <w:right w:val="single" w:sz="4" w:space="0" w:color="auto"/>
            </w:tcBorders>
          </w:tcPr>
          <w:p w14:paraId="22892CED" w14:textId="77777777" w:rsidR="00824C29" w:rsidRPr="00F969D7" w:rsidRDefault="00824C29" w:rsidP="00824C29">
            <w:pPr>
              <w:jc w:val="center"/>
              <w:rPr>
                <w:rFonts w:asciiTheme="minorHAnsi" w:hAnsiTheme="minorHAnsi" w:cstheme="minorHAnsi"/>
              </w:rPr>
            </w:pPr>
            <w:r w:rsidRPr="00F969D7">
              <w:rPr>
                <w:rFonts w:asciiTheme="minorHAnsi" w:hAnsiTheme="minorHAnsi" w:cstheme="minorHAnsi"/>
              </w:rPr>
              <w:t>5</w:t>
            </w:r>
          </w:p>
        </w:tc>
        <w:tc>
          <w:tcPr>
            <w:tcW w:w="694" w:type="pct"/>
            <w:tcBorders>
              <w:top w:val="single" w:sz="4" w:space="0" w:color="auto"/>
              <w:left w:val="single" w:sz="4" w:space="0" w:color="auto"/>
              <w:bottom w:val="single" w:sz="4" w:space="0" w:color="auto"/>
              <w:right w:val="single" w:sz="4" w:space="0" w:color="auto"/>
            </w:tcBorders>
          </w:tcPr>
          <w:p w14:paraId="038D512D" w14:textId="77777777" w:rsidR="00824C29" w:rsidRPr="00F969D7" w:rsidRDefault="00824C29" w:rsidP="00824C29">
            <w:pPr>
              <w:jc w:val="center"/>
              <w:rPr>
                <w:rFonts w:asciiTheme="minorHAnsi" w:hAnsiTheme="minorHAnsi" w:cstheme="minorHAnsi"/>
              </w:rPr>
            </w:pPr>
            <w:r w:rsidRPr="00F969D7">
              <w:rPr>
                <w:rFonts w:asciiTheme="minorHAnsi" w:hAnsiTheme="minorHAnsi" w:cstheme="minorHAnsi"/>
              </w:rPr>
              <w:t>7</w:t>
            </w:r>
          </w:p>
        </w:tc>
      </w:tr>
    </w:tbl>
    <w:p w14:paraId="5F17F51A" w14:textId="77777777" w:rsidR="00F55E6A" w:rsidRPr="00325650" w:rsidRDefault="00F55E6A" w:rsidP="00F55E6A">
      <w:pPr>
        <w:spacing w:after="0" w:line="240" w:lineRule="auto"/>
        <w:rPr>
          <w:rFonts w:cstheme="minorHAnsi"/>
        </w:rPr>
      </w:pPr>
    </w:p>
    <w:p w14:paraId="28981327" w14:textId="3FC3875B" w:rsidR="00F55E6A" w:rsidRDefault="00F55E6A" w:rsidP="006C1190">
      <w:pPr>
        <w:spacing w:after="0" w:line="240" w:lineRule="auto"/>
      </w:pPr>
      <w:r>
        <w:br w:type="page"/>
      </w:r>
    </w:p>
    <w:p w14:paraId="1467DD77" w14:textId="77777777" w:rsidR="00DA0B2D" w:rsidRPr="00DA0B2D" w:rsidRDefault="00DA0B2D" w:rsidP="00DA0B2D">
      <w:pPr>
        <w:sectPr w:rsidR="00DA0B2D" w:rsidRPr="00DA0B2D" w:rsidSect="002746C0">
          <w:pgSz w:w="11906" w:h="16838"/>
          <w:pgMar w:top="1440" w:right="1440" w:bottom="1440" w:left="1440" w:header="708" w:footer="708" w:gutter="0"/>
          <w:cols w:space="708"/>
          <w:docGrid w:linePitch="360"/>
        </w:sectPr>
      </w:pPr>
    </w:p>
    <w:p w14:paraId="6FA7E423" w14:textId="77777777" w:rsidR="00F55E6A" w:rsidRDefault="00F55E6A" w:rsidP="00F55E6A">
      <w:pPr>
        <w:pStyle w:val="Heading1"/>
        <w:spacing w:before="0" w:after="0" w:line="240" w:lineRule="auto"/>
      </w:pPr>
      <w:r>
        <w:t xml:space="preserve"> </w:t>
      </w:r>
      <w:bookmarkStart w:id="303" w:name="_Toc197557142"/>
      <w:bookmarkStart w:id="304" w:name="_Toc201512533"/>
      <w:r>
        <w:t xml:space="preserve">Breast (Female Breast Cancer) </w:t>
      </w:r>
      <w:r>
        <w:tab/>
        <w:t>C50</w:t>
      </w:r>
      <w:bookmarkEnd w:id="303"/>
      <w:bookmarkEnd w:id="304"/>
    </w:p>
    <w:p w14:paraId="16E7FE9D" w14:textId="77777777" w:rsidR="00F55E6A" w:rsidRPr="00625073" w:rsidRDefault="00F55E6A" w:rsidP="00F55E6A">
      <w:pPr>
        <w:spacing w:after="0" w:line="240" w:lineRule="auto"/>
      </w:pPr>
      <w:r w:rsidRPr="00D5410C">
        <w:rPr>
          <w:rStyle w:val="IntenseEmphasis"/>
          <w:rFonts w:cstheme="minorHAnsi"/>
        </w:rPr>
        <w:t>Key points</w:t>
      </w:r>
    </w:p>
    <w:p w14:paraId="5D1F9617" w14:textId="77777777" w:rsidR="00F55E6A" w:rsidRPr="00625073" w:rsidRDefault="00F55E6A" w:rsidP="00F55E6A">
      <w:pPr>
        <w:numPr>
          <w:ilvl w:val="1"/>
          <w:numId w:val="0"/>
        </w:numPr>
        <w:spacing w:after="0" w:line="240" w:lineRule="auto"/>
        <w:rPr>
          <w:rFonts w:eastAsiaTheme="majorEastAsia" w:cstheme="minorHAnsi"/>
          <w:i/>
          <w:iCs/>
          <w:color w:val="595959" w:themeColor="text1" w:themeTint="A6"/>
          <w:spacing w:val="15"/>
          <w:sz w:val="28"/>
          <w:szCs w:val="28"/>
        </w:rPr>
      </w:pPr>
      <w:r w:rsidRPr="00625073">
        <w:rPr>
          <w:rFonts w:eastAsiaTheme="majorEastAsia" w:cstheme="minorHAnsi"/>
          <w:i/>
          <w:iCs/>
          <w:color w:val="595959" w:themeColor="text1" w:themeTint="A6"/>
          <w:spacing w:val="15"/>
          <w:sz w:val="28"/>
          <w:szCs w:val="28"/>
        </w:rPr>
        <w:t>Incidence</w:t>
      </w:r>
    </w:p>
    <w:p w14:paraId="1FCDCE05" w14:textId="77777777" w:rsidR="00F55E6A" w:rsidRPr="00625073" w:rsidRDefault="00F55E6A">
      <w:pPr>
        <w:numPr>
          <w:ilvl w:val="0"/>
          <w:numId w:val="3"/>
        </w:numPr>
        <w:spacing w:after="0" w:line="240" w:lineRule="auto"/>
        <w:contextualSpacing/>
        <w:rPr>
          <w:rFonts w:cstheme="minorHAnsi"/>
        </w:rPr>
      </w:pPr>
      <w:r>
        <w:rPr>
          <w:rFonts w:cstheme="minorHAnsi"/>
        </w:rPr>
        <w:t>Age-standardised i</w:t>
      </w:r>
      <w:r w:rsidRPr="00625073">
        <w:rPr>
          <w:rFonts w:cstheme="minorHAnsi"/>
        </w:rPr>
        <w:t>ncidence rates increased</w:t>
      </w:r>
      <w:r>
        <w:rPr>
          <w:rFonts w:cstheme="minorHAnsi"/>
        </w:rPr>
        <w:t xml:space="preserve"> for female breast cancer</w:t>
      </w:r>
      <w:r w:rsidRPr="00625073">
        <w:rPr>
          <w:rFonts w:cstheme="minorHAnsi"/>
        </w:rPr>
        <w:t xml:space="preserve"> from 1994-2022.</w:t>
      </w:r>
    </w:p>
    <w:p w14:paraId="35654B3E" w14:textId="45F6A81D" w:rsidR="00F55E6A" w:rsidRPr="00625073" w:rsidRDefault="00F55E6A">
      <w:pPr>
        <w:numPr>
          <w:ilvl w:val="0"/>
          <w:numId w:val="3"/>
        </w:numPr>
        <w:spacing w:after="0" w:line="240" w:lineRule="auto"/>
        <w:contextualSpacing/>
        <w:jc w:val="both"/>
        <w:rPr>
          <w:rFonts w:cstheme="minorHAnsi"/>
          <w:i/>
          <w:iCs/>
        </w:rPr>
      </w:pPr>
      <w:r>
        <w:rPr>
          <w:rFonts w:eastAsia="Times New Roman" w:cstheme="minorHAnsi"/>
          <w:lang w:eastAsia="en-IE"/>
        </w:rPr>
        <w:t>Age-standardised i</w:t>
      </w:r>
      <w:r w:rsidRPr="00625073">
        <w:rPr>
          <w:rFonts w:eastAsia="Times New Roman" w:cstheme="minorHAnsi"/>
          <w:lang w:eastAsia="en-IE"/>
        </w:rPr>
        <w:t xml:space="preserve">ncidence rates in the diagnosis period 2014-2018 </w:t>
      </w:r>
      <w:r w:rsidRPr="000518C3">
        <w:rPr>
          <w:rFonts w:cstheme="minorHAnsi"/>
          <w:color w:val="000000" w:themeColor="text1"/>
        </w:rPr>
        <w:t xml:space="preserve">ranged </w:t>
      </w:r>
      <w:r>
        <w:rPr>
          <w:rFonts w:cstheme="minorHAnsi"/>
          <w:color w:val="000000" w:themeColor="text1"/>
        </w:rPr>
        <w:t xml:space="preserve">from 181.5 to 164.8 </w:t>
      </w:r>
      <w:r w:rsidRPr="0031761F">
        <w:rPr>
          <w:rFonts w:cstheme="minorHAnsi"/>
          <w:color w:val="000000" w:themeColor="text1"/>
        </w:rPr>
        <w:t xml:space="preserve">cases per 100,000 in the least </w:t>
      </w:r>
      <w:r>
        <w:rPr>
          <w:rFonts w:cstheme="minorHAnsi"/>
          <w:color w:val="000000" w:themeColor="text1"/>
        </w:rPr>
        <w:t xml:space="preserve">deprived </w:t>
      </w:r>
      <w:r w:rsidRPr="0031761F">
        <w:rPr>
          <w:rFonts w:cstheme="minorHAnsi"/>
          <w:color w:val="000000" w:themeColor="text1"/>
        </w:rPr>
        <w:t>to the most deprived quintiles respectively</w:t>
      </w:r>
      <w:r w:rsidR="00D720F2">
        <w:rPr>
          <w:rFonts w:cstheme="minorHAnsi"/>
          <w:color w:val="000000" w:themeColor="text1"/>
        </w:rPr>
        <w:t>.</w:t>
      </w:r>
    </w:p>
    <w:p w14:paraId="629338EA" w14:textId="77777777" w:rsidR="00F55E6A" w:rsidRPr="00625073" w:rsidRDefault="00F55E6A" w:rsidP="00F55E6A">
      <w:pPr>
        <w:spacing w:after="0" w:line="240" w:lineRule="auto"/>
        <w:jc w:val="both"/>
        <w:rPr>
          <w:rFonts w:eastAsia="Times New Roman" w:cstheme="minorHAnsi"/>
          <w:i/>
          <w:iCs/>
          <w:color w:val="808080" w:themeColor="background1" w:themeShade="80"/>
        </w:rPr>
      </w:pPr>
      <w:r w:rsidRPr="00625073">
        <w:rPr>
          <w:rFonts w:cstheme="minorHAnsi"/>
          <w:i/>
          <w:iCs/>
          <w:color w:val="808080" w:themeColor="background1" w:themeShade="80"/>
        </w:rPr>
        <w:t>Mortality</w:t>
      </w:r>
    </w:p>
    <w:p w14:paraId="44FB6756" w14:textId="6B51CE3B" w:rsidR="00F55E6A" w:rsidRPr="00625073" w:rsidRDefault="00F55E6A">
      <w:pPr>
        <w:numPr>
          <w:ilvl w:val="0"/>
          <w:numId w:val="5"/>
        </w:numPr>
        <w:spacing w:after="0" w:line="240" w:lineRule="auto"/>
        <w:ind w:left="709" w:hanging="283"/>
        <w:contextualSpacing/>
        <w:jc w:val="both"/>
        <w:rPr>
          <w:rFonts w:ascii="Aptos" w:hAnsi="Aptos"/>
          <w:color w:val="000000"/>
          <w:shd w:val="clear" w:color="auto" w:fill="FFFFFF"/>
        </w:rPr>
      </w:pPr>
      <w:r w:rsidRPr="00625073">
        <w:rPr>
          <w:rFonts w:ascii="Aptos" w:hAnsi="Aptos"/>
          <w:color w:val="000000"/>
          <w:shd w:val="clear" w:color="auto" w:fill="FFFFFF"/>
        </w:rPr>
        <w:t>Age</w:t>
      </w:r>
      <w:r w:rsidR="00366242">
        <w:rPr>
          <w:rFonts w:ascii="Aptos" w:hAnsi="Aptos"/>
          <w:color w:val="000000"/>
          <w:shd w:val="clear" w:color="auto" w:fill="FFFFFF"/>
        </w:rPr>
        <w:t>-</w:t>
      </w:r>
      <w:r w:rsidRPr="00625073">
        <w:rPr>
          <w:rFonts w:ascii="Aptos" w:hAnsi="Aptos"/>
          <w:color w:val="000000"/>
          <w:shd w:val="clear" w:color="auto" w:fill="FFFFFF"/>
        </w:rPr>
        <w:t>standardised mortality rates decreased from 1994 to 2022</w:t>
      </w:r>
      <w:r w:rsidR="00D720F2">
        <w:rPr>
          <w:rFonts w:ascii="Aptos" w:hAnsi="Aptos"/>
          <w:color w:val="000000"/>
          <w:shd w:val="clear" w:color="auto" w:fill="FFFFFF"/>
        </w:rPr>
        <w:t>.</w:t>
      </w:r>
      <w:r w:rsidRPr="00625073">
        <w:rPr>
          <w:rFonts w:ascii="Aptos" w:hAnsi="Aptos"/>
          <w:color w:val="000000"/>
          <w:shd w:val="clear" w:color="auto" w:fill="FFFFFF"/>
        </w:rPr>
        <w:t xml:space="preserve"> </w:t>
      </w:r>
    </w:p>
    <w:p w14:paraId="6450AF01" w14:textId="77777777" w:rsidR="00F55E6A" w:rsidRPr="00625073" w:rsidRDefault="00F55E6A" w:rsidP="00F55E6A">
      <w:pPr>
        <w:numPr>
          <w:ilvl w:val="1"/>
          <w:numId w:val="0"/>
        </w:numPr>
        <w:spacing w:after="0" w:line="240" w:lineRule="auto"/>
        <w:rPr>
          <w:rFonts w:eastAsiaTheme="majorEastAsia" w:cstheme="minorHAnsi"/>
          <w:i/>
          <w:iCs/>
          <w:color w:val="595959" w:themeColor="text1" w:themeTint="A6"/>
          <w:spacing w:val="15"/>
        </w:rPr>
      </w:pPr>
      <w:r w:rsidRPr="00625073">
        <w:rPr>
          <w:rFonts w:eastAsiaTheme="majorEastAsia" w:cstheme="minorHAnsi"/>
          <w:i/>
          <w:iCs/>
          <w:color w:val="595959" w:themeColor="text1" w:themeTint="A6"/>
          <w:spacing w:val="15"/>
        </w:rPr>
        <w:t>Survival</w:t>
      </w:r>
    </w:p>
    <w:p w14:paraId="0656A497" w14:textId="77777777" w:rsidR="00F55E6A" w:rsidRPr="00625073" w:rsidRDefault="00F55E6A">
      <w:pPr>
        <w:numPr>
          <w:ilvl w:val="0"/>
          <w:numId w:val="4"/>
        </w:numPr>
        <w:spacing w:after="0" w:line="240" w:lineRule="auto"/>
        <w:contextualSpacing/>
        <w:rPr>
          <w:rFonts w:cstheme="minorHAnsi"/>
        </w:rPr>
      </w:pPr>
      <w:r w:rsidRPr="00625073">
        <w:rPr>
          <w:rFonts w:cstheme="minorHAnsi"/>
        </w:rPr>
        <w:t>5-year net survival was 87% for cases diagnosed during 2019-2022.</w:t>
      </w:r>
    </w:p>
    <w:p w14:paraId="02177B57" w14:textId="77777777" w:rsidR="00F55E6A" w:rsidRPr="00625073" w:rsidRDefault="00F55E6A" w:rsidP="00F55E6A">
      <w:pPr>
        <w:numPr>
          <w:ilvl w:val="1"/>
          <w:numId w:val="0"/>
        </w:numPr>
        <w:spacing w:after="0" w:line="240" w:lineRule="auto"/>
        <w:rPr>
          <w:rFonts w:cstheme="minorHAnsi"/>
          <w:i/>
          <w:iCs/>
        </w:rPr>
      </w:pPr>
      <w:r w:rsidRPr="00625073">
        <w:rPr>
          <w:rFonts w:eastAsiaTheme="majorEastAsia" w:cstheme="minorHAnsi"/>
          <w:i/>
          <w:iCs/>
          <w:color w:val="595959" w:themeColor="text1" w:themeTint="A6"/>
          <w:spacing w:val="15"/>
        </w:rPr>
        <w:t>Population attributable fraction</w:t>
      </w:r>
    </w:p>
    <w:p w14:paraId="59E36AA8" w14:textId="77777777" w:rsidR="00F55E6A" w:rsidRPr="00625073" w:rsidRDefault="00F55E6A">
      <w:pPr>
        <w:numPr>
          <w:ilvl w:val="0"/>
          <w:numId w:val="2"/>
        </w:numPr>
        <w:spacing w:after="0" w:line="240" w:lineRule="auto"/>
        <w:contextualSpacing/>
        <w:rPr>
          <w:rFonts w:eastAsiaTheme="majorEastAsia" w:cstheme="minorHAnsi"/>
          <w:color w:val="0F4761" w:themeColor="accent1" w:themeShade="BF"/>
        </w:rPr>
      </w:pPr>
      <w:r w:rsidRPr="00625073">
        <w:rPr>
          <w:rFonts w:eastAsia="Calibri" w:cstheme="minorHAnsi"/>
          <w:color w:val="000000" w:themeColor="text1"/>
        </w:rPr>
        <w:t>In 2022 the estimated total number of cases of breast cancer attributable to smoking in Ireland was</w:t>
      </w:r>
      <w:r>
        <w:rPr>
          <w:rFonts w:eastAsia="Calibri" w:cstheme="minorHAnsi"/>
          <w:color w:val="000000" w:themeColor="text1"/>
        </w:rPr>
        <w:t xml:space="preserve"> 147</w:t>
      </w:r>
      <w:r w:rsidRPr="00625073">
        <w:rPr>
          <w:rFonts w:eastAsia="Calibri" w:cstheme="minorHAnsi"/>
          <w:color w:val="000000" w:themeColor="text1"/>
        </w:rPr>
        <w:t xml:space="preserve"> (PAF </w:t>
      </w:r>
      <w:r>
        <w:rPr>
          <w:rFonts w:eastAsia="Calibri" w:cstheme="minorHAnsi"/>
          <w:color w:val="000000" w:themeColor="text1"/>
        </w:rPr>
        <w:t>3.6</w:t>
      </w:r>
      <w:r w:rsidRPr="00625073">
        <w:rPr>
          <w:rFonts w:eastAsia="Calibri" w:cstheme="minorHAnsi"/>
          <w:color w:val="000000" w:themeColor="text1"/>
        </w:rPr>
        <w:t xml:space="preserve">%). </w:t>
      </w:r>
    </w:p>
    <w:p w14:paraId="047F95C4" w14:textId="77777777" w:rsidR="00F55E6A" w:rsidRDefault="00F55E6A" w:rsidP="00F55E6A">
      <w:pPr>
        <w:spacing w:after="0" w:line="240" w:lineRule="auto"/>
        <w:sectPr w:rsidR="00F55E6A" w:rsidSect="002746C0">
          <w:pgSz w:w="11906" w:h="16838"/>
          <w:pgMar w:top="1440" w:right="1440" w:bottom="1440" w:left="1440" w:header="708" w:footer="708" w:gutter="0"/>
          <w:cols w:space="708"/>
          <w:docGrid w:linePitch="360"/>
        </w:sectPr>
      </w:pPr>
    </w:p>
    <w:p w14:paraId="2DA12572" w14:textId="77777777" w:rsidR="00F55E6A" w:rsidRDefault="00F55E6A" w:rsidP="00F55E6A">
      <w:pPr>
        <w:pStyle w:val="Heading2"/>
        <w:spacing w:before="0" w:after="0" w:line="240" w:lineRule="auto"/>
      </w:pPr>
      <w:bookmarkStart w:id="305" w:name="_Toc197557143"/>
      <w:bookmarkStart w:id="306" w:name="_Toc201512534"/>
      <w:r>
        <w:t>Incidence</w:t>
      </w:r>
      <w:bookmarkEnd w:id="305"/>
      <w:bookmarkEnd w:id="306"/>
    </w:p>
    <w:p w14:paraId="1A264475" w14:textId="66061D93" w:rsidR="00F55E6A" w:rsidRDefault="00F55E6A" w:rsidP="00F55E6A">
      <w:pPr>
        <w:spacing w:after="0" w:line="240" w:lineRule="auto"/>
      </w:pPr>
      <w:r>
        <w:t xml:space="preserve">Between 1994-2022, 75,090 cases of breast cancer were recorded. Median age at diagnosis was 59 years (IQR: 50-71). </w:t>
      </w:r>
      <w:r w:rsidRPr="108C08C8">
        <w:t xml:space="preserve">On average </w:t>
      </w:r>
      <w:r w:rsidR="00D720F2">
        <w:t>during the period</w:t>
      </w:r>
      <w:r w:rsidRPr="108C08C8">
        <w:t xml:space="preserve"> 1994-2022 the age-standardised incidence rate of breast cancer in 1994-2022 was 148.5 cases per </w:t>
      </w:r>
      <w:r w:rsidR="00D720F2">
        <w:t>1</w:t>
      </w:r>
      <w:r w:rsidRPr="108C08C8">
        <w:t>00,000 females per year</w:t>
      </w:r>
      <w:r>
        <w:t>.</w:t>
      </w:r>
      <w:r w:rsidRPr="108C08C8">
        <w:t xml:space="preserve"> Figure </w:t>
      </w:r>
      <w:r w:rsidR="00A52FFD">
        <w:t>16.1</w:t>
      </w:r>
      <w:r w:rsidRPr="108C08C8">
        <w:t xml:space="preserve"> breaks this down further by age group.</w:t>
      </w:r>
    </w:p>
    <w:p w14:paraId="491CFF44" w14:textId="77777777" w:rsidR="00F55E6A" w:rsidRPr="00B17CC1" w:rsidRDefault="00F55E6A" w:rsidP="00F55E6A">
      <w:pPr>
        <w:spacing w:after="0" w:line="240" w:lineRule="auto"/>
      </w:pPr>
    </w:p>
    <w:tbl>
      <w:tblPr>
        <w:tblStyle w:val="TableGrid"/>
        <w:tblW w:w="9781" w:type="dxa"/>
        <w:tblInd w:w="-43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5005"/>
      </w:tblGrid>
      <w:tr w:rsidR="00F55E6A" w:rsidRPr="00A03FB0" w14:paraId="6E1AA9A4" w14:textId="77777777" w:rsidTr="006C1190">
        <w:trPr>
          <w:trHeight w:val="113"/>
        </w:trPr>
        <w:tc>
          <w:tcPr>
            <w:tcW w:w="9781" w:type="dxa"/>
            <w:gridSpan w:val="2"/>
            <w:tcBorders>
              <w:bottom w:val="nil"/>
            </w:tcBorders>
            <w:shd w:val="clear" w:color="auto" w:fill="002060"/>
          </w:tcPr>
          <w:p w14:paraId="7879A778" w14:textId="129CE6FC" w:rsidR="00F55E6A" w:rsidRPr="00A52FFD" w:rsidRDefault="00F55E6A" w:rsidP="0041177B">
            <w:pPr>
              <w:rPr>
                <w:rFonts w:asciiTheme="minorHAnsi" w:hAnsiTheme="minorHAnsi" w:cstheme="minorHAnsi"/>
                <w:b/>
                <w:bCs/>
                <w:color w:val="FFFFFF" w:themeColor="background1"/>
              </w:rPr>
            </w:pPr>
            <w:r w:rsidRPr="00A52FFD">
              <w:rPr>
                <w:rFonts w:asciiTheme="minorHAnsi" w:hAnsiTheme="minorHAnsi" w:cstheme="minorHAnsi"/>
                <w:b/>
                <w:bCs/>
                <w:color w:val="FFFFFF" w:themeColor="background1"/>
              </w:rPr>
              <w:t xml:space="preserve">Figure </w:t>
            </w:r>
            <w:r w:rsidR="00A52FFD" w:rsidRPr="00A52FFD">
              <w:rPr>
                <w:rFonts w:asciiTheme="minorHAnsi" w:hAnsiTheme="minorHAnsi" w:cstheme="minorHAnsi"/>
                <w:b/>
                <w:bCs/>
                <w:color w:val="FFFFFF" w:themeColor="background1"/>
              </w:rPr>
              <w:t>16.1:</w:t>
            </w:r>
            <w:r w:rsidRPr="00A52FFD">
              <w:rPr>
                <w:rFonts w:asciiTheme="minorHAnsi" w:hAnsiTheme="minorHAnsi" w:cstheme="minorHAnsi"/>
                <w:b/>
                <w:bCs/>
                <w:color w:val="FFFFFF" w:themeColor="background1"/>
              </w:rPr>
              <w:t xml:space="preserve"> Incidence rate (per 100,000) for female breast cancer by </w:t>
            </w:r>
            <w:r w:rsidR="00366242">
              <w:rPr>
                <w:rFonts w:asciiTheme="minorHAnsi" w:hAnsiTheme="minorHAnsi" w:cstheme="minorHAnsi"/>
                <w:b/>
                <w:bCs/>
                <w:color w:val="FFFFFF" w:themeColor="background1"/>
              </w:rPr>
              <w:t>age group</w:t>
            </w:r>
            <w:r w:rsidRPr="00A52FFD">
              <w:rPr>
                <w:rFonts w:asciiTheme="minorHAnsi" w:hAnsiTheme="minorHAnsi" w:cstheme="minorHAnsi"/>
                <w:b/>
                <w:bCs/>
                <w:color w:val="FFFFFF" w:themeColor="background1"/>
              </w:rPr>
              <w:t>,1994-2022</w:t>
            </w:r>
          </w:p>
        </w:tc>
      </w:tr>
      <w:tr w:rsidR="00F55E6A" w:rsidRPr="00A03FB0" w14:paraId="600AB250" w14:textId="77777777" w:rsidTr="006C1190">
        <w:trPr>
          <w:trHeight w:val="113"/>
        </w:trPr>
        <w:tc>
          <w:tcPr>
            <w:tcW w:w="4776" w:type="dxa"/>
            <w:tcBorders>
              <w:bottom w:val="single" w:sz="4" w:space="0" w:color="auto"/>
            </w:tcBorders>
            <w:shd w:val="clear" w:color="auto" w:fill="auto"/>
            <w:vAlign w:val="center"/>
          </w:tcPr>
          <w:p w14:paraId="0FEAECF2" w14:textId="77777777" w:rsidR="00F55E6A" w:rsidRPr="00A03FB0" w:rsidRDefault="00F55E6A" w:rsidP="0041177B">
            <w:pPr>
              <w:rPr>
                <w:rFonts w:asciiTheme="minorHAnsi" w:eastAsia="Times New Roman" w:hAnsiTheme="minorHAnsi" w:cs="Times New Roman"/>
                <w:lang w:eastAsia="en-GB"/>
              </w:rPr>
            </w:pPr>
            <w:r w:rsidRPr="00A03FB0">
              <w:rPr>
                <w:rFonts w:eastAsia="Times New Roman" w:cs="Times New Roman"/>
                <w:noProof/>
                <w:lang w:eastAsia="en-GB"/>
              </w:rPr>
              <w:drawing>
                <wp:inline distT="0" distB="0" distL="0" distR="0" wp14:anchorId="7C4A695F" wp14:editId="6308CE92">
                  <wp:extent cx="2650672" cy="1800000"/>
                  <wp:effectExtent l="0" t="0" r="0" b="0"/>
                  <wp:docPr id="45705795" name="Picture 39" descr="A graph with numbers and a ba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05795" name="Picture 39" descr="A graph with numbers and a bar&#10;&#10;AI-generated content may be incorrect."/>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650672" cy="1800000"/>
                          </a:xfrm>
                          <a:prstGeom prst="rect">
                            <a:avLst/>
                          </a:prstGeom>
                          <a:noFill/>
                          <a:ln>
                            <a:noFill/>
                          </a:ln>
                        </pic:spPr>
                      </pic:pic>
                    </a:graphicData>
                  </a:graphic>
                </wp:inline>
              </w:drawing>
            </w:r>
          </w:p>
        </w:tc>
        <w:tc>
          <w:tcPr>
            <w:tcW w:w="5005" w:type="dxa"/>
            <w:tcBorders>
              <w:bottom w:val="single" w:sz="4" w:space="0" w:color="auto"/>
            </w:tcBorders>
            <w:shd w:val="clear" w:color="auto" w:fill="auto"/>
            <w:vAlign w:val="center"/>
          </w:tcPr>
          <w:p w14:paraId="4290B6D6" w14:textId="77777777" w:rsidR="00F55E6A" w:rsidRPr="00A03FB0" w:rsidRDefault="00F55E6A" w:rsidP="0041177B">
            <w:pPr>
              <w:jc w:val="center"/>
              <w:rPr>
                <w:rFonts w:asciiTheme="minorHAnsi" w:hAnsiTheme="minorHAnsi" w:cstheme="minorHAnsi"/>
                <w:color w:val="000000" w:themeColor="text1"/>
                <w:lang w:val="en-GB"/>
              </w:rPr>
            </w:pPr>
          </w:p>
          <w:p w14:paraId="44C30F0D" w14:textId="77777777" w:rsidR="00F55E6A" w:rsidRPr="00A03FB0" w:rsidRDefault="00F55E6A" w:rsidP="0041177B">
            <w:pPr>
              <w:jc w:val="center"/>
              <w:rPr>
                <w:rFonts w:asciiTheme="minorHAnsi" w:hAnsiTheme="minorHAnsi" w:cstheme="minorHAnsi"/>
                <w:color w:val="000000" w:themeColor="text1"/>
              </w:rPr>
            </w:pPr>
          </w:p>
          <w:p w14:paraId="0A25415D" w14:textId="77777777" w:rsidR="00F55E6A" w:rsidRPr="00A03FB0" w:rsidRDefault="00F55E6A" w:rsidP="0041177B">
            <w:pPr>
              <w:jc w:val="center"/>
              <w:rPr>
                <w:rFonts w:asciiTheme="minorHAnsi" w:hAnsiTheme="minorHAnsi" w:cstheme="minorHAnsi"/>
                <w:color w:val="000000" w:themeColor="text1"/>
                <w:lang w:val="en-GB"/>
              </w:rPr>
            </w:pPr>
          </w:p>
          <w:p w14:paraId="524945E1" w14:textId="77777777" w:rsidR="00F55E6A" w:rsidRPr="00A03FB0" w:rsidRDefault="00F55E6A" w:rsidP="0041177B">
            <w:pPr>
              <w:jc w:val="center"/>
              <w:rPr>
                <w:rFonts w:asciiTheme="minorHAnsi" w:hAnsiTheme="minorHAnsi" w:cstheme="minorHAnsi"/>
                <w:color w:val="000000" w:themeColor="text1"/>
              </w:rPr>
            </w:pPr>
          </w:p>
        </w:tc>
      </w:tr>
    </w:tbl>
    <w:p w14:paraId="15677E48" w14:textId="77777777" w:rsidR="001A3B02" w:rsidRPr="001A3B02" w:rsidRDefault="001A3B02" w:rsidP="001A3B02">
      <w:bookmarkStart w:id="307" w:name="_Toc197557144"/>
    </w:p>
    <w:p w14:paraId="3E64541E" w14:textId="77777777" w:rsidR="00F55E6A" w:rsidRPr="002C3D1E" w:rsidRDefault="00F55E6A" w:rsidP="00F55E6A">
      <w:pPr>
        <w:pStyle w:val="Heading3"/>
        <w:spacing w:before="0" w:after="0" w:line="240" w:lineRule="auto"/>
      </w:pPr>
      <w:bookmarkStart w:id="308" w:name="_Toc201512535"/>
      <w:r w:rsidRPr="002C3D1E">
        <w:t>Trends over time</w:t>
      </w:r>
      <w:bookmarkEnd w:id="307"/>
      <w:bookmarkEnd w:id="308"/>
    </w:p>
    <w:p w14:paraId="29FBD313" w14:textId="22CC0327" w:rsidR="00F55E6A" w:rsidRDefault="00F55E6A" w:rsidP="00F55E6A">
      <w:pPr>
        <w:spacing w:after="0" w:line="240" w:lineRule="auto"/>
        <w:rPr>
          <w:rStyle w:val="normaltextrun"/>
          <w:rFonts w:ascii="Aptos" w:hAnsi="Aptos"/>
          <w:color w:val="000000"/>
          <w:shd w:val="clear" w:color="auto" w:fill="FFFFFF"/>
        </w:rPr>
      </w:pPr>
      <w:r w:rsidRPr="108C08C8">
        <w:t xml:space="preserve">Figure </w:t>
      </w:r>
      <w:r w:rsidR="00A52FFD">
        <w:t>16.2</w:t>
      </w:r>
      <w:r w:rsidRPr="108C08C8">
        <w:t xml:space="preserve"> shows the incidence of breast cancer from 1994 to 2022</w:t>
      </w:r>
      <w:r>
        <w:rPr>
          <w:rStyle w:val="normaltextrun"/>
          <w:rFonts w:ascii="Aptos" w:hAnsi="Aptos"/>
          <w:color w:val="000000"/>
          <w:shd w:val="clear" w:color="auto" w:fill="FFFFFF"/>
        </w:rPr>
        <w:t xml:space="preserve">. The age-standardised incidence rate for female breast cancer increased significantly at 1.0% (95% CI: -0.8, -0.4) per year from 1994 -2022. </w:t>
      </w:r>
    </w:p>
    <w:p w14:paraId="3CDD4104" w14:textId="77777777" w:rsidR="00F55E6A" w:rsidRPr="001817D2" w:rsidRDefault="00F55E6A" w:rsidP="00F55E6A">
      <w:pPr>
        <w:spacing w:after="0" w:line="240" w:lineRule="auto"/>
        <w:rPr>
          <w:rFonts w:cstheme="minorHAnsi"/>
        </w:rPr>
      </w:pPr>
    </w:p>
    <w:tbl>
      <w:tblPr>
        <w:tblStyle w:val="TableGrid"/>
        <w:tblW w:w="985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6"/>
      </w:tblGrid>
      <w:tr w:rsidR="00F55E6A" w:rsidRPr="00A03FB0" w14:paraId="0EDEC923" w14:textId="77777777" w:rsidTr="0041177B">
        <w:trPr>
          <w:trHeight w:val="113"/>
        </w:trPr>
        <w:tc>
          <w:tcPr>
            <w:tcW w:w="9856" w:type="dxa"/>
            <w:shd w:val="clear" w:color="auto" w:fill="002060"/>
            <w:vAlign w:val="center"/>
          </w:tcPr>
          <w:p w14:paraId="0F140A60" w14:textId="09231C75" w:rsidR="00F55E6A" w:rsidRPr="00A03FB0" w:rsidRDefault="00F55E6A" w:rsidP="0041177B">
            <w:pPr>
              <w:rPr>
                <w:rFonts w:asciiTheme="minorHAnsi" w:hAnsiTheme="minorHAnsi"/>
                <w:b/>
                <w:bCs/>
              </w:rPr>
            </w:pPr>
            <w:r w:rsidRPr="00A03FB0">
              <w:rPr>
                <w:rFonts w:asciiTheme="minorHAnsi" w:hAnsiTheme="minorHAnsi"/>
                <w:b/>
                <w:bCs/>
              </w:rPr>
              <w:t xml:space="preserve">Figure </w:t>
            </w:r>
            <w:r w:rsidR="00A52FFD">
              <w:rPr>
                <w:rFonts w:asciiTheme="minorHAnsi" w:hAnsiTheme="minorHAnsi"/>
                <w:b/>
                <w:bCs/>
              </w:rPr>
              <w:t>16.2:</w:t>
            </w:r>
            <w:r w:rsidRPr="00A03FB0">
              <w:rPr>
                <w:rFonts w:asciiTheme="minorHAnsi" w:hAnsiTheme="minorHAnsi"/>
                <w:b/>
                <w:bCs/>
              </w:rPr>
              <w:t xml:space="preserve">   Age-</w:t>
            </w:r>
            <w:r w:rsidRPr="00A03FB0">
              <w:rPr>
                <w:rFonts w:asciiTheme="minorHAnsi" w:hAnsiTheme="minorHAnsi"/>
                <w:b/>
                <w:bCs/>
                <w:bdr w:val="single" w:sz="4" w:space="0" w:color="auto"/>
              </w:rPr>
              <w:t>standardised incidence rate 1994-2022, female breast cancer</w:t>
            </w:r>
          </w:p>
        </w:tc>
      </w:tr>
      <w:tr w:rsidR="00F55E6A" w:rsidRPr="00A03FB0" w14:paraId="3B90650C" w14:textId="77777777" w:rsidTr="0041177B">
        <w:trPr>
          <w:trHeight w:val="113"/>
        </w:trPr>
        <w:tc>
          <w:tcPr>
            <w:tcW w:w="9856" w:type="dxa"/>
            <w:vAlign w:val="center"/>
          </w:tcPr>
          <w:p w14:paraId="13D70967" w14:textId="77777777" w:rsidR="00F55E6A" w:rsidRPr="00A03FB0" w:rsidRDefault="00F55E6A" w:rsidP="0041177B">
            <w:pPr>
              <w:jc w:val="center"/>
              <w:rPr>
                <w:rFonts w:asciiTheme="minorHAnsi" w:hAnsiTheme="minorHAnsi"/>
              </w:rPr>
            </w:pPr>
            <w:r>
              <w:rPr>
                <w:noProof/>
              </w:rPr>
              <w:drawing>
                <wp:inline distT="0" distB="0" distL="0" distR="0" wp14:anchorId="5A9EC9F8" wp14:editId="63E99466">
                  <wp:extent cx="6052239" cy="3016250"/>
                  <wp:effectExtent l="0" t="0" r="5715" b="0"/>
                  <wp:docPr id="759241406" name="Picture 5" descr="A graph with orang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41406" name="Picture 5" descr="A graph with orange dots&#10;&#10;AI-generated content may be incorrect."/>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054552" cy="3017403"/>
                          </a:xfrm>
                          <a:prstGeom prst="rect">
                            <a:avLst/>
                          </a:prstGeom>
                          <a:noFill/>
                        </pic:spPr>
                      </pic:pic>
                    </a:graphicData>
                  </a:graphic>
                </wp:inline>
              </w:drawing>
            </w:r>
          </w:p>
        </w:tc>
      </w:tr>
      <w:tr w:rsidR="00F55E6A" w:rsidRPr="00A03FB0" w14:paraId="1A50056B" w14:textId="77777777" w:rsidTr="0041177B">
        <w:trPr>
          <w:trHeight w:val="113"/>
        </w:trPr>
        <w:tc>
          <w:tcPr>
            <w:tcW w:w="9856" w:type="dxa"/>
            <w:vAlign w:val="center"/>
          </w:tcPr>
          <w:tbl>
            <w:tblPr>
              <w:tblpPr w:leftFromText="180" w:rightFromText="180" w:vertAnchor="page" w:horzAnchor="margin" w:tblpXSpec="center" w:tblpY="1"/>
              <w:tblOverlap w:val="never"/>
              <w:tblW w:w="0" w:type="auto"/>
              <w:tblCellMar>
                <w:top w:w="15" w:type="dxa"/>
                <w:bottom w:w="15" w:type="dxa"/>
              </w:tblCellMar>
              <w:tblLook w:val="04A0" w:firstRow="1" w:lastRow="0" w:firstColumn="1" w:lastColumn="0" w:noHBand="0" w:noVBand="1"/>
            </w:tblPr>
            <w:tblGrid>
              <w:gridCol w:w="530"/>
              <w:gridCol w:w="1139"/>
              <w:gridCol w:w="771"/>
              <w:gridCol w:w="815"/>
              <w:gridCol w:w="706"/>
            </w:tblGrid>
            <w:tr w:rsidR="00F55E6A" w:rsidRPr="00094315" w14:paraId="023BB7BE" w14:textId="77777777" w:rsidTr="0041177B">
              <w:trPr>
                <w:trHeight w:val="113"/>
              </w:trPr>
              <w:tc>
                <w:tcPr>
                  <w:tcW w:w="0" w:type="auto"/>
                  <w:tcBorders>
                    <w:top w:val="nil"/>
                    <w:left w:val="nil"/>
                    <w:bottom w:val="nil"/>
                    <w:right w:val="nil"/>
                  </w:tcBorders>
                  <w:noWrap/>
                  <w:vAlign w:val="center"/>
                  <w:hideMark/>
                </w:tcPr>
                <w:p w14:paraId="2D8152C7" w14:textId="77777777" w:rsidR="00F55E6A" w:rsidRPr="00094315"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094315">
                    <w:rPr>
                      <w:rFonts w:eastAsia="Times New Roman" w:cs="Times New Roman"/>
                      <w:b/>
                      <w:bCs/>
                      <w:color w:val="000000"/>
                      <w:kern w:val="0"/>
                      <w:sz w:val="20"/>
                      <w:szCs w:val="20"/>
                      <w:u w:val="single"/>
                      <w:lang w:eastAsia="en-GB"/>
                      <w14:ligatures w14:val="none"/>
                    </w:rPr>
                    <w:t>sex</w:t>
                  </w:r>
                </w:p>
              </w:tc>
              <w:tc>
                <w:tcPr>
                  <w:tcW w:w="0" w:type="auto"/>
                  <w:tcBorders>
                    <w:top w:val="nil"/>
                    <w:left w:val="nil"/>
                    <w:bottom w:val="nil"/>
                    <w:right w:val="nil"/>
                  </w:tcBorders>
                  <w:noWrap/>
                  <w:vAlign w:val="center"/>
                  <w:hideMark/>
                </w:tcPr>
                <w:p w14:paraId="555178D4" w14:textId="77777777" w:rsidR="00F55E6A" w:rsidRPr="00094315"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094315">
                    <w:rPr>
                      <w:rFonts w:eastAsia="Times New Roman" w:cs="Times New Roman"/>
                      <w:b/>
                      <w:bCs/>
                      <w:color w:val="000000"/>
                      <w:kern w:val="0"/>
                      <w:sz w:val="20"/>
                      <w:szCs w:val="20"/>
                      <w:u w:val="single"/>
                      <w:lang w:eastAsia="en-GB"/>
                      <w14:ligatures w14:val="none"/>
                    </w:rPr>
                    <w:t>period</w:t>
                  </w:r>
                </w:p>
              </w:tc>
              <w:tc>
                <w:tcPr>
                  <w:tcW w:w="0" w:type="auto"/>
                  <w:tcBorders>
                    <w:top w:val="nil"/>
                    <w:left w:val="nil"/>
                    <w:bottom w:val="nil"/>
                    <w:right w:val="nil"/>
                  </w:tcBorders>
                  <w:noWrap/>
                  <w:vAlign w:val="center"/>
                  <w:hideMark/>
                </w:tcPr>
                <w:p w14:paraId="3195435E" w14:textId="77777777" w:rsidR="00F55E6A" w:rsidRPr="00094315"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094315">
                    <w:rPr>
                      <w:rFonts w:eastAsia="Times New Roman" w:cs="Times New Roman"/>
                      <w:b/>
                      <w:bCs/>
                      <w:color w:val="000000"/>
                      <w:kern w:val="0"/>
                      <w:sz w:val="20"/>
                      <w:szCs w:val="20"/>
                      <w:u w:val="single"/>
                      <w:lang w:eastAsia="en-GB"/>
                      <w14:ligatures w14:val="none"/>
                    </w:rPr>
                    <w:t>APC%</w:t>
                  </w:r>
                </w:p>
              </w:tc>
              <w:tc>
                <w:tcPr>
                  <w:tcW w:w="0" w:type="auto"/>
                  <w:tcBorders>
                    <w:top w:val="nil"/>
                    <w:left w:val="nil"/>
                    <w:bottom w:val="nil"/>
                    <w:right w:val="nil"/>
                  </w:tcBorders>
                  <w:noWrap/>
                  <w:vAlign w:val="center"/>
                  <w:hideMark/>
                </w:tcPr>
                <w:p w14:paraId="46464BA2" w14:textId="77777777" w:rsidR="00F55E6A" w:rsidRPr="00094315"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094315">
                    <w:rPr>
                      <w:rFonts w:eastAsia="Times New Roman" w:cs="Times New Roman"/>
                      <w:b/>
                      <w:bCs/>
                      <w:color w:val="000000"/>
                      <w:kern w:val="0"/>
                      <w:sz w:val="20"/>
                      <w:szCs w:val="20"/>
                      <w:u w:val="single"/>
                      <w:lang w:eastAsia="en-GB"/>
                      <w14:ligatures w14:val="none"/>
                    </w:rPr>
                    <w:t>95%CI</w:t>
                  </w:r>
                </w:p>
              </w:tc>
              <w:tc>
                <w:tcPr>
                  <w:tcW w:w="0" w:type="auto"/>
                  <w:tcBorders>
                    <w:top w:val="nil"/>
                    <w:left w:val="nil"/>
                    <w:bottom w:val="nil"/>
                    <w:right w:val="nil"/>
                  </w:tcBorders>
                  <w:noWrap/>
                  <w:vAlign w:val="center"/>
                  <w:hideMark/>
                </w:tcPr>
                <w:p w14:paraId="11D06191" w14:textId="77777777" w:rsidR="00F55E6A" w:rsidRPr="00094315"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094315">
                    <w:rPr>
                      <w:rFonts w:eastAsia="Times New Roman" w:cs="Times New Roman"/>
                      <w:b/>
                      <w:bCs/>
                      <w:color w:val="000000"/>
                      <w:kern w:val="0"/>
                      <w:sz w:val="20"/>
                      <w:szCs w:val="20"/>
                      <w:u w:val="single"/>
                      <w:lang w:eastAsia="en-GB"/>
                      <w14:ligatures w14:val="none"/>
                    </w:rPr>
                    <w:t>trend</w:t>
                  </w:r>
                </w:p>
              </w:tc>
            </w:tr>
            <w:tr w:rsidR="00F55E6A" w:rsidRPr="00094315" w14:paraId="0662214C" w14:textId="77777777" w:rsidTr="0041177B">
              <w:trPr>
                <w:trHeight w:val="113"/>
              </w:trPr>
              <w:tc>
                <w:tcPr>
                  <w:tcW w:w="0" w:type="auto"/>
                  <w:tcBorders>
                    <w:top w:val="nil"/>
                    <w:left w:val="nil"/>
                    <w:bottom w:val="nil"/>
                    <w:right w:val="nil"/>
                  </w:tcBorders>
                  <w:noWrap/>
                  <w:vAlign w:val="center"/>
                  <w:hideMark/>
                </w:tcPr>
                <w:p w14:paraId="4804B31D" w14:textId="77777777" w:rsidR="00F55E6A" w:rsidRPr="00094315" w:rsidRDefault="00F55E6A" w:rsidP="0041177B">
                  <w:pPr>
                    <w:spacing w:after="0" w:line="240" w:lineRule="auto"/>
                    <w:jc w:val="center"/>
                    <w:rPr>
                      <w:rFonts w:eastAsia="Times New Roman" w:cs="Times New Roman"/>
                      <w:color w:val="000000"/>
                      <w:kern w:val="0"/>
                      <w:sz w:val="20"/>
                      <w:szCs w:val="20"/>
                      <w:lang w:eastAsia="en-GB"/>
                      <w14:ligatures w14:val="none"/>
                    </w:rPr>
                  </w:pPr>
                  <w:r w:rsidRPr="00094315">
                    <w:rPr>
                      <w:rFonts w:eastAsia="Times New Roman" w:cs="Times New Roman"/>
                      <w:color w:val="000000"/>
                      <w:kern w:val="0"/>
                      <w:sz w:val="20"/>
                      <w:szCs w:val="20"/>
                      <w:lang w:eastAsia="en-GB"/>
                      <w14:ligatures w14:val="none"/>
                    </w:rPr>
                    <w:t>F</w:t>
                  </w:r>
                </w:p>
              </w:tc>
              <w:tc>
                <w:tcPr>
                  <w:tcW w:w="0" w:type="auto"/>
                  <w:tcBorders>
                    <w:top w:val="nil"/>
                    <w:left w:val="nil"/>
                    <w:bottom w:val="nil"/>
                    <w:right w:val="nil"/>
                  </w:tcBorders>
                  <w:noWrap/>
                  <w:vAlign w:val="center"/>
                  <w:hideMark/>
                </w:tcPr>
                <w:p w14:paraId="77583720" w14:textId="77777777" w:rsidR="00F55E6A" w:rsidRPr="00094315" w:rsidRDefault="00F55E6A" w:rsidP="0041177B">
                  <w:pPr>
                    <w:spacing w:after="0" w:line="240" w:lineRule="auto"/>
                    <w:jc w:val="center"/>
                    <w:rPr>
                      <w:rFonts w:eastAsia="Times New Roman" w:cs="Times New Roman"/>
                      <w:color w:val="000000"/>
                      <w:kern w:val="0"/>
                      <w:sz w:val="20"/>
                      <w:szCs w:val="20"/>
                      <w:lang w:eastAsia="en-GB"/>
                      <w14:ligatures w14:val="none"/>
                    </w:rPr>
                  </w:pPr>
                  <w:r w:rsidRPr="00094315">
                    <w:rPr>
                      <w:rFonts w:eastAsia="Times New Roman" w:cs="Times New Roman"/>
                      <w:color w:val="000000"/>
                      <w:kern w:val="0"/>
                      <w:sz w:val="20"/>
                      <w:szCs w:val="20"/>
                      <w:lang w:eastAsia="en-GB"/>
                      <w14:ligatures w14:val="none"/>
                    </w:rPr>
                    <w:t>1994-2022</w:t>
                  </w:r>
                </w:p>
              </w:tc>
              <w:tc>
                <w:tcPr>
                  <w:tcW w:w="0" w:type="auto"/>
                  <w:tcBorders>
                    <w:top w:val="nil"/>
                    <w:left w:val="nil"/>
                    <w:bottom w:val="nil"/>
                    <w:right w:val="nil"/>
                  </w:tcBorders>
                  <w:noWrap/>
                  <w:vAlign w:val="center"/>
                  <w:hideMark/>
                </w:tcPr>
                <w:p w14:paraId="0E47C46F" w14:textId="77777777" w:rsidR="00F55E6A" w:rsidRPr="00094315" w:rsidRDefault="00F55E6A" w:rsidP="0041177B">
                  <w:pPr>
                    <w:spacing w:after="0" w:line="240" w:lineRule="auto"/>
                    <w:jc w:val="center"/>
                    <w:rPr>
                      <w:rFonts w:eastAsia="Times New Roman" w:cs="Times New Roman"/>
                      <w:color w:val="000000"/>
                      <w:kern w:val="0"/>
                      <w:sz w:val="20"/>
                      <w:szCs w:val="20"/>
                      <w:lang w:eastAsia="en-GB"/>
                      <w14:ligatures w14:val="none"/>
                    </w:rPr>
                  </w:pPr>
                  <w:r w:rsidRPr="00094315">
                    <w:rPr>
                      <w:color w:val="000000"/>
                      <w:sz w:val="20"/>
                      <w:szCs w:val="20"/>
                    </w:rPr>
                    <w:t>1.</w:t>
                  </w:r>
                  <w:r w:rsidRPr="00094315">
                    <w:rPr>
                      <w:sz w:val="20"/>
                      <w:szCs w:val="20"/>
                    </w:rPr>
                    <w:t>0</w:t>
                  </w:r>
                </w:p>
              </w:tc>
              <w:tc>
                <w:tcPr>
                  <w:tcW w:w="0" w:type="auto"/>
                  <w:tcBorders>
                    <w:top w:val="nil"/>
                    <w:left w:val="nil"/>
                    <w:bottom w:val="nil"/>
                    <w:right w:val="nil"/>
                  </w:tcBorders>
                  <w:noWrap/>
                  <w:vAlign w:val="center"/>
                  <w:hideMark/>
                </w:tcPr>
                <w:p w14:paraId="724788E6" w14:textId="77777777" w:rsidR="00F55E6A" w:rsidRPr="00094315" w:rsidRDefault="00F55E6A" w:rsidP="0041177B">
                  <w:pPr>
                    <w:spacing w:after="0" w:line="240" w:lineRule="auto"/>
                    <w:jc w:val="center"/>
                    <w:rPr>
                      <w:rFonts w:eastAsia="Times New Roman" w:cs="Times New Roman"/>
                      <w:color w:val="000000"/>
                      <w:kern w:val="0"/>
                      <w:sz w:val="20"/>
                      <w:szCs w:val="20"/>
                      <w:lang w:eastAsia="en-GB"/>
                      <w14:ligatures w14:val="none"/>
                    </w:rPr>
                  </w:pPr>
                  <w:r w:rsidRPr="00094315">
                    <w:rPr>
                      <w:color w:val="000000"/>
                      <w:sz w:val="20"/>
                      <w:szCs w:val="20"/>
                    </w:rPr>
                    <w:t>0.7,1.3</w:t>
                  </w:r>
                </w:p>
              </w:tc>
              <w:tc>
                <w:tcPr>
                  <w:tcW w:w="0" w:type="auto"/>
                  <w:tcBorders>
                    <w:top w:val="nil"/>
                    <w:left w:val="nil"/>
                    <w:bottom w:val="nil"/>
                    <w:right w:val="nil"/>
                  </w:tcBorders>
                  <w:noWrap/>
                  <w:vAlign w:val="center"/>
                  <w:hideMark/>
                </w:tcPr>
                <w:p w14:paraId="3D5BD0B2" w14:textId="77777777" w:rsidR="00F55E6A" w:rsidRPr="00094315" w:rsidRDefault="00F55E6A" w:rsidP="0041177B">
                  <w:pPr>
                    <w:spacing w:after="0" w:line="240" w:lineRule="auto"/>
                    <w:jc w:val="center"/>
                    <w:rPr>
                      <w:rFonts w:eastAsia="Times New Roman" w:cs="Times New Roman"/>
                      <w:color w:val="000000"/>
                      <w:kern w:val="0"/>
                      <w:sz w:val="20"/>
                      <w:szCs w:val="20"/>
                      <w:lang w:eastAsia="en-GB"/>
                      <w14:ligatures w14:val="none"/>
                    </w:rPr>
                  </w:pPr>
                  <w:r w:rsidRPr="00094315">
                    <w:rPr>
                      <w:color w:val="000000"/>
                      <w:sz w:val="20"/>
                      <w:szCs w:val="20"/>
                    </w:rPr>
                    <w:t>up</w:t>
                  </w:r>
                </w:p>
              </w:tc>
            </w:tr>
          </w:tbl>
          <w:p w14:paraId="7DA411E9" w14:textId="77777777" w:rsidR="00F55E6A" w:rsidRPr="00A03FB0" w:rsidRDefault="00F55E6A" w:rsidP="0041177B">
            <w:pPr>
              <w:jc w:val="center"/>
              <w:rPr>
                <w:rFonts w:eastAsia="Times New Roman" w:cs="Times New Roman"/>
                <w:b/>
                <w:bCs/>
                <w:color w:val="000000"/>
                <w:sz w:val="14"/>
                <w:szCs w:val="14"/>
                <w:u w:val="single"/>
                <w:lang w:eastAsia="en-GB"/>
              </w:rPr>
            </w:pPr>
          </w:p>
        </w:tc>
      </w:tr>
      <w:tr w:rsidR="00F55E6A" w:rsidRPr="00A03FB0" w14:paraId="032B92DA" w14:textId="77777777" w:rsidTr="0041177B">
        <w:trPr>
          <w:trHeight w:val="113"/>
        </w:trPr>
        <w:tc>
          <w:tcPr>
            <w:tcW w:w="9856" w:type="dxa"/>
            <w:vAlign w:val="center"/>
          </w:tcPr>
          <w:p w14:paraId="0AEC9166" w14:textId="77777777" w:rsidR="00F55E6A" w:rsidRPr="00A03FB0" w:rsidRDefault="00F55E6A" w:rsidP="0041177B">
            <w:pPr>
              <w:pBdr>
                <w:bottom w:val="single" w:sz="4" w:space="1" w:color="auto"/>
              </w:pBdr>
              <w:rPr>
                <w:rFonts w:asciiTheme="minorHAnsi" w:hAnsiTheme="minorHAnsi"/>
                <w:bCs/>
                <w:sz w:val="18"/>
                <w:szCs w:val="16"/>
              </w:rPr>
            </w:pPr>
            <w:r w:rsidRPr="00A03FB0">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30929A06" w14:textId="77777777" w:rsidR="00F55E6A" w:rsidRPr="00A03FB0" w:rsidRDefault="00F55E6A" w:rsidP="0041177B">
            <w:pPr>
              <w:rPr>
                <w:rFonts w:asciiTheme="minorHAnsi" w:hAnsiTheme="minorHAnsi"/>
                <w:b/>
                <w:bCs/>
                <w:noProof/>
                <w:sz w:val="14"/>
                <w:szCs w:val="14"/>
                <w:u w:val="single"/>
              </w:rPr>
            </w:pPr>
          </w:p>
        </w:tc>
      </w:tr>
    </w:tbl>
    <w:p w14:paraId="39AD714A" w14:textId="77777777" w:rsidR="00F55E6A" w:rsidRPr="000518C3" w:rsidRDefault="00F55E6A" w:rsidP="00F55E6A">
      <w:pPr>
        <w:pStyle w:val="Heading3"/>
        <w:spacing w:before="0" w:after="0" w:line="240" w:lineRule="auto"/>
      </w:pPr>
      <w:bookmarkStart w:id="309" w:name="_Toc197557145"/>
      <w:bookmarkStart w:id="310" w:name="_Toc201512536"/>
      <w:r w:rsidRPr="000518C3">
        <w:t>Variation by deprivation quintile</w:t>
      </w:r>
      <w:bookmarkEnd w:id="309"/>
      <w:bookmarkEnd w:id="310"/>
      <w:r w:rsidRPr="000518C3">
        <w:t xml:space="preserve"> </w:t>
      </w:r>
    </w:p>
    <w:p w14:paraId="4DDFF149" w14:textId="34C211BE" w:rsidR="00F55E6A" w:rsidRPr="000518C3" w:rsidRDefault="00F55E6A" w:rsidP="00F55E6A">
      <w:pPr>
        <w:spacing w:after="0" w:line="240" w:lineRule="auto"/>
        <w:rPr>
          <w:rFonts w:cstheme="minorHAnsi"/>
          <w:color w:val="000000" w:themeColor="text1"/>
        </w:rPr>
      </w:pPr>
      <w:r w:rsidRPr="000518C3">
        <w:rPr>
          <w:rFonts w:cstheme="minorHAnsi"/>
          <w:color w:val="000000" w:themeColor="text1"/>
        </w:rPr>
        <w:t xml:space="preserve">Age-standardised incidence rates of </w:t>
      </w:r>
      <w:r>
        <w:rPr>
          <w:rFonts w:cstheme="minorHAnsi"/>
        </w:rPr>
        <w:t>breast</w:t>
      </w:r>
      <w:r w:rsidRPr="000518C3">
        <w:rPr>
          <w:rFonts w:cstheme="minorHAnsi"/>
        </w:rPr>
        <w:t xml:space="preserve"> cancer </w:t>
      </w:r>
      <w:r>
        <w:rPr>
          <w:rFonts w:cstheme="minorHAnsi"/>
          <w:color w:val="000000" w:themeColor="text1"/>
        </w:rPr>
        <w:t xml:space="preserve">in </w:t>
      </w:r>
      <w:r w:rsidRPr="000518C3">
        <w:rPr>
          <w:rFonts w:cstheme="minorHAnsi"/>
          <w:color w:val="000000" w:themeColor="text1"/>
        </w:rPr>
        <w:t xml:space="preserve">2014-2018 ranged </w:t>
      </w:r>
      <w:r>
        <w:rPr>
          <w:rFonts w:cstheme="minorHAnsi"/>
          <w:color w:val="000000" w:themeColor="text1"/>
        </w:rPr>
        <w:t xml:space="preserve">from 181.2 to 164.8 </w:t>
      </w:r>
      <w:r w:rsidRPr="0031761F">
        <w:rPr>
          <w:rFonts w:cstheme="minorHAnsi"/>
          <w:color w:val="000000" w:themeColor="text1"/>
        </w:rPr>
        <w:t xml:space="preserve">cases per 100,000 in the least </w:t>
      </w:r>
      <w:r>
        <w:rPr>
          <w:rFonts w:cstheme="minorHAnsi"/>
          <w:color w:val="000000" w:themeColor="text1"/>
        </w:rPr>
        <w:t xml:space="preserve">deprived </w:t>
      </w:r>
      <w:r w:rsidRPr="0031761F">
        <w:rPr>
          <w:rFonts w:cstheme="minorHAnsi"/>
          <w:color w:val="000000" w:themeColor="text1"/>
        </w:rPr>
        <w:t xml:space="preserve">to the most deprived quintiles respectively </w:t>
      </w:r>
      <w:r w:rsidRPr="000518C3">
        <w:rPr>
          <w:rFonts w:cstheme="minorHAnsi"/>
          <w:color w:val="000000" w:themeColor="text1"/>
        </w:rPr>
        <w:t xml:space="preserve">(Figure </w:t>
      </w:r>
      <w:r w:rsidR="00A52FFD">
        <w:rPr>
          <w:rFonts w:cstheme="minorHAnsi"/>
          <w:color w:val="000000" w:themeColor="text1"/>
        </w:rPr>
        <w:t>16.3</w:t>
      </w:r>
      <w:r w:rsidRPr="000518C3">
        <w:rPr>
          <w:rFonts w:cstheme="minorHAnsi"/>
          <w:color w:val="000000" w:themeColor="text1"/>
        </w:rPr>
        <w:t>).</w:t>
      </w:r>
    </w:p>
    <w:p w14:paraId="2338605A" w14:textId="77777777" w:rsidR="00F55E6A" w:rsidRPr="000518C3" w:rsidRDefault="00F55E6A" w:rsidP="00F55E6A">
      <w:pPr>
        <w:spacing w:after="0" w:line="240" w:lineRule="auto"/>
        <w:rPr>
          <w:rFonts w:cstheme="minorHAnsi"/>
          <w:color w:val="000000" w:themeColor="text1"/>
        </w:rPr>
      </w:pPr>
    </w:p>
    <w:tbl>
      <w:tblPr>
        <w:tblStyle w:val="TableGrid"/>
        <w:tblW w:w="9777" w:type="dxa"/>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5098"/>
      </w:tblGrid>
      <w:tr w:rsidR="00F55E6A" w:rsidRPr="00325650" w14:paraId="4035B2FD" w14:textId="77777777" w:rsidTr="0041177B">
        <w:trPr>
          <w:trHeight w:val="113"/>
        </w:trPr>
        <w:tc>
          <w:tcPr>
            <w:tcW w:w="9777" w:type="dxa"/>
            <w:gridSpan w:val="2"/>
            <w:shd w:val="clear" w:color="auto" w:fill="002060"/>
          </w:tcPr>
          <w:p w14:paraId="44D52693" w14:textId="55715F75" w:rsidR="00F55E6A" w:rsidRPr="00A52FFD" w:rsidRDefault="00F55E6A" w:rsidP="0041177B">
            <w:pPr>
              <w:rPr>
                <w:rFonts w:cstheme="minorHAnsi"/>
                <w:b/>
                <w:bCs/>
                <w:color w:val="FFFFFF" w:themeColor="background1"/>
                <w:sz w:val="20"/>
                <w:szCs w:val="20"/>
              </w:rPr>
            </w:pPr>
            <w:r w:rsidRPr="00A52FFD">
              <w:rPr>
                <w:rFonts w:asciiTheme="minorHAnsi" w:hAnsiTheme="minorHAnsi" w:cstheme="minorHAnsi"/>
                <w:b/>
                <w:bCs/>
                <w:color w:val="FFFFFF" w:themeColor="background1"/>
                <w:sz w:val="20"/>
                <w:szCs w:val="20"/>
              </w:rPr>
              <w:t xml:space="preserve">Figure </w:t>
            </w:r>
            <w:r w:rsidR="00A52FFD" w:rsidRPr="00A52FFD">
              <w:rPr>
                <w:rFonts w:asciiTheme="minorHAnsi" w:hAnsiTheme="minorHAnsi" w:cstheme="minorHAnsi"/>
                <w:b/>
                <w:bCs/>
                <w:color w:val="FFFFFF" w:themeColor="background1"/>
                <w:sz w:val="20"/>
                <w:szCs w:val="20"/>
              </w:rPr>
              <w:t>16.3:</w:t>
            </w:r>
            <w:r w:rsidRPr="00A52FFD">
              <w:rPr>
                <w:rFonts w:asciiTheme="minorHAnsi" w:hAnsiTheme="minorHAnsi" w:cstheme="minorHAnsi"/>
                <w:b/>
                <w:bCs/>
                <w:color w:val="FFFFFF" w:themeColor="background1"/>
                <w:sz w:val="20"/>
                <w:szCs w:val="20"/>
              </w:rPr>
              <w:t xml:space="preserve">  Incidence rate (per 100,000) for female breast cancer by deprivation quintile, 2014-2018</w:t>
            </w:r>
          </w:p>
        </w:tc>
      </w:tr>
      <w:tr w:rsidR="00F55E6A" w:rsidRPr="00325650" w14:paraId="0CB70D07" w14:textId="77777777" w:rsidTr="0041177B">
        <w:trPr>
          <w:trHeight w:val="3328"/>
        </w:trPr>
        <w:tc>
          <w:tcPr>
            <w:tcW w:w="4679" w:type="dxa"/>
            <w:shd w:val="clear" w:color="auto" w:fill="auto"/>
            <w:vAlign w:val="center"/>
          </w:tcPr>
          <w:p w14:paraId="672068BA" w14:textId="77777777" w:rsidR="00F55E6A" w:rsidRPr="00325650" w:rsidRDefault="00F55E6A" w:rsidP="0041177B">
            <w:pPr>
              <w:rPr>
                <w:rFonts w:asciiTheme="minorHAnsi" w:hAnsiTheme="minorHAnsi" w:cstheme="minorHAnsi"/>
                <w:color w:val="000000" w:themeColor="text1"/>
              </w:rPr>
            </w:pPr>
            <w:r>
              <w:rPr>
                <w:rFonts w:eastAsia="Times New Roman" w:cs="Times New Roman"/>
                <w:noProof/>
                <w:lang w:eastAsia="en-GB"/>
              </w:rPr>
              <w:drawing>
                <wp:inline distT="0" distB="0" distL="0" distR="0" wp14:anchorId="4342CEF3" wp14:editId="12EEF356">
                  <wp:extent cx="2649600" cy="2060743"/>
                  <wp:effectExtent l="0" t="0" r="0" b="0"/>
                  <wp:docPr id="1597187040" name="Picture 14"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7040" name="Picture 14" descr="A graph with numbers and lines&#10;&#10;AI-generated content may be incorrect."/>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649600" cy="2060743"/>
                          </a:xfrm>
                          <a:prstGeom prst="rect">
                            <a:avLst/>
                          </a:prstGeom>
                          <a:noFill/>
                        </pic:spPr>
                      </pic:pic>
                    </a:graphicData>
                  </a:graphic>
                </wp:inline>
              </w:drawing>
            </w:r>
          </w:p>
        </w:tc>
        <w:tc>
          <w:tcPr>
            <w:tcW w:w="5098" w:type="dxa"/>
            <w:shd w:val="clear" w:color="auto" w:fill="auto"/>
            <w:vAlign w:val="center"/>
          </w:tcPr>
          <w:p w14:paraId="615E9916" w14:textId="77777777" w:rsidR="00F55E6A" w:rsidRPr="00A115C2" w:rsidRDefault="00F55E6A" w:rsidP="0041177B">
            <w:pPr>
              <w:jc w:val="center"/>
              <w:rPr>
                <w:rFonts w:cstheme="minorHAnsi"/>
                <w:color w:val="000000" w:themeColor="text1"/>
                <w:lang w:val="en-GB"/>
              </w:rPr>
            </w:pPr>
          </w:p>
          <w:p w14:paraId="0523C1F4" w14:textId="77777777" w:rsidR="00F55E6A" w:rsidRPr="00F36AB9" w:rsidRDefault="00F55E6A" w:rsidP="0041177B">
            <w:pPr>
              <w:jc w:val="center"/>
              <w:rPr>
                <w:rFonts w:cstheme="minorHAnsi"/>
                <w:color w:val="000000" w:themeColor="text1"/>
              </w:rPr>
            </w:pPr>
          </w:p>
          <w:p w14:paraId="47D462C4" w14:textId="77777777" w:rsidR="00F55E6A" w:rsidRPr="002A10E3" w:rsidRDefault="00F55E6A" w:rsidP="0041177B">
            <w:pPr>
              <w:jc w:val="center"/>
              <w:rPr>
                <w:rFonts w:cstheme="minorHAnsi"/>
                <w:color w:val="000000" w:themeColor="text1"/>
                <w:lang w:val="en-GB"/>
              </w:rPr>
            </w:pPr>
          </w:p>
          <w:p w14:paraId="39DDCABA" w14:textId="77777777" w:rsidR="00F55E6A" w:rsidRPr="00325650" w:rsidRDefault="00F55E6A" w:rsidP="0041177B">
            <w:pPr>
              <w:jc w:val="center"/>
              <w:rPr>
                <w:rFonts w:asciiTheme="minorHAnsi" w:hAnsiTheme="minorHAnsi" w:cstheme="minorHAnsi"/>
                <w:color w:val="000000" w:themeColor="text1"/>
              </w:rPr>
            </w:pPr>
          </w:p>
        </w:tc>
      </w:tr>
    </w:tbl>
    <w:p w14:paraId="657B75A5" w14:textId="77777777" w:rsidR="001A3B02" w:rsidRPr="001A3B02" w:rsidRDefault="001A3B02" w:rsidP="001A3B02">
      <w:bookmarkStart w:id="311" w:name="_Toc197557146"/>
    </w:p>
    <w:p w14:paraId="4C5D2C4F" w14:textId="77777777" w:rsidR="00F55E6A" w:rsidRDefault="00F55E6A" w:rsidP="00F55E6A">
      <w:pPr>
        <w:pStyle w:val="Heading2"/>
        <w:spacing w:before="0" w:after="0" w:line="240" w:lineRule="auto"/>
      </w:pPr>
      <w:bookmarkStart w:id="312" w:name="_Toc201512537"/>
      <w:r w:rsidRPr="007129B6">
        <w:t>Mortality</w:t>
      </w:r>
      <w:bookmarkEnd w:id="311"/>
      <w:bookmarkEnd w:id="312"/>
    </w:p>
    <w:p w14:paraId="2D79A5B9" w14:textId="7975B795" w:rsidR="00F55E6A" w:rsidRDefault="00F55E6A" w:rsidP="00F55E6A">
      <w:pPr>
        <w:spacing w:after="0" w:line="240" w:lineRule="auto"/>
      </w:pPr>
      <w:r>
        <w:t xml:space="preserve">The age-standardised mortality rate for female breast cancer </w:t>
      </w:r>
      <w:r w:rsidR="00D720F2">
        <w:t xml:space="preserve">during the period </w:t>
      </w:r>
      <w:r>
        <w:t xml:space="preserve">1994-2022 was 43.5 deaths per 100,000 females per year. Figure </w:t>
      </w:r>
      <w:r w:rsidR="00A52FFD">
        <w:t>16.4</w:t>
      </w:r>
      <w:r>
        <w:t xml:space="preserve"> breaks this down further by sex and </w:t>
      </w:r>
      <w:r w:rsidR="00366242">
        <w:t>age group</w:t>
      </w:r>
      <w:r>
        <w:t xml:space="preserve">. </w:t>
      </w:r>
      <w:r w:rsidR="00BC7D1F">
        <w:t>Females</w:t>
      </w:r>
      <w:r>
        <w:t xml:space="preserve"> aged 75+</w:t>
      </w:r>
      <w:r w:rsidR="00D720F2">
        <w:t xml:space="preserve"> years</w:t>
      </w:r>
      <w:r>
        <w:t xml:space="preserve"> had the highest mortality rate.</w:t>
      </w:r>
    </w:p>
    <w:p w14:paraId="2ED76793" w14:textId="77777777" w:rsidR="00F55E6A" w:rsidRPr="007C06DE" w:rsidRDefault="00F55E6A" w:rsidP="00F55E6A">
      <w:pPr>
        <w:spacing w:after="0" w:line="240" w:lineRule="auto"/>
      </w:pPr>
    </w:p>
    <w:tbl>
      <w:tblPr>
        <w:tblStyle w:val="TableGrid"/>
        <w:tblW w:w="992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8"/>
        <w:gridCol w:w="5265"/>
      </w:tblGrid>
      <w:tr w:rsidR="00F55E6A" w:rsidRPr="00A03FB0" w14:paraId="49F6E7D8" w14:textId="77777777" w:rsidTr="006C1190">
        <w:trPr>
          <w:trHeight w:val="113"/>
        </w:trPr>
        <w:tc>
          <w:tcPr>
            <w:tcW w:w="9923" w:type="dxa"/>
            <w:gridSpan w:val="2"/>
            <w:shd w:val="clear" w:color="auto" w:fill="002060"/>
          </w:tcPr>
          <w:p w14:paraId="18AD432E" w14:textId="247AFB8C" w:rsidR="00F55E6A" w:rsidRPr="00A52FFD" w:rsidRDefault="00F55E6A" w:rsidP="0041177B">
            <w:pPr>
              <w:rPr>
                <w:rFonts w:asciiTheme="minorHAnsi" w:hAnsiTheme="minorHAnsi" w:cstheme="minorHAnsi"/>
                <w:b/>
                <w:bCs/>
                <w:color w:val="FFFFFF" w:themeColor="background1"/>
                <w:sz w:val="20"/>
                <w:szCs w:val="20"/>
              </w:rPr>
            </w:pPr>
            <w:r w:rsidRPr="00A52FFD">
              <w:rPr>
                <w:rFonts w:asciiTheme="minorHAnsi" w:hAnsiTheme="minorHAnsi" w:cstheme="minorHAnsi"/>
                <w:b/>
                <w:bCs/>
                <w:color w:val="FFFFFF" w:themeColor="background1"/>
                <w:sz w:val="20"/>
                <w:szCs w:val="20"/>
              </w:rPr>
              <w:t xml:space="preserve">Figure </w:t>
            </w:r>
            <w:r w:rsidR="00A52FFD" w:rsidRPr="00A52FFD">
              <w:rPr>
                <w:rFonts w:asciiTheme="minorHAnsi" w:hAnsiTheme="minorHAnsi" w:cstheme="minorHAnsi"/>
                <w:b/>
                <w:bCs/>
                <w:color w:val="FFFFFF" w:themeColor="background1"/>
                <w:sz w:val="20"/>
                <w:szCs w:val="20"/>
              </w:rPr>
              <w:t>16.4:</w:t>
            </w:r>
            <w:r w:rsidRPr="00A52FFD">
              <w:rPr>
                <w:rFonts w:asciiTheme="minorHAnsi" w:hAnsiTheme="minorHAnsi" w:cstheme="minorHAnsi"/>
                <w:b/>
                <w:bCs/>
                <w:color w:val="FFFFFF" w:themeColor="background1"/>
                <w:sz w:val="20"/>
                <w:szCs w:val="20"/>
              </w:rPr>
              <w:t xml:space="preserve">  Mortality rate (per 100,000) for female breast cancer by </w:t>
            </w:r>
            <w:r w:rsidR="00366242">
              <w:rPr>
                <w:rFonts w:asciiTheme="minorHAnsi" w:hAnsiTheme="minorHAnsi" w:cstheme="minorHAnsi"/>
                <w:b/>
                <w:bCs/>
                <w:color w:val="FFFFFF" w:themeColor="background1"/>
                <w:sz w:val="20"/>
                <w:szCs w:val="20"/>
              </w:rPr>
              <w:t>age group</w:t>
            </w:r>
            <w:r w:rsidRPr="00A52FFD">
              <w:rPr>
                <w:rFonts w:asciiTheme="minorHAnsi" w:hAnsiTheme="minorHAnsi" w:cstheme="minorHAnsi"/>
                <w:b/>
                <w:bCs/>
                <w:color w:val="FFFFFF" w:themeColor="background1"/>
                <w:sz w:val="20"/>
                <w:szCs w:val="20"/>
              </w:rPr>
              <w:t>, 1994-2022</w:t>
            </w:r>
          </w:p>
        </w:tc>
      </w:tr>
      <w:tr w:rsidR="00F55E6A" w:rsidRPr="00A03FB0" w14:paraId="6D45D4CB" w14:textId="77777777" w:rsidTr="006C1190">
        <w:trPr>
          <w:trHeight w:val="113"/>
        </w:trPr>
        <w:tc>
          <w:tcPr>
            <w:tcW w:w="4658" w:type="dxa"/>
            <w:tcBorders>
              <w:bottom w:val="single" w:sz="4" w:space="0" w:color="auto"/>
            </w:tcBorders>
            <w:shd w:val="clear" w:color="auto" w:fill="auto"/>
            <w:vAlign w:val="center"/>
          </w:tcPr>
          <w:p w14:paraId="202922C9" w14:textId="77777777" w:rsidR="00F55E6A" w:rsidRPr="00A03FB0" w:rsidRDefault="00F55E6A" w:rsidP="0041177B">
            <w:pPr>
              <w:rPr>
                <w:rFonts w:asciiTheme="minorHAnsi" w:eastAsia="Times New Roman" w:hAnsiTheme="minorHAnsi" w:cs="Times New Roman"/>
                <w:lang w:eastAsia="en-GB"/>
              </w:rPr>
            </w:pPr>
            <w:r w:rsidRPr="00A03FB0">
              <w:rPr>
                <w:rFonts w:eastAsia="Times New Roman" w:cs="Times New Roman"/>
                <w:noProof/>
                <w:lang w:eastAsia="en-GB"/>
              </w:rPr>
              <w:drawing>
                <wp:inline distT="0" distB="0" distL="0" distR="0" wp14:anchorId="2036DB76" wp14:editId="74FAE4A5">
                  <wp:extent cx="2820670" cy="1771650"/>
                  <wp:effectExtent l="0" t="0" r="0" b="0"/>
                  <wp:docPr id="2" name="Picture 1"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aph with numbers and a bar chart&#10;&#10;AI-generated content may be incorrect."/>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830919" cy="1778087"/>
                          </a:xfrm>
                          <a:prstGeom prst="rect">
                            <a:avLst/>
                          </a:prstGeom>
                          <a:noFill/>
                          <a:ln>
                            <a:noFill/>
                          </a:ln>
                        </pic:spPr>
                      </pic:pic>
                    </a:graphicData>
                  </a:graphic>
                </wp:inline>
              </w:drawing>
            </w:r>
          </w:p>
        </w:tc>
        <w:tc>
          <w:tcPr>
            <w:tcW w:w="5265" w:type="dxa"/>
            <w:tcBorders>
              <w:bottom w:val="single" w:sz="4" w:space="0" w:color="auto"/>
            </w:tcBorders>
            <w:shd w:val="clear" w:color="auto" w:fill="auto"/>
            <w:vAlign w:val="center"/>
          </w:tcPr>
          <w:p w14:paraId="65284046" w14:textId="77777777" w:rsidR="00F55E6A" w:rsidRPr="00A03FB0" w:rsidRDefault="00F55E6A" w:rsidP="0041177B">
            <w:pPr>
              <w:jc w:val="center"/>
              <w:rPr>
                <w:rFonts w:asciiTheme="minorHAnsi" w:hAnsiTheme="minorHAnsi" w:cstheme="minorHAnsi"/>
                <w:color w:val="000000" w:themeColor="text1"/>
                <w:lang w:val="en-GB"/>
              </w:rPr>
            </w:pPr>
          </w:p>
          <w:p w14:paraId="5436B3AA" w14:textId="77777777" w:rsidR="00F55E6A" w:rsidRPr="00A03FB0" w:rsidRDefault="00F55E6A" w:rsidP="0041177B">
            <w:pPr>
              <w:jc w:val="center"/>
              <w:rPr>
                <w:rFonts w:asciiTheme="minorHAnsi" w:hAnsiTheme="minorHAnsi" w:cstheme="minorHAnsi"/>
                <w:color w:val="000000" w:themeColor="text1"/>
              </w:rPr>
            </w:pPr>
          </w:p>
          <w:p w14:paraId="519772B9" w14:textId="77777777" w:rsidR="00F55E6A" w:rsidRPr="00A03FB0" w:rsidRDefault="00F55E6A" w:rsidP="0041177B">
            <w:pPr>
              <w:jc w:val="center"/>
              <w:rPr>
                <w:rFonts w:asciiTheme="minorHAnsi" w:hAnsiTheme="minorHAnsi" w:cstheme="minorHAnsi"/>
                <w:color w:val="000000" w:themeColor="text1"/>
                <w:lang w:val="en-GB"/>
              </w:rPr>
            </w:pPr>
          </w:p>
          <w:p w14:paraId="3A19079D" w14:textId="77777777" w:rsidR="00F55E6A" w:rsidRPr="00A03FB0" w:rsidRDefault="00F55E6A" w:rsidP="0041177B">
            <w:pPr>
              <w:jc w:val="center"/>
              <w:rPr>
                <w:rFonts w:asciiTheme="minorHAnsi" w:hAnsiTheme="minorHAnsi" w:cstheme="minorHAnsi"/>
                <w:color w:val="000000" w:themeColor="text1"/>
              </w:rPr>
            </w:pPr>
          </w:p>
        </w:tc>
      </w:tr>
    </w:tbl>
    <w:p w14:paraId="2B0169E1" w14:textId="77777777" w:rsidR="00F55E6A" w:rsidRDefault="00F55E6A" w:rsidP="00F55E6A">
      <w:pPr>
        <w:pStyle w:val="Heading2"/>
        <w:spacing w:before="0" w:after="0" w:line="240" w:lineRule="auto"/>
        <w:sectPr w:rsidR="00F55E6A" w:rsidSect="002746C0">
          <w:pgSz w:w="11906" w:h="16838"/>
          <w:pgMar w:top="1440" w:right="1440" w:bottom="1440" w:left="1440" w:header="708" w:footer="708" w:gutter="0"/>
          <w:cols w:space="708"/>
          <w:docGrid w:linePitch="360"/>
        </w:sectPr>
      </w:pPr>
    </w:p>
    <w:p w14:paraId="7047B992" w14:textId="77777777" w:rsidR="00F55E6A" w:rsidRPr="00E85A89" w:rsidRDefault="00F55E6A" w:rsidP="007F6D97">
      <w:pPr>
        <w:pStyle w:val="Heading3"/>
        <w:spacing w:before="0" w:after="0"/>
      </w:pPr>
      <w:bookmarkStart w:id="313" w:name="_Toc197557147"/>
      <w:bookmarkStart w:id="314" w:name="_Toc201512538"/>
      <w:r w:rsidRPr="00E85A89">
        <w:t>Trends over time</w:t>
      </w:r>
      <w:bookmarkEnd w:id="313"/>
      <w:bookmarkEnd w:id="314"/>
    </w:p>
    <w:p w14:paraId="0AA71845" w14:textId="458EBF1B" w:rsidR="00F55E6A" w:rsidRDefault="00F55E6A" w:rsidP="007F6D97">
      <w:pPr>
        <w:spacing w:after="0" w:line="240" w:lineRule="auto"/>
      </w:pPr>
      <w:r>
        <w:t xml:space="preserve">Figure </w:t>
      </w:r>
      <w:r w:rsidR="00A52FFD">
        <w:t>16.5</w:t>
      </w:r>
      <w:r>
        <w:t xml:space="preserve"> presents age-standardised mortality rates for female breast cancer from 1994 to 2022. There was a decline in mortality from breast cancer from 1994 to 2022 (-1.4% per year (95%CI -1.6; -1.2)). </w:t>
      </w:r>
    </w:p>
    <w:p w14:paraId="475AB6DA" w14:textId="77777777" w:rsidR="00F55E6A" w:rsidRPr="00E85A89" w:rsidRDefault="00F55E6A" w:rsidP="00F55E6A">
      <w:pPr>
        <w:spacing w:after="0" w:line="240" w:lineRule="auto"/>
      </w:pPr>
    </w:p>
    <w:tbl>
      <w:tblPr>
        <w:tblStyle w:val="TableGrid"/>
        <w:tblW w:w="985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6"/>
      </w:tblGrid>
      <w:tr w:rsidR="00F55E6A" w:rsidRPr="00A03FB0" w14:paraId="07846412" w14:textId="77777777" w:rsidTr="0041177B">
        <w:trPr>
          <w:trHeight w:val="113"/>
        </w:trPr>
        <w:tc>
          <w:tcPr>
            <w:tcW w:w="9856" w:type="dxa"/>
            <w:shd w:val="clear" w:color="auto" w:fill="002060"/>
            <w:vAlign w:val="center"/>
          </w:tcPr>
          <w:p w14:paraId="7E25B457" w14:textId="7D54F6A9" w:rsidR="00F55E6A" w:rsidRPr="00A03FB0" w:rsidRDefault="00F55E6A" w:rsidP="0041177B">
            <w:pPr>
              <w:rPr>
                <w:rFonts w:asciiTheme="minorHAnsi" w:hAnsiTheme="minorHAnsi"/>
                <w:b/>
                <w:bCs/>
              </w:rPr>
            </w:pPr>
            <w:r w:rsidRPr="00A03FB0">
              <w:rPr>
                <w:rFonts w:asciiTheme="minorHAnsi" w:hAnsiTheme="minorHAnsi"/>
                <w:b/>
                <w:bCs/>
              </w:rPr>
              <w:t xml:space="preserve">Figure </w:t>
            </w:r>
            <w:r w:rsidR="00A52FFD">
              <w:rPr>
                <w:rFonts w:asciiTheme="minorHAnsi" w:hAnsiTheme="minorHAnsi"/>
                <w:b/>
                <w:bCs/>
              </w:rPr>
              <w:t>16.5:</w:t>
            </w:r>
            <w:r w:rsidRPr="00A03FB0">
              <w:rPr>
                <w:rFonts w:asciiTheme="minorHAnsi" w:hAnsiTheme="minorHAnsi"/>
                <w:b/>
                <w:bCs/>
              </w:rPr>
              <w:t xml:space="preserve">   Age-</w:t>
            </w:r>
            <w:r w:rsidRPr="00A03FB0">
              <w:rPr>
                <w:rFonts w:asciiTheme="minorHAnsi" w:hAnsiTheme="minorHAnsi"/>
                <w:b/>
                <w:bCs/>
                <w:bdr w:val="single" w:sz="4" w:space="0" w:color="auto"/>
              </w:rPr>
              <w:t>standardised mortality rate 1994-2022, female breast cancer</w:t>
            </w:r>
          </w:p>
        </w:tc>
      </w:tr>
      <w:tr w:rsidR="00F55E6A" w:rsidRPr="00A03FB0" w14:paraId="7A92B17B" w14:textId="77777777" w:rsidTr="0041177B">
        <w:trPr>
          <w:trHeight w:val="113"/>
        </w:trPr>
        <w:tc>
          <w:tcPr>
            <w:tcW w:w="9856" w:type="dxa"/>
            <w:vAlign w:val="center"/>
          </w:tcPr>
          <w:p w14:paraId="7CFFC0C1" w14:textId="77777777" w:rsidR="00F55E6A" w:rsidRPr="00A03FB0" w:rsidRDefault="00F55E6A" w:rsidP="0041177B">
            <w:pPr>
              <w:jc w:val="center"/>
              <w:rPr>
                <w:rFonts w:asciiTheme="minorHAnsi" w:hAnsiTheme="minorHAnsi"/>
              </w:rPr>
            </w:pPr>
            <w:r>
              <w:rPr>
                <w:noProof/>
              </w:rPr>
              <w:drawing>
                <wp:inline distT="0" distB="0" distL="0" distR="0" wp14:anchorId="27E94936" wp14:editId="0775A7D0">
                  <wp:extent cx="6054090" cy="3169920"/>
                  <wp:effectExtent l="0" t="0" r="3810" b="0"/>
                  <wp:docPr id="1386185163" name="Picture 6"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185163" name="Picture 6" descr="A graph with numbers and lines&#10;&#10;AI-generated content may be incorrect."/>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054090" cy="3169920"/>
                          </a:xfrm>
                          <a:prstGeom prst="rect">
                            <a:avLst/>
                          </a:prstGeom>
                          <a:noFill/>
                        </pic:spPr>
                      </pic:pic>
                    </a:graphicData>
                  </a:graphic>
                </wp:inline>
              </w:drawing>
            </w:r>
          </w:p>
        </w:tc>
      </w:tr>
      <w:tr w:rsidR="00F55E6A" w:rsidRPr="00A03FB0" w14:paraId="55F5A936" w14:textId="77777777" w:rsidTr="0041177B">
        <w:trPr>
          <w:trHeight w:val="113"/>
        </w:trPr>
        <w:tc>
          <w:tcPr>
            <w:tcW w:w="9856" w:type="dxa"/>
            <w:vAlign w:val="center"/>
          </w:tcPr>
          <w:tbl>
            <w:tblPr>
              <w:tblpPr w:leftFromText="180" w:rightFromText="180" w:vertAnchor="page" w:horzAnchor="margin" w:tblpXSpec="center" w:tblpY="1"/>
              <w:tblOverlap w:val="never"/>
              <w:tblW w:w="0" w:type="auto"/>
              <w:tblCellMar>
                <w:top w:w="15" w:type="dxa"/>
                <w:bottom w:w="15" w:type="dxa"/>
              </w:tblCellMar>
              <w:tblLook w:val="04A0" w:firstRow="1" w:lastRow="0" w:firstColumn="1" w:lastColumn="0" w:noHBand="0" w:noVBand="1"/>
            </w:tblPr>
            <w:tblGrid>
              <w:gridCol w:w="530"/>
              <w:gridCol w:w="1139"/>
              <w:gridCol w:w="771"/>
              <w:gridCol w:w="962"/>
              <w:gridCol w:w="706"/>
            </w:tblGrid>
            <w:tr w:rsidR="00F55E6A" w:rsidRPr="00F45DA2" w14:paraId="15754E2F" w14:textId="77777777" w:rsidTr="0041177B">
              <w:trPr>
                <w:trHeight w:val="113"/>
              </w:trPr>
              <w:tc>
                <w:tcPr>
                  <w:tcW w:w="0" w:type="auto"/>
                  <w:tcBorders>
                    <w:top w:val="nil"/>
                    <w:left w:val="nil"/>
                    <w:bottom w:val="nil"/>
                    <w:right w:val="nil"/>
                  </w:tcBorders>
                  <w:noWrap/>
                  <w:vAlign w:val="center"/>
                  <w:hideMark/>
                </w:tcPr>
                <w:p w14:paraId="68AFC82C" w14:textId="77777777" w:rsidR="00F55E6A" w:rsidRPr="00F45DA2"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F45DA2">
                    <w:rPr>
                      <w:rFonts w:eastAsia="Times New Roman" w:cs="Times New Roman"/>
                      <w:b/>
                      <w:bCs/>
                      <w:color w:val="000000"/>
                      <w:kern w:val="0"/>
                      <w:sz w:val="20"/>
                      <w:szCs w:val="20"/>
                      <w:u w:val="single"/>
                      <w:lang w:eastAsia="en-GB"/>
                      <w14:ligatures w14:val="none"/>
                    </w:rPr>
                    <w:t>sex</w:t>
                  </w:r>
                </w:p>
              </w:tc>
              <w:tc>
                <w:tcPr>
                  <w:tcW w:w="0" w:type="auto"/>
                  <w:tcBorders>
                    <w:top w:val="nil"/>
                    <w:left w:val="nil"/>
                    <w:bottom w:val="nil"/>
                    <w:right w:val="nil"/>
                  </w:tcBorders>
                  <w:noWrap/>
                  <w:vAlign w:val="center"/>
                  <w:hideMark/>
                </w:tcPr>
                <w:p w14:paraId="3A9F3001" w14:textId="77777777" w:rsidR="00F55E6A" w:rsidRPr="00F45DA2"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F45DA2">
                    <w:rPr>
                      <w:rFonts w:eastAsia="Times New Roman" w:cs="Times New Roman"/>
                      <w:b/>
                      <w:bCs/>
                      <w:color w:val="000000"/>
                      <w:kern w:val="0"/>
                      <w:sz w:val="20"/>
                      <w:szCs w:val="20"/>
                      <w:u w:val="single"/>
                      <w:lang w:eastAsia="en-GB"/>
                      <w14:ligatures w14:val="none"/>
                    </w:rPr>
                    <w:t>period</w:t>
                  </w:r>
                </w:p>
              </w:tc>
              <w:tc>
                <w:tcPr>
                  <w:tcW w:w="0" w:type="auto"/>
                  <w:tcBorders>
                    <w:top w:val="nil"/>
                    <w:left w:val="nil"/>
                    <w:bottom w:val="nil"/>
                    <w:right w:val="nil"/>
                  </w:tcBorders>
                  <w:noWrap/>
                  <w:vAlign w:val="center"/>
                  <w:hideMark/>
                </w:tcPr>
                <w:p w14:paraId="08015F0C" w14:textId="77777777" w:rsidR="00F55E6A" w:rsidRPr="00F45DA2"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F45DA2">
                    <w:rPr>
                      <w:rFonts w:eastAsia="Times New Roman" w:cs="Times New Roman"/>
                      <w:b/>
                      <w:bCs/>
                      <w:color w:val="000000"/>
                      <w:kern w:val="0"/>
                      <w:sz w:val="20"/>
                      <w:szCs w:val="20"/>
                      <w:u w:val="single"/>
                      <w:lang w:eastAsia="en-GB"/>
                      <w14:ligatures w14:val="none"/>
                    </w:rPr>
                    <w:t>APC%</w:t>
                  </w:r>
                </w:p>
              </w:tc>
              <w:tc>
                <w:tcPr>
                  <w:tcW w:w="0" w:type="auto"/>
                  <w:tcBorders>
                    <w:top w:val="nil"/>
                    <w:left w:val="nil"/>
                    <w:bottom w:val="nil"/>
                    <w:right w:val="nil"/>
                  </w:tcBorders>
                  <w:noWrap/>
                  <w:vAlign w:val="center"/>
                  <w:hideMark/>
                </w:tcPr>
                <w:p w14:paraId="37A80A2E" w14:textId="77777777" w:rsidR="00F55E6A" w:rsidRPr="00F45DA2"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F45DA2">
                    <w:rPr>
                      <w:rFonts w:eastAsia="Times New Roman" w:cs="Times New Roman"/>
                      <w:b/>
                      <w:bCs/>
                      <w:color w:val="000000"/>
                      <w:kern w:val="0"/>
                      <w:sz w:val="20"/>
                      <w:szCs w:val="20"/>
                      <w:u w:val="single"/>
                      <w:lang w:eastAsia="en-GB"/>
                      <w14:ligatures w14:val="none"/>
                    </w:rPr>
                    <w:t>95%CI</w:t>
                  </w:r>
                </w:p>
              </w:tc>
              <w:tc>
                <w:tcPr>
                  <w:tcW w:w="0" w:type="auto"/>
                  <w:tcBorders>
                    <w:top w:val="nil"/>
                    <w:left w:val="nil"/>
                    <w:bottom w:val="nil"/>
                    <w:right w:val="nil"/>
                  </w:tcBorders>
                  <w:noWrap/>
                  <w:vAlign w:val="center"/>
                  <w:hideMark/>
                </w:tcPr>
                <w:p w14:paraId="449B50BD" w14:textId="77777777" w:rsidR="00F55E6A" w:rsidRPr="00F45DA2"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F45DA2">
                    <w:rPr>
                      <w:rFonts w:eastAsia="Times New Roman" w:cs="Times New Roman"/>
                      <w:b/>
                      <w:bCs/>
                      <w:color w:val="000000"/>
                      <w:kern w:val="0"/>
                      <w:sz w:val="20"/>
                      <w:szCs w:val="20"/>
                      <w:u w:val="single"/>
                      <w:lang w:eastAsia="en-GB"/>
                      <w14:ligatures w14:val="none"/>
                    </w:rPr>
                    <w:t>trend</w:t>
                  </w:r>
                </w:p>
              </w:tc>
            </w:tr>
            <w:tr w:rsidR="00F55E6A" w:rsidRPr="00F45DA2" w14:paraId="6B0F1532" w14:textId="77777777" w:rsidTr="0041177B">
              <w:trPr>
                <w:trHeight w:val="113"/>
              </w:trPr>
              <w:tc>
                <w:tcPr>
                  <w:tcW w:w="0" w:type="auto"/>
                  <w:tcBorders>
                    <w:top w:val="nil"/>
                    <w:left w:val="nil"/>
                    <w:bottom w:val="nil"/>
                    <w:right w:val="nil"/>
                  </w:tcBorders>
                  <w:noWrap/>
                  <w:vAlign w:val="center"/>
                  <w:hideMark/>
                </w:tcPr>
                <w:p w14:paraId="50452DA6" w14:textId="77777777" w:rsidR="00F55E6A" w:rsidRPr="00F45DA2" w:rsidRDefault="00F55E6A" w:rsidP="0041177B">
                  <w:pPr>
                    <w:spacing w:after="0" w:line="240" w:lineRule="auto"/>
                    <w:jc w:val="center"/>
                    <w:rPr>
                      <w:rFonts w:eastAsia="Times New Roman" w:cs="Times New Roman"/>
                      <w:color w:val="000000"/>
                      <w:kern w:val="0"/>
                      <w:sz w:val="20"/>
                      <w:szCs w:val="20"/>
                      <w:lang w:eastAsia="en-GB"/>
                      <w14:ligatures w14:val="none"/>
                    </w:rPr>
                  </w:pPr>
                  <w:r w:rsidRPr="00F45DA2">
                    <w:rPr>
                      <w:rFonts w:eastAsia="Times New Roman" w:cs="Times New Roman"/>
                      <w:color w:val="000000"/>
                      <w:kern w:val="0"/>
                      <w:sz w:val="20"/>
                      <w:szCs w:val="20"/>
                      <w:lang w:eastAsia="en-GB"/>
                      <w14:ligatures w14:val="none"/>
                    </w:rPr>
                    <w:t>F</w:t>
                  </w:r>
                </w:p>
              </w:tc>
              <w:tc>
                <w:tcPr>
                  <w:tcW w:w="0" w:type="auto"/>
                  <w:tcBorders>
                    <w:top w:val="nil"/>
                    <w:left w:val="nil"/>
                    <w:bottom w:val="nil"/>
                    <w:right w:val="nil"/>
                  </w:tcBorders>
                  <w:noWrap/>
                  <w:vAlign w:val="center"/>
                  <w:hideMark/>
                </w:tcPr>
                <w:p w14:paraId="08F52B93" w14:textId="77777777" w:rsidR="00F55E6A" w:rsidRPr="00F45DA2" w:rsidRDefault="00F55E6A" w:rsidP="0041177B">
                  <w:pPr>
                    <w:spacing w:after="0" w:line="240" w:lineRule="auto"/>
                    <w:jc w:val="center"/>
                    <w:rPr>
                      <w:rFonts w:eastAsia="Times New Roman" w:cs="Times New Roman"/>
                      <w:color w:val="000000"/>
                      <w:kern w:val="0"/>
                      <w:sz w:val="20"/>
                      <w:szCs w:val="20"/>
                      <w:lang w:eastAsia="en-GB"/>
                      <w14:ligatures w14:val="none"/>
                    </w:rPr>
                  </w:pPr>
                  <w:r w:rsidRPr="00F45DA2">
                    <w:rPr>
                      <w:rFonts w:eastAsia="Times New Roman" w:cs="Times New Roman"/>
                      <w:color w:val="000000"/>
                      <w:kern w:val="0"/>
                      <w:sz w:val="20"/>
                      <w:szCs w:val="20"/>
                      <w:lang w:eastAsia="en-GB"/>
                      <w14:ligatures w14:val="none"/>
                    </w:rPr>
                    <w:t>1994-2022</w:t>
                  </w:r>
                </w:p>
              </w:tc>
              <w:tc>
                <w:tcPr>
                  <w:tcW w:w="0" w:type="auto"/>
                  <w:tcBorders>
                    <w:top w:val="nil"/>
                    <w:left w:val="nil"/>
                    <w:bottom w:val="nil"/>
                    <w:right w:val="nil"/>
                  </w:tcBorders>
                  <w:noWrap/>
                  <w:vAlign w:val="center"/>
                </w:tcPr>
                <w:p w14:paraId="409559F4" w14:textId="77777777" w:rsidR="00F55E6A" w:rsidRPr="00F45DA2" w:rsidRDefault="00F55E6A" w:rsidP="0041177B">
                  <w:pPr>
                    <w:spacing w:after="0" w:line="240" w:lineRule="auto"/>
                    <w:jc w:val="center"/>
                    <w:rPr>
                      <w:rFonts w:eastAsia="Times New Roman" w:cs="Times New Roman"/>
                      <w:color w:val="000000"/>
                      <w:kern w:val="0"/>
                      <w:sz w:val="20"/>
                      <w:szCs w:val="20"/>
                      <w:lang w:eastAsia="en-GB"/>
                      <w14:ligatures w14:val="none"/>
                    </w:rPr>
                  </w:pPr>
                  <w:r w:rsidRPr="00F45DA2">
                    <w:rPr>
                      <w:color w:val="000000"/>
                      <w:sz w:val="20"/>
                      <w:szCs w:val="20"/>
                    </w:rPr>
                    <w:t>-1.4</w:t>
                  </w:r>
                </w:p>
              </w:tc>
              <w:tc>
                <w:tcPr>
                  <w:tcW w:w="0" w:type="auto"/>
                  <w:tcBorders>
                    <w:top w:val="nil"/>
                    <w:left w:val="nil"/>
                    <w:bottom w:val="nil"/>
                    <w:right w:val="nil"/>
                  </w:tcBorders>
                  <w:noWrap/>
                  <w:vAlign w:val="center"/>
                </w:tcPr>
                <w:p w14:paraId="3CA8BE48" w14:textId="77777777" w:rsidR="00F55E6A" w:rsidRPr="00F45DA2" w:rsidRDefault="00F55E6A" w:rsidP="0041177B">
                  <w:pPr>
                    <w:spacing w:after="0" w:line="240" w:lineRule="auto"/>
                    <w:jc w:val="center"/>
                    <w:rPr>
                      <w:rFonts w:eastAsia="Times New Roman" w:cs="Times New Roman"/>
                      <w:color w:val="000000"/>
                      <w:kern w:val="0"/>
                      <w:sz w:val="20"/>
                      <w:szCs w:val="20"/>
                      <w:lang w:eastAsia="en-GB"/>
                      <w14:ligatures w14:val="none"/>
                    </w:rPr>
                  </w:pPr>
                  <w:r w:rsidRPr="00F45DA2">
                    <w:rPr>
                      <w:color w:val="000000"/>
                      <w:sz w:val="20"/>
                      <w:szCs w:val="20"/>
                    </w:rPr>
                    <w:t>-1.6, -1.2</w:t>
                  </w:r>
                </w:p>
              </w:tc>
              <w:tc>
                <w:tcPr>
                  <w:tcW w:w="0" w:type="auto"/>
                  <w:tcBorders>
                    <w:top w:val="nil"/>
                    <w:left w:val="nil"/>
                    <w:bottom w:val="nil"/>
                    <w:right w:val="nil"/>
                  </w:tcBorders>
                  <w:noWrap/>
                  <w:vAlign w:val="center"/>
                </w:tcPr>
                <w:p w14:paraId="3098A56D" w14:textId="77777777" w:rsidR="00F55E6A" w:rsidRPr="00F45DA2" w:rsidRDefault="00F55E6A" w:rsidP="0041177B">
                  <w:pPr>
                    <w:spacing w:after="0" w:line="240" w:lineRule="auto"/>
                    <w:jc w:val="center"/>
                    <w:rPr>
                      <w:rFonts w:eastAsia="Times New Roman" w:cs="Times New Roman"/>
                      <w:color w:val="000000"/>
                      <w:kern w:val="0"/>
                      <w:sz w:val="20"/>
                      <w:szCs w:val="20"/>
                      <w:lang w:eastAsia="en-GB"/>
                      <w14:ligatures w14:val="none"/>
                    </w:rPr>
                  </w:pPr>
                  <w:r w:rsidRPr="00F45DA2">
                    <w:rPr>
                      <w:color w:val="000000"/>
                      <w:sz w:val="20"/>
                      <w:szCs w:val="20"/>
                    </w:rPr>
                    <w:t>down</w:t>
                  </w:r>
                </w:p>
              </w:tc>
            </w:tr>
          </w:tbl>
          <w:p w14:paraId="3CAD0DC2" w14:textId="77777777" w:rsidR="00F55E6A" w:rsidRPr="00A03FB0" w:rsidRDefault="00F55E6A" w:rsidP="0041177B">
            <w:pPr>
              <w:jc w:val="center"/>
              <w:rPr>
                <w:rFonts w:eastAsia="Times New Roman" w:cs="Times New Roman"/>
                <w:b/>
                <w:bCs/>
                <w:color w:val="000000"/>
                <w:sz w:val="14"/>
                <w:szCs w:val="14"/>
                <w:u w:val="single"/>
                <w:lang w:eastAsia="en-GB"/>
              </w:rPr>
            </w:pPr>
          </w:p>
        </w:tc>
      </w:tr>
      <w:tr w:rsidR="00F55E6A" w:rsidRPr="00A03FB0" w14:paraId="266408BA" w14:textId="77777777" w:rsidTr="0041177B">
        <w:trPr>
          <w:trHeight w:val="113"/>
        </w:trPr>
        <w:tc>
          <w:tcPr>
            <w:tcW w:w="9856" w:type="dxa"/>
            <w:vAlign w:val="center"/>
          </w:tcPr>
          <w:p w14:paraId="4C695F5F" w14:textId="77777777" w:rsidR="00F55E6A" w:rsidRPr="00A03FB0" w:rsidRDefault="00F55E6A" w:rsidP="0041177B">
            <w:pPr>
              <w:pBdr>
                <w:bottom w:val="single" w:sz="4" w:space="1" w:color="auto"/>
              </w:pBdr>
              <w:rPr>
                <w:rFonts w:asciiTheme="minorHAnsi" w:hAnsiTheme="minorHAnsi"/>
                <w:bCs/>
                <w:sz w:val="18"/>
                <w:szCs w:val="16"/>
              </w:rPr>
            </w:pPr>
            <w:r w:rsidRPr="00A03FB0">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017CA8CA" w14:textId="77777777" w:rsidR="00F55E6A" w:rsidRPr="00A03FB0" w:rsidRDefault="00F55E6A" w:rsidP="0041177B">
            <w:pPr>
              <w:rPr>
                <w:rFonts w:asciiTheme="minorHAnsi" w:hAnsiTheme="minorHAnsi"/>
                <w:b/>
                <w:bCs/>
                <w:noProof/>
                <w:sz w:val="14"/>
                <w:szCs w:val="14"/>
                <w:u w:val="single"/>
              </w:rPr>
            </w:pPr>
          </w:p>
        </w:tc>
      </w:tr>
    </w:tbl>
    <w:p w14:paraId="66AF9C03" w14:textId="77777777" w:rsidR="00F55E6A" w:rsidRDefault="00F55E6A" w:rsidP="00F55E6A">
      <w:pPr>
        <w:spacing w:after="0" w:line="240" w:lineRule="auto"/>
        <w:sectPr w:rsidR="00F55E6A" w:rsidSect="002746C0">
          <w:pgSz w:w="11906" w:h="16838"/>
          <w:pgMar w:top="1440" w:right="1440" w:bottom="1440" w:left="1440" w:header="708" w:footer="708" w:gutter="0"/>
          <w:cols w:space="708"/>
          <w:docGrid w:linePitch="360"/>
        </w:sectPr>
      </w:pPr>
    </w:p>
    <w:p w14:paraId="7A011FA0" w14:textId="77777777" w:rsidR="00F55E6A" w:rsidRDefault="00F55E6A" w:rsidP="00F55E6A">
      <w:pPr>
        <w:pStyle w:val="Heading2"/>
        <w:spacing w:before="0" w:after="0" w:line="240" w:lineRule="auto"/>
      </w:pPr>
      <w:bookmarkStart w:id="315" w:name="_Toc197557148"/>
      <w:bookmarkStart w:id="316" w:name="_Toc201512539"/>
      <w:r>
        <w:t>Survival</w:t>
      </w:r>
      <w:bookmarkEnd w:id="315"/>
      <w:bookmarkEnd w:id="316"/>
      <w:r>
        <w:t xml:space="preserve"> </w:t>
      </w:r>
    </w:p>
    <w:p w14:paraId="1827414D" w14:textId="5449AD57" w:rsidR="00F55E6A" w:rsidRDefault="00F55E6A" w:rsidP="00F55E6A">
      <w:pPr>
        <w:spacing w:after="0" w:line="240" w:lineRule="auto"/>
        <w:rPr>
          <w:rFonts w:cstheme="minorHAnsi"/>
        </w:rPr>
      </w:pPr>
      <w:r w:rsidRPr="000C58A6">
        <w:rPr>
          <w:rFonts w:cstheme="minorHAnsi"/>
        </w:rPr>
        <w:t xml:space="preserve">For </w:t>
      </w:r>
      <w:r>
        <w:rPr>
          <w:rFonts w:cstheme="minorHAnsi"/>
        </w:rPr>
        <w:t>female breast cancer</w:t>
      </w:r>
      <w:r w:rsidRPr="000C58A6">
        <w:rPr>
          <w:rFonts w:cstheme="minorHAnsi"/>
        </w:rPr>
        <w:t xml:space="preserve"> overall 5-year net survival was 8</w:t>
      </w:r>
      <w:r>
        <w:rPr>
          <w:rFonts w:cstheme="minorHAnsi"/>
        </w:rPr>
        <w:t>7</w:t>
      </w:r>
      <w:r w:rsidRPr="000C58A6">
        <w:rPr>
          <w:rFonts w:cstheme="minorHAnsi"/>
        </w:rPr>
        <w:t xml:space="preserve">% for cases diagnosed during 2019-2022 (Figure </w:t>
      </w:r>
      <w:r w:rsidR="00A52FFD">
        <w:rPr>
          <w:rFonts w:cstheme="minorHAnsi"/>
        </w:rPr>
        <w:t>16.6</w:t>
      </w:r>
      <w:r w:rsidRPr="000C58A6">
        <w:rPr>
          <w:rFonts w:cstheme="minorHAnsi"/>
        </w:rPr>
        <w:t xml:space="preserve">). This was </w:t>
      </w:r>
      <w:r>
        <w:rPr>
          <w:rFonts w:cstheme="minorHAnsi"/>
        </w:rPr>
        <w:t>unchanged from the</w:t>
      </w:r>
      <w:r w:rsidRPr="000C58A6">
        <w:rPr>
          <w:rFonts w:cstheme="minorHAnsi"/>
        </w:rPr>
        <w:t xml:space="preserve"> survival </w:t>
      </w:r>
      <w:r>
        <w:rPr>
          <w:rFonts w:cstheme="minorHAnsi"/>
        </w:rPr>
        <w:t>estimate</w:t>
      </w:r>
      <w:r w:rsidRPr="000C58A6">
        <w:rPr>
          <w:rFonts w:cstheme="minorHAnsi"/>
        </w:rPr>
        <w:t xml:space="preserve"> in the 2014-2018 </w:t>
      </w:r>
      <w:r>
        <w:rPr>
          <w:rFonts w:cstheme="minorHAnsi"/>
        </w:rPr>
        <w:t xml:space="preserve">period. </w:t>
      </w:r>
      <w:r w:rsidRPr="000C58A6">
        <w:rPr>
          <w:rFonts w:cstheme="minorHAnsi"/>
        </w:rPr>
        <w:t>Female 5-year net survival</w:t>
      </w:r>
      <w:r>
        <w:rPr>
          <w:rFonts w:cstheme="minorHAnsi"/>
        </w:rPr>
        <w:t xml:space="preserve"> improved by 16 percentage points compared to 1994-1998 when 5-year net survival was 71%.</w:t>
      </w:r>
      <w:r w:rsidRPr="000C58A6">
        <w:rPr>
          <w:rFonts w:cstheme="minorHAnsi"/>
        </w:rPr>
        <w:t xml:space="preserve"> </w:t>
      </w:r>
    </w:p>
    <w:p w14:paraId="3500EA56" w14:textId="77777777" w:rsidR="00F55E6A" w:rsidRPr="000C58A6" w:rsidRDefault="00F55E6A" w:rsidP="00F55E6A">
      <w:pPr>
        <w:spacing w:after="0" w:line="240" w:lineRule="auto"/>
        <w:rPr>
          <w:rFonts w:cstheme="minorHAnsi"/>
        </w:rPr>
      </w:pPr>
    </w:p>
    <w:tbl>
      <w:tblPr>
        <w:tblStyle w:val="TableGrid"/>
        <w:tblW w:w="9072" w:type="dxa"/>
        <w:tblInd w:w="-43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1"/>
        <w:gridCol w:w="4281"/>
      </w:tblGrid>
      <w:tr w:rsidR="00F55E6A" w:rsidRPr="00325650" w14:paraId="21E3A8FD" w14:textId="77777777" w:rsidTr="0041177B">
        <w:trPr>
          <w:trHeight w:val="113"/>
        </w:trPr>
        <w:tc>
          <w:tcPr>
            <w:tcW w:w="9072" w:type="dxa"/>
            <w:gridSpan w:val="2"/>
            <w:shd w:val="clear" w:color="auto" w:fill="002060"/>
          </w:tcPr>
          <w:p w14:paraId="7F2AA407" w14:textId="69B79E06" w:rsidR="00F55E6A" w:rsidRPr="00A52FFD" w:rsidRDefault="00F55E6A" w:rsidP="0041177B">
            <w:pPr>
              <w:rPr>
                <w:rFonts w:cstheme="minorHAnsi"/>
                <w:b/>
                <w:bCs/>
                <w:color w:val="FFFFFF" w:themeColor="background1"/>
                <w:sz w:val="20"/>
                <w:szCs w:val="20"/>
              </w:rPr>
            </w:pPr>
            <w:r w:rsidRPr="00A52FFD">
              <w:rPr>
                <w:rFonts w:asciiTheme="minorHAnsi" w:hAnsiTheme="minorHAnsi" w:cstheme="minorHAnsi"/>
                <w:b/>
                <w:bCs/>
                <w:sz w:val="20"/>
                <w:szCs w:val="20"/>
              </w:rPr>
              <w:t xml:space="preserve">Figure </w:t>
            </w:r>
            <w:r w:rsidR="00A52FFD" w:rsidRPr="00A52FFD">
              <w:rPr>
                <w:rFonts w:asciiTheme="minorHAnsi" w:hAnsiTheme="minorHAnsi" w:cstheme="minorHAnsi"/>
                <w:b/>
                <w:bCs/>
                <w:sz w:val="20"/>
                <w:szCs w:val="20"/>
              </w:rPr>
              <w:t>16.6:</w:t>
            </w:r>
            <w:r w:rsidRPr="00A52FFD">
              <w:rPr>
                <w:rFonts w:asciiTheme="minorHAnsi" w:hAnsiTheme="minorHAnsi" w:cstheme="minorHAnsi"/>
                <w:b/>
                <w:bCs/>
                <w:sz w:val="20"/>
                <w:szCs w:val="20"/>
              </w:rPr>
              <w:t xml:space="preserve"> Age-standardised 5-year net survival (%) for female breast cancer over six consecutive diagnosis periods</w:t>
            </w:r>
          </w:p>
        </w:tc>
      </w:tr>
      <w:tr w:rsidR="00F55E6A" w:rsidRPr="00325650" w14:paraId="5034BECB" w14:textId="77777777" w:rsidTr="0041177B">
        <w:trPr>
          <w:trHeight w:val="113"/>
        </w:trPr>
        <w:tc>
          <w:tcPr>
            <w:tcW w:w="4791" w:type="dxa"/>
            <w:shd w:val="clear" w:color="auto" w:fill="auto"/>
            <w:vAlign w:val="center"/>
          </w:tcPr>
          <w:p w14:paraId="35D6C2E9" w14:textId="77777777" w:rsidR="00F55E6A" w:rsidRPr="009C6AD6" w:rsidRDefault="00F55E6A" w:rsidP="0041177B">
            <w:pPr>
              <w:rPr>
                <w:rFonts w:eastAsia="Times New Roman" w:cs="Times New Roman"/>
                <w:lang w:eastAsia="en-GB"/>
              </w:rPr>
            </w:pPr>
            <w:r w:rsidRPr="002D2DA8">
              <w:rPr>
                <w:rFonts w:eastAsia="Times New Roman" w:cs="Times New Roman"/>
                <w:noProof/>
                <w:lang w:eastAsia="en-GB"/>
              </w:rPr>
              <w:drawing>
                <wp:inline distT="0" distB="0" distL="0" distR="0" wp14:anchorId="128CDAD7" wp14:editId="40B4150A">
                  <wp:extent cx="2700610" cy="1670957"/>
                  <wp:effectExtent l="0" t="0" r="5080" b="5715"/>
                  <wp:docPr id="7" name="Picture 4" descr="A graph with numbers and a number of percent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A graph with numbers and a number of percentages&#10;&#10;AI-generated content may be incorrect."/>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712789" cy="1678492"/>
                          </a:xfrm>
                          <a:prstGeom prst="rect">
                            <a:avLst/>
                          </a:prstGeom>
                          <a:noFill/>
                          <a:ln>
                            <a:noFill/>
                          </a:ln>
                        </pic:spPr>
                      </pic:pic>
                    </a:graphicData>
                  </a:graphic>
                </wp:inline>
              </w:drawing>
            </w:r>
          </w:p>
        </w:tc>
        <w:tc>
          <w:tcPr>
            <w:tcW w:w="4281" w:type="dxa"/>
            <w:shd w:val="clear" w:color="auto" w:fill="auto"/>
            <w:vAlign w:val="center"/>
          </w:tcPr>
          <w:p w14:paraId="0B0025B0" w14:textId="77777777" w:rsidR="00F55E6A" w:rsidRPr="00A115C2" w:rsidRDefault="00F55E6A" w:rsidP="0041177B">
            <w:pPr>
              <w:jc w:val="center"/>
              <w:rPr>
                <w:rFonts w:cstheme="minorHAnsi"/>
                <w:color w:val="000000" w:themeColor="text1"/>
                <w:lang w:val="en-GB"/>
              </w:rPr>
            </w:pPr>
          </w:p>
          <w:p w14:paraId="1FB27787" w14:textId="77777777" w:rsidR="00F55E6A" w:rsidRPr="00F36AB9" w:rsidRDefault="00F55E6A" w:rsidP="0041177B">
            <w:pPr>
              <w:jc w:val="center"/>
              <w:rPr>
                <w:rFonts w:cstheme="minorHAnsi"/>
                <w:color w:val="000000" w:themeColor="text1"/>
              </w:rPr>
            </w:pPr>
          </w:p>
          <w:p w14:paraId="1CA03E6D" w14:textId="77777777" w:rsidR="00F55E6A" w:rsidRPr="002A10E3" w:rsidRDefault="00F55E6A" w:rsidP="0041177B">
            <w:pPr>
              <w:jc w:val="center"/>
              <w:rPr>
                <w:rFonts w:cstheme="minorHAnsi"/>
                <w:color w:val="000000" w:themeColor="text1"/>
                <w:lang w:val="en-GB"/>
              </w:rPr>
            </w:pPr>
          </w:p>
          <w:p w14:paraId="4A87A0E8" w14:textId="77777777" w:rsidR="00F55E6A" w:rsidRPr="00325650" w:rsidRDefault="00F55E6A" w:rsidP="0041177B">
            <w:pPr>
              <w:jc w:val="center"/>
              <w:rPr>
                <w:rFonts w:asciiTheme="minorHAnsi" w:hAnsiTheme="minorHAnsi" w:cstheme="minorHAnsi"/>
                <w:color w:val="000000" w:themeColor="text1"/>
              </w:rPr>
            </w:pPr>
          </w:p>
        </w:tc>
      </w:tr>
    </w:tbl>
    <w:p w14:paraId="12885BC6" w14:textId="77777777" w:rsidR="001A3B02" w:rsidRPr="001A3B02" w:rsidRDefault="001A3B02" w:rsidP="001A3B02"/>
    <w:p w14:paraId="14356F3C" w14:textId="77777777" w:rsidR="00F55E6A" w:rsidRDefault="00F55E6A" w:rsidP="00F55E6A">
      <w:pPr>
        <w:pStyle w:val="Heading2"/>
        <w:spacing w:before="0" w:after="0" w:line="240" w:lineRule="auto"/>
      </w:pPr>
      <w:bookmarkStart w:id="317" w:name="_Toc197557149"/>
      <w:bookmarkStart w:id="318" w:name="_Toc201512540"/>
      <w:r>
        <w:t>Population Attributable Fraction</w:t>
      </w:r>
      <w:bookmarkEnd w:id="317"/>
      <w:bookmarkEnd w:id="318"/>
    </w:p>
    <w:p w14:paraId="60F8FC07" w14:textId="0B0C9F08" w:rsidR="00F55E6A" w:rsidRDefault="00F55E6A" w:rsidP="00F55E6A">
      <w:pPr>
        <w:spacing w:after="0" w:line="240" w:lineRule="auto"/>
        <w:rPr>
          <w:rFonts w:cstheme="minorHAnsi"/>
        </w:rPr>
      </w:pPr>
      <w:r w:rsidRPr="00E85A89">
        <w:rPr>
          <w:rFonts w:cstheme="minorHAnsi"/>
        </w:rPr>
        <w:t xml:space="preserve">In 2022, </w:t>
      </w:r>
      <w:r>
        <w:rPr>
          <w:rFonts w:cstheme="minorHAnsi"/>
        </w:rPr>
        <w:t>4,072</w:t>
      </w:r>
      <w:r w:rsidRPr="00E85A89">
        <w:rPr>
          <w:rFonts w:cstheme="minorHAnsi"/>
        </w:rPr>
        <w:t xml:space="preserve"> cases of </w:t>
      </w:r>
      <w:r>
        <w:rPr>
          <w:rFonts w:cstheme="minorHAnsi"/>
        </w:rPr>
        <w:t xml:space="preserve">female breast cancer were recorded. The estimated total number of breast cancer cases attributable to smoking in Ireland in 2022 was 147 (PAF 3.6%). Table </w:t>
      </w:r>
      <w:r w:rsidR="00A52FFD">
        <w:rPr>
          <w:rFonts w:cstheme="minorHAnsi"/>
        </w:rPr>
        <w:t>16.1</w:t>
      </w:r>
      <w:r>
        <w:rPr>
          <w:rFonts w:cstheme="minorHAnsi"/>
        </w:rPr>
        <w:t xml:space="preserve"> presents breast cancer incidence related to smoking. The PAF for breast cancer among females was 3.6%.</w:t>
      </w:r>
    </w:p>
    <w:p w14:paraId="4AE99154" w14:textId="77777777" w:rsidR="00F55E6A" w:rsidRDefault="00F55E6A" w:rsidP="00F55E6A">
      <w:pPr>
        <w:spacing w:after="0" w:line="240" w:lineRule="auto"/>
        <w:rPr>
          <w:rFonts w:cstheme="minorHAnsi"/>
        </w:rPr>
      </w:pPr>
    </w:p>
    <w:tbl>
      <w:tblPr>
        <w:tblStyle w:val="TableGrid"/>
        <w:tblW w:w="0" w:type="auto"/>
        <w:tblInd w:w="-431" w:type="dxa"/>
        <w:tblLook w:val="04A0" w:firstRow="1" w:lastRow="0" w:firstColumn="1" w:lastColumn="0" w:noHBand="0" w:noVBand="1"/>
      </w:tblPr>
      <w:tblGrid>
        <w:gridCol w:w="4821"/>
        <w:gridCol w:w="4252"/>
      </w:tblGrid>
      <w:tr w:rsidR="00F55E6A" w14:paraId="29488AAA" w14:textId="77777777">
        <w:tc>
          <w:tcPr>
            <w:tcW w:w="9073" w:type="dxa"/>
            <w:gridSpan w:val="2"/>
            <w:tcBorders>
              <w:top w:val="single" w:sz="4" w:space="0" w:color="auto"/>
              <w:left w:val="single" w:sz="4" w:space="0" w:color="auto"/>
              <w:bottom w:val="single" w:sz="4" w:space="0" w:color="auto"/>
              <w:right w:val="single" w:sz="4" w:space="0" w:color="auto"/>
            </w:tcBorders>
            <w:shd w:val="clear" w:color="auto" w:fill="002060"/>
            <w:hideMark/>
          </w:tcPr>
          <w:p w14:paraId="7D7915DC" w14:textId="74E57D12" w:rsidR="00F55E6A" w:rsidRPr="00A52FFD" w:rsidRDefault="00F55E6A" w:rsidP="0041177B">
            <w:pPr>
              <w:rPr>
                <w:rFonts w:asciiTheme="minorHAnsi" w:hAnsiTheme="minorHAnsi" w:cstheme="minorHAnsi"/>
                <w:b/>
                <w:bCs/>
                <w:color w:val="FFFFFF" w:themeColor="background1"/>
                <w:sz w:val="20"/>
                <w:szCs w:val="20"/>
              </w:rPr>
            </w:pPr>
            <w:r w:rsidRPr="00A52FFD">
              <w:rPr>
                <w:rFonts w:asciiTheme="minorHAnsi" w:hAnsiTheme="minorHAnsi" w:cstheme="minorHAnsi"/>
                <w:b/>
                <w:bCs/>
                <w:color w:val="FFFFFF" w:themeColor="background1"/>
                <w:sz w:val="20"/>
                <w:szCs w:val="20"/>
              </w:rPr>
              <w:t>Table</w:t>
            </w:r>
            <w:r w:rsidR="00A52FFD" w:rsidRPr="00A52FFD">
              <w:rPr>
                <w:rFonts w:asciiTheme="minorHAnsi" w:hAnsiTheme="minorHAnsi" w:cstheme="minorHAnsi"/>
                <w:b/>
                <w:bCs/>
                <w:color w:val="FFFFFF" w:themeColor="background1"/>
                <w:sz w:val="20"/>
                <w:szCs w:val="20"/>
              </w:rPr>
              <w:t xml:space="preserve"> 16.1</w:t>
            </w:r>
            <w:r w:rsidRPr="00A52FFD">
              <w:rPr>
                <w:rFonts w:asciiTheme="minorHAnsi" w:hAnsiTheme="minorHAnsi" w:cstheme="minorHAnsi"/>
                <w:b/>
                <w:bCs/>
                <w:color w:val="FFFFFF" w:themeColor="background1"/>
                <w:sz w:val="20"/>
                <w:szCs w:val="20"/>
              </w:rPr>
              <w:t>: Population attributable fraction and attributable cases for breast cancer in 2022</w:t>
            </w:r>
          </w:p>
        </w:tc>
      </w:tr>
      <w:tr w:rsidR="00F55E6A" w14:paraId="719D95DF" w14:textId="77777777">
        <w:tc>
          <w:tcPr>
            <w:tcW w:w="4821" w:type="dxa"/>
            <w:tcBorders>
              <w:top w:val="single" w:sz="4" w:space="0" w:color="auto"/>
              <w:left w:val="single" w:sz="4" w:space="0" w:color="auto"/>
              <w:bottom w:val="single" w:sz="4" w:space="0" w:color="auto"/>
              <w:right w:val="single" w:sz="4" w:space="0" w:color="auto"/>
            </w:tcBorders>
          </w:tcPr>
          <w:p w14:paraId="5EFC6B68" w14:textId="77777777" w:rsidR="00F55E6A" w:rsidRDefault="00F55E6A" w:rsidP="0041177B">
            <w:pPr>
              <w:rPr>
                <w:rFonts w:asciiTheme="minorHAnsi" w:hAnsiTheme="minorHAnsi" w:cstheme="minorHAnsi"/>
              </w:rPr>
            </w:pPr>
          </w:p>
        </w:tc>
        <w:tc>
          <w:tcPr>
            <w:tcW w:w="4252" w:type="dxa"/>
            <w:tcBorders>
              <w:top w:val="single" w:sz="4" w:space="0" w:color="auto"/>
              <w:left w:val="single" w:sz="4" w:space="0" w:color="auto"/>
              <w:bottom w:val="single" w:sz="4" w:space="0" w:color="auto"/>
              <w:right w:val="single" w:sz="4" w:space="0" w:color="auto"/>
            </w:tcBorders>
            <w:hideMark/>
          </w:tcPr>
          <w:p w14:paraId="14B151D8" w14:textId="77777777" w:rsidR="00F55E6A" w:rsidRDefault="00F55E6A" w:rsidP="0041177B">
            <w:pPr>
              <w:jc w:val="center"/>
              <w:rPr>
                <w:rFonts w:asciiTheme="minorHAnsi" w:hAnsiTheme="minorHAnsi" w:cstheme="minorHAnsi"/>
              </w:rPr>
            </w:pPr>
            <w:r>
              <w:rPr>
                <w:rFonts w:asciiTheme="minorHAnsi" w:hAnsiTheme="minorHAnsi" w:cstheme="minorHAnsi"/>
              </w:rPr>
              <w:t>Females</w:t>
            </w:r>
          </w:p>
        </w:tc>
      </w:tr>
      <w:tr w:rsidR="00F55E6A" w14:paraId="041BA461" w14:textId="77777777">
        <w:tc>
          <w:tcPr>
            <w:tcW w:w="4821" w:type="dxa"/>
            <w:tcBorders>
              <w:top w:val="single" w:sz="4" w:space="0" w:color="auto"/>
              <w:left w:val="single" w:sz="4" w:space="0" w:color="auto"/>
              <w:bottom w:val="single" w:sz="4" w:space="0" w:color="auto"/>
              <w:right w:val="single" w:sz="4" w:space="0" w:color="auto"/>
            </w:tcBorders>
            <w:hideMark/>
          </w:tcPr>
          <w:p w14:paraId="458B7403" w14:textId="77777777" w:rsidR="00F55E6A" w:rsidRPr="003437E5" w:rsidRDefault="00F55E6A" w:rsidP="0041177B">
            <w:pPr>
              <w:rPr>
                <w:rFonts w:asciiTheme="minorHAnsi" w:hAnsiTheme="minorHAnsi" w:cstheme="minorHAnsi"/>
              </w:rPr>
            </w:pPr>
            <w:r w:rsidRPr="003437E5">
              <w:rPr>
                <w:rFonts w:asciiTheme="minorHAnsi" w:hAnsiTheme="minorHAnsi" w:cstheme="minorHAnsi"/>
              </w:rPr>
              <w:t>PAF (%)</w:t>
            </w:r>
          </w:p>
        </w:tc>
        <w:tc>
          <w:tcPr>
            <w:tcW w:w="4252" w:type="dxa"/>
            <w:tcBorders>
              <w:top w:val="single" w:sz="4" w:space="0" w:color="auto"/>
              <w:left w:val="single" w:sz="4" w:space="0" w:color="auto"/>
              <w:bottom w:val="single" w:sz="4" w:space="0" w:color="auto"/>
              <w:right w:val="single" w:sz="4" w:space="0" w:color="auto"/>
            </w:tcBorders>
            <w:hideMark/>
          </w:tcPr>
          <w:p w14:paraId="11EE756D" w14:textId="77777777" w:rsidR="00F55E6A" w:rsidRPr="003437E5" w:rsidRDefault="00F55E6A" w:rsidP="0041177B">
            <w:pPr>
              <w:jc w:val="center"/>
              <w:rPr>
                <w:rFonts w:asciiTheme="minorHAnsi" w:hAnsiTheme="minorHAnsi" w:cstheme="minorHAnsi"/>
              </w:rPr>
            </w:pPr>
            <w:r w:rsidRPr="003437E5">
              <w:rPr>
                <w:rFonts w:asciiTheme="minorHAnsi" w:hAnsiTheme="minorHAnsi" w:cstheme="minorHAnsi"/>
              </w:rPr>
              <w:t>3.6</w:t>
            </w:r>
          </w:p>
        </w:tc>
      </w:tr>
      <w:tr w:rsidR="003437E5" w14:paraId="40E3D3F6" w14:textId="77777777">
        <w:tc>
          <w:tcPr>
            <w:tcW w:w="4821" w:type="dxa"/>
            <w:tcBorders>
              <w:top w:val="single" w:sz="4" w:space="0" w:color="auto"/>
              <w:left w:val="single" w:sz="4" w:space="0" w:color="auto"/>
              <w:bottom w:val="single" w:sz="4" w:space="0" w:color="auto"/>
              <w:right w:val="single" w:sz="4" w:space="0" w:color="auto"/>
            </w:tcBorders>
          </w:tcPr>
          <w:p w14:paraId="405FE5FF" w14:textId="2DEDA7B5" w:rsidR="003437E5" w:rsidRPr="006C1190" w:rsidRDefault="003437E5" w:rsidP="0041177B">
            <w:pPr>
              <w:rPr>
                <w:rFonts w:asciiTheme="minorHAnsi" w:hAnsiTheme="minorHAnsi" w:cstheme="minorHAnsi"/>
              </w:rPr>
            </w:pPr>
            <w:r w:rsidRPr="007F6D97">
              <w:rPr>
                <w:rFonts w:asciiTheme="minorHAnsi" w:hAnsiTheme="minorHAnsi" w:cstheme="minorHAnsi"/>
              </w:rPr>
              <w:t>Total cases</w:t>
            </w:r>
          </w:p>
        </w:tc>
        <w:tc>
          <w:tcPr>
            <w:tcW w:w="4252" w:type="dxa"/>
            <w:tcBorders>
              <w:top w:val="single" w:sz="4" w:space="0" w:color="auto"/>
              <w:left w:val="single" w:sz="4" w:space="0" w:color="auto"/>
              <w:bottom w:val="single" w:sz="4" w:space="0" w:color="auto"/>
              <w:right w:val="single" w:sz="4" w:space="0" w:color="auto"/>
            </w:tcBorders>
          </w:tcPr>
          <w:p w14:paraId="3A0730B1" w14:textId="73357E80" w:rsidR="003437E5" w:rsidRPr="006C1190" w:rsidRDefault="003437E5" w:rsidP="0041177B">
            <w:pPr>
              <w:jc w:val="center"/>
              <w:rPr>
                <w:rFonts w:asciiTheme="minorHAnsi" w:hAnsiTheme="minorHAnsi" w:cstheme="minorHAnsi"/>
              </w:rPr>
            </w:pPr>
            <w:r>
              <w:rPr>
                <w:rFonts w:asciiTheme="minorHAnsi" w:hAnsiTheme="minorHAnsi" w:cstheme="minorHAnsi"/>
              </w:rPr>
              <w:t>4,072</w:t>
            </w:r>
          </w:p>
        </w:tc>
      </w:tr>
      <w:tr w:rsidR="00F55E6A" w14:paraId="25E0BD25" w14:textId="77777777">
        <w:tc>
          <w:tcPr>
            <w:tcW w:w="4821" w:type="dxa"/>
            <w:tcBorders>
              <w:top w:val="single" w:sz="4" w:space="0" w:color="auto"/>
              <w:left w:val="single" w:sz="4" w:space="0" w:color="auto"/>
              <w:bottom w:val="single" w:sz="4" w:space="0" w:color="auto"/>
              <w:right w:val="single" w:sz="4" w:space="0" w:color="auto"/>
            </w:tcBorders>
            <w:hideMark/>
          </w:tcPr>
          <w:p w14:paraId="337DBF2F" w14:textId="77777777" w:rsidR="00F55E6A" w:rsidRPr="003437E5" w:rsidRDefault="00F55E6A" w:rsidP="0041177B">
            <w:pPr>
              <w:rPr>
                <w:rFonts w:asciiTheme="minorHAnsi" w:hAnsiTheme="minorHAnsi" w:cstheme="minorHAnsi"/>
              </w:rPr>
            </w:pPr>
            <w:r w:rsidRPr="003437E5">
              <w:rPr>
                <w:rFonts w:asciiTheme="minorHAnsi" w:hAnsiTheme="minorHAnsi" w:cstheme="minorHAnsi"/>
              </w:rPr>
              <w:t>Attributable cases</w:t>
            </w:r>
          </w:p>
        </w:tc>
        <w:tc>
          <w:tcPr>
            <w:tcW w:w="4252" w:type="dxa"/>
            <w:tcBorders>
              <w:top w:val="single" w:sz="4" w:space="0" w:color="auto"/>
              <w:left w:val="single" w:sz="4" w:space="0" w:color="auto"/>
              <w:bottom w:val="single" w:sz="4" w:space="0" w:color="auto"/>
              <w:right w:val="single" w:sz="4" w:space="0" w:color="auto"/>
            </w:tcBorders>
            <w:hideMark/>
          </w:tcPr>
          <w:p w14:paraId="7A1C2C69" w14:textId="77777777" w:rsidR="00F55E6A" w:rsidRPr="003437E5" w:rsidRDefault="00F55E6A" w:rsidP="0041177B">
            <w:pPr>
              <w:jc w:val="center"/>
              <w:rPr>
                <w:rFonts w:asciiTheme="minorHAnsi" w:hAnsiTheme="minorHAnsi" w:cstheme="minorHAnsi"/>
              </w:rPr>
            </w:pPr>
            <w:r w:rsidRPr="003437E5">
              <w:rPr>
                <w:rFonts w:asciiTheme="minorHAnsi" w:hAnsiTheme="minorHAnsi" w:cstheme="minorHAnsi"/>
              </w:rPr>
              <w:t>147</w:t>
            </w:r>
          </w:p>
        </w:tc>
      </w:tr>
    </w:tbl>
    <w:p w14:paraId="39C4F7CD" w14:textId="77777777" w:rsidR="00F55E6A" w:rsidRDefault="00F55E6A" w:rsidP="00F55E6A">
      <w:pPr>
        <w:spacing w:after="0" w:line="240" w:lineRule="auto"/>
        <w:rPr>
          <w:rFonts w:cstheme="minorHAnsi"/>
        </w:rPr>
      </w:pPr>
    </w:p>
    <w:p w14:paraId="546358A0" w14:textId="77777777" w:rsidR="00F55E6A" w:rsidRPr="007D668A" w:rsidRDefault="00F55E6A" w:rsidP="00F55E6A">
      <w:pPr>
        <w:spacing w:after="0" w:line="240" w:lineRule="auto"/>
        <w:sectPr w:rsidR="00F55E6A" w:rsidRPr="007D668A" w:rsidSect="002746C0">
          <w:pgSz w:w="11906" w:h="16838"/>
          <w:pgMar w:top="1440" w:right="1440" w:bottom="1440" w:left="1440" w:header="708" w:footer="708" w:gutter="0"/>
          <w:cols w:space="708"/>
          <w:docGrid w:linePitch="360"/>
        </w:sectPr>
      </w:pPr>
    </w:p>
    <w:p w14:paraId="024BD436" w14:textId="77777777" w:rsidR="00F55E6A" w:rsidRDefault="00F55E6A" w:rsidP="008F109F">
      <w:pPr>
        <w:pStyle w:val="Heading1"/>
        <w:spacing w:before="0" w:after="0" w:line="240" w:lineRule="auto"/>
        <w:ind w:left="-142"/>
      </w:pPr>
      <w:r>
        <w:t xml:space="preserve"> </w:t>
      </w:r>
      <w:bookmarkStart w:id="319" w:name="_Toc197557150"/>
      <w:bookmarkStart w:id="320" w:name="_Toc201512541"/>
      <w:r>
        <w:t>Cervix</w:t>
      </w:r>
      <w:r>
        <w:tab/>
        <w:t>C53</w:t>
      </w:r>
      <w:bookmarkEnd w:id="319"/>
      <w:bookmarkEnd w:id="320"/>
    </w:p>
    <w:p w14:paraId="3218C62D" w14:textId="77777777" w:rsidR="00F55E6A" w:rsidRPr="00F735B0" w:rsidRDefault="00F55E6A" w:rsidP="00F55E6A">
      <w:pPr>
        <w:numPr>
          <w:ilvl w:val="1"/>
          <w:numId w:val="0"/>
        </w:numPr>
        <w:spacing w:after="0" w:line="240" w:lineRule="auto"/>
        <w:rPr>
          <w:rFonts w:eastAsiaTheme="majorEastAsia" w:cstheme="minorHAnsi"/>
          <w:i/>
          <w:iCs/>
          <w:color w:val="0F4761" w:themeColor="accent1" w:themeShade="BF"/>
          <w:spacing w:val="15"/>
          <w:sz w:val="28"/>
          <w:szCs w:val="28"/>
        </w:rPr>
      </w:pPr>
      <w:r w:rsidRPr="00F735B0">
        <w:rPr>
          <w:rFonts w:eastAsiaTheme="majorEastAsia" w:cstheme="minorHAnsi"/>
          <w:i/>
          <w:iCs/>
          <w:color w:val="0F4761" w:themeColor="accent1" w:themeShade="BF"/>
          <w:spacing w:val="15"/>
          <w:sz w:val="28"/>
          <w:szCs w:val="28"/>
        </w:rPr>
        <w:t xml:space="preserve">Key points </w:t>
      </w:r>
    </w:p>
    <w:p w14:paraId="7B778CC8" w14:textId="77777777" w:rsidR="00F55E6A" w:rsidRPr="00F735B0" w:rsidRDefault="00F55E6A" w:rsidP="00F55E6A">
      <w:pPr>
        <w:numPr>
          <w:ilvl w:val="1"/>
          <w:numId w:val="0"/>
        </w:numPr>
        <w:spacing w:after="0" w:line="240" w:lineRule="auto"/>
        <w:rPr>
          <w:rFonts w:eastAsiaTheme="majorEastAsia" w:cstheme="minorHAnsi"/>
          <w:i/>
          <w:iCs/>
          <w:color w:val="595959" w:themeColor="text1" w:themeTint="A6"/>
          <w:spacing w:val="15"/>
          <w:sz w:val="28"/>
          <w:szCs w:val="28"/>
        </w:rPr>
      </w:pPr>
      <w:r w:rsidRPr="00F735B0">
        <w:rPr>
          <w:rFonts w:eastAsiaTheme="majorEastAsia" w:cstheme="minorHAnsi"/>
          <w:i/>
          <w:iCs/>
          <w:color w:val="595959" w:themeColor="text1" w:themeTint="A6"/>
          <w:spacing w:val="15"/>
          <w:sz w:val="28"/>
          <w:szCs w:val="28"/>
        </w:rPr>
        <w:t>Incidence</w:t>
      </w:r>
    </w:p>
    <w:p w14:paraId="3460BCBC" w14:textId="77777777" w:rsidR="00F55E6A" w:rsidRPr="00F735B0" w:rsidRDefault="00F55E6A">
      <w:pPr>
        <w:numPr>
          <w:ilvl w:val="0"/>
          <w:numId w:val="3"/>
        </w:numPr>
        <w:spacing w:after="0" w:line="240" w:lineRule="auto"/>
        <w:contextualSpacing/>
      </w:pPr>
      <w:r w:rsidRPr="108C08C8">
        <w:t>Age-standardised incidence rates increased from 1994-2010 before subsequently decreasing from 2010-2022.</w:t>
      </w:r>
    </w:p>
    <w:p w14:paraId="7E35374F" w14:textId="77777777" w:rsidR="00F55E6A" w:rsidRPr="00F735B0" w:rsidRDefault="00F55E6A">
      <w:pPr>
        <w:numPr>
          <w:ilvl w:val="0"/>
          <w:numId w:val="3"/>
        </w:numPr>
        <w:spacing w:after="0" w:line="240" w:lineRule="auto"/>
        <w:contextualSpacing/>
        <w:jc w:val="both"/>
        <w:rPr>
          <w:rFonts w:cstheme="minorHAnsi"/>
          <w:i/>
          <w:iCs/>
        </w:rPr>
      </w:pPr>
      <w:r w:rsidRPr="00F735B0">
        <w:rPr>
          <w:rFonts w:eastAsia="Times New Roman" w:cstheme="minorHAnsi"/>
          <w:lang w:eastAsia="en-IE"/>
        </w:rPr>
        <w:t xml:space="preserve">Incidence rates in the diagnosis period 2014-2018 were lowest in </w:t>
      </w:r>
      <w:r>
        <w:rPr>
          <w:rFonts w:eastAsia="Times New Roman" w:cstheme="minorHAnsi"/>
          <w:lang w:eastAsia="en-IE"/>
        </w:rPr>
        <w:t xml:space="preserve">the </w:t>
      </w:r>
      <w:r w:rsidRPr="00F735B0">
        <w:rPr>
          <w:rFonts w:eastAsia="Times New Roman" w:cstheme="minorHAnsi"/>
          <w:lang w:eastAsia="en-IE"/>
        </w:rPr>
        <w:t>least deprived population quintile and higher in more deprived quintiles with clear evidence of a socioeconomic gradient.</w:t>
      </w:r>
    </w:p>
    <w:p w14:paraId="0BFACC80" w14:textId="77777777" w:rsidR="00F55E6A" w:rsidRPr="00F735B0" w:rsidRDefault="00F55E6A" w:rsidP="00F55E6A">
      <w:pPr>
        <w:spacing w:after="0" w:line="240" w:lineRule="auto"/>
        <w:jc w:val="both"/>
        <w:rPr>
          <w:rFonts w:eastAsia="Times New Roman" w:cstheme="minorHAnsi"/>
          <w:i/>
          <w:iCs/>
          <w:color w:val="808080" w:themeColor="background1" w:themeShade="80"/>
        </w:rPr>
      </w:pPr>
      <w:r w:rsidRPr="00F735B0">
        <w:rPr>
          <w:rFonts w:cstheme="minorHAnsi"/>
          <w:i/>
          <w:iCs/>
          <w:color w:val="808080" w:themeColor="background1" w:themeShade="80"/>
        </w:rPr>
        <w:t>Mortality</w:t>
      </w:r>
    </w:p>
    <w:p w14:paraId="2F8405B2" w14:textId="73C8823E" w:rsidR="00F55E6A" w:rsidRPr="00F735B0" w:rsidRDefault="00F55E6A">
      <w:pPr>
        <w:numPr>
          <w:ilvl w:val="0"/>
          <w:numId w:val="5"/>
        </w:numPr>
        <w:spacing w:after="0" w:line="240" w:lineRule="auto"/>
        <w:ind w:left="709" w:hanging="283"/>
        <w:contextualSpacing/>
        <w:jc w:val="both"/>
        <w:rPr>
          <w:rFonts w:ascii="Aptos" w:hAnsi="Aptos"/>
          <w:color w:val="000000"/>
          <w:shd w:val="clear" w:color="auto" w:fill="FFFFFF"/>
        </w:rPr>
      </w:pPr>
      <w:r w:rsidRPr="00F735B0">
        <w:rPr>
          <w:rFonts w:ascii="Aptos" w:hAnsi="Aptos"/>
          <w:color w:val="000000"/>
          <w:shd w:val="clear" w:color="auto" w:fill="FFFFFF"/>
        </w:rPr>
        <w:t>Age</w:t>
      </w:r>
      <w:r w:rsidR="00366242">
        <w:rPr>
          <w:rFonts w:ascii="Aptos" w:hAnsi="Aptos"/>
          <w:color w:val="000000"/>
          <w:shd w:val="clear" w:color="auto" w:fill="FFFFFF"/>
        </w:rPr>
        <w:t>-</w:t>
      </w:r>
      <w:r w:rsidRPr="00F735B0">
        <w:rPr>
          <w:rFonts w:ascii="Aptos" w:hAnsi="Aptos"/>
          <w:color w:val="000000"/>
          <w:shd w:val="clear" w:color="auto" w:fill="FFFFFF"/>
        </w:rPr>
        <w:t>standardised mortality rates decreased from 1994 to 2022</w:t>
      </w:r>
      <w:r w:rsidR="00D720F2">
        <w:rPr>
          <w:rFonts w:ascii="Aptos" w:hAnsi="Aptos"/>
          <w:color w:val="000000"/>
          <w:shd w:val="clear" w:color="auto" w:fill="FFFFFF"/>
        </w:rPr>
        <w:t>.</w:t>
      </w:r>
    </w:p>
    <w:p w14:paraId="54D322E6" w14:textId="77777777" w:rsidR="00F55E6A" w:rsidRPr="00F735B0" w:rsidRDefault="00F55E6A" w:rsidP="00F55E6A">
      <w:pPr>
        <w:numPr>
          <w:ilvl w:val="1"/>
          <w:numId w:val="0"/>
        </w:numPr>
        <w:spacing w:after="0" w:line="240" w:lineRule="auto"/>
        <w:rPr>
          <w:rFonts w:eastAsiaTheme="majorEastAsia" w:cstheme="minorHAnsi"/>
          <w:i/>
          <w:iCs/>
          <w:color w:val="595959" w:themeColor="text1" w:themeTint="A6"/>
          <w:spacing w:val="15"/>
        </w:rPr>
      </w:pPr>
      <w:r w:rsidRPr="00F735B0">
        <w:rPr>
          <w:rFonts w:eastAsiaTheme="majorEastAsia" w:cstheme="minorHAnsi"/>
          <w:i/>
          <w:iCs/>
          <w:color w:val="595959" w:themeColor="text1" w:themeTint="A6"/>
          <w:spacing w:val="15"/>
        </w:rPr>
        <w:t>Survival</w:t>
      </w:r>
    </w:p>
    <w:p w14:paraId="42EEC65E" w14:textId="77777777" w:rsidR="00F55E6A" w:rsidRPr="00F735B0" w:rsidRDefault="00F55E6A">
      <w:pPr>
        <w:numPr>
          <w:ilvl w:val="0"/>
          <w:numId w:val="4"/>
        </w:numPr>
        <w:spacing w:after="0" w:line="240" w:lineRule="auto"/>
        <w:contextualSpacing/>
        <w:rPr>
          <w:rFonts w:cstheme="minorHAnsi"/>
        </w:rPr>
      </w:pPr>
      <w:r w:rsidRPr="00F735B0">
        <w:rPr>
          <w:rFonts w:cstheme="minorHAnsi"/>
        </w:rPr>
        <w:t>5-year net survival was 65% for cases diagnosed during 2019-2022.</w:t>
      </w:r>
    </w:p>
    <w:p w14:paraId="042298D1" w14:textId="77777777" w:rsidR="00F55E6A" w:rsidRPr="00F735B0" w:rsidRDefault="00F55E6A" w:rsidP="00F55E6A">
      <w:pPr>
        <w:numPr>
          <w:ilvl w:val="1"/>
          <w:numId w:val="0"/>
        </w:numPr>
        <w:spacing w:after="0" w:line="240" w:lineRule="auto"/>
        <w:rPr>
          <w:rFonts w:cstheme="minorHAnsi"/>
          <w:i/>
          <w:iCs/>
        </w:rPr>
      </w:pPr>
      <w:r w:rsidRPr="00F735B0">
        <w:rPr>
          <w:rFonts w:eastAsiaTheme="majorEastAsia" w:cstheme="minorHAnsi"/>
          <w:i/>
          <w:iCs/>
          <w:color w:val="595959" w:themeColor="text1" w:themeTint="A6"/>
          <w:spacing w:val="15"/>
        </w:rPr>
        <w:t>Population attributable fraction</w:t>
      </w:r>
    </w:p>
    <w:p w14:paraId="3E4D4592" w14:textId="77777777" w:rsidR="00F55E6A" w:rsidRPr="00F735B0" w:rsidRDefault="00F55E6A">
      <w:pPr>
        <w:numPr>
          <w:ilvl w:val="0"/>
          <w:numId w:val="2"/>
        </w:numPr>
        <w:spacing w:after="0" w:line="240" w:lineRule="auto"/>
        <w:contextualSpacing/>
        <w:rPr>
          <w:rFonts w:eastAsiaTheme="majorEastAsia" w:cstheme="minorHAnsi"/>
          <w:color w:val="0F4761" w:themeColor="accent1" w:themeShade="BF"/>
        </w:rPr>
      </w:pPr>
      <w:r w:rsidRPr="00F735B0">
        <w:rPr>
          <w:rFonts w:eastAsia="Calibri" w:cstheme="minorHAnsi"/>
          <w:color w:val="000000" w:themeColor="text1"/>
        </w:rPr>
        <w:t>In 2022</w:t>
      </w:r>
      <w:r>
        <w:rPr>
          <w:rFonts w:eastAsia="Calibri" w:cstheme="minorHAnsi"/>
          <w:color w:val="000000" w:themeColor="text1"/>
        </w:rPr>
        <w:t>,</w:t>
      </w:r>
      <w:r w:rsidRPr="00F735B0">
        <w:rPr>
          <w:rFonts w:eastAsia="Calibri" w:cstheme="minorHAnsi"/>
          <w:color w:val="000000" w:themeColor="text1"/>
        </w:rPr>
        <w:t xml:space="preserve"> the estimated total number of cases of </w:t>
      </w:r>
      <w:r>
        <w:rPr>
          <w:rFonts w:eastAsia="Calibri" w:cstheme="minorHAnsi"/>
          <w:color w:val="000000" w:themeColor="text1"/>
        </w:rPr>
        <w:t xml:space="preserve">cervical </w:t>
      </w:r>
      <w:r w:rsidRPr="00F735B0">
        <w:rPr>
          <w:rFonts w:eastAsia="Calibri" w:cstheme="minorHAnsi"/>
          <w:color w:val="000000" w:themeColor="text1"/>
        </w:rPr>
        <w:t xml:space="preserve">cancer attributable to smoking in Ireland was </w:t>
      </w:r>
      <w:r>
        <w:rPr>
          <w:rFonts w:eastAsia="Calibri" w:cstheme="minorHAnsi"/>
          <w:color w:val="000000" w:themeColor="text1"/>
        </w:rPr>
        <w:t>52</w:t>
      </w:r>
      <w:r w:rsidRPr="00F735B0">
        <w:rPr>
          <w:rFonts w:eastAsia="Calibri" w:cstheme="minorHAnsi"/>
          <w:color w:val="000000" w:themeColor="text1"/>
        </w:rPr>
        <w:t xml:space="preserve"> (PAF </w:t>
      </w:r>
      <w:r>
        <w:rPr>
          <w:rFonts w:eastAsia="Calibri" w:cstheme="minorHAnsi"/>
          <w:color w:val="000000" w:themeColor="text1"/>
        </w:rPr>
        <w:t>20.3</w:t>
      </w:r>
      <w:r w:rsidRPr="00F735B0">
        <w:rPr>
          <w:rFonts w:eastAsia="Calibri" w:cstheme="minorHAnsi"/>
          <w:color w:val="000000" w:themeColor="text1"/>
        </w:rPr>
        <w:t xml:space="preserve">%). </w:t>
      </w:r>
    </w:p>
    <w:p w14:paraId="3572BBFF" w14:textId="77777777" w:rsidR="00F55E6A" w:rsidRDefault="00F55E6A" w:rsidP="00F55E6A">
      <w:pPr>
        <w:spacing w:after="0" w:line="240" w:lineRule="auto"/>
        <w:sectPr w:rsidR="00F55E6A" w:rsidSect="002746C0">
          <w:pgSz w:w="11906" w:h="16838"/>
          <w:pgMar w:top="1440" w:right="1440" w:bottom="1440" w:left="1440" w:header="708" w:footer="708" w:gutter="0"/>
          <w:cols w:space="708"/>
          <w:docGrid w:linePitch="360"/>
        </w:sectPr>
      </w:pPr>
    </w:p>
    <w:p w14:paraId="0DA2E3D5" w14:textId="77777777" w:rsidR="00F55E6A" w:rsidRDefault="00F55E6A" w:rsidP="00F55E6A">
      <w:pPr>
        <w:pStyle w:val="Heading2"/>
        <w:spacing w:before="0" w:after="0" w:line="240" w:lineRule="auto"/>
      </w:pPr>
      <w:bookmarkStart w:id="321" w:name="_Toc197557151"/>
      <w:bookmarkStart w:id="322" w:name="_Toc201512542"/>
      <w:r>
        <w:t>Incidence</w:t>
      </w:r>
      <w:bookmarkEnd w:id="321"/>
      <w:bookmarkEnd w:id="322"/>
    </w:p>
    <w:p w14:paraId="3D0B0CB7" w14:textId="5C8FBC8E" w:rsidR="00F55E6A" w:rsidRDefault="00F55E6A" w:rsidP="00F55E6A">
      <w:pPr>
        <w:spacing w:after="0" w:line="240" w:lineRule="auto"/>
      </w:pPr>
      <w:r>
        <w:t xml:space="preserve">Between 1994-2022, 7,170 cases of cervical cancer were recorded. Median age at diagnosis was 45 years (IQR: 37-58). </w:t>
      </w:r>
      <w:r w:rsidRPr="108C08C8">
        <w:t xml:space="preserve">On average </w:t>
      </w:r>
      <w:r w:rsidR="00D720F2">
        <w:t>during the period</w:t>
      </w:r>
      <w:r w:rsidRPr="108C08C8">
        <w:t xml:space="preserve"> 1994-2022 the age-standardised incidence rate of cervical cancer was 12.4 cases per 100,000 females per year. Figure </w:t>
      </w:r>
      <w:r w:rsidR="007672D9">
        <w:t>17.1</w:t>
      </w:r>
      <w:r w:rsidRPr="108C08C8">
        <w:t xml:space="preserve"> breaks this down further by </w:t>
      </w:r>
      <w:r w:rsidR="00366242">
        <w:t>age group</w:t>
      </w:r>
      <w:r w:rsidRPr="108C08C8">
        <w:t>.</w:t>
      </w:r>
    </w:p>
    <w:p w14:paraId="6BF39401" w14:textId="77777777" w:rsidR="00F55E6A" w:rsidRDefault="00F55E6A" w:rsidP="00F55E6A">
      <w:pPr>
        <w:spacing w:after="0" w:line="240" w:lineRule="auto"/>
      </w:pPr>
    </w:p>
    <w:tbl>
      <w:tblPr>
        <w:tblStyle w:val="TableGrid"/>
        <w:tblW w:w="9781" w:type="dxa"/>
        <w:tblInd w:w="-43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61"/>
      </w:tblGrid>
      <w:tr w:rsidR="00F55E6A" w:rsidRPr="009C6AD6" w14:paraId="659A8837" w14:textId="77777777" w:rsidTr="0041177B">
        <w:trPr>
          <w:trHeight w:val="113"/>
        </w:trPr>
        <w:tc>
          <w:tcPr>
            <w:tcW w:w="9781" w:type="dxa"/>
            <w:gridSpan w:val="2"/>
            <w:shd w:val="clear" w:color="auto" w:fill="002060"/>
          </w:tcPr>
          <w:p w14:paraId="7A81EE29" w14:textId="4D46A55E" w:rsidR="00F55E6A" w:rsidRPr="007672D9" w:rsidRDefault="00F55E6A" w:rsidP="0041177B">
            <w:pPr>
              <w:rPr>
                <w:rFonts w:asciiTheme="minorHAnsi" w:hAnsiTheme="minorHAnsi" w:cstheme="minorHAnsi"/>
                <w:b/>
                <w:bCs/>
                <w:color w:val="FFFFFF" w:themeColor="background1"/>
              </w:rPr>
            </w:pPr>
            <w:r w:rsidRPr="007672D9">
              <w:rPr>
                <w:rFonts w:asciiTheme="minorHAnsi" w:hAnsiTheme="minorHAnsi" w:cstheme="minorHAnsi"/>
                <w:b/>
                <w:bCs/>
                <w:color w:val="FFFFFF" w:themeColor="background1"/>
              </w:rPr>
              <w:t xml:space="preserve">Figure </w:t>
            </w:r>
            <w:r w:rsidR="007672D9" w:rsidRPr="007672D9">
              <w:rPr>
                <w:rFonts w:asciiTheme="minorHAnsi" w:hAnsiTheme="minorHAnsi" w:cstheme="minorHAnsi"/>
                <w:b/>
                <w:bCs/>
                <w:color w:val="FFFFFF" w:themeColor="background1"/>
              </w:rPr>
              <w:t>17.1:</w:t>
            </w:r>
            <w:r w:rsidRPr="007672D9">
              <w:rPr>
                <w:rFonts w:asciiTheme="minorHAnsi" w:hAnsiTheme="minorHAnsi" w:cstheme="minorHAnsi"/>
                <w:b/>
                <w:bCs/>
                <w:color w:val="FFFFFF" w:themeColor="background1"/>
              </w:rPr>
              <w:t xml:space="preserve"> Incidence rate (per 100,000) for cervical cancer by </w:t>
            </w:r>
            <w:r w:rsidR="00366242">
              <w:rPr>
                <w:rFonts w:asciiTheme="minorHAnsi" w:hAnsiTheme="minorHAnsi" w:cstheme="minorHAnsi"/>
                <w:b/>
                <w:bCs/>
                <w:color w:val="FFFFFF" w:themeColor="background1"/>
              </w:rPr>
              <w:t>age group</w:t>
            </w:r>
            <w:r w:rsidRPr="007672D9">
              <w:rPr>
                <w:rFonts w:asciiTheme="minorHAnsi" w:hAnsiTheme="minorHAnsi" w:cstheme="minorHAnsi"/>
                <w:b/>
                <w:bCs/>
                <w:color w:val="FFFFFF" w:themeColor="background1"/>
              </w:rPr>
              <w:t>,1994-2022</w:t>
            </w:r>
          </w:p>
        </w:tc>
      </w:tr>
      <w:tr w:rsidR="00F55E6A" w:rsidRPr="009C6AD6" w14:paraId="5C7F3A13" w14:textId="77777777" w:rsidTr="0041177B">
        <w:trPr>
          <w:trHeight w:val="2270"/>
        </w:trPr>
        <w:tc>
          <w:tcPr>
            <w:tcW w:w="4820" w:type="dxa"/>
            <w:shd w:val="clear" w:color="auto" w:fill="auto"/>
            <w:vAlign w:val="center"/>
          </w:tcPr>
          <w:p w14:paraId="7468806B" w14:textId="77777777" w:rsidR="00F55E6A" w:rsidRPr="009C6AD6" w:rsidRDefault="00F55E6A" w:rsidP="0041177B">
            <w:pPr>
              <w:rPr>
                <w:rFonts w:asciiTheme="minorHAnsi" w:hAnsiTheme="minorHAnsi" w:cstheme="minorHAnsi"/>
                <w:color w:val="000000" w:themeColor="text1"/>
              </w:rPr>
            </w:pPr>
            <w:r w:rsidRPr="009C6AD6">
              <w:rPr>
                <w:rFonts w:eastAsia="Times New Roman" w:cs="Times New Roman"/>
                <w:noProof/>
                <w:lang w:eastAsia="en-GB"/>
              </w:rPr>
              <w:drawing>
                <wp:inline distT="0" distB="0" distL="0" distR="0" wp14:anchorId="5797FD8B" wp14:editId="47B379C7">
                  <wp:extent cx="2859097" cy="1710000"/>
                  <wp:effectExtent l="0" t="0" r="0" b="5080"/>
                  <wp:docPr id="1771996130" name="Picture 2"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96130" name="Picture 2" descr="A graph with numbers and a bar&#10;&#10;AI-generated content may be incorrect."/>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859097" cy="1710000"/>
                          </a:xfrm>
                          <a:prstGeom prst="rect">
                            <a:avLst/>
                          </a:prstGeom>
                          <a:noFill/>
                          <a:ln>
                            <a:noFill/>
                          </a:ln>
                        </pic:spPr>
                      </pic:pic>
                    </a:graphicData>
                  </a:graphic>
                </wp:inline>
              </w:drawing>
            </w:r>
          </w:p>
        </w:tc>
        <w:tc>
          <w:tcPr>
            <w:tcW w:w="4961" w:type="dxa"/>
            <w:shd w:val="clear" w:color="auto" w:fill="auto"/>
            <w:vAlign w:val="center"/>
          </w:tcPr>
          <w:p w14:paraId="68136BED" w14:textId="77777777" w:rsidR="00F55E6A" w:rsidRPr="009C6AD6" w:rsidRDefault="00F55E6A" w:rsidP="0041177B">
            <w:pPr>
              <w:jc w:val="center"/>
              <w:rPr>
                <w:rFonts w:asciiTheme="minorHAnsi" w:hAnsiTheme="minorHAnsi" w:cstheme="minorHAnsi"/>
                <w:color w:val="000000" w:themeColor="text1"/>
                <w:lang w:val="en-GB"/>
              </w:rPr>
            </w:pPr>
          </w:p>
          <w:p w14:paraId="4C204208" w14:textId="77777777" w:rsidR="00F55E6A" w:rsidRPr="009C6AD6" w:rsidRDefault="00F55E6A" w:rsidP="0041177B">
            <w:pPr>
              <w:jc w:val="center"/>
              <w:rPr>
                <w:rFonts w:asciiTheme="minorHAnsi" w:hAnsiTheme="minorHAnsi" w:cstheme="minorHAnsi"/>
                <w:color w:val="000000" w:themeColor="text1"/>
              </w:rPr>
            </w:pPr>
          </w:p>
          <w:p w14:paraId="0C920C12" w14:textId="77777777" w:rsidR="00F55E6A" w:rsidRPr="009C6AD6" w:rsidRDefault="00F55E6A" w:rsidP="0041177B">
            <w:pPr>
              <w:jc w:val="center"/>
              <w:rPr>
                <w:rFonts w:asciiTheme="minorHAnsi" w:hAnsiTheme="minorHAnsi" w:cstheme="minorHAnsi"/>
                <w:color w:val="000000" w:themeColor="text1"/>
                <w:lang w:val="en-GB"/>
              </w:rPr>
            </w:pPr>
          </w:p>
          <w:p w14:paraId="59E5B5E0" w14:textId="77777777" w:rsidR="00F55E6A" w:rsidRPr="009C6AD6" w:rsidRDefault="00F55E6A" w:rsidP="0041177B">
            <w:pPr>
              <w:jc w:val="center"/>
              <w:rPr>
                <w:rFonts w:asciiTheme="minorHAnsi" w:hAnsiTheme="minorHAnsi" w:cstheme="minorHAnsi"/>
                <w:color w:val="000000" w:themeColor="text1"/>
              </w:rPr>
            </w:pPr>
          </w:p>
        </w:tc>
      </w:tr>
    </w:tbl>
    <w:p w14:paraId="17E3D3BB" w14:textId="77777777" w:rsidR="001A3B02" w:rsidRPr="001A3B02" w:rsidRDefault="001A3B02" w:rsidP="001A3B02">
      <w:bookmarkStart w:id="323" w:name="_Toc197557152"/>
    </w:p>
    <w:p w14:paraId="1A3E64D5" w14:textId="77777777" w:rsidR="00F55E6A" w:rsidRPr="001817D2" w:rsidRDefault="00F55E6A" w:rsidP="007672D9">
      <w:pPr>
        <w:pStyle w:val="Heading3"/>
        <w:spacing w:before="0" w:after="0"/>
      </w:pPr>
      <w:bookmarkStart w:id="324" w:name="_Toc201512543"/>
      <w:r w:rsidRPr="001817D2">
        <w:t>Trends over</w:t>
      </w:r>
      <w:r>
        <w:t xml:space="preserve"> </w:t>
      </w:r>
      <w:r w:rsidRPr="001817D2">
        <w:t>time</w:t>
      </w:r>
      <w:bookmarkEnd w:id="323"/>
      <w:bookmarkEnd w:id="324"/>
    </w:p>
    <w:p w14:paraId="66AF062F" w14:textId="7E589371" w:rsidR="00F55E6A" w:rsidRPr="001817D2" w:rsidRDefault="00F55E6A" w:rsidP="007672D9">
      <w:pPr>
        <w:spacing w:after="0" w:line="240" w:lineRule="auto"/>
      </w:pPr>
      <w:r w:rsidRPr="108C08C8">
        <w:t xml:space="preserve">Figure </w:t>
      </w:r>
      <w:r w:rsidR="007672D9">
        <w:t>17.2</w:t>
      </w:r>
      <w:r w:rsidRPr="108C08C8">
        <w:t xml:space="preserve"> shows the incidence of cervical cancer from 1994 to 2022. Incidence increased from 1994 until 2010 (2.0% per year (95%CI: 0.6;3.5)) followed by a subsequent steep decline in incidence from 2010 to 2022 (-3.1% per year (95% CI: -4.9; -1.2)). </w:t>
      </w:r>
    </w:p>
    <w:p w14:paraId="638D2BDD" w14:textId="77777777" w:rsidR="00F55E6A" w:rsidRDefault="00F55E6A" w:rsidP="00F55E6A">
      <w:pPr>
        <w:spacing w:after="0" w:line="240" w:lineRule="auto"/>
        <w:rPr>
          <w:rFonts w:cstheme="minorHAnsi"/>
        </w:rPr>
      </w:pPr>
    </w:p>
    <w:tbl>
      <w:tblPr>
        <w:tblStyle w:val="TableGrid"/>
        <w:tblW w:w="1007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8"/>
      </w:tblGrid>
      <w:tr w:rsidR="00F55E6A" w:rsidRPr="009C6AD6" w14:paraId="46BCE631" w14:textId="77777777" w:rsidTr="0041177B">
        <w:trPr>
          <w:trHeight w:val="113"/>
        </w:trPr>
        <w:tc>
          <w:tcPr>
            <w:tcW w:w="10078" w:type="dxa"/>
            <w:shd w:val="clear" w:color="auto" w:fill="002060"/>
            <w:vAlign w:val="center"/>
          </w:tcPr>
          <w:p w14:paraId="39D8A19D" w14:textId="0AE88309" w:rsidR="00F55E6A" w:rsidRPr="009C6AD6" w:rsidRDefault="00F55E6A" w:rsidP="0041177B">
            <w:pPr>
              <w:rPr>
                <w:rFonts w:asciiTheme="minorHAnsi" w:hAnsiTheme="minorHAnsi"/>
                <w:b/>
                <w:bCs/>
              </w:rPr>
            </w:pPr>
            <w:r w:rsidRPr="009C6AD6">
              <w:rPr>
                <w:rFonts w:asciiTheme="minorHAnsi" w:hAnsiTheme="minorHAnsi"/>
                <w:b/>
                <w:bCs/>
              </w:rPr>
              <w:t xml:space="preserve">Figure </w:t>
            </w:r>
            <w:r w:rsidR="007672D9">
              <w:rPr>
                <w:rFonts w:asciiTheme="minorHAnsi" w:hAnsiTheme="minorHAnsi"/>
                <w:b/>
                <w:bCs/>
              </w:rPr>
              <w:t>17.2:</w:t>
            </w:r>
            <w:r w:rsidRPr="009C6AD6">
              <w:rPr>
                <w:rFonts w:asciiTheme="minorHAnsi" w:hAnsiTheme="minorHAnsi"/>
                <w:b/>
                <w:bCs/>
              </w:rPr>
              <w:t xml:space="preserve">  Age-</w:t>
            </w:r>
            <w:r w:rsidRPr="009C6AD6">
              <w:rPr>
                <w:rFonts w:asciiTheme="minorHAnsi" w:hAnsiTheme="minorHAnsi"/>
                <w:b/>
                <w:bCs/>
                <w:bdr w:val="single" w:sz="4" w:space="0" w:color="auto"/>
              </w:rPr>
              <w:t>standardised incidence rate 1994-2022, cervical cancer</w:t>
            </w:r>
          </w:p>
        </w:tc>
      </w:tr>
      <w:tr w:rsidR="00F55E6A" w:rsidRPr="009C6AD6" w14:paraId="0A950B9E" w14:textId="77777777" w:rsidTr="0041177B">
        <w:trPr>
          <w:trHeight w:val="113"/>
        </w:trPr>
        <w:tc>
          <w:tcPr>
            <w:tcW w:w="10078" w:type="dxa"/>
            <w:vAlign w:val="center"/>
          </w:tcPr>
          <w:p w14:paraId="57D7BDB1" w14:textId="77777777" w:rsidR="00F55E6A" w:rsidRPr="009C6AD6" w:rsidRDefault="00F55E6A" w:rsidP="0041177B">
            <w:pPr>
              <w:rPr>
                <w:rFonts w:asciiTheme="minorHAnsi" w:hAnsiTheme="minorHAnsi"/>
              </w:rPr>
            </w:pPr>
            <w:r>
              <w:rPr>
                <w:noProof/>
              </w:rPr>
              <w:drawing>
                <wp:inline distT="0" distB="0" distL="0" distR="0" wp14:anchorId="36A18065" wp14:editId="647B8E73">
                  <wp:extent cx="6114197" cy="3017520"/>
                  <wp:effectExtent l="0" t="0" r="1270" b="0"/>
                  <wp:docPr id="648209623" name="Picture 7"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209623" name="Picture 7" descr="A graph with numbers and lines&#10;&#10;AI-generated content may be incorrect."/>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118462" cy="3019625"/>
                          </a:xfrm>
                          <a:prstGeom prst="rect">
                            <a:avLst/>
                          </a:prstGeom>
                          <a:noFill/>
                        </pic:spPr>
                      </pic:pic>
                    </a:graphicData>
                  </a:graphic>
                </wp:inline>
              </w:drawing>
            </w:r>
          </w:p>
        </w:tc>
      </w:tr>
      <w:tr w:rsidR="00F55E6A" w:rsidRPr="009C6AD6" w14:paraId="4CD817F1" w14:textId="77777777" w:rsidTr="0041177B">
        <w:trPr>
          <w:trHeight w:val="113"/>
        </w:trPr>
        <w:tc>
          <w:tcPr>
            <w:tcW w:w="10078" w:type="dxa"/>
            <w:vAlign w:val="center"/>
          </w:tcPr>
          <w:tbl>
            <w:tblPr>
              <w:tblpPr w:leftFromText="180" w:rightFromText="180" w:vertAnchor="page" w:horzAnchor="margin" w:tblpXSpec="center" w:tblpY="1"/>
              <w:tblOverlap w:val="never"/>
              <w:tblW w:w="0" w:type="auto"/>
              <w:tblCellMar>
                <w:top w:w="15" w:type="dxa"/>
                <w:bottom w:w="15" w:type="dxa"/>
              </w:tblCellMar>
              <w:tblLook w:val="04A0" w:firstRow="1" w:lastRow="0" w:firstColumn="1" w:lastColumn="0" w:noHBand="0" w:noVBand="1"/>
            </w:tblPr>
            <w:tblGrid>
              <w:gridCol w:w="530"/>
              <w:gridCol w:w="222"/>
              <w:gridCol w:w="1139"/>
              <w:gridCol w:w="771"/>
              <w:gridCol w:w="977"/>
              <w:gridCol w:w="706"/>
            </w:tblGrid>
            <w:tr w:rsidR="00F55E6A" w:rsidRPr="003B5C8A" w14:paraId="390153D2" w14:textId="77777777" w:rsidTr="0041177B">
              <w:trPr>
                <w:trHeight w:val="113"/>
              </w:trPr>
              <w:tc>
                <w:tcPr>
                  <w:tcW w:w="0" w:type="auto"/>
                  <w:tcBorders>
                    <w:top w:val="nil"/>
                    <w:left w:val="nil"/>
                    <w:bottom w:val="nil"/>
                    <w:right w:val="nil"/>
                  </w:tcBorders>
                  <w:noWrap/>
                  <w:vAlign w:val="center"/>
                  <w:hideMark/>
                </w:tcPr>
                <w:p w14:paraId="12EB577C" w14:textId="77777777" w:rsidR="00F55E6A" w:rsidRPr="003B5C8A"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3B5C8A">
                    <w:rPr>
                      <w:rFonts w:eastAsia="Times New Roman" w:cs="Times New Roman"/>
                      <w:b/>
                      <w:bCs/>
                      <w:color w:val="000000"/>
                      <w:kern w:val="0"/>
                      <w:sz w:val="20"/>
                      <w:szCs w:val="20"/>
                      <w:u w:val="single"/>
                      <w:lang w:eastAsia="en-GB"/>
                      <w14:ligatures w14:val="none"/>
                    </w:rPr>
                    <w:t>sex</w:t>
                  </w:r>
                </w:p>
              </w:tc>
              <w:tc>
                <w:tcPr>
                  <w:tcW w:w="0" w:type="auto"/>
                  <w:tcBorders>
                    <w:top w:val="nil"/>
                    <w:left w:val="nil"/>
                    <w:bottom w:val="nil"/>
                    <w:right w:val="nil"/>
                  </w:tcBorders>
                </w:tcPr>
                <w:p w14:paraId="6987F487" w14:textId="77777777" w:rsidR="00F55E6A" w:rsidRPr="003B5C8A"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p>
              </w:tc>
              <w:tc>
                <w:tcPr>
                  <w:tcW w:w="0" w:type="auto"/>
                  <w:tcBorders>
                    <w:top w:val="nil"/>
                    <w:left w:val="nil"/>
                    <w:bottom w:val="nil"/>
                    <w:right w:val="nil"/>
                  </w:tcBorders>
                  <w:noWrap/>
                  <w:vAlign w:val="center"/>
                  <w:hideMark/>
                </w:tcPr>
                <w:p w14:paraId="1FBCDFFF" w14:textId="77777777" w:rsidR="00F55E6A" w:rsidRPr="003B5C8A"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3B5C8A">
                    <w:rPr>
                      <w:rFonts w:eastAsia="Times New Roman" w:cs="Times New Roman"/>
                      <w:b/>
                      <w:bCs/>
                      <w:color w:val="000000"/>
                      <w:kern w:val="0"/>
                      <w:sz w:val="20"/>
                      <w:szCs w:val="20"/>
                      <w:u w:val="single"/>
                      <w:lang w:eastAsia="en-GB"/>
                      <w14:ligatures w14:val="none"/>
                    </w:rPr>
                    <w:t>period</w:t>
                  </w:r>
                </w:p>
              </w:tc>
              <w:tc>
                <w:tcPr>
                  <w:tcW w:w="0" w:type="auto"/>
                  <w:tcBorders>
                    <w:top w:val="nil"/>
                    <w:left w:val="nil"/>
                    <w:bottom w:val="nil"/>
                    <w:right w:val="nil"/>
                  </w:tcBorders>
                  <w:noWrap/>
                  <w:vAlign w:val="center"/>
                  <w:hideMark/>
                </w:tcPr>
                <w:p w14:paraId="2BEA0444" w14:textId="77777777" w:rsidR="00F55E6A" w:rsidRPr="003B5C8A"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3B5C8A">
                    <w:rPr>
                      <w:rFonts w:eastAsia="Times New Roman" w:cs="Times New Roman"/>
                      <w:b/>
                      <w:bCs/>
                      <w:color w:val="000000"/>
                      <w:kern w:val="0"/>
                      <w:sz w:val="20"/>
                      <w:szCs w:val="20"/>
                      <w:u w:val="single"/>
                      <w:lang w:eastAsia="en-GB"/>
                      <w14:ligatures w14:val="none"/>
                    </w:rPr>
                    <w:t>APC%</w:t>
                  </w:r>
                </w:p>
              </w:tc>
              <w:tc>
                <w:tcPr>
                  <w:tcW w:w="0" w:type="auto"/>
                  <w:tcBorders>
                    <w:top w:val="nil"/>
                    <w:left w:val="nil"/>
                    <w:bottom w:val="nil"/>
                    <w:right w:val="nil"/>
                  </w:tcBorders>
                  <w:noWrap/>
                  <w:vAlign w:val="center"/>
                  <w:hideMark/>
                </w:tcPr>
                <w:p w14:paraId="4BB27B3F" w14:textId="77777777" w:rsidR="00F55E6A" w:rsidRPr="003B5C8A"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3B5C8A">
                    <w:rPr>
                      <w:rFonts w:eastAsia="Times New Roman" w:cs="Times New Roman"/>
                      <w:b/>
                      <w:bCs/>
                      <w:color w:val="000000"/>
                      <w:kern w:val="0"/>
                      <w:sz w:val="20"/>
                      <w:szCs w:val="20"/>
                      <w:u w:val="single"/>
                      <w:lang w:eastAsia="en-GB"/>
                      <w14:ligatures w14:val="none"/>
                    </w:rPr>
                    <w:t>95%CI</w:t>
                  </w:r>
                </w:p>
              </w:tc>
              <w:tc>
                <w:tcPr>
                  <w:tcW w:w="0" w:type="auto"/>
                  <w:tcBorders>
                    <w:top w:val="nil"/>
                    <w:left w:val="nil"/>
                    <w:bottom w:val="nil"/>
                    <w:right w:val="nil"/>
                  </w:tcBorders>
                  <w:noWrap/>
                  <w:vAlign w:val="center"/>
                  <w:hideMark/>
                </w:tcPr>
                <w:p w14:paraId="192EF1DC" w14:textId="77777777" w:rsidR="00F55E6A" w:rsidRPr="003B5C8A"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3B5C8A">
                    <w:rPr>
                      <w:rFonts w:eastAsia="Times New Roman" w:cs="Times New Roman"/>
                      <w:b/>
                      <w:bCs/>
                      <w:color w:val="000000"/>
                      <w:kern w:val="0"/>
                      <w:sz w:val="20"/>
                      <w:szCs w:val="20"/>
                      <w:u w:val="single"/>
                      <w:lang w:eastAsia="en-GB"/>
                      <w14:ligatures w14:val="none"/>
                    </w:rPr>
                    <w:t>trend</w:t>
                  </w:r>
                </w:p>
              </w:tc>
            </w:tr>
            <w:tr w:rsidR="00F55E6A" w:rsidRPr="003B5C8A" w14:paraId="35618FC0" w14:textId="77777777" w:rsidTr="0041177B">
              <w:trPr>
                <w:trHeight w:val="113"/>
              </w:trPr>
              <w:tc>
                <w:tcPr>
                  <w:tcW w:w="0" w:type="auto"/>
                  <w:tcBorders>
                    <w:top w:val="nil"/>
                    <w:left w:val="nil"/>
                    <w:bottom w:val="nil"/>
                    <w:right w:val="nil"/>
                  </w:tcBorders>
                  <w:noWrap/>
                  <w:vAlign w:val="center"/>
                  <w:hideMark/>
                </w:tcPr>
                <w:p w14:paraId="02F98366" w14:textId="77777777" w:rsidR="00F55E6A" w:rsidRPr="003B5C8A" w:rsidRDefault="00F55E6A" w:rsidP="0041177B">
                  <w:pPr>
                    <w:spacing w:after="0" w:line="240" w:lineRule="auto"/>
                    <w:jc w:val="center"/>
                    <w:rPr>
                      <w:rFonts w:eastAsia="Times New Roman" w:cs="Times New Roman"/>
                      <w:color w:val="000000"/>
                      <w:kern w:val="0"/>
                      <w:sz w:val="20"/>
                      <w:szCs w:val="20"/>
                      <w:lang w:eastAsia="en-GB"/>
                      <w14:ligatures w14:val="none"/>
                    </w:rPr>
                  </w:pPr>
                  <w:r w:rsidRPr="003B5C8A">
                    <w:rPr>
                      <w:rFonts w:eastAsia="Times New Roman" w:cs="Times New Roman"/>
                      <w:color w:val="000000"/>
                      <w:kern w:val="0"/>
                      <w:sz w:val="20"/>
                      <w:szCs w:val="20"/>
                      <w:lang w:eastAsia="en-GB"/>
                      <w14:ligatures w14:val="none"/>
                    </w:rPr>
                    <w:t>F</w:t>
                  </w:r>
                </w:p>
              </w:tc>
              <w:tc>
                <w:tcPr>
                  <w:tcW w:w="0" w:type="auto"/>
                  <w:tcBorders>
                    <w:top w:val="nil"/>
                    <w:left w:val="nil"/>
                    <w:bottom w:val="nil"/>
                    <w:right w:val="nil"/>
                  </w:tcBorders>
                </w:tcPr>
                <w:p w14:paraId="393286F1" w14:textId="77777777" w:rsidR="00F55E6A" w:rsidRPr="003B5C8A" w:rsidRDefault="00F55E6A" w:rsidP="0041177B">
                  <w:pPr>
                    <w:spacing w:after="0" w:line="240" w:lineRule="auto"/>
                    <w:jc w:val="center"/>
                    <w:rPr>
                      <w:color w:val="000000"/>
                      <w:sz w:val="20"/>
                      <w:szCs w:val="20"/>
                    </w:rPr>
                  </w:pPr>
                </w:p>
              </w:tc>
              <w:tc>
                <w:tcPr>
                  <w:tcW w:w="0" w:type="auto"/>
                  <w:tcBorders>
                    <w:top w:val="nil"/>
                    <w:left w:val="nil"/>
                    <w:bottom w:val="nil"/>
                    <w:right w:val="nil"/>
                  </w:tcBorders>
                  <w:noWrap/>
                  <w:vAlign w:val="center"/>
                  <w:hideMark/>
                </w:tcPr>
                <w:p w14:paraId="626FAFCE" w14:textId="77777777" w:rsidR="00F55E6A" w:rsidRPr="003B5C8A" w:rsidRDefault="00F55E6A" w:rsidP="0041177B">
                  <w:pPr>
                    <w:spacing w:after="0" w:line="240" w:lineRule="auto"/>
                    <w:jc w:val="center"/>
                    <w:rPr>
                      <w:rFonts w:eastAsia="Times New Roman" w:cs="Times New Roman"/>
                      <w:color w:val="000000"/>
                      <w:kern w:val="0"/>
                      <w:sz w:val="20"/>
                      <w:szCs w:val="20"/>
                      <w:lang w:eastAsia="en-GB"/>
                      <w14:ligatures w14:val="none"/>
                    </w:rPr>
                  </w:pPr>
                  <w:r w:rsidRPr="003B5C8A">
                    <w:rPr>
                      <w:color w:val="000000"/>
                      <w:sz w:val="20"/>
                      <w:szCs w:val="20"/>
                    </w:rPr>
                    <w:t>1994-2010</w:t>
                  </w:r>
                </w:p>
              </w:tc>
              <w:tc>
                <w:tcPr>
                  <w:tcW w:w="0" w:type="auto"/>
                  <w:tcBorders>
                    <w:top w:val="nil"/>
                    <w:left w:val="nil"/>
                    <w:bottom w:val="nil"/>
                    <w:right w:val="nil"/>
                  </w:tcBorders>
                  <w:noWrap/>
                  <w:vAlign w:val="center"/>
                  <w:hideMark/>
                </w:tcPr>
                <w:p w14:paraId="71B86406" w14:textId="0C99B120" w:rsidR="00F55E6A" w:rsidRPr="003B5C8A" w:rsidRDefault="00F55E6A" w:rsidP="0041177B">
                  <w:pPr>
                    <w:spacing w:after="0" w:line="240" w:lineRule="auto"/>
                    <w:jc w:val="center"/>
                    <w:rPr>
                      <w:rFonts w:eastAsia="Times New Roman" w:cs="Times New Roman"/>
                      <w:color w:val="000000"/>
                      <w:kern w:val="0"/>
                      <w:sz w:val="20"/>
                      <w:szCs w:val="20"/>
                      <w:lang w:eastAsia="en-GB"/>
                      <w14:ligatures w14:val="none"/>
                    </w:rPr>
                  </w:pPr>
                  <w:r w:rsidRPr="003B5C8A">
                    <w:rPr>
                      <w:color w:val="000000"/>
                      <w:sz w:val="20"/>
                      <w:szCs w:val="20"/>
                    </w:rPr>
                    <w:t>2</w:t>
                  </w:r>
                  <w:r w:rsidR="00D720F2">
                    <w:rPr>
                      <w:color w:val="000000"/>
                      <w:sz w:val="20"/>
                      <w:szCs w:val="20"/>
                    </w:rPr>
                    <w:t>.0</w:t>
                  </w:r>
                </w:p>
              </w:tc>
              <w:tc>
                <w:tcPr>
                  <w:tcW w:w="0" w:type="auto"/>
                  <w:tcBorders>
                    <w:top w:val="nil"/>
                    <w:left w:val="nil"/>
                    <w:bottom w:val="nil"/>
                    <w:right w:val="nil"/>
                  </w:tcBorders>
                  <w:noWrap/>
                  <w:vAlign w:val="center"/>
                  <w:hideMark/>
                </w:tcPr>
                <w:p w14:paraId="49E2337D" w14:textId="77777777" w:rsidR="00F55E6A" w:rsidRPr="003B5C8A" w:rsidRDefault="00F55E6A" w:rsidP="0041177B">
                  <w:pPr>
                    <w:spacing w:after="0" w:line="240" w:lineRule="auto"/>
                    <w:jc w:val="center"/>
                    <w:rPr>
                      <w:rFonts w:eastAsia="Times New Roman" w:cs="Times New Roman"/>
                      <w:color w:val="000000"/>
                      <w:kern w:val="0"/>
                      <w:sz w:val="20"/>
                      <w:szCs w:val="20"/>
                      <w:lang w:eastAsia="en-GB"/>
                      <w14:ligatures w14:val="none"/>
                    </w:rPr>
                  </w:pPr>
                  <w:r w:rsidRPr="003B5C8A">
                    <w:rPr>
                      <w:color w:val="000000"/>
                      <w:sz w:val="20"/>
                      <w:szCs w:val="20"/>
                    </w:rPr>
                    <w:t>0.6,3.5</w:t>
                  </w:r>
                </w:p>
              </w:tc>
              <w:tc>
                <w:tcPr>
                  <w:tcW w:w="0" w:type="auto"/>
                  <w:tcBorders>
                    <w:top w:val="nil"/>
                    <w:left w:val="nil"/>
                    <w:bottom w:val="nil"/>
                    <w:right w:val="nil"/>
                  </w:tcBorders>
                  <w:noWrap/>
                  <w:vAlign w:val="center"/>
                  <w:hideMark/>
                </w:tcPr>
                <w:p w14:paraId="05DE1F40" w14:textId="77777777" w:rsidR="00F55E6A" w:rsidRPr="003B5C8A" w:rsidRDefault="00F55E6A" w:rsidP="0041177B">
                  <w:pPr>
                    <w:spacing w:after="0" w:line="240" w:lineRule="auto"/>
                    <w:jc w:val="center"/>
                    <w:rPr>
                      <w:rFonts w:eastAsia="Times New Roman" w:cs="Times New Roman"/>
                      <w:color w:val="000000"/>
                      <w:kern w:val="0"/>
                      <w:sz w:val="20"/>
                      <w:szCs w:val="20"/>
                      <w:lang w:eastAsia="en-GB"/>
                      <w14:ligatures w14:val="none"/>
                    </w:rPr>
                  </w:pPr>
                  <w:r w:rsidRPr="003B5C8A">
                    <w:rPr>
                      <w:color w:val="000000"/>
                      <w:sz w:val="20"/>
                      <w:szCs w:val="20"/>
                    </w:rPr>
                    <w:t>up</w:t>
                  </w:r>
                </w:p>
              </w:tc>
            </w:tr>
            <w:tr w:rsidR="00F55E6A" w:rsidRPr="003B5C8A" w14:paraId="43E1445E" w14:textId="77777777" w:rsidTr="0041177B">
              <w:trPr>
                <w:trHeight w:val="113"/>
              </w:trPr>
              <w:tc>
                <w:tcPr>
                  <w:tcW w:w="0" w:type="auto"/>
                  <w:tcBorders>
                    <w:top w:val="nil"/>
                    <w:left w:val="nil"/>
                    <w:bottom w:val="nil"/>
                    <w:right w:val="nil"/>
                  </w:tcBorders>
                  <w:noWrap/>
                  <w:vAlign w:val="center"/>
                </w:tcPr>
                <w:p w14:paraId="7AD486BF" w14:textId="2AA6C077" w:rsidR="00F55E6A" w:rsidRPr="003B5C8A" w:rsidRDefault="00F55E6A" w:rsidP="0041177B">
                  <w:pPr>
                    <w:spacing w:after="0" w:line="240" w:lineRule="auto"/>
                    <w:jc w:val="center"/>
                    <w:rPr>
                      <w:rFonts w:eastAsia="Times New Roman" w:cs="Times New Roman"/>
                      <w:color w:val="000000"/>
                      <w:kern w:val="0"/>
                      <w:sz w:val="20"/>
                      <w:szCs w:val="20"/>
                      <w:lang w:eastAsia="en-GB"/>
                      <w14:ligatures w14:val="none"/>
                    </w:rPr>
                  </w:pPr>
                </w:p>
              </w:tc>
              <w:tc>
                <w:tcPr>
                  <w:tcW w:w="0" w:type="auto"/>
                  <w:tcBorders>
                    <w:top w:val="nil"/>
                    <w:left w:val="nil"/>
                    <w:bottom w:val="nil"/>
                    <w:right w:val="nil"/>
                  </w:tcBorders>
                </w:tcPr>
                <w:p w14:paraId="464250F6" w14:textId="77777777" w:rsidR="00F55E6A" w:rsidRPr="003B5C8A" w:rsidRDefault="00F55E6A" w:rsidP="0041177B">
                  <w:pPr>
                    <w:spacing w:after="0" w:line="240" w:lineRule="auto"/>
                    <w:jc w:val="center"/>
                    <w:rPr>
                      <w:color w:val="000000"/>
                      <w:sz w:val="20"/>
                      <w:szCs w:val="20"/>
                    </w:rPr>
                  </w:pPr>
                </w:p>
              </w:tc>
              <w:tc>
                <w:tcPr>
                  <w:tcW w:w="0" w:type="auto"/>
                  <w:tcBorders>
                    <w:top w:val="nil"/>
                    <w:left w:val="nil"/>
                    <w:bottom w:val="nil"/>
                    <w:right w:val="nil"/>
                  </w:tcBorders>
                  <w:noWrap/>
                  <w:vAlign w:val="center"/>
                </w:tcPr>
                <w:p w14:paraId="7928C5B4" w14:textId="77777777" w:rsidR="00F55E6A" w:rsidRPr="003B5C8A" w:rsidRDefault="00F55E6A" w:rsidP="0041177B">
                  <w:pPr>
                    <w:spacing w:after="0" w:line="240" w:lineRule="auto"/>
                    <w:jc w:val="center"/>
                    <w:rPr>
                      <w:rFonts w:eastAsia="Times New Roman" w:cs="Times New Roman"/>
                      <w:color w:val="000000"/>
                      <w:kern w:val="0"/>
                      <w:sz w:val="20"/>
                      <w:szCs w:val="20"/>
                      <w:lang w:eastAsia="en-GB"/>
                      <w14:ligatures w14:val="none"/>
                    </w:rPr>
                  </w:pPr>
                  <w:r w:rsidRPr="003B5C8A">
                    <w:rPr>
                      <w:color w:val="000000"/>
                      <w:sz w:val="20"/>
                      <w:szCs w:val="20"/>
                    </w:rPr>
                    <w:t>2010-2022</w:t>
                  </w:r>
                </w:p>
              </w:tc>
              <w:tc>
                <w:tcPr>
                  <w:tcW w:w="0" w:type="auto"/>
                  <w:tcBorders>
                    <w:top w:val="nil"/>
                    <w:left w:val="nil"/>
                    <w:bottom w:val="nil"/>
                    <w:right w:val="nil"/>
                  </w:tcBorders>
                  <w:noWrap/>
                  <w:vAlign w:val="center"/>
                </w:tcPr>
                <w:p w14:paraId="2C359084" w14:textId="77A41053" w:rsidR="00F55E6A" w:rsidRPr="003B5C8A" w:rsidRDefault="00F55E6A" w:rsidP="0041177B">
                  <w:pPr>
                    <w:spacing w:after="0" w:line="240" w:lineRule="auto"/>
                    <w:jc w:val="center"/>
                    <w:rPr>
                      <w:color w:val="000000"/>
                      <w:sz w:val="20"/>
                      <w:szCs w:val="20"/>
                    </w:rPr>
                  </w:pPr>
                  <w:r w:rsidRPr="003B5C8A">
                    <w:rPr>
                      <w:color w:val="000000"/>
                      <w:sz w:val="20"/>
                      <w:szCs w:val="20"/>
                    </w:rPr>
                    <w:t>-3</w:t>
                  </w:r>
                  <w:r w:rsidR="00D720F2">
                    <w:rPr>
                      <w:color w:val="000000"/>
                      <w:sz w:val="20"/>
                      <w:szCs w:val="20"/>
                    </w:rPr>
                    <w:t>.1</w:t>
                  </w:r>
                </w:p>
              </w:tc>
              <w:tc>
                <w:tcPr>
                  <w:tcW w:w="0" w:type="auto"/>
                  <w:tcBorders>
                    <w:top w:val="nil"/>
                    <w:left w:val="nil"/>
                    <w:bottom w:val="nil"/>
                    <w:right w:val="nil"/>
                  </w:tcBorders>
                  <w:noWrap/>
                  <w:vAlign w:val="center"/>
                </w:tcPr>
                <w:p w14:paraId="1DF5D0D3" w14:textId="77777777" w:rsidR="00F55E6A" w:rsidRPr="003B5C8A" w:rsidRDefault="00F55E6A" w:rsidP="0041177B">
                  <w:pPr>
                    <w:spacing w:after="0" w:line="240" w:lineRule="auto"/>
                    <w:jc w:val="center"/>
                    <w:rPr>
                      <w:color w:val="000000"/>
                      <w:sz w:val="20"/>
                      <w:szCs w:val="20"/>
                    </w:rPr>
                  </w:pPr>
                  <w:r w:rsidRPr="003B5C8A">
                    <w:rPr>
                      <w:color w:val="000000"/>
                      <w:sz w:val="20"/>
                      <w:szCs w:val="20"/>
                    </w:rPr>
                    <w:t>-4.8, -1.2</w:t>
                  </w:r>
                </w:p>
              </w:tc>
              <w:tc>
                <w:tcPr>
                  <w:tcW w:w="0" w:type="auto"/>
                  <w:tcBorders>
                    <w:top w:val="nil"/>
                    <w:left w:val="nil"/>
                    <w:bottom w:val="nil"/>
                    <w:right w:val="nil"/>
                  </w:tcBorders>
                  <w:noWrap/>
                  <w:vAlign w:val="center"/>
                </w:tcPr>
                <w:p w14:paraId="7A590351" w14:textId="77777777" w:rsidR="00F55E6A" w:rsidRPr="003B5C8A" w:rsidRDefault="00F55E6A" w:rsidP="0041177B">
                  <w:pPr>
                    <w:spacing w:after="0" w:line="240" w:lineRule="auto"/>
                    <w:jc w:val="center"/>
                    <w:rPr>
                      <w:color w:val="000000"/>
                      <w:sz w:val="20"/>
                      <w:szCs w:val="20"/>
                    </w:rPr>
                  </w:pPr>
                  <w:r w:rsidRPr="003B5C8A">
                    <w:rPr>
                      <w:color w:val="000000"/>
                      <w:sz w:val="20"/>
                      <w:szCs w:val="20"/>
                    </w:rPr>
                    <w:t>down</w:t>
                  </w:r>
                </w:p>
              </w:tc>
            </w:tr>
          </w:tbl>
          <w:p w14:paraId="3408B36C" w14:textId="77777777" w:rsidR="00F55E6A" w:rsidRPr="009C6AD6" w:rsidRDefault="00F55E6A" w:rsidP="0041177B">
            <w:pPr>
              <w:jc w:val="center"/>
              <w:rPr>
                <w:rFonts w:eastAsia="Times New Roman" w:cs="Times New Roman"/>
                <w:b/>
                <w:bCs/>
                <w:color w:val="000000"/>
                <w:sz w:val="14"/>
                <w:szCs w:val="14"/>
                <w:u w:val="single"/>
                <w:lang w:eastAsia="en-GB"/>
              </w:rPr>
            </w:pPr>
          </w:p>
        </w:tc>
      </w:tr>
      <w:tr w:rsidR="00F55E6A" w:rsidRPr="009C6AD6" w14:paraId="20EA4944" w14:textId="77777777" w:rsidTr="0041177B">
        <w:trPr>
          <w:trHeight w:val="113"/>
        </w:trPr>
        <w:tc>
          <w:tcPr>
            <w:tcW w:w="10078" w:type="dxa"/>
            <w:vAlign w:val="center"/>
          </w:tcPr>
          <w:p w14:paraId="191B4CFF" w14:textId="77777777" w:rsidR="00F55E6A" w:rsidRPr="009C6AD6" w:rsidRDefault="00F55E6A" w:rsidP="0041177B">
            <w:pPr>
              <w:pBdr>
                <w:bottom w:val="single" w:sz="4" w:space="1" w:color="auto"/>
              </w:pBdr>
              <w:rPr>
                <w:rFonts w:asciiTheme="minorHAnsi" w:hAnsiTheme="minorHAnsi"/>
                <w:bCs/>
                <w:sz w:val="18"/>
                <w:szCs w:val="16"/>
              </w:rPr>
            </w:pPr>
            <w:r w:rsidRPr="009C6AD6">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4765A150" w14:textId="77777777" w:rsidR="00F55E6A" w:rsidRPr="009C6AD6" w:rsidRDefault="00F55E6A" w:rsidP="0041177B">
            <w:pPr>
              <w:rPr>
                <w:rFonts w:asciiTheme="minorHAnsi" w:hAnsiTheme="minorHAnsi"/>
                <w:b/>
                <w:bCs/>
                <w:noProof/>
                <w:sz w:val="14"/>
                <w:szCs w:val="14"/>
                <w:u w:val="single"/>
              </w:rPr>
            </w:pPr>
          </w:p>
        </w:tc>
      </w:tr>
    </w:tbl>
    <w:p w14:paraId="570968F4" w14:textId="77777777" w:rsidR="00F55E6A" w:rsidRDefault="00F55E6A" w:rsidP="00F55E6A">
      <w:pPr>
        <w:spacing w:after="0" w:line="240" w:lineRule="auto"/>
        <w:rPr>
          <w:rFonts w:cstheme="minorHAnsi"/>
        </w:rPr>
        <w:sectPr w:rsidR="00F55E6A" w:rsidSect="002746C0">
          <w:pgSz w:w="11906" w:h="16838"/>
          <w:pgMar w:top="1440" w:right="1440" w:bottom="1440" w:left="1440" w:header="708" w:footer="708" w:gutter="0"/>
          <w:cols w:space="708"/>
          <w:docGrid w:linePitch="360"/>
        </w:sectPr>
      </w:pPr>
    </w:p>
    <w:p w14:paraId="1F0C3BC6" w14:textId="77777777" w:rsidR="00F55E6A" w:rsidRPr="002B2E2A" w:rsidRDefault="00F55E6A" w:rsidP="007672D9">
      <w:pPr>
        <w:pStyle w:val="Heading3"/>
        <w:spacing w:before="0" w:after="0"/>
      </w:pPr>
      <w:bookmarkStart w:id="325" w:name="_Toc197557153"/>
      <w:bookmarkStart w:id="326" w:name="_Toc201512544"/>
      <w:r w:rsidRPr="002B2E2A">
        <w:t>Variation by deprivation quintile</w:t>
      </w:r>
      <w:bookmarkEnd w:id="325"/>
      <w:bookmarkEnd w:id="326"/>
      <w:r w:rsidRPr="002B2E2A">
        <w:t xml:space="preserve"> </w:t>
      </w:r>
    </w:p>
    <w:p w14:paraId="335DDA52" w14:textId="305B484F" w:rsidR="00F55E6A" w:rsidRPr="000518C3" w:rsidRDefault="00F55E6A" w:rsidP="007672D9">
      <w:pPr>
        <w:spacing w:after="0" w:line="240" w:lineRule="auto"/>
        <w:rPr>
          <w:rFonts w:cstheme="minorHAnsi"/>
          <w:color w:val="000000" w:themeColor="text1"/>
        </w:rPr>
      </w:pPr>
      <w:r w:rsidRPr="000518C3">
        <w:rPr>
          <w:rFonts w:cstheme="minorHAnsi"/>
          <w:color w:val="000000" w:themeColor="text1"/>
        </w:rPr>
        <w:t xml:space="preserve">Age-standardised incidence rates of </w:t>
      </w:r>
      <w:r>
        <w:rPr>
          <w:rFonts w:cstheme="minorHAnsi"/>
        </w:rPr>
        <w:t>cervical</w:t>
      </w:r>
      <w:r w:rsidRPr="000518C3">
        <w:rPr>
          <w:rFonts w:cstheme="minorHAnsi"/>
        </w:rPr>
        <w:t xml:space="preserve"> cancer </w:t>
      </w:r>
      <w:r w:rsidRPr="000518C3">
        <w:rPr>
          <w:rFonts w:cstheme="minorHAnsi"/>
          <w:color w:val="000000" w:themeColor="text1"/>
        </w:rPr>
        <w:t xml:space="preserve">in 2014-2018 ranged </w:t>
      </w:r>
      <w:r>
        <w:rPr>
          <w:rFonts w:cstheme="minorHAnsi"/>
          <w:color w:val="000000" w:themeColor="text1"/>
        </w:rPr>
        <w:t>from 9.7 to 17.3</w:t>
      </w:r>
      <w:r w:rsidRPr="000518C3">
        <w:rPr>
          <w:rFonts w:cstheme="minorHAnsi"/>
          <w:color w:val="000000" w:themeColor="text1"/>
        </w:rPr>
        <w:t xml:space="preserve"> cases per 100,000 </w:t>
      </w:r>
      <w:r>
        <w:rPr>
          <w:rFonts w:cstheme="minorHAnsi"/>
          <w:color w:val="000000" w:themeColor="text1"/>
        </w:rPr>
        <w:t>in the least deprived to the most deprived</w:t>
      </w:r>
      <w:r w:rsidRPr="000518C3">
        <w:rPr>
          <w:rFonts w:cstheme="minorHAnsi"/>
          <w:color w:val="000000" w:themeColor="text1"/>
        </w:rPr>
        <w:t xml:space="preserve"> quintiles </w:t>
      </w:r>
      <w:r>
        <w:rPr>
          <w:rFonts w:cstheme="minorHAnsi"/>
          <w:color w:val="000000" w:themeColor="text1"/>
        </w:rPr>
        <w:t xml:space="preserve">respectively </w:t>
      </w:r>
      <w:r w:rsidRPr="000518C3">
        <w:rPr>
          <w:rFonts w:cstheme="minorHAnsi"/>
          <w:color w:val="000000" w:themeColor="text1"/>
        </w:rPr>
        <w:t xml:space="preserve">(Figure </w:t>
      </w:r>
      <w:r w:rsidR="007672D9">
        <w:rPr>
          <w:rFonts w:cstheme="minorHAnsi"/>
          <w:color w:val="000000" w:themeColor="text1"/>
        </w:rPr>
        <w:t>17.3</w:t>
      </w:r>
      <w:r w:rsidRPr="000518C3">
        <w:rPr>
          <w:rFonts w:cstheme="minorHAnsi"/>
          <w:color w:val="000000" w:themeColor="text1"/>
        </w:rPr>
        <w:t>).</w:t>
      </w:r>
    </w:p>
    <w:p w14:paraId="328D48E4" w14:textId="77777777" w:rsidR="00F55E6A" w:rsidRDefault="00F55E6A" w:rsidP="00F55E6A">
      <w:pPr>
        <w:spacing w:after="0" w:line="240" w:lineRule="auto"/>
      </w:pPr>
    </w:p>
    <w:tbl>
      <w:tblPr>
        <w:tblStyle w:val="TableGrid"/>
        <w:tblW w:w="9781" w:type="dxa"/>
        <w:tblInd w:w="-43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7"/>
        <w:gridCol w:w="5064"/>
      </w:tblGrid>
      <w:tr w:rsidR="00F55E6A" w:rsidRPr="009C6AD6" w14:paraId="2C6153DF" w14:textId="77777777" w:rsidTr="0041177B">
        <w:trPr>
          <w:trHeight w:val="113"/>
        </w:trPr>
        <w:tc>
          <w:tcPr>
            <w:tcW w:w="9781" w:type="dxa"/>
            <w:gridSpan w:val="2"/>
            <w:shd w:val="clear" w:color="auto" w:fill="002060"/>
          </w:tcPr>
          <w:p w14:paraId="71322925" w14:textId="2B5E6D18" w:rsidR="00F55E6A" w:rsidRPr="007672D9" w:rsidRDefault="00F55E6A" w:rsidP="0041177B">
            <w:pPr>
              <w:rPr>
                <w:rFonts w:asciiTheme="minorHAnsi" w:hAnsiTheme="minorHAnsi" w:cstheme="minorHAnsi"/>
                <w:b/>
                <w:bCs/>
                <w:color w:val="FFFFFF" w:themeColor="background1"/>
              </w:rPr>
            </w:pPr>
            <w:r w:rsidRPr="007672D9">
              <w:rPr>
                <w:rFonts w:asciiTheme="minorHAnsi" w:hAnsiTheme="minorHAnsi" w:cstheme="minorHAnsi"/>
                <w:b/>
                <w:bCs/>
                <w:color w:val="FFFFFF" w:themeColor="background1"/>
              </w:rPr>
              <w:t>Figure</w:t>
            </w:r>
            <w:r w:rsidR="007672D9" w:rsidRPr="007672D9">
              <w:rPr>
                <w:rFonts w:asciiTheme="minorHAnsi" w:hAnsiTheme="minorHAnsi" w:cstheme="minorHAnsi"/>
                <w:b/>
                <w:bCs/>
                <w:color w:val="FFFFFF" w:themeColor="background1"/>
              </w:rPr>
              <w:t xml:space="preserve"> 17.3:</w:t>
            </w:r>
            <w:r w:rsidRPr="007672D9">
              <w:rPr>
                <w:rFonts w:asciiTheme="minorHAnsi" w:hAnsiTheme="minorHAnsi" w:cstheme="minorHAnsi"/>
                <w:b/>
                <w:bCs/>
                <w:color w:val="FFFFFF" w:themeColor="background1"/>
              </w:rPr>
              <w:t xml:space="preserve">  Incidence rate (per 100,000) for cervical cancer by deprivation quintile, 2014-2018</w:t>
            </w:r>
          </w:p>
        </w:tc>
      </w:tr>
      <w:tr w:rsidR="00F55E6A" w:rsidRPr="009C6AD6" w14:paraId="360F0F4B" w14:textId="77777777" w:rsidTr="0041177B">
        <w:trPr>
          <w:trHeight w:val="113"/>
        </w:trPr>
        <w:tc>
          <w:tcPr>
            <w:tcW w:w="4717" w:type="dxa"/>
            <w:shd w:val="clear" w:color="auto" w:fill="auto"/>
            <w:vAlign w:val="center"/>
          </w:tcPr>
          <w:p w14:paraId="2CDB6D5A" w14:textId="77777777" w:rsidR="00F55E6A" w:rsidRPr="009C6AD6" w:rsidRDefault="00F55E6A" w:rsidP="0041177B">
            <w:pPr>
              <w:rPr>
                <w:rFonts w:asciiTheme="minorHAnsi" w:eastAsia="Times New Roman" w:hAnsiTheme="minorHAnsi" w:cs="Times New Roman"/>
                <w:lang w:eastAsia="en-GB"/>
              </w:rPr>
            </w:pPr>
            <w:r w:rsidRPr="009C6AD6">
              <w:rPr>
                <w:rFonts w:eastAsia="Times New Roman" w:cs="Times New Roman"/>
                <w:noProof/>
                <w:lang w:eastAsia="en-GB"/>
              </w:rPr>
              <w:drawing>
                <wp:inline distT="0" distB="0" distL="0" distR="0" wp14:anchorId="3C96B85B" wp14:editId="7314C1CB">
                  <wp:extent cx="2858400" cy="2218785"/>
                  <wp:effectExtent l="0" t="0" r="0" b="0"/>
                  <wp:docPr id="1335782797" name="Picture 15" descr="A graph with numbers and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82797" name="Picture 15" descr="A graph with numbers and a number&#10;&#10;AI-generated content may be incorrect."/>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858400" cy="2218785"/>
                          </a:xfrm>
                          <a:prstGeom prst="rect">
                            <a:avLst/>
                          </a:prstGeom>
                          <a:noFill/>
                        </pic:spPr>
                      </pic:pic>
                    </a:graphicData>
                  </a:graphic>
                </wp:inline>
              </w:drawing>
            </w:r>
          </w:p>
          <w:p w14:paraId="78FED947" w14:textId="77777777" w:rsidR="00F55E6A" w:rsidRPr="009C6AD6" w:rsidRDefault="00F55E6A" w:rsidP="0041177B">
            <w:pPr>
              <w:rPr>
                <w:rFonts w:asciiTheme="minorHAnsi" w:hAnsiTheme="minorHAnsi" w:cstheme="minorHAnsi"/>
                <w:color w:val="000000" w:themeColor="text1"/>
              </w:rPr>
            </w:pPr>
          </w:p>
        </w:tc>
        <w:tc>
          <w:tcPr>
            <w:tcW w:w="5064" w:type="dxa"/>
            <w:shd w:val="clear" w:color="auto" w:fill="auto"/>
            <w:vAlign w:val="center"/>
          </w:tcPr>
          <w:p w14:paraId="63E272D9" w14:textId="77777777" w:rsidR="00F55E6A" w:rsidRPr="009C6AD6" w:rsidRDefault="00F55E6A" w:rsidP="0041177B">
            <w:pPr>
              <w:jc w:val="center"/>
              <w:rPr>
                <w:rFonts w:asciiTheme="minorHAnsi" w:hAnsiTheme="minorHAnsi" w:cstheme="minorHAnsi"/>
                <w:color w:val="000000" w:themeColor="text1"/>
                <w:lang w:val="en-GB"/>
              </w:rPr>
            </w:pPr>
          </w:p>
          <w:p w14:paraId="015CEAFE" w14:textId="77777777" w:rsidR="00F55E6A" w:rsidRPr="009C6AD6" w:rsidRDefault="00F55E6A" w:rsidP="0041177B">
            <w:pPr>
              <w:jc w:val="center"/>
              <w:rPr>
                <w:rFonts w:asciiTheme="minorHAnsi" w:hAnsiTheme="minorHAnsi" w:cstheme="minorHAnsi"/>
                <w:color w:val="000000" w:themeColor="text1"/>
              </w:rPr>
            </w:pPr>
          </w:p>
          <w:p w14:paraId="64AFC4EC" w14:textId="77777777" w:rsidR="00F55E6A" w:rsidRPr="009C6AD6" w:rsidRDefault="00F55E6A" w:rsidP="0041177B">
            <w:pPr>
              <w:jc w:val="center"/>
              <w:rPr>
                <w:rFonts w:asciiTheme="minorHAnsi" w:hAnsiTheme="minorHAnsi" w:cstheme="minorHAnsi"/>
                <w:color w:val="000000" w:themeColor="text1"/>
                <w:lang w:val="en-GB"/>
              </w:rPr>
            </w:pPr>
          </w:p>
          <w:p w14:paraId="462289D8" w14:textId="77777777" w:rsidR="00F55E6A" w:rsidRPr="009C6AD6" w:rsidRDefault="00F55E6A" w:rsidP="0041177B">
            <w:pPr>
              <w:jc w:val="center"/>
              <w:rPr>
                <w:rFonts w:asciiTheme="minorHAnsi" w:hAnsiTheme="minorHAnsi" w:cstheme="minorHAnsi"/>
                <w:color w:val="000000" w:themeColor="text1"/>
              </w:rPr>
            </w:pPr>
          </w:p>
        </w:tc>
      </w:tr>
    </w:tbl>
    <w:p w14:paraId="7ACA7254" w14:textId="77777777" w:rsidR="001A3B02" w:rsidRPr="001A3B02" w:rsidRDefault="001A3B02" w:rsidP="001A3B02">
      <w:bookmarkStart w:id="327" w:name="_Toc197557154"/>
    </w:p>
    <w:p w14:paraId="439108A9" w14:textId="77777777" w:rsidR="00F55E6A" w:rsidRDefault="00F55E6A" w:rsidP="00F55E6A">
      <w:pPr>
        <w:pStyle w:val="Heading2"/>
        <w:spacing w:before="0" w:after="0" w:line="240" w:lineRule="auto"/>
      </w:pPr>
      <w:bookmarkStart w:id="328" w:name="_Toc201512545"/>
      <w:r>
        <w:t>Mortality</w:t>
      </w:r>
      <w:bookmarkEnd w:id="327"/>
      <w:bookmarkEnd w:id="328"/>
    </w:p>
    <w:p w14:paraId="2E0616E2" w14:textId="25FB234B" w:rsidR="00F55E6A" w:rsidRPr="007C06DE" w:rsidRDefault="00F55E6A" w:rsidP="00F55E6A">
      <w:pPr>
        <w:spacing w:after="0" w:line="240" w:lineRule="auto"/>
      </w:pPr>
      <w:r>
        <w:t xml:space="preserve">Age-standardised mortality rates of cervical cancer </w:t>
      </w:r>
      <w:r w:rsidR="00397C73">
        <w:t xml:space="preserve">during the period </w:t>
      </w:r>
      <w:r>
        <w:t xml:space="preserve">1994-2022 were 4.8 deaths per 100,000 females per year. Figure </w:t>
      </w:r>
      <w:r w:rsidR="007672D9">
        <w:t>17.4</w:t>
      </w:r>
      <w:r>
        <w:t xml:space="preserve"> breaks this down further by </w:t>
      </w:r>
      <w:r w:rsidR="00366242">
        <w:t>age group</w:t>
      </w:r>
      <w:r>
        <w:t xml:space="preserve">, </w:t>
      </w:r>
      <w:r w:rsidR="007672D9">
        <w:t>with rates</w:t>
      </w:r>
      <w:r>
        <w:t xml:space="preserve"> increasing with </w:t>
      </w:r>
      <w:r w:rsidR="00397C73">
        <w:t xml:space="preserve">increasing </w:t>
      </w:r>
      <w:r>
        <w:t>age.</w:t>
      </w:r>
    </w:p>
    <w:p w14:paraId="3AA8ADA0" w14:textId="77777777" w:rsidR="00F55E6A" w:rsidRDefault="00F55E6A" w:rsidP="00F55E6A">
      <w:pPr>
        <w:spacing w:after="0" w:line="240" w:lineRule="auto"/>
      </w:pPr>
    </w:p>
    <w:tbl>
      <w:tblPr>
        <w:tblStyle w:val="TableGrid"/>
        <w:tblW w:w="9781" w:type="dxa"/>
        <w:tblInd w:w="-43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975"/>
      </w:tblGrid>
      <w:tr w:rsidR="00F55E6A" w:rsidRPr="009C6AD6" w14:paraId="15E56A3C" w14:textId="77777777" w:rsidTr="0041177B">
        <w:trPr>
          <w:trHeight w:val="113"/>
        </w:trPr>
        <w:tc>
          <w:tcPr>
            <w:tcW w:w="9781" w:type="dxa"/>
            <w:gridSpan w:val="2"/>
            <w:shd w:val="clear" w:color="auto" w:fill="002060"/>
          </w:tcPr>
          <w:p w14:paraId="74199E93" w14:textId="4A781778" w:rsidR="00F55E6A" w:rsidRPr="007672D9" w:rsidRDefault="00F55E6A" w:rsidP="0041177B">
            <w:pPr>
              <w:rPr>
                <w:rFonts w:asciiTheme="minorHAnsi" w:hAnsiTheme="minorHAnsi" w:cstheme="minorHAnsi"/>
                <w:b/>
                <w:bCs/>
                <w:color w:val="FFFFFF" w:themeColor="background1"/>
              </w:rPr>
            </w:pPr>
            <w:r w:rsidRPr="007672D9">
              <w:rPr>
                <w:rFonts w:asciiTheme="minorHAnsi" w:hAnsiTheme="minorHAnsi" w:cstheme="minorHAnsi"/>
                <w:b/>
                <w:bCs/>
                <w:color w:val="FFFFFF" w:themeColor="background1"/>
              </w:rPr>
              <w:t xml:space="preserve">Figure </w:t>
            </w:r>
            <w:r w:rsidR="007672D9" w:rsidRPr="007672D9">
              <w:rPr>
                <w:rFonts w:asciiTheme="minorHAnsi" w:hAnsiTheme="minorHAnsi" w:cstheme="minorHAnsi"/>
                <w:b/>
                <w:bCs/>
                <w:color w:val="FFFFFF" w:themeColor="background1"/>
              </w:rPr>
              <w:t>17.4:</w:t>
            </w:r>
            <w:r w:rsidRPr="007672D9">
              <w:rPr>
                <w:rFonts w:asciiTheme="minorHAnsi" w:hAnsiTheme="minorHAnsi" w:cstheme="minorHAnsi"/>
                <w:b/>
                <w:bCs/>
                <w:color w:val="FFFFFF" w:themeColor="background1"/>
              </w:rPr>
              <w:t xml:space="preserve">  Mortality rate (per 100,000) for cervical cancer by </w:t>
            </w:r>
            <w:r w:rsidR="00366242">
              <w:rPr>
                <w:rFonts w:asciiTheme="minorHAnsi" w:hAnsiTheme="minorHAnsi" w:cstheme="minorHAnsi"/>
                <w:b/>
                <w:bCs/>
                <w:color w:val="FFFFFF" w:themeColor="background1"/>
              </w:rPr>
              <w:t>age group</w:t>
            </w:r>
            <w:r w:rsidRPr="007672D9">
              <w:rPr>
                <w:rFonts w:asciiTheme="minorHAnsi" w:hAnsiTheme="minorHAnsi" w:cstheme="minorHAnsi"/>
                <w:b/>
                <w:bCs/>
                <w:color w:val="FFFFFF" w:themeColor="background1"/>
              </w:rPr>
              <w:t>, 1994-2022</w:t>
            </w:r>
          </w:p>
        </w:tc>
      </w:tr>
      <w:tr w:rsidR="00F55E6A" w:rsidRPr="009C6AD6" w14:paraId="1BF66B3F" w14:textId="77777777" w:rsidTr="0041177B">
        <w:trPr>
          <w:trHeight w:val="113"/>
        </w:trPr>
        <w:tc>
          <w:tcPr>
            <w:tcW w:w="4806" w:type="dxa"/>
            <w:shd w:val="clear" w:color="auto" w:fill="auto"/>
            <w:vAlign w:val="center"/>
          </w:tcPr>
          <w:p w14:paraId="1D294AF4" w14:textId="77777777" w:rsidR="00F55E6A" w:rsidRPr="009C6AD6" w:rsidRDefault="00F55E6A" w:rsidP="0041177B">
            <w:pPr>
              <w:rPr>
                <w:rFonts w:asciiTheme="minorHAnsi" w:eastAsia="Times New Roman" w:hAnsiTheme="minorHAnsi" w:cs="Times New Roman"/>
                <w:lang w:eastAsia="en-GB"/>
              </w:rPr>
            </w:pPr>
            <w:r w:rsidRPr="009C6AD6">
              <w:rPr>
                <w:rFonts w:eastAsia="Times New Roman" w:cs="Times New Roman"/>
                <w:noProof/>
                <w:lang w:eastAsia="en-GB"/>
              </w:rPr>
              <w:drawing>
                <wp:inline distT="0" distB="0" distL="0" distR="0" wp14:anchorId="7EFAF48A" wp14:editId="137D15B3">
                  <wp:extent cx="2441575" cy="2057400"/>
                  <wp:effectExtent l="0" t="0" r="0" b="0"/>
                  <wp:docPr id="5" name="Picture 4" descr="A graph with numbers and a ba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descr="A graph with numbers and a bar&#10;&#10;AI-generated content may be incorrect."/>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444140" cy="2059561"/>
                          </a:xfrm>
                          <a:prstGeom prst="rect">
                            <a:avLst/>
                          </a:prstGeom>
                          <a:noFill/>
                          <a:ln>
                            <a:noFill/>
                          </a:ln>
                        </pic:spPr>
                      </pic:pic>
                    </a:graphicData>
                  </a:graphic>
                </wp:inline>
              </w:drawing>
            </w:r>
          </w:p>
        </w:tc>
        <w:tc>
          <w:tcPr>
            <w:tcW w:w="4975" w:type="dxa"/>
            <w:shd w:val="clear" w:color="auto" w:fill="auto"/>
            <w:vAlign w:val="center"/>
          </w:tcPr>
          <w:p w14:paraId="542D2D3C" w14:textId="77777777" w:rsidR="00F55E6A" w:rsidRPr="009C6AD6" w:rsidRDefault="00F55E6A" w:rsidP="0041177B">
            <w:pPr>
              <w:jc w:val="center"/>
              <w:rPr>
                <w:rFonts w:asciiTheme="minorHAnsi" w:hAnsiTheme="minorHAnsi" w:cstheme="minorHAnsi"/>
                <w:color w:val="000000" w:themeColor="text1"/>
                <w:lang w:val="en-GB"/>
              </w:rPr>
            </w:pPr>
          </w:p>
          <w:p w14:paraId="642D3248" w14:textId="77777777" w:rsidR="00F55E6A" w:rsidRPr="009C6AD6" w:rsidRDefault="00F55E6A" w:rsidP="0041177B">
            <w:pPr>
              <w:jc w:val="center"/>
              <w:rPr>
                <w:rFonts w:asciiTheme="minorHAnsi" w:hAnsiTheme="minorHAnsi" w:cstheme="minorHAnsi"/>
                <w:color w:val="000000" w:themeColor="text1"/>
              </w:rPr>
            </w:pPr>
          </w:p>
          <w:p w14:paraId="34EEEC0B" w14:textId="77777777" w:rsidR="00F55E6A" w:rsidRPr="009C6AD6" w:rsidRDefault="00F55E6A" w:rsidP="0041177B">
            <w:pPr>
              <w:jc w:val="center"/>
              <w:rPr>
                <w:rFonts w:asciiTheme="minorHAnsi" w:hAnsiTheme="minorHAnsi" w:cstheme="minorHAnsi"/>
                <w:color w:val="000000" w:themeColor="text1"/>
                <w:lang w:val="en-GB"/>
              </w:rPr>
            </w:pPr>
          </w:p>
          <w:p w14:paraId="4CE22D73" w14:textId="77777777" w:rsidR="00F55E6A" w:rsidRPr="009C6AD6" w:rsidRDefault="00F55E6A" w:rsidP="0041177B">
            <w:pPr>
              <w:jc w:val="center"/>
              <w:rPr>
                <w:rFonts w:asciiTheme="minorHAnsi" w:hAnsiTheme="minorHAnsi" w:cstheme="minorHAnsi"/>
                <w:color w:val="000000" w:themeColor="text1"/>
              </w:rPr>
            </w:pPr>
          </w:p>
        </w:tc>
      </w:tr>
    </w:tbl>
    <w:p w14:paraId="577D1AE4" w14:textId="77777777" w:rsidR="00F55E6A" w:rsidRDefault="00F55E6A" w:rsidP="00F55E6A">
      <w:pPr>
        <w:pStyle w:val="Heading3"/>
        <w:spacing w:before="0" w:after="0" w:line="240" w:lineRule="auto"/>
        <w:sectPr w:rsidR="00F55E6A" w:rsidSect="002746C0">
          <w:pgSz w:w="11906" w:h="16838"/>
          <w:pgMar w:top="1440" w:right="1440" w:bottom="1440" w:left="1440" w:header="708" w:footer="708" w:gutter="0"/>
          <w:cols w:space="708"/>
          <w:docGrid w:linePitch="360"/>
        </w:sectPr>
      </w:pPr>
    </w:p>
    <w:p w14:paraId="757D6FD9" w14:textId="77777777" w:rsidR="00F55E6A" w:rsidRPr="00E85A89" w:rsidRDefault="00F55E6A" w:rsidP="00F55E6A">
      <w:pPr>
        <w:pStyle w:val="Heading3"/>
        <w:spacing w:before="0" w:after="0" w:line="240" w:lineRule="auto"/>
      </w:pPr>
      <w:bookmarkStart w:id="329" w:name="_Toc197557155"/>
      <w:bookmarkStart w:id="330" w:name="_Toc201512546"/>
      <w:r w:rsidRPr="00E85A89">
        <w:t>Trends over time</w:t>
      </w:r>
      <w:bookmarkEnd w:id="329"/>
      <w:bookmarkEnd w:id="330"/>
    </w:p>
    <w:p w14:paraId="6838BB8F" w14:textId="15FF9E83" w:rsidR="00F55E6A" w:rsidRDefault="00F55E6A" w:rsidP="00F55E6A">
      <w:pPr>
        <w:spacing w:after="0" w:line="240" w:lineRule="auto"/>
      </w:pPr>
      <w:r>
        <w:t xml:space="preserve">Figure </w:t>
      </w:r>
      <w:r w:rsidR="007672D9">
        <w:t>17.5</w:t>
      </w:r>
      <w:r>
        <w:t xml:space="preserve"> shows age</w:t>
      </w:r>
      <w:r w:rsidR="00397C73">
        <w:t>-</w:t>
      </w:r>
      <w:r>
        <w:t xml:space="preserve">standardised mortality rates for cervical cancer from 1994 to 2010. Mortality rates decreased by </w:t>
      </w:r>
      <w:r w:rsidR="000B3063">
        <w:t>-</w:t>
      </w:r>
      <w:r>
        <w:t>1.3% per year from 1994 -2022 (95%CI: -1.8; -0.7)).</w:t>
      </w:r>
    </w:p>
    <w:p w14:paraId="63805429" w14:textId="77777777" w:rsidR="00F55E6A" w:rsidRDefault="00F55E6A" w:rsidP="00F55E6A">
      <w:pPr>
        <w:spacing w:after="0" w:line="240" w:lineRule="auto"/>
      </w:pPr>
    </w:p>
    <w:tbl>
      <w:tblPr>
        <w:tblStyle w:val="TableGrid"/>
        <w:tblW w:w="985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6"/>
      </w:tblGrid>
      <w:tr w:rsidR="00F55E6A" w:rsidRPr="009C6AD6" w14:paraId="4C7AD89D" w14:textId="77777777" w:rsidTr="0041177B">
        <w:trPr>
          <w:trHeight w:val="113"/>
        </w:trPr>
        <w:tc>
          <w:tcPr>
            <w:tcW w:w="9856" w:type="dxa"/>
            <w:shd w:val="clear" w:color="auto" w:fill="002060"/>
            <w:vAlign w:val="center"/>
          </w:tcPr>
          <w:p w14:paraId="4D29825C" w14:textId="41C14001" w:rsidR="00F55E6A" w:rsidRPr="009C6AD6" w:rsidRDefault="00F55E6A" w:rsidP="0041177B">
            <w:pPr>
              <w:rPr>
                <w:rFonts w:asciiTheme="minorHAnsi" w:hAnsiTheme="minorHAnsi"/>
                <w:b/>
                <w:bCs/>
              </w:rPr>
            </w:pPr>
            <w:r w:rsidRPr="009C6AD6">
              <w:rPr>
                <w:rFonts w:asciiTheme="minorHAnsi" w:hAnsiTheme="minorHAnsi"/>
                <w:b/>
                <w:bCs/>
              </w:rPr>
              <w:t xml:space="preserve">Figure </w:t>
            </w:r>
            <w:r w:rsidR="007672D9">
              <w:rPr>
                <w:rFonts w:asciiTheme="minorHAnsi" w:hAnsiTheme="minorHAnsi"/>
                <w:b/>
                <w:bCs/>
              </w:rPr>
              <w:t>17.5</w:t>
            </w:r>
            <w:r w:rsidRPr="009C6AD6">
              <w:rPr>
                <w:rFonts w:asciiTheme="minorHAnsi" w:hAnsiTheme="minorHAnsi"/>
                <w:b/>
                <w:bCs/>
              </w:rPr>
              <w:t xml:space="preserve">   Age-</w:t>
            </w:r>
            <w:r w:rsidRPr="009C6AD6">
              <w:rPr>
                <w:rFonts w:asciiTheme="minorHAnsi" w:hAnsiTheme="minorHAnsi"/>
                <w:b/>
                <w:bCs/>
                <w:bdr w:val="single" w:sz="4" w:space="0" w:color="auto"/>
              </w:rPr>
              <w:t>standardised mortality rate 1994-2022, cervical cancer</w:t>
            </w:r>
          </w:p>
        </w:tc>
      </w:tr>
      <w:tr w:rsidR="00F55E6A" w:rsidRPr="009C6AD6" w14:paraId="46961842" w14:textId="77777777" w:rsidTr="0041177B">
        <w:trPr>
          <w:trHeight w:val="113"/>
        </w:trPr>
        <w:tc>
          <w:tcPr>
            <w:tcW w:w="9856" w:type="dxa"/>
            <w:vAlign w:val="center"/>
          </w:tcPr>
          <w:p w14:paraId="1FD4ED08" w14:textId="77777777" w:rsidR="00F55E6A" w:rsidRPr="009C6AD6" w:rsidRDefault="00F55E6A" w:rsidP="0041177B">
            <w:pPr>
              <w:jc w:val="center"/>
              <w:rPr>
                <w:rFonts w:asciiTheme="minorHAnsi" w:hAnsiTheme="minorHAnsi"/>
              </w:rPr>
            </w:pPr>
            <w:r>
              <w:rPr>
                <w:noProof/>
              </w:rPr>
              <w:drawing>
                <wp:inline distT="0" distB="0" distL="0" distR="0" wp14:anchorId="79521644" wp14:editId="6305E40E">
                  <wp:extent cx="5883275" cy="3084830"/>
                  <wp:effectExtent l="0" t="0" r="3175" b="1270"/>
                  <wp:docPr id="1978989966" name="Picture 8" descr="A graph with orange dot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989966" name="Picture 8" descr="A graph with orange dots and numbers&#10;&#10;AI-generated content may be incorrect."/>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883275" cy="3084830"/>
                          </a:xfrm>
                          <a:prstGeom prst="rect">
                            <a:avLst/>
                          </a:prstGeom>
                          <a:noFill/>
                        </pic:spPr>
                      </pic:pic>
                    </a:graphicData>
                  </a:graphic>
                </wp:inline>
              </w:drawing>
            </w:r>
          </w:p>
        </w:tc>
      </w:tr>
      <w:tr w:rsidR="00F55E6A" w:rsidRPr="009C6AD6" w14:paraId="2A340F68" w14:textId="77777777" w:rsidTr="0041177B">
        <w:trPr>
          <w:trHeight w:val="113"/>
        </w:trPr>
        <w:tc>
          <w:tcPr>
            <w:tcW w:w="9856" w:type="dxa"/>
            <w:vAlign w:val="center"/>
          </w:tcPr>
          <w:tbl>
            <w:tblPr>
              <w:tblpPr w:leftFromText="180" w:rightFromText="180" w:vertAnchor="page" w:horzAnchor="margin" w:tblpXSpec="center" w:tblpY="1"/>
              <w:tblOverlap w:val="never"/>
              <w:tblW w:w="0" w:type="auto"/>
              <w:tblCellMar>
                <w:top w:w="15" w:type="dxa"/>
                <w:bottom w:w="15" w:type="dxa"/>
              </w:tblCellMar>
              <w:tblLook w:val="04A0" w:firstRow="1" w:lastRow="0" w:firstColumn="1" w:lastColumn="0" w:noHBand="0" w:noVBand="1"/>
            </w:tblPr>
            <w:tblGrid>
              <w:gridCol w:w="530"/>
              <w:gridCol w:w="1139"/>
              <w:gridCol w:w="771"/>
              <w:gridCol w:w="977"/>
              <w:gridCol w:w="706"/>
            </w:tblGrid>
            <w:tr w:rsidR="00F55E6A" w:rsidRPr="009156D9" w14:paraId="54CBCC19" w14:textId="77777777" w:rsidTr="0041177B">
              <w:trPr>
                <w:trHeight w:val="113"/>
              </w:trPr>
              <w:tc>
                <w:tcPr>
                  <w:tcW w:w="0" w:type="auto"/>
                  <w:tcBorders>
                    <w:top w:val="nil"/>
                    <w:left w:val="nil"/>
                    <w:bottom w:val="nil"/>
                    <w:right w:val="nil"/>
                  </w:tcBorders>
                  <w:noWrap/>
                  <w:vAlign w:val="center"/>
                  <w:hideMark/>
                </w:tcPr>
                <w:p w14:paraId="072D7957" w14:textId="77777777" w:rsidR="00F55E6A" w:rsidRPr="009156D9"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9156D9">
                    <w:rPr>
                      <w:rFonts w:eastAsia="Times New Roman" w:cs="Times New Roman"/>
                      <w:b/>
                      <w:bCs/>
                      <w:color w:val="000000"/>
                      <w:kern w:val="0"/>
                      <w:sz w:val="20"/>
                      <w:szCs w:val="20"/>
                      <w:u w:val="single"/>
                      <w:lang w:eastAsia="en-GB"/>
                      <w14:ligatures w14:val="none"/>
                    </w:rPr>
                    <w:t>sex</w:t>
                  </w:r>
                </w:p>
              </w:tc>
              <w:tc>
                <w:tcPr>
                  <w:tcW w:w="0" w:type="auto"/>
                  <w:tcBorders>
                    <w:top w:val="nil"/>
                    <w:left w:val="nil"/>
                    <w:bottom w:val="nil"/>
                    <w:right w:val="nil"/>
                  </w:tcBorders>
                  <w:noWrap/>
                  <w:vAlign w:val="center"/>
                  <w:hideMark/>
                </w:tcPr>
                <w:p w14:paraId="7694BE84" w14:textId="77777777" w:rsidR="00F55E6A" w:rsidRPr="009156D9"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9156D9">
                    <w:rPr>
                      <w:rFonts w:eastAsia="Times New Roman" w:cs="Times New Roman"/>
                      <w:b/>
                      <w:bCs/>
                      <w:color w:val="000000"/>
                      <w:kern w:val="0"/>
                      <w:sz w:val="20"/>
                      <w:szCs w:val="20"/>
                      <w:u w:val="single"/>
                      <w:lang w:eastAsia="en-GB"/>
                      <w14:ligatures w14:val="none"/>
                    </w:rPr>
                    <w:t>period</w:t>
                  </w:r>
                </w:p>
              </w:tc>
              <w:tc>
                <w:tcPr>
                  <w:tcW w:w="0" w:type="auto"/>
                  <w:tcBorders>
                    <w:top w:val="nil"/>
                    <w:left w:val="nil"/>
                    <w:bottom w:val="nil"/>
                    <w:right w:val="nil"/>
                  </w:tcBorders>
                  <w:noWrap/>
                  <w:vAlign w:val="center"/>
                  <w:hideMark/>
                </w:tcPr>
                <w:p w14:paraId="435DCBD5" w14:textId="77777777" w:rsidR="00F55E6A" w:rsidRPr="009156D9"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9156D9">
                    <w:rPr>
                      <w:rFonts w:eastAsia="Times New Roman" w:cs="Times New Roman"/>
                      <w:b/>
                      <w:bCs/>
                      <w:color w:val="000000"/>
                      <w:kern w:val="0"/>
                      <w:sz w:val="20"/>
                      <w:szCs w:val="20"/>
                      <w:u w:val="single"/>
                      <w:lang w:eastAsia="en-GB"/>
                      <w14:ligatures w14:val="none"/>
                    </w:rPr>
                    <w:t>APC%</w:t>
                  </w:r>
                </w:p>
              </w:tc>
              <w:tc>
                <w:tcPr>
                  <w:tcW w:w="0" w:type="auto"/>
                  <w:tcBorders>
                    <w:top w:val="nil"/>
                    <w:left w:val="nil"/>
                    <w:bottom w:val="nil"/>
                    <w:right w:val="nil"/>
                  </w:tcBorders>
                  <w:noWrap/>
                  <w:vAlign w:val="center"/>
                  <w:hideMark/>
                </w:tcPr>
                <w:p w14:paraId="00618A37" w14:textId="77777777" w:rsidR="00F55E6A" w:rsidRPr="009156D9"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9156D9">
                    <w:rPr>
                      <w:rFonts w:eastAsia="Times New Roman" w:cs="Times New Roman"/>
                      <w:b/>
                      <w:bCs/>
                      <w:color w:val="000000"/>
                      <w:kern w:val="0"/>
                      <w:sz w:val="20"/>
                      <w:szCs w:val="20"/>
                      <w:u w:val="single"/>
                      <w:lang w:eastAsia="en-GB"/>
                      <w14:ligatures w14:val="none"/>
                    </w:rPr>
                    <w:t>95%CI</w:t>
                  </w:r>
                </w:p>
              </w:tc>
              <w:tc>
                <w:tcPr>
                  <w:tcW w:w="0" w:type="auto"/>
                  <w:tcBorders>
                    <w:top w:val="nil"/>
                    <w:left w:val="nil"/>
                    <w:bottom w:val="nil"/>
                    <w:right w:val="nil"/>
                  </w:tcBorders>
                  <w:noWrap/>
                  <w:vAlign w:val="center"/>
                  <w:hideMark/>
                </w:tcPr>
                <w:p w14:paraId="39001FAC" w14:textId="77777777" w:rsidR="00F55E6A" w:rsidRPr="009156D9"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9156D9">
                    <w:rPr>
                      <w:rFonts w:eastAsia="Times New Roman" w:cs="Times New Roman"/>
                      <w:b/>
                      <w:bCs/>
                      <w:color w:val="000000"/>
                      <w:kern w:val="0"/>
                      <w:sz w:val="20"/>
                      <w:szCs w:val="20"/>
                      <w:u w:val="single"/>
                      <w:lang w:eastAsia="en-GB"/>
                      <w14:ligatures w14:val="none"/>
                    </w:rPr>
                    <w:t>trend</w:t>
                  </w:r>
                </w:p>
              </w:tc>
            </w:tr>
            <w:tr w:rsidR="00F55E6A" w:rsidRPr="009156D9" w14:paraId="1C202982" w14:textId="77777777" w:rsidTr="0041177B">
              <w:trPr>
                <w:trHeight w:val="113"/>
              </w:trPr>
              <w:tc>
                <w:tcPr>
                  <w:tcW w:w="0" w:type="auto"/>
                  <w:tcBorders>
                    <w:top w:val="nil"/>
                    <w:left w:val="nil"/>
                    <w:bottom w:val="nil"/>
                    <w:right w:val="nil"/>
                  </w:tcBorders>
                  <w:noWrap/>
                  <w:vAlign w:val="center"/>
                </w:tcPr>
                <w:p w14:paraId="2961AF4E" w14:textId="77777777" w:rsidR="00F55E6A" w:rsidRPr="009156D9"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9156D9">
                    <w:rPr>
                      <w:rFonts w:eastAsia="Times New Roman" w:cs="Times New Roman"/>
                      <w:color w:val="000000"/>
                      <w:kern w:val="0"/>
                      <w:sz w:val="20"/>
                      <w:szCs w:val="20"/>
                      <w:lang w:eastAsia="en-GB"/>
                      <w14:ligatures w14:val="none"/>
                    </w:rPr>
                    <w:t>F</w:t>
                  </w:r>
                </w:p>
              </w:tc>
              <w:tc>
                <w:tcPr>
                  <w:tcW w:w="0" w:type="auto"/>
                  <w:tcBorders>
                    <w:top w:val="nil"/>
                    <w:left w:val="nil"/>
                    <w:bottom w:val="nil"/>
                    <w:right w:val="nil"/>
                  </w:tcBorders>
                  <w:noWrap/>
                  <w:vAlign w:val="center"/>
                </w:tcPr>
                <w:p w14:paraId="238EFD1C" w14:textId="77777777" w:rsidR="00F55E6A" w:rsidRPr="009156D9"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9156D9">
                    <w:rPr>
                      <w:color w:val="000000"/>
                      <w:sz w:val="20"/>
                      <w:szCs w:val="20"/>
                    </w:rPr>
                    <w:t>1994-2022</w:t>
                  </w:r>
                </w:p>
              </w:tc>
              <w:tc>
                <w:tcPr>
                  <w:tcW w:w="0" w:type="auto"/>
                  <w:tcBorders>
                    <w:top w:val="nil"/>
                    <w:left w:val="nil"/>
                    <w:bottom w:val="nil"/>
                    <w:right w:val="nil"/>
                  </w:tcBorders>
                  <w:noWrap/>
                  <w:vAlign w:val="center"/>
                </w:tcPr>
                <w:p w14:paraId="3F90D05F" w14:textId="77777777" w:rsidR="00F55E6A" w:rsidRPr="009156D9"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9156D9">
                    <w:rPr>
                      <w:color w:val="000000"/>
                      <w:sz w:val="20"/>
                      <w:szCs w:val="20"/>
                    </w:rPr>
                    <w:t>-1.3</w:t>
                  </w:r>
                </w:p>
              </w:tc>
              <w:tc>
                <w:tcPr>
                  <w:tcW w:w="0" w:type="auto"/>
                  <w:tcBorders>
                    <w:top w:val="nil"/>
                    <w:left w:val="nil"/>
                    <w:bottom w:val="nil"/>
                    <w:right w:val="nil"/>
                  </w:tcBorders>
                  <w:noWrap/>
                  <w:vAlign w:val="center"/>
                </w:tcPr>
                <w:p w14:paraId="3196A501" w14:textId="77777777" w:rsidR="00F55E6A" w:rsidRPr="009156D9"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9156D9">
                    <w:rPr>
                      <w:color w:val="000000"/>
                      <w:sz w:val="20"/>
                      <w:szCs w:val="20"/>
                    </w:rPr>
                    <w:t>-1.8, -0.7</w:t>
                  </w:r>
                </w:p>
              </w:tc>
              <w:tc>
                <w:tcPr>
                  <w:tcW w:w="0" w:type="auto"/>
                  <w:tcBorders>
                    <w:top w:val="nil"/>
                    <w:left w:val="nil"/>
                    <w:bottom w:val="nil"/>
                    <w:right w:val="nil"/>
                  </w:tcBorders>
                  <w:noWrap/>
                  <w:vAlign w:val="center"/>
                </w:tcPr>
                <w:p w14:paraId="7B44DEB1" w14:textId="77777777" w:rsidR="00F55E6A" w:rsidRPr="009156D9"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9156D9">
                    <w:rPr>
                      <w:color w:val="000000"/>
                      <w:sz w:val="20"/>
                      <w:szCs w:val="20"/>
                    </w:rPr>
                    <w:t>down</w:t>
                  </w:r>
                </w:p>
              </w:tc>
            </w:tr>
          </w:tbl>
          <w:p w14:paraId="18E527C9" w14:textId="77777777" w:rsidR="00F55E6A" w:rsidRPr="009C6AD6" w:rsidRDefault="00F55E6A" w:rsidP="0041177B">
            <w:pPr>
              <w:jc w:val="center"/>
              <w:rPr>
                <w:rFonts w:eastAsia="Times New Roman" w:cs="Times New Roman"/>
                <w:b/>
                <w:bCs/>
                <w:color w:val="000000"/>
                <w:sz w:val="14"/>
                <w:szCs w:val="14"/>
                <w:u w:val="single"/>
                <w:lang w:eastAsia="en-GB"/>
              </w:rPr>
            </w:pPr>
          </w:p>
        </w:tc>
      </w:tr>
      <w:tr w:rsidR="00F55E6A" w:rsidRPr="009C6AD6" w14:paraId="3F28478B" w14:textId="77777777" w:rsidTr="0041177B">
        <w:trPr>
          <w:trHeight w:val="113"/>
        </w:trPr>
        <w:tc>
          <w:tcPr>
            <w:tcW w:w="9856" w:type="dxa"/>
            <w:vAlign w:val="center"/>
          </w:tcPr>
          <w:p w14:paraId="2A3FC3E7" w14:textId="77777777" w:rsidR="00F55E6A" w:rsidRPr="009C6AD6" w:rsidRDefault="00F55E6A" w:rsidP="0041177B">
            <w:pPr>
              <w:pBdr>
                <w:bottom w:val="single" w:sz="4" w:space="1" w:color="auto"/>
              </w:pBdr>
              <w:rPr>
                <w:rFonts w:asciiTheme="minorHAnsi" w:hAnsiTheme="minorHAnsi"/>
                <w:bCs/>
                <w:sz w:val="18"/>
                <w:szCs w:val="16"/>
              </w:rPr>
            </w:pPr>
            <w:r w:rsidRPr="009C6AD6">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6B4B3474" w14:textId="77777777" w:rsidR="00F55E6A" w:rsidRPr="009C6AD6" w:rsidRDefault="00F55E6A" w:rsidP="0041177B">
            <w:pPr>
              <w:rPr>
                <w:rFonts w:asciiTheme="minorHAnsi" w:hAnsiTheme="minorHAnsi"/>
                <w:b/>
                <w:bCs/>
                <w:noProof/>
                <w:sz w:val="14"/>
                <w:szCs w:val="14"/>
                <w:u w:val="single"/>
              </w:rPr>
            </w:pPr>
          </w:p>
        </w:tc>
      </w:tr>
    </w:tbl>
    <w:p w14:paraId="074D6DA6" w14:textId="77777777" w:rsidR="00F55E6A" w:rsidRDefault="00F55E6A" w:rsidP="00F55E6A">
      <w:pPr>
        <w:spacing w:after="0" w:line="240" w:lineRule="auto"/>
        <w:sectPr w:rsidR="00F55E6A" w:rsidSect="002746C0">
          <w:pgSz w:w="11906" w:h="16838"/>
          <w:pgMar w:top="1440" w:right="1440" w:bottom="1440" w:left="1440" w:header="708" w:footer="708" w:gutter="0"/>
          <w:cols w:space="708"/>
          <w:docGrid w:linePitch="360"/>
        </w:sectPr>
      </w:pPr>
    </w:p>
    <w:p w14:paraId="40743E17" w14:textId="77777777" w:rsidR="00F55E6A" w:rsidRDefault="00F55E6A" w:rsidP="00F55E6A">
      <w:pPr>
        <w:pStyle w:val="Heading2"/>
        <w:spacing w:before="0" w:after="0" w:line="240" w:lineRule="auto"/>
      </w:pPr>
      <w:bookmarkStart w:id="331" w:name="_Toc197557156"/>
      <w:bookmarkStart w:id="332" w:name="_Toc201512547"/>
      <w:r>
        <w:t>Survival</w:t>
      </w:r>
      <w:bookmarkEnd w:id="331"/>
      <w:bookmarkEnd w:id="332"/>
      <w:r>
        <w:t xml:space="preserve"> </w:t>
      </w:r>
    </w:p>
    <w:p w14:paraId="467EC874" w14:textId="6732687F" w:rsidR="00F55E6A" w:rsidRPr="000C58A6" w:rsidRDefault="00F55E6A" w:rsidP="00F55E6A">
      <w:pPr>
        <w:spacing w:after="0" w:line="240" w:lineRule="auto"/>
        <w:rPr>
          <w:rFonts w:cstheme="minorHAnsi"/>
        </w:rPr>
      </w:pPr>
      <w:r w:rsidRPr="000C58A6">
        <w:rPr>
          <w:rFonts w:cstheme="minorHAnsi"/>
        </w:rPr>
        <w:t xml:space="preserve">For </w:t>
      </w:r>
      <w:r>
        <w:rPr>
          <w:rFonts w:cstheme="minorHAnsi"/>
        </w:rPr>
        <w:t>cervical</w:t>
      </w:r>
      <w:r w:rsidRPr="000C58A6">
        <w:rPr>
          <w:rFonts w:cstheme="minorHAnsi"/>
        </w:rPr>
        <w:t xml:space="preserve"> cancer</w:t>
      </w:r>
      <w:r>
        <w:rPr>
          <w:rFonts w:cstheme="minorHAnsi"/>
        </w:rPr>
        <w:t xml:space="preserve"> </w:t>
      </w:r>
      <w:r w:rsidRPr="000C58A6">
        <w:rPr>
          <w:rFonts w:cstheme="minorHAnsi"/>
        </w:rPr>
        <w:t xml:space="preserve">5-year net survival was </w:t>
      </w:r>
      <w:r>
        <w:rPr>
          <w:rFonts w:cstheme="minorHAnsi"/>
        </w:rPr>
        <w:t>65</w:t>
      </w:r>
      <w:r w:rsidRPr="000C58A6">
        <w:rPr>
          <w:rFonts w:cstheme="minorHAnsi"/>
        </w:rPr>
        <w:t xml:space="preserve">% for cases diagnosed during 2019-2022 (Figure </w:t>
      </w:r>
      <w:r w:rsidR="007672D9">
        <w:rPr>
          <w:rFonts w:cstheme="minorHAnsi"/>
        </w:rPr>
        <w:t>17.6</w:t>
      </w:r>
      <w:r w:rsidRPr="000C58A6">
        <w:rPr>
          <w:rFonts w:cstheme="minorHAnsi"/>
        </w:rPr>
        <w:t>)</w:t>
      </w:r>
      <w:r>
        <w:rPr>
          <w:rFonts w:cstheme="minorHAnsi"/>
        </w:rPr>
        <w:t xml:space="preserve">; this </w:t>
      </w:r>
      <w:r w:rsidRPr="000C58A6">
        <w:rPr>
          <w:rFonts w:cstheme="minorHAnsi"/>
        </w:rPr>
        <w:t xml:space="preserve">was </w:t>
      </w:r>
      <w:r>
        <w:rPr>
          <w:rFonts w:cstheme="minorHAnsi"/>
        </w:rPr>
        <w:t>unchanged from the estimate for the</w:t>
      </w:r>
      <w:r w:rsidRPr="000C58A6">
        <w:rPr>
          <w:rFonts w:cstheme="minorHAnsi"/>
        </w:rPr>
        <w:t xml:space="preserve"> 2014-2018 period.</w:t>
      </w:r>
    </w:p>
    <w:p w14:paraId="08DCEAA7" w14:textId="77777777" w:rsidR="00F55E6A" w:rsidRDefault="00F55E6A" w:rsidP="00F55E6A">
      <w:pPr>
        <w:spacing w:after="0" w:line="240" w:lineRule="auto"/>
      </w:pPr>
    </w:p>
    <w:tbl>
      <w:tblPr>
        <w:tblStyle w:val="TableGrid"/>
        <w:tblW w:w="9077" w:type="dxa"/>
        <w:tblInd w:w="-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0"/>
        <w:gridCol w:w="4297"/>
      </w:tblGrid>
      <w:tr w:rsidR="00F55E6A" w:rsidRPr="00325650" w14:paraId="3553AC38" w14:textId="77777777" w:rsidTr="0041177B">
        <w:trPr>
          <w:trHeight w:val="113"/>
        </w:trPr>
        <w:tc>
          <w:tcPr>
            <w:tcW w:w="9077" w:type="dxa"/>
            <w:gridSpan w:val="2"/>
            <w:shd w:val="clear" w:color="auto" w:fill="002060"/>
          </w:tcPr>
          <w:p w14:paraId="1E22BA59" w14:textId="44FC12BE" w:rsidR="00F55E6A" w:rsidRPr="007672D9" w:rsidRDefault="00F55E6A" w:rsidP="0041177B">
            <w:pPr>
              <w:rPr>
                <w:rFonts w:cstheme="minorHAnsi"/>
                <w:b/>
                <w:bCs/>
                <w:color w:val="FFFFFF" w:themeColor="background1"/>
                <w:sz w:val="20"/>
                <w:szCs w:val="20"/>
              </w:rPr>
            </w:pPr>
            <w:r w:rsidRPr="007672D9">
              <w:rPr>
                <w:rFonts w:asciiTheme="minorHAnsi" w:hAnsiTheme="minorHAnsi" w:cstheme="minorHAnsi"/>
                <w:b/>
                <w:bCs/>
                <w:sz w:val="20"/>
                <w:szCs w:val="20"/>
              </w:rPr>
              <w:t xml:space="preserve">Figure </w:t>
            </w:r>
            <w:r w:rsidR="007672D9" w:rsidRPr="007672D9">
              <w:rPr>
                <w:rFonts w:asciiTheme="minorHAnsi" w:hAnsiTheme="minorHAnsi" w:cstheme="minorHAnsi"/>
                <w:b/>
                <w:bCs/>
                <w:sz w:val="20"/>
                <w:szCs w:val="20"/>
              </w:rPr>
              <w:t xml:space="preserve">17.6: </w:t>
            </w:r>
            <w:r w:rsidRPr="007672D9">
              <w:rPr>
                <w:rFonts w:asciiTheme="minorHAnsi" w:hAnsiTheme="minorHAnsi" w:cstheme="minorHAnsi"/>
                <w:b/>
                <w:bCs/>
                <w:sz w:val="20"/>
                <w:szCs w:val="20"/>
              </w:rPr>
              <w:t>Age-standardised 5-year net survival (%) for cervical cancer over six consecutive diagnosis periods</w:t>
            </w:r>
          </w:p>
        </w:tc>
      </w:tr>
      <w:tr w:rsidR="00F55E6A" w:rsidRPr="00325650" w14:paraId="00E0D14A" w14:textId="77777777" w:rsidTr="0041177B">
        <w:trPr>
          <w:trHeight w:val="2691"/>
        </w:trPr>
        <w:tc>
          <w:tcPr>
            <w:tcW w:w="4780" w:type="dxa"/>
            <w:shd w:val="clear" w:color="auto" w:fill="auto"/>
          </w:tcPr>
          <w:p w14:paraId="6602A98C" w14:textId="77777777" w:rsidR="00F55E6A" w:rsidRPr="009C6AD6" w:rsidRDefault="00F55E6A" w:rsidP="0041177B">
            <w:pPr>
              <w:rPr>
                <w:rFonts w:eastAsia="Times New Roman" w:cs="Times New Roman"/>
                <w:lang w:eastAsia="en-GB"/>
              </w:rPr>
            </w:pPr>
            <w:r w:rsidRPr="00DF20B6">
              <w:rPr>
                <w:rFonts w:eastAsia="Times New Roman" w:cs="Times New Roman"/>
                <w:noProof/>
                <w:lang w:eastAsia="en-GB"/>
              </w:rPr>
              <w:drawing>
                <wp:inline distT="0" distB="0" distL="0" distR="0" wp14:anchorId="2698EC9F" wp14:editId="740AC7BF">
                  <wp:extent cx="2723869" cy="1643743"/>
                  <wp:effectExtent l="0" t="0" r="635" b="0"/>
                  <wp:docPr id="16" name="Picture 14" descr="A graph with numbers and a number of percent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descr="A graph with numbers and a number of percentages&#10;&#10;AI-generated content may be incorrect."/>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740764" cy="1653938"/>
                          </a:xfrm>
                          <a:prstGeom prst="rect">
                            <a:avLst/>
                          </a:prstGeom>
                          <a:noFill/>
                          <a:ln>
                            <a:noFill/>
                          </a:ln>
                        </pic:spPr>
                      </pic:pic>
                    </a:graphicData>
                  </a:graphic>
                </wp:inline>
              </w:drawing>
            </w:r>
          </w:p>
        </w:tc>
        <w:tc>
          <w:tcPr>
            <w:tcW w:w="4297" w:type="dxa"/>
            <w:shd w:val="clear" w:color="auto" w:fill="auto"/>
            <w:vAlign w:val="center"/>
          </w:tcPr>
          <w:p w14:paraId="0F2F4B76" w14:textId="77777777" w:rsidR="00F55E6A" w:rsidRPr="00A115C2" w:rsidRDefault="00F55E6A" w:rsidP="0041177B">
            <w:pPr>
              <w:jc w:val="center"/>
              <w:rPr>
                <w:rFonts w:cstheme="minorHAnsi"/>
                <w:color w:val="000000" w:themeColor="text1"/>
                <w:lang w:val="en-GB"/>
              </w:rPr>
            </w:pPr>
          </w:p>
          <w:p w14:paraId="246E9B0D" w14:textId="77777777" w:rsidR="00F55E6A" w:rsidRPr="00F36AB9" w:rsidRDefault="00F55E6A" w:rsidP="0041177B">
            <w:pPr>
              <w:jc w:val="center"/>
              <w:rPr>
                <w:rFonts w:cstheme="minorHAnsi"/>
                <w:color w:val="000000" w:themeColor="text1"/>
              </w:rPr>
            </w:pPr>
          </w:p>
          <w:p w14:paraId="423F0981" w14:textId="77777777" w:rsidR="00F55E6A" w:rsidRPr="002A10E3" w:rsidRDefault="00F55E6A" w:rsidP="0041177B">
            <w:pPr>
              <w:jc w:val="center"/>
              <w:rPr>
                <w:rFonts w:cstheme="minorHAnsi"/>
                <w:color w:val="000000" w:themeColor="text1"/>
                <w:lang w:val="en-GB"/>
              </w:rPr>
            </w:pPr>
          </w:p>
          <w:p w14:paraId="075C7428" w14:textId="77777777" w:rsidR="00F55E6A" w:rsidRPr="00325650" w:rsidRDefault="00F55E6A" w:rsidP="0041177B">
            <w:pPr>
              <w:jc w:val="center"/>
              <w:rPr>
                <w:rFonts w:asciiTheme="minorHAnsi" w:hAnsiTheme="minorHAnsi" w:cstheme="minorHAnsi"/>
                <w:color w:val="000000" w:themeColor="text1"/>
              </w:rPr>
            </w:pPr>
          </w:p>
        </w:tc>
      </w:tr>
    </w:tbl>
    <w:p w14:paraId="4BC9C48C" w14:textId="77777777" w:rsidR="00F55E6A" w:rsidRPr="0078542C" w:rsidRDefault="00F55E6A" w:rsidP="00F55E6A">
      <w:pPr>
        <w:spacing w:after="0" w:line="240" w:lineRule="auto"/>
      </w:pPr>
    </w:p>
    <w:p w14:paraId="1685FF56" w14:textId="77777777" w:rsidR="00F55E6A" w:rsidRDefault="00F55E6A" w:rsidP="00F55E6A">
      <w:pPr>
        <w:pStyle w:val="Heading2"/>
        <w:spacing w:before="0" w:after="0" w:line="240" w:lineRule="auto"/>
      </w:pPr>
      <w:bookmarkStart w:id="333" w:name="_Toc197557157"/>
      <w:bookmarkStart w:id="334" w:name="_Toc201512548"/>
      <w:r>
        <w:t>Population Attributable Fraction</w:t>
      </w:r>
      <w:bookmarkEnd w:id="333"/>
      <w:bookmarkEnd w:id="334"/>
    </w:p>
    <w:p w14:paraId="2DA14855" w14:textId="1D606C80" w:rsidR="00F55E6A" w:rsidRDefault="00F55E6A" w:rsidP="00F55E6A">
      <w:pPr>
        <w:spacing w:after="0" w:line="240" w:lineRule="auto"/>
        <w:rPr>
          <w:rFonts w:cstheme="minorHAnsi"/>
        </w:rPr>
      </w:pPr>
      <w:r w:rsidRPr="00E85A89">
        <w:rPr>
          <w:rFonts w:cstheme="minorHAnsi"/>
        </w:rPr>
        <w:t xml:space="preserve">In 2022, </w:t>
      </w:r>
      <w:r>
        <w:rPr>
          <w:rFonts w:cstheme="minorHAnsi"/>
        </w:rPr>
        <w:t xml:space="preserve">257 </w:t>
      </w:r>
      <w:r w:rsidRPr="00E85A89">
        <w:rPr>
          <w:rFonts w:cstheme="minorHAnsi"/>
        </w:rPr>
        <w:t xml:space="preserve">cases of </w:t>
      </w:r>
      <w:r>
        <w:rPr>
          <w:rFonts w:cstheme="minorHAnsi"/>
        </w:rPr>
        <w:t xml:space="preserve">cervical cancer were recorded. The estimated total number of cervical cancer cases attributable to smoking in Ireland in 2022 was 52 (PAF 20.3%). Table </w:t>
      </w:r>
      <w:r w:rsidR="007672D9">
        <w:rPr>
          <w:rFonts w:cstheme="minorHAnsi"/>
        </w:rPr>
        <w:t>17.1</w:t>
      </w:r>
      <w:r>
        <w:rPr>
          <w:rFonts w:cstheme="minorHAnsi"/>
        </w:rPr>
        <w:t xml:space="preserve"> presents the cervical cancer incidence related to smoking. The PAF for cervical cancer among females was 20.3%</w:t>
      </w:r>
    </w:p>
    <w:p w14:paraId="1F60A04D" w14:textId="77777777" w:rsidR="00F55E6A" w:rsidRDefault="00F55E6A" w:rsidP="00F55E6A">
      <w:pPr>
        <w:spacing w:after="0" w:line="240" w:lineRule="auto"/>
        <w:rPr>
          <w:rFonts w:cstheme="minorHAnsi"/>
        </w:rPr>
      </w:pPr>
    </w:p>
    <w:tbl>
      <w:tblPr>
        <w:tblStyle w:val="TableGrid"/>
        <w:tblW w:w="5000" w:type="pct"/>
        <w:tblLook w:val="04A0" w:firstRow="1" w:lastRow="0" w:firstColumn="1" w:lastColumn="0" w:noHBand="0" w:noVBand="1"/>
      </w:tblPr>
      <w:tblGrid>
        <w:gridCol w:w="4815"/>
        <w:gridCol w:w="4201"/>
      </w:tblGrid>
      <w:tr w:rsidR="00F55E6A" w14:paraId="653433BB" w14:textId="77777777" w:rsidTr="0041177B">
        <w:tc>
          <w:tcPr>
            <w:tcW w:w="5000" w:type="pct"/>
            <w:gridSpan w:val="2"/>
            <w:tcBorders>
              <w:top w:val="single" w:sz="4" w:space="0" w:color="auto"/>
              <w:left w:val="single" w:sz="4" w:space="0" w:color="auto"/>
              <w:bottom w:val="single" w:sz="4" w:space="0" w:color="auto"/>
              <w:right w:val="single" w:sz="4" w:space="0" w:color="auto"/>
            </w:tcBorders>
            <w:shd w:val="clear" w:color="auto" w:fill="002060"/>
            <w:hideMark/>
          </w:tcPr>
          <w:p w14:paraId="58F25F05" w14:textId="3CBFDD20" w:rsidR="00F55E6A" w:rsidRPr="007672D9" w:rsidRDefault="00F55E6A" w:rsidP="0041177B">
            <w:pPr>
              <w:rPr>
                <w:rFonts w:asciiTheme="minorHAnsi" w:hAnsiTheme="minorHAnsi" w:cstheme="minorHAnsi"/>
                <w:b/>
                <w:bCs/>
                <w:color w:val="FFFFFF" w:themeColor="background1"/>
                <w:sz w:val="20"/>
                <w:szCs w:val="20"/>
              </w:rPr>
            </w:pPr>
            <w:r w:rsidRPr="007672D9">
              <w:rPr>
                <w:rFonts w:asciiTheme="minorHAnsi" w:hAnsiTheme="minorHAnsi" w:cstheme="minorHAnsi"/>
                <w:b/>
                <w:bCs/>
                <w:color w:val="FFFFFF" w:themeColor="background1"/>
                <w:sz w:val="20"/>
                <w:szCs w:val="20"/>
              </w:rPr>
              <w:t xml:space="preserve">Table </w:t>
            </w:r>
            <w:r w:rsidR="007672D9" w:rsidRPr="007672D9">
              <w:rPr>
                <w:rFonts w:asciiTheme="minorHAnsi" w:hAnsiTheme="minorHAnsi" w:cstheme="minorHAnsi"/>
                <w:b/>
                <w:bCs/>
                <w:color w:val="FFFFFF" w:themeColor="background1"/>
                <w:sz w:val="20"/>
                <w:szCs w:val="20"/>
              </w:rPr>
              <w:t>17.1</w:t>
            </w:r>
            <w:r w:rsidRPr="007672D9">
              <w:rPr>
                <w:rFonts w:asciiTheme="minorHAnsi" w:hAnsiTheme="minorHAnsi" w:cstheme="minorHAnsi"/>
                <w:b/>
                <w:bCs/>
                <w:color w:val="FFFFFF" w:themeColor="background1"/>
                <w:sz w:val="20"/>
                <w:szCs w:val="20"/>
              </w:rPr>
              <w:t>: Population attributable fraction and attributable cases for cervical</w:t>
            </w:r>
            <w:r w:rsidRPr="007672D9">
              <w:rPr>
                <w:rFonts w:asciiTheme="minorHAnsi" w:hAnsiTheme="minorHAnsi" w:cstheme="minorHAnsi"/>
                <w:b/>
                <w:bCs/>
                <w:sz w:val="20"/>
                <w:szCs w:val="20"/>
              </w:rPr>
              <w:t xml:space="preserve"> </w:t>
            </w:r>
            <w:r w:rsidRPr="007672D9">
              <w:rPr>
                <w:rFonts w:asciiTheme="minorHAnsi" w:hAnsiTheme="minorHAnsi" w:cstheme="minorHAnsi"/>
                <w:b/>
                <w:bCs/>
                <w:color w:val="FFFFFF" w:themeColor="background1"/>
                <w:sz w:val="20"/>
                <w:szCs w:val="20"/>
              </w:rPr>
              <w:t>cancer in 2022</w:t>
            </w:r>
          </w:p>
        </w:tc>
      </w:tr>
      <w:tr w:rsidR="00F55E6A" w14:paraId="7CDD8954" w14:textId="77777777" w:rsidTr="0041177B">
        <w:tc>
          <w:tcPr>
            <w:tcW w:w="2670" w:type="pct"/>
            <w:tcBorders>
              <w:top w:val="single" w:sz="4" w:space="0" w:color="auto"/>
              <w:left w:val="single" w:sz="4" w:space="0" w:color="auto"/>
              <w:bottom w:val="single" w:sz="4" w:space="0" w:color="auto"/>
              <w:right w:val="single" w:sz="4" w:space="0" w:color="auto"/>
            </w:tcBorders>
          </w:tcPr>
          <w:p w14:paraId="1EB182E0" w14:textId="77777777" w:rsidR="00F55E6A" w:rsidRPr="007677DE" w:rsidRDefault="00F55E6A" w:rsidP="0041177B">
            <w:pPr>
              <w:rPr>
                <w:rFonts w:asciiTheme="minorHAnsi" w:hAnsiTheme="minorHAnsi" w:cstheme="minorHAnsi"/>
                <w:kern w:val="2"/>
                <w:sz w:val="24"/>
                <w:szCs w:val="24"/>
                <w:lang w:val="en-GB"/>
                <w14:ligatures w14:val="standardContextual"/>
              </w:rPr>
            </w:pPr>
          </w:p>
        </w:tc>
        <w:tc>
          <w:tcPr>
            <w:tcW w:w="2330" w:type="pct"/>
            <w:tcBorders>
              <w:top w:val="single" w:sz="4" w:space="0" w:color="auto"/>
              <w:left w:val="single" w:sz="4" w:space="0" w:color="auto"/>
              <w:bottom w:val="single" w:sz="4" w:space="0" w:color="auto"/>
              <w:right w:val="single" w:sz="4" w:space="0" w:color="auto"/>
            </w:tcBorders>
          </w:tcPr>
          <w:p w14:paraId="1AF67B1B" w14:textId="77777777" w:rsidR="00F55E6A" w:rsidRPr="007677DE" w:rsidRDefault="00F55E6A" w:rsidP="0041177B">
            <w:pPr>
              <w:jc w:val="center"/>
              <w:rPr>
                <w:rFonts w:asciiTheme="minorHAnsi" w:hAnsiTheme="minorHAnsi" w:cstheme="minorHAnsi"/>
                <w:kern w:val="2"/>
                <w:sz w:val="24"/>
                <w:szCs w:val="24"/>
                <w:lang w:val="en-GB"/>
                <w14:ligatures w14:val="standardContextual"/>
              </w:rPr>
            </w:pPr>
            <w:r w:rsidRPr="007677DE">
              <w:rPr>
                <w:rFonts w:asciiTheme="minorHAnsi" w:hAnsiTheme="minorHAnsi" w:cstheme="minorHAnsi"/>
                <w:kern w:val="2"/>
                <w:sz w:val="24"/>
                <w:szCs w:val="24"/>
                <w:lang w:val="en-GB"/>
                <w14:ligatures w14:val="standardContextual"/>
              </w:rPr>
              <w:t>Females</w:t>
            </w:r>
          </w:p>
        </w:tc>
      </w:tr>
      <w:tr w:rsidR="00F55E6A" w14:paraId="3D746419" w14:textId="77777777" w:rsidTr="0041177B">
        <w:tc>
          <w:tcPr>
            <w:tcW w:w="2670" w:type="pct"/>
            <w:tcBorders>
              <w:top w:val="single" w:sz="4" w:space="0" w:color="auto"/>
              <w:left w:val="single" w:sz="4" w:space="0" w:color="auto"/>
              <w:bottom w:val="single" w:sz="4" w:space="0" w:color="auto"/>
              <w:right w:val="single" w:sz="4" w:space="0" w:color="auto"/>
            </w:tcBorders>
            <w:hideMark/>
          </w:tcPr>
          <w:p w14:paraId="59EA6981" w14:textId="77777777" w:rsidR="00F55E6A" w:rsidRPr="007677DE" w:rsidRDefault="00F55E6A" w:rsidP="0041177B">
            <w:pPr>
              <w:rPr>
                <w:rFonts w:asciiTheme="minorHAnsi" w:hAnsiTheme="minorHAnsi" w:cstheme="minorHAnsi"/>
                <w:kern w:val="2"/>
                <w:sz w:val="24"/>
                <w:szCs w:val="24"/>
                <w:lang w:val="en-GB"/>
                <w14:ligatures w14:val="standardContextual"/>
              </w:rPr>
            </w:pPr>
            <w:r w:rsidRPr="007677DE">
              <w:rPr>
                <w:rFonts w:asciiTheme="minorHAnsi" w:hAnsiTheme="minorHAnsi" w:cstheme="minorHAnsi"/>
                <w:kern w:val="2"/>
                <w:sz w:val="24"/>
                <w:szCs w:val="24"/>
                <w:lang w:val="en-GB"/>
                <w14:ligatures w14:val="standardContextual"/>
              </w:rPr>
              <w:t>PAF (%)</w:t>
            </w:r>
          </w:p>
        </w:tc>
        <w:tc>
          <w:tcPr>
            <w:tcW w:w="2330" w:type="pct"/>
            <w:tcBorders>
              <w:top w:val="single" w:sz="4" w:space="0" w:color="auto"/>
              <w:left w:val="single" w:sz="4" w:space="0" w:color="auto"/>
              <w:bottom w:val="single" w:sz="4" w:space="0" w:color="auto"/>
              <w:right w:val="single" w:sz="4" w:space="0" w:color="auto"/>
            </w:tcBorders>
          </w:tcPr>
          <w:p w14:paraId="10DE5BCC" w14:textId="77777777" w:rsidR="00F55E6A" w:rsidRPr="007677DE" w:rsidRDefault="00F55E6A" w:rsidP="0041177B">
            <w:pPr>
              <w:jc w:val="center"/>
              <w:rPr>
                <w:rFonts w:asciiTheme="minorHAnsi" w:hAnsiTheme="minorHAnsi" w:cstheme="minorHAnsi"/>
                <w:kern w:val="2"/>
                <w:sz w:val="24"/>
                <w:szCs w:val="24"/>
                <w:lang w:val="en-GB"/>
                <w14:ligatures w14:val="standardContextual"/>
              </w:rPr>
            </w:pPr>
            <w:r w:rsidRPr="007677DE">
              <w:rPr>
                <w:rFonts w:asciiTheme="minorHAnsi" w:hAnsiTheme="minorHAnsi" w:cstheme="minorHAnsi"/>
                <w:kern w:val="2"/>
                <w:sz w:val="24"/>
                <w:szCs w:val="24"/>
                <w:lang w:val="en-GB"/>
                <w14:ligatures w14:val="standardContextual"/>
              </w:rPr>
              <w:t>20.3</w:t>
            </w:r>
          </w:p>
        </w:tc>
      </w:tr>
      <w:tr w:rsidR="000433FD" w14:paraId="0D266B0B" w14:textId="77777777" w:rsidTr="0041177B">
        <w:tc>
          <w:tcPr>
            <w:tcW w:w="2670" w:type="pct"/>
            <w:tcBorders>
              <w:top w:val="single" w:sz="4" w:space="0" w:color="auto"/>
              <w:left w:val="single" w:sz="4" w:space="0" w:color="auto"/>
              <w:bottom w:val="single" w:sz="4" w:space="0" w:color="auto"/>
              <w:right w:val="single" w:sz="4" w:space="0" w:color="auto"/>
            </w:tcBorders>
          </w:tcPr>
          <w:p w14:paraId="33439398" w14:textId="60BB3A1D" w:rsidR="000433FD" w:rsidRPr="007677DE" w:rsidRDefault="000433FD" w:rsidP="0041177B">
            <w:pPr>
              <w:rPr>
                <w:rFonts w:asciiTheme="minorHAnsi" w:hAnsiTheme="minorHAnsi" w:cstheme="minorHAnsi"/>
                <w:kern w:val="2"/>
                <w:sz w:val="24"/>
                <w:szCs w:val="24"/>
                <w:lang w:val="en-GB"/>
                <w14:ligatures w14:val="standardContextual"/>
              </w:rPr>
            </w:pPr>
            <w:r w:rsidRPr="007677DE">
              <w:rPr>
                <w:rFonts w:asciiTheme="minorHAnsi" w:hAnsiTheme="minorHAnsi" w:cstheme="minorHAnsi"/>
                <w:kern w:val="2"/>
                <w:sz w:val="24"/>
                <w:szCs w:val="24"/>
                <w:lang w:val="en-GB"/>
                <w14:ligatures w14:val="standardContextual"/>
              </w:rPr>
              <w:t>Total cases</w:t>
            </w:r>
          </w:p>
        </w:tc>
        <w:tc>
          <w:tcPr>
            <w:tcW w:w="2330" w:type="pct"/>
            <w:tcBorders>
              <w:top w:val="single" w:sz="4" w:space="0" w:color="auto"/>
              <w:left w:val="single" w:sz="4" w:space="0" w:color="auto"/>
              <w:bottom w:val="single" w:sz="4" w:space="0" w:color="auto"/>
              <w:right w:val="single" w:sz="4" w:space="0" w:color="auto"/>
            </w:tcBorders>
          </w:tcPr>
          <w:p w14:paraId="4281EB23" w14:textId="578D5794" w:rsidR="000433FD" w:rsidRPr="007677DE" w:rsidRDefault="000433FD" w:rsidP="0041177B">
            <w:pPr>
              <w:jc w:val="center"/>
              <w:rPr>
                <w:rFonts w:asciiTheme="minorHAnsi" w:hAnsiTheme="minorHAnsi" w:cstheme="minorHAnsi"/>
                <w:kern w:val="2"/>
                <w:sz w:val="24"/>
                <w:szCs w:val="24"/>
                <w:lang w:val="en-GB"/>
                <w14:ligatures w14:val="standardContextual"/>
              </w:rPr>
            </w:pPr>
            <w:r w:rsidRPr="007677DE">
              <w:rPr>
                <w:rFonts w:asciiTheme="minorHAnsi" w:hAnsiTheme="minorHAnsi" w:cstheme="minorHAnsi"/>
                <w:kern w:val="2"/>
                <w:sz w:val="24"/>
                <w:szCs w:val="24"/>
                <w:lang w:val="en-GB"/>
                <w14:ligatures w14:val="standardContextual"/>
              </w:rPr>
              <w:t>257</w:t>
            </w:r>
          </w:p>
        </w:tc>
      </w:tr>
      <w:tr w:rsidR="00F55E6A" w14:paraId="55DEEC80" w14:textId="77777777" w:rsidTr="0041177B">
        <w:tc>
          <w:tcPr>
            <w:tcW w:w="2670" w:type="pct"/>
            <w:tcBorders>
              <w:top w:val="single" w:sz="4" w:space="0" w:color="auto"/>
              <w:left w:val="single" w:sz="4" w:space="0" w:color="auto"/>
              <w:bottom w:val="single" w:sz="4" w:space="0" w:color="auto"/>
              <w:right w:val="single" w:sz="4" w:space="0" w:color="auto"/>
            </w:tcBorders>
            <w:hideMark/>
          </w:tcPr>
          <w:p w14:paraId="3530D565" w14:textId="77777777" w:rsidR="00F55E6A" w:rsidRPr="007677DE" w:rsidRDefault="00F55E6A" w:rsidP="0041177B">
            <w:pPr>
              <w:rPr>
                <w:rFonts w:asciiTheme="minorHAnsi" w:hAnsiTheme="minorHAnsi" w:cstheme="minorHAnsi"/>
                <w:kern w:val="2"/>
                <w:sz w:val="24"/>
                <w:szCs w:val="24"/>
                <w:lang w:val="en-GB"/>
                <w14:ligatures w14:val="standardContextual"/>
              </w:rPr>
            </w:pPr>
            <w:r w:rsidRPr="007677DE">
              <w:rPr>
                <w:rFonts w:asciiTheme="minorHAnsi" w:hAnsiTheme="minorHAnsi" w:cstheme="minorHAnsi"/>
                <w:kern w:val="2"/>
                <w:sz w:val="24"/>
                <w:szCs w:val="24"/>
                <w:lang w:val="en-GB"/>
                <w14:ligatures w14:val="standardContextual"/>
              </w:rPr>
              <w:t>Attributable cases</w:t>
            </w:r>
          </w:p>
        </w:tc>
        <w:tc>
          <w:tcPr>
            <w:tcW w:w="2330" w:type="pct"/>
            <w:tcBorders>
              <w:top w:val="single" w:sz="4" w:space="0" w:color="auto"/>
              <w:left w:val="single" w:sz="4" w:space="0" w:color="auto"/>
              <w:bottom w:val="single" w:sz="4" w:space="0" w:color="auto"/>
              <w:right w:val="single" w:sz="4" w:space="0" w:color="auto"/>
            </w:tcBorders>
          </w:tcPr>
          <w:p w14:paraId="2D775404" w14:textId="77777777" w:rsidR="00F55E6A" w:rsidRPr="007677DE" w:rsidRDefault="00F55E6A" w:rsidP="0041177B">
            <w:pPr>
              <w:jc w:val="center"/>
              <w:rPr>
                <w:rFonts w:asciiTheme="minorHAnsi" w:hAnsiTheme="minorHAnsi" w:cstheme="minorHAnsi"/>
                <w:kern w:val="2"/>
                <w:sz w:val="24"/>
                <w:szCs w:val="24"/>
                <w:lang w:val="en-GB"/>
                <w14:ligatures w14:val="standardContextual"/>
              </w:rPr>
            </w:pPr>
            <w:r w:rsidRPr="007677DE">
              <w:rPr>
                <w:rFonts w:asciiTheme="minorHAnsi" w:hAnsiTheme="minorHAnsi" w:cstheme="minorHAnsi"/>
                <w:kern w:val="2"/>
                <w:sz w:val="24"/>
                <w:szCs w:val="24"/>
                <w:lang w:val="en-GB"/>
                <w14:ligatures w14:val="standardContextual"/>
              </w:rPr>
              <w:t>52</w:t>
            </w:r>
          </w:p>
        </w:tc>
      </w:tr>
    </w:tbl>
    <w:p w14:paraId="6423DC8A" w14:textId="77777777" w:rsidR="00F55E6A" w:rsidRPr="000B3B48" w:rsidRDefault="00F55E6A" w:rsidP="00F55E6A">
      <w:pPr>
        <w:spacing w:after="0" w:line="240" w:lineRule="auto"/>
        <w:sectPr w:rsidR="00F55E6A" w:rsidRPr="000B3B48" w:rsidSect="002746C0">
          <w:pgSz w:w="11906" w:h="16838"/>
          <w:pgMar w:top="1440" w:right="1440" w:bottom="1440" w:left="1440" w:header="708" w:footer="708" w:gutter="0"/>
          <w:cols w:space="708"/>
          <w:docGrid w:linePitch="360"/>
        </w:sectPr>
      </w:pPr>
    </w:p>
    <w:p w14:paraId="4ED08581" w14:textId="77777777" w:rsidR="00F55E6A" w:rsidRDefault="00F55E6A" w:rsidP="00F55E6A">
      <w:pPr>
        <w:pStyle w:val="Heading1"/>
        <w:spacing w:before="0" w:after="0" w:line="240" w:lineRule="auto"/>
      </w:pPr>
      <w:r>
        <w:t xml:space="preserve"> </w:t>
      </w:r>
      <w:bookmarkStart w:id="335" w:name="_Toc197557158"/>
      <w:bookmarkStart w:id="336" w:name="_Toc201512549"/>
      <w:r>
        <w:t>Ovary (mucinous)</w:t>
      </w:r>
      <w:r>
        <w:tab/>
        <w:t>C56-57, C48</w:t>
      </w:r>
      <w:bookmarkEnd w:id="335"/>
      <w:bookmarkEnd w:id="336"/>
    </w:p>
    <w:p w14:paraId="309E8ADE" w14:textId="77777777" w:rsidR="00F55E6A" w:rsidRDefault="00F55E6A" w:rsidP="00F55E6A">
      <w:pPr>
        <w:numPr>
          <w:ilvl w:val="1"/>
          <w:numId w:val="0"/>
        </w:numPr>
        <w:spacing w:after="0" w:line="240" w:lineRule="auto"/>
        <w:rPr>
          <w:rFonts w:eastAsiaTheme="majorEastAsia" w:cstheme="minorHAnsi"/>
          <w:i/>
          <w:iCs/>
          <w:color w:val="0F4761" w:themeColor="accent1" w:themeShade="BF"/>
          <w:spacing w:val="15"/>
          <w:sz w:val="28"/>
          <w:szCs w:val="28"/>
        </w:rPr>
      </w:pPr>
      <w:r w:rsidRPr="00854C9F">
        <w:rPr>
          <w:rFonts w:eastAsiaTheme="majorEastAsia" w:cstheme="minorHAnsi"/>
          <w:i/>
          <w:iCs/>
          <w:color w:val="0F4761" w:themeColor="accent1" w:themeShade="BF"/>
          <w:spacing w:val="15"/>
          <w:sz w:val="28"/>
          <w:szCs w:val="28"/>
        </w:rPr>
        <w:t xml:space="preserve">Key points </w:t>
      </w:r>
    </w:p>
    <w:p w14:paraId="4D423ACB" w14:textId="77777777" w:rsidR="00F55E6A" w:rsidRPr="00542C5A" w:rsidRDefault="00F55E6A" w:rsidP="00F55E6A">
      <w:pPr>
        <w:numPr>
          <w:ilvl w:val="1"/>
          <w:numId w:val="0"/>
        </w:numPr>
        <w:spacing w:after="0" w:line="240" w:lineRule="auto"/>
        <w:rPr>
          <w:rFonts w:cstheme="minorHAnsi"/>
          <w:i/>
          <w:iCs/>
          <w:color w:val="808080" w:themeColor="background1" w:themeShade="80"/>
        </w:rPr>
      </w:pPr>
      <w:r w:rsidRPr="00542C5A">
        <w:rPr>
          <w:rFonts w:cstheme="minorHAnsi"/>
          <w:i/>
          <w:iCs/>
          <w:color w:val="808080" w:themeColor="background1" w:themeShade="80"/>
        </w:rPr>
        <w:t>Incidence</w:t>
      </w:r>
    </w:p>
    <w:p w14:paraId="00D656EA" w14:textId="79932108" w:rsidR="00F55E6A" w:rsidRPr="00854C9F" w:rsidRDefault="00F55E6A">
      <w:pPr>
        <w:numPr>
          <w:ilvl w:val="0"/>
          <w:numId w:val="3"/>
        </w:numPr>
        <w:spacing w:after="0" w:line="240" w:lineRule="auto"/>
        <w:contextualSpacing/>
        <w:rPr>
          <w:rFonts w:cstheme="minorHAnsi"/>
        </w:rPr>
      </w:pPr>
      <w:r>
        <w:rPr>
          <w:rFonts w:cstheme="minorHAnsi"/>
        </w:rPr>
        <w:t>Age-standardised in</w:t>
      </w:r>
      <w:r w:rsidRPr="00854C9F">
        <w:rPr>
          <w:rFonts w:cstheme="minorHAnsi"/>
        </w:rPr>
        <w:t>cidence</w:t>
      </w:r>
      <w:r w:rsidR="00397C73">
        <w:rPr>
          <w:rFonts w:cstheme="minorHAnsi"/>
        </w:rPr>
        <w:t xml:space="preserve"> rates</w:t>
      </w:r>
      <w:r w:rsidRPr="00854C9F">
        <w:rPr>
          <w:rFonts w:cstheme="minorHAnsi"/>
        </w:rPr>
        <w:t xml:space="preserve"> </w:t>
      </w:r>
      <w:r>
        <w:rPr>
          <w:rFonts w:cstheme="minorHAnsi"/>
        </w:rPr>
        <w:t>increased f</w:t>
      </w:r>
      <w:r w:rsidRPr="00854C9F">
        <w:rPr>
          <w:rFonts w:cstheme="minorHAnsi"/>
        </w:rPr>
        <w:t>rom 199</w:t>
      </w:r>
      <w:r>
        <w:rPr>
          <w:rFonts w:cstheme="minorHAnsi"/>
        </w:rPr>
        <w:t>8</w:t>
      </w:r>
      <w:r w:rsidRPr="00854C9F">
        <w:rPr>
          <w:rFonts w:cstheme="minorHAnsi"/>
        </w:rPr>
        <w:t>-2022</w:t>
      </w:r>
      <w:r w:rsidR="007672D9">
        <w:rPr>
          <w:rFonts w:cstheme="minorHAnsi"/>
        </w:rPr>
        <w:t>.</w:t>
      </w:r>
    </w:p>
    <w:p w14:paraId="39D10854" w14:textId="0CF6E8F3" w:rsidR="00F55E6A" w:rsidRPr="007672D9" w:rsidRDefault="00F55E6A">
      <w:pPr>
        <w:pStyle w:val="ListParagraph"/>
        <w:numPr>
          <w:ilvl w:val="0"/>
          <w:numId w:val="3"/>
        </w:numPr>
        <w:spacing w:after="0" w:line="240" w:lineRule="auto"/>
        <w:jc w:val="both"/>
        <w:rPr>
          <w:rFonts w:eastAsia="Times New Roman" w:cstheme="minorHAnsi"/>
          <w:i/>
          <w:iCs/>
          <w:color w:val="808080" w:themeColor="background1" w:themeShade="80"/>
        </w:rPr>
      </w:pPr>
      <w:r w:rsidRPr="00542C5A">
        <w:rPr>
          <w:rFonts w:cstheme="minorHAnsi"/>
          <w:color w:val="000000" w:themeColor="text1"/>
        </w:rPr>
        <w:t>Age-standardised incidence rates for mucinous ovarian</w:t>
      </w:r>
      <w:r w:rsidRPr="00542C5A">
        <w:rPr>
          <w:rFonts w:cstheme="minorHAnsi"/>
        </w:rPr>
        <w:t xml:space="preserve"> cancer </w:t>
      </w:r>
      <w:r w:rsidRPr="00542C5A">
        <w:rPr>
          <w:rFonts w:cstheme="minorHAnsi"/>
          <w:color w:val="000000" w:themeColor="text1"/>
        </w:rPr>
        <w:t>in 2014-2018 were similar across quintiles of deprivation</w:t>
      </w:r>
      <w:r w:rsidR="007672D9">
        <w:rPr>
          <w:rFonts w:cstheme="minorHAnsi"/>
          <w:i/>
          <w:iCs/>
          <w:color w:val="808080" w:themeColor="background1" w:themeShade="80"/>
        </w:rPr>
        <w:t>.</w:t>
      </w:r>
    </w:p>
    <w:p w14:paraId="233956A2" w14:textId="77777777" w:rsidR="00F55E6A" w:rsidRPr="00542C5A" w:rsidRDefault="00F55E6A" w:rsidP="00F55E6A">
      <w:pPr>
        <w:spacing w:after="0" w:line="240" w:lineRule="auto"/>
        <w:jc w:val="both"/>
        <w:rPr>
          <w:rFonts w:eastAsia="Times New Roman" w:cstheme="minorHAnsi"/>
          <w:i/>
          <w:iCs/>
          <w:color w:val="808080" w:themeColor="background1" w:themeShade="80"/>
        </w:rPr>
      </w:pPr>
      <w:r w:rsidRPr="00542C5A">
        <w:rPr>
          <w:rFonts w:cstheme="minorHAnsi"/>
          <w:i/>
          <w:iCs/>
          <w:color w:val="808080" w:themeColor="background1" w:themeShade="80"/>
        </w:rPr>
        <w:t>Mortality</w:t>
      </w:r>
    </w:p>
    <w:p w14:paraId="7D280BE8" w14:textId="77777777" w:rsidR="00DD7506" w:rsidRPr="00397C73" w:rsidRDefault="00DD7506" w:rsidP="00DD7506">
      <w:pPr>
        <w:pStyle w:val="ListParagraph"/>
        <w:numPr>
          <w:ilvl w:val="0"/>
          <w:numId w:val="5"/>
        </w:numPr>
        <w:spacing w:after="0" w:line="240" w:lineRule="auto"/>
        <w:ind w:left="709" w:hanging="283"/>
        <w:rPr>
          <w:rFonts w:cstheme="minorHAnsi"/>
        </w:rPr>
      </w:pPr>
      <w:r w:rsidRPr="004C7861">
        <w:t>CSO mortality data does not provide mortality figures at the tumour morphological level</w:t>
      </w:r>
      <w:r>
        <w:t xml:space="preserve"> therefore mortality trends are not presented.</w:t>
      </w:r>
    </w:p>
    <w:p w14:paraId="205F640E" w14:textId="77777777" w:rsidR="00F55E6A" w:rsidRDefault="00F55E6A" w:rsidP="00F55E6A">
      <w:pPr>
        <w:numPr>
          <w:ilvl w:val="1"/>
          <w:numId w:val="0"/>
        </w:numPr>
        <w:spacing w:after="0" w:line="240" w:lineRule="auto"/>
        <w:rPr>
          <w:rFonts w:eastAsiaTheme="majorEastAsia" w:cstheme="minorHAnsi"/>
          <w:i/>
          <w:iCs/>
          <w:color w:val="595959" w:themeColor="text1" w:themeTint="A6"/>
          <w:spacing w:val="15"/>
        </w:rPr>
      </w:pPr>
      <w:r w:rsidRPr="00854C9F">
        <w:rPr>
          <w:rFonts w:eastAsiaTheme="majorEastAsia" w:cstheme="minorHAnsi"/>
          <w:i/>
          <w:iCs/>
          <w:color w:val="595959" w:themeColor="text1" w:themeTint="A6"/>
          <w:spacing w:val="15"/>
        </w:rPr>
        <w:t>Survival</w:t>
      </w:r>
    </w:p>
    <w:p w14:paraId="12A3512E" w14:textId="0396E75B" w:rsidR="00DD7506" w:rsidRPr="0077726B" w:rsidRDefault="00DD7506" w:rsidP="00DD7506">
      <w:pPr>
        <w:numPr>
          <w:ilvl w:val="0"/>
          <w:numId w:val="18"/>
        </w:numPr>
        <w:spacing w:after="0" w:line="240" w:lineRule="auto"/>
        <w:contextualSpacing/>
      </w:pPr>
      <w:r w:rsidRPr="0077726B">
        <w:t xml:space="preserve">5-year net survival was </w:t>
      </w:r>
      <w:r>
        <w:t>70</w:t>
      </w:r>
      <w:r w:rsidRPr="0077726B">
        <w:t>% for cases diagnosed during 2019-2022.</w:t>
      </w:r>
    </w:p>
    <w:p w14:paraId="15BAA388" w14:textId="77777777" w:rsidR="00F55E6A" w:rsidRPr="00854C9F" w:rsidRDefault="00F55E6A" w:rsidP="00F55E6A">
      <w:pPr>
        <w:numPr>
          <w:ilvl w:val="1"/>
          <w:numId w:val="0"/>
        </w:numPr>
        <w:spacing w:after="0" w:line="240" w:lineRule="auto"/>
        <w:rPr>
          <w:rFonts w:cstheme="minorHAnsi"/>
          <w:i/>
          <w:iCs/>
        </w:rPr>
      </w:pPr>
      <w:r w:rsidRPr="00854C9F">
        <w:rPr>
          <w:rFonts w:eastAsiaTheme="majorEastAsia" w:cstheme="minorHAnsi"/>
          <w:i/>
          <w:iCs/>
          <w:color w:val="595959" w:themeColor="text1" w:themeTint="A6"/>
          <w:spacing w:val="15"/>
        </w:rPr>
        <w:t>Population attributable fraction</w:t>
      </w:r>
    </w:p>
    <w:p w14:paraId="342049DC" w14:textId="22CDE4B4" w:rsidR="00F55E6A" w:rsidRPr="00854C9F" w:rsidRDefault="00F55E6A">
      <w:pPr>
        <w:numPr>
          <w:ilvl w:val="0"/>
          <w:numId w:val="2"/>
        </w:numPr>
        <w:spacing w:after="0" w:line="240" w:lineRule="auto"/>
        <w:contextualSpacing/>
        <w:rPr>
          <w:rFonts w:eastAsiaTheme="majorEastAsia" w:cstheme="minorHAnsi"/>
          <w:color w:val="0F4761" w:themeColor="accent1" w:themeShade="BF"/>
        </w:rPr>
      </w:pPr>
      <w:r w:rsidRPr="00854C9F">
        <w:rPr>
          <w:rFonts w:eastAsia="Calibri" w:cstheme="minorHAnsi"/>
          <w:color w:val="000000" w:themeColor="text1"/>
        </w:rPr>
        <w:t>In 2022</w:t>
      </w:r>
      <w:r w:rsidR="00397C73">
        <w:rPr>
          <w:rFonts w:eastAsia="Calibri" w:cstheme="minorHAnsi"/>
          <w:color w:val="000000" w:themeColor="text1"/>
        </w:rPr>
        <w:t>,</w:t>
      </w:r>
      <w:r w:rsidRPr="00854C9F">
        <w:rPr>
          <w:rFonts w:eastAsia="Calibri" w:cstheme="minorHAnsi"/>
          <w:color w:val="000000" w:themeColor="text1"/>
        </w:rPr>
        <w:t xml:space="preserve"> the estimated total number of cases of ovarian (mucinous) cancer attributable to smoking in Ireland was </w:t>
      </w:r>
      <w:r>
        <w:rPr>
          <w:rFonts w:eastAsia="Calibri" w:cstheme="minorHAnsi"/>
          <w:color w:val="000000" w:themeColor="text1"/>
        </w:rPr>
        <w:t>5</w:t>
      </w:r>
      <w:r w:rsidRPr="00854C9F">
        <w:rPr>
          <w:rFonts w:eastAsia="Calibri" w:cstheme="minorHAnsi"/>
          <w:color w:val="000000" w:themeColor="text1"/>
        </w:rPr>
        <w:t xml:space="preserve"> (PAF </w:t>
      </w:r>
      <w:r>
        <w:rPr>
          <w:rFonts w:eastAsia="Calibri" w:cstheme="minorHAnsi"/>
          <w:color w:val="000000" w:themeColor="text1"/>
        </w:rPr>
        <w:t>20.3</w:t>
      </w:r>
      <w:r w:rsidRPr="00854C9F">
        <w:rPr>
          <w:rFonts w:eastAsia="Calibri" w:cstheme="minorHAnsi"/>
          <w:color w:val="000000" w:themeColor="text1"/>
        </w:rPr>
        <w:t xml:space="preserve">%). </w:t>
      </w:r>
    </w:p>
    <w:p w14:paraId="55BE5244" w14:textId="77777777" w:rsidR="00F55E6A" w:rsidRDefault="00F55E6A" w:rsidP="00F55E6A">
      <w:pPr>
        <w:spacing w:after="0" w:line="240" w:lineRule="auto"/>
        <w:sectPr w:rsidR="00F55E6A" w:rsidSect="002746C0">
          <w:pgSz w:w="11906" w:h="16838"/>
          <w:pgMar w:top="1440" w:right="1440" w:bottom="1440" w:left="1440" w:header="708" w:footer="708" w:gutter="0"/>
          <w:cols w:space="708"/>
          <w:docGrid w:linePitch="360"/>
        </w:sectPr>
      </w:pPr>
    </w:p>
    <w:p w14:paraId="0166D046" w14:textId="77777777" w:rsidR="00F55E6A" w:rsidRDefault="00F55E6A" w:rsidP="00F55E6A">
      <w:pPr>
        <w:pStyle w:val="Heading2"/>
        <w:spacing w:before="0" w:after="0" w:line="240" w:lineRule="auto"/>
      </w:pPr>
      <w:bookmarkStart w:id="337" w:name="_Toc197557159"/>
      <w:bookmarkStart w:id="338" w:name="_Toc201512550"/>
      <w:r>
        <w:t>Incidence</w:t>
      </w:r>
      <w:bookmarkEnd w:id="337"/>
      <w:bookmarkEnd w:id="338"/>
    </w:p>
    <w:p w14:paraId="6050D18A" w14:textId="69A5DB21" w:rsidR="00F55E6A" w:rsidRDefault="00F55E6A" w:rsidP="00F55E6A">
      <w:pPr>
        <w:spacing w:after="0" w:line="240" w:lineRule="auto"/>
      </w:pPr>
      <w:r>
        <w:t xml:space="preserve">Between1994-2022, 431 cases of mucinous ovarian cancer were recorded. Median age at diagnosis was 55 years (IQR: 43-67). </w:t>
      </w:r>
      <w:r w:rsidRPr="108C08C8">
        <w:t>On average</w:t>
      </w:r>
      <w:r w:rsidR="00397C73">
        <w:t xml:space="preserve"> during the period </w:t>
      </w:r>
      <w:r w:rsidRPr="108C08C8">
        <w:t>1994-2022 the age-standardised incidence rate of ovarian cancer was 0.8 cases per 100,000 females</w:t>
      </w:r>
      <w:r>
        <w:t xml:space="preserve">. </w:t>
      </w:r>
      <w:r w:rsidRPr="108C08C8">
        <w:t xml:space="preserve">Figure </w:t>
      </w:r>
      <w:r w:rsidR="007672D9">
        <w:t>18.1</w:t>
      </w:r>
      <w:r w:rsidRPr="108C08C8">
        <w:t xml:space="preserve"> breaks this down further by age group.</w:t>
      </w:r>
    </w:p>
    <w:p w14:paraId="1783793F" w14:textId="77777777" w:rsidR="00F55E6A" w:rsidRDefault="00F55E6A" w:rsidP="00F55E6A">
      <w:pPr>
        <w:spacing w:after="0" w:line="240" w:lineRule="auto"/>
        <w:rPr>
          <w:rFonts w:cstheme="minorHAnsi"/>
        </w:rPr>
      </w:pPr>
    </w:p>
    <w:tbl>
      <w:tblPr>
        <w:tblStyle w:val="TableGrid"/>
        <w:tblW w:w="9929" w:type="dxa"/>
        <w:tblInd w:w="-43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2"/>
        <w:gridCol w:w="5387"/>
      </w:tblGrid>
      <w:tr w:rsidR="00F55E6A" w:rsidRPr="00D217E1" w14:paraId="0B93995D" w14:textId="77777777" w:rsidTr="0041177B">
        <w:trPr>
          <w:trHeight w:val="113"/>
        </w:trPr>
        <w:tc>
          <w:tcPr>
            <w:tcW w:w="9929" w:type="dxa"/>
            <w:gridSpan w:val="2"/>
            <w:shd w:val="clear" w:color="auto" w:fill="002060"/>
          </w:tcPr>
          <w:p w14:paraId="29CF2A39" w14:textId="02934860" w:rsidR="00F55E6A" w:rsidRPr="007672D9" w:rsidRDefault="00F55E6A" w:rsidP="0041177B">
            <w:pPr>
              <w:rPr>
                <w:rFonts w:asciiTheme="minorHAnsi" w:hAnsiTheme="minorHAnsi" w:cstheme="minorHAnsi"/>
                <w:b/>
                <w:bCs/>
                <w:color w:val="FFFFFF" w:themeColor="background1"/>
              </w:rPr>
            </w:pPr>
            <w:r w:rsidRPr="007672D9">
              <w:rPr>
                <w:rFonts w:asciiTheme="minorHAnsi" w:hAnsiTheme="minorHAnsi" w:cstheme="minorHAnsi"/>
                <w:b/>
                <w:bCs/>
                <w:color w:val="FFFFFF" w:themeColor="background1"/>
              </w:rPr>
              <w:t xml:space="preserve">Figure </w:t>
            </w:r>
            <w:r w:rsidR="007672D9" w:rsidRPr="007672D9">
              <w:rPr>
                <w:rFonts w:asciiTheme="minorHAnsi" w:hAnsiTheme="minorHAnsi" w:cstheme="minorHAnsi"/>
                <w:b/>
                <w:bCs/>
                <w:color w:val="FFFFFF" w:themeColor="background1"/>
              </w:rPr>
              <w:t>18.1:</w:t>
            </w:r>
            <w:r w:rsidRPr="007672D9">
              <w:rPr>
                <w:rFonts w:asciiTheme="minorHAnsi" w:hAnsiTheme="minorHAnsi" w:cstheme="minorHAnsi"/>
                <w:b/>
                <w:bCs/>
                <w:color w:val="FFFFFF" w:themeColor="background1"/>
              </w:rPr>
              <w:t xml:space="preserve"> Incidence rate (per 100,000) for mucinous ovarian cancer by </w:t>
            </w:r>
            <w:r w:rsidR="00366242">
              <w:rPr>
                <w:rFonts w:asciiTheme="minorHAnsi" w:hAnsiTheme="minorHAnsi" w:cstheme="minorHAnsi"/>
                <w:b/>
                <w:bCs/>
                <w:color w:val="FFFFFF" w:themeColor="background1"/>
              </w:rPr>
              <w:t>age group</w:t>
            </w:r>
            <w:r w:rsidRPr="007672D9">
              <w:rPr>
                <w:rFonts w:asciiTheme="minorHAnsi" w:hAnsiTheme="minorHAnsi" w:cstheme="minorHAnsi"/>
                <w:b/>
                <w:bCs/>
                <w:color w:val="FFFFFF" w:themeColor="background1"/>
              </w:rPr>
              <w:t>,1994-2022</w:t>
            </w:r>
          </w:p>
        </w:tc>
      </w:tr>
      <w:tr w:rsidR="00F55E6A" w:rsidRPr="00D217E1" w14:paraId="3D0AD09B" w14:textId="77777777" w:rsidTr="0041177B">
        <w:trPr>
          <w:trHeight w:val="113"/>
        </w:trPr>
        <w:tc>
          <w:tcPr>
            <w:tcW w:w="4542" w:type="dxa"/>
            <w:shd w:val="clear" w:color="auto" w:fill="auto"/>
            <w:vAlign w:val="center"/>
          </w:tcPr>
          <w:p w14:paraId="386F314B" w14:textId="77777777" w:rsidR="00F55E6A" w:rsidRPr="00D217E1" w:rsidRDefault="00F55E6A" w:rsidP="0041177B">
            <w:pPr>
              <w:rPr>
                <w:rFonts w:asciiTheme="minorHAnsi" w:hAnsiTheme="minorHAnsi" w:cstheme="minorHAnsi"/>
                <w:color w:val="000000" w:themeColor="text1"/>
              </w:rPr>
            </w:pPr>
            <w:r w:rsidRPr="00D217E1">
              <w:rPr>
                <w:rFonts w:eastAsia="Times New Roman" w:cs="Times New Roman"/>
                <w:noProof/>
                <w:lang w:eastAsia="en-GB"/>
              </w:rPr>
              <w:drawing>
                <wp:inline distT="0" distB="0" distL="0" distR="0" wp14:anchorId="2D13DCED" wp14:editId="5C9DE258">
                  <wp:extent cx="2707575" cy="1619709"/>
                  <wp:effectExtent l="0" t="0" r="0" b="0"/>
                  <wp:docPr id="6" name="Picture 5" descr="A graph with numbers and a numb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descr="A graph with numbers and a number&#10;&#10;AI-generated content may be incorrect."/>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712670" cy="1622757"/>
                          </a:xfrm>
                          <a:prstGeom prst="rect">
                            <a:avLst/>
                          </a:prstGeom>
                          <a:noFill/>
                          <a:ln>
                            <a:noFill/>
                          </a:ln>
                        </pic:spPr>
                      </pic:pic>
                    </a:graphicData>
                  </a:graphic>
                </wp:inline>
              </w:drawing>
            </w:r>
          </w:p>
        </w:tc>
        <w:tc>
          <w:tcPr>
            <w:tcW w:w="5387" w:type="dxa"/>
            <w:shd w:val="clear" w:color="auto" w:fill="auto"/>
            <w:vAlign w:val="center"/>
          </w:tcPr>
          <w:p w14:paraId="1CC2E00B" w14:textId="77777777" w:rsidR="00F55E6A" w:rsidRPr="00D217E1" w:rsidRDefault="00F55E6A" w:rsidP="0041177B">
            <w:pPr>
              <w:jc w:val="center"/>
              <w:rPr>
                <w:rFonts w:asciiTheme="minorHAnsi" w:hAnsiTheme="minorHAnsi" w:cstheme="minorHAnsi"/>
                <w:color w:val="000000" w:themeColor="text1"/>
                <w:lang w:val="en-GB"/>
              </w:rPr>
            </w:pPr>
          </w:p>
          <w:p w14:paraId="7B19B8A5" w14:textId="77777777" w:rsidR="00F55E6A" w:rsidRPr="00D217E1" w:rsidRDefault="00F55E6A" w:rsidP="0041177B">
            <w:pPr>
              <w:jc w:val="center"/>
              <w:rPr>
                <w:rFonts w:asciiTheme="minorHAnsi" w:hAnsiTheme="minorHAnsi" w:cstheme="minorHAnsi"/>
                <w:color w:val="000000" w:themeColor="text1"/>
              </w:rPr>
            </w:pPr>
          </w:p>
          <w:p w14:paraId="24CD8A0E" w14:textId="77777777" w:rsidR="00F55E6A" w:rsidRPr="00D217E1" w:rsidRDefault="00F55E6A" w:rsidP="0041177B">
            <w:pPr>
              <w:jc w:val="center"/>
              <w:rPr>
                <w:rFonts w:asciiTheme="minorHAnsi" w:hAnsiTheme="minorHAnsi" w:cstheme="minorHAnsi"/>
                <w:color w:val="000000" w:themeColor="text1"/>
                <w:lang w:val="en-GB"/>
              </w:rPr>
            </w:pPr>
          </w:p>
          <w:p w14:paraId="7C35F527" w14:textId="77777777" w:rsidR="00F55E6A" w:rsidRPr="00D217E1" w:rsidRDefault="00F55E6A" w:rsidP="0041177B">
            <w:pPr>
              <w:jc w:val="center"/>
              <w:rPr>
                <w:rFonts w:asciiTheme="minorHAnsi" w:hAnsiTheme="minorHAnsi" w:cstheme="minorHAnsi"/>
                <w:color w:val="000000" w:themeColor="text1"/>
              </w:rPr>
            </w:pPr>
          </w:p>
        </w:tc>
      </w:tr>
    </w:tbl>
    <w:p w14:paraId="62F19276" w14:textId="77777777" w:rsidR="001A3B02" w:rsidRPr="001A3B02" w:rsidRDefault="001A3B02" w:rsidP="001A3B02">
      <w:pPr>
        <w:rPr>
          <w:highlight w:val="lightGray"/>
        </w:rPr>
      </w:pPr>
    </w:p>
    <w:p w14:paraId="688CB5FF" w14:textId="77777777" w:rsidR="00F55E6A" w:rsidRPr="00EC537E" w:rsidRDefault="00F55E6A" w:rsidP="00F55E6A">
      <w:pPr>
        <w:pStyle w:val="Heading3"/>
        <w:spacing w:before="0" w:after="0" w:line="240" w:lineRule="auto"/>
      </w:pPr>
      <w:bookmarkStart w:id="339" w:name="_Toc197557160"/>
      <w:bookmarkStart w:id="340" w:name="_Toc201512551"/>
      <w:r w:rsidRPr="00EC537E">
        <w:t>Trends over time</w:t>
      </w:r>
      <w:bookmarkEnd w:id="339"/>
      <w:bookmarkEnd w:id="340"/>
    </w:p>
    <w:p w14:paraId="792EDE83" w14:textId="1FE629DD" w:rsidR="00F55E6A" w:rsidRDefault="00F55E6A" w:rsidP="00F55E6A">
      <w:pPr>
        <w:spacing w:after="0" w:line="240" w:lineRule="auto"/>
        <w:rPr>
          <w:rStyle w:val="eop"/>
          <w:rFonts w:ascii="Aptos" w:hAnsi="Aptos"/>
          <w:color w:val="000000"/>
          <w:shd w:val="clear" w:color="auto" w:fill="FFFFFF"/>
        </w:rPr>
      </w:pPr>
      <w:r>
        <w:rPr>
          <w:rStyle w:val="normaltextrun"/>
          <w:rFonts w:ascii="Aptos" w:hAnsi="Aptos"/>
          <w:color w:val="000000"/>
          <w:shd w:val="clear" w:color="auto" w:fill="FFFFFF"/>
        </w:rPr>
        <w:t xml:space="preserve">Figure </w:t>
      </w:r>
      <w:r w:rsidR="007672D9">
        <w:rPr>
          <w:rStyle w:val="normaltextrun"/>
          <w:rFonts w:ascii="Aptos" w:hAnsi="Aptos"/>
          <w:color w:val="000000"/>
          <w:shd w:val="clear" w:color="auto" w:fill="FFFFFF"/>
        </w:rPr>
        <w:t>18.2</w:t>
      </w:r>
      <w:r>
        <w:rPr>
          <w:rStyle w:val="normaltextrun"/>
          <w:rFonts w:ascii="Aptos" w:hAnsi="Aptos"/>
          <w:color w:val="000000"/>
          <w:shd w:val="clear" w:color="auto" w:fill="FFFFFF"/>
        </w:rPr>
        <w:t xml:space="preserve"> shows the incidence </w:t>
      </w:r>
      <w:r w:rsidRPr="003351F8">
        <w:rPr>
          <w:rStyle w:val="normaltextrun"/>
          <w:rFonts w:ascii="Aptos" w:hAnsi="Aptos"/>
          <w:color w:val="000000"/>
          <w:shd w:val="clear" w:color="auto" w:fill="FFFFFF"/>
        </w:rPr>
        <w:t xml:space="preserve">of </w:t>
      </w:r>
      <w:r w:rsidRPr="00D01C26">
        <w:rPr>
          <w:rStyle w:val="normaltextrun"/>
          <w:rFonts w:ascii="Aptos" w:hAnsi="Aptos"/>
          <w:color w:val="000000"/>
          <w:shd w:val="clear" w:color="auto" w:fill="FFFFFF"/>
        </w:rPr>
        <w:t>mucinous</w:t>
      </w:r>
      <w:r w:rsidRPr="00D01C26">
        <w:rPr>
          <w:rStyle w:val="normaltextrun"/>
          <w:shd w:val="clear" w:color="auto" w:fill="FFFFFF"/>
        </w:rPr>
        <w:t xml:space="preserve"> ovar</w:t>
      </w:r>
      <w:r w:rsidRPr="00D01C26">
        <w:rPr>
          <w:rStyle w:val="normaltextrun"/>
          <w:rFonts w:ascii="Aptos" w:hAnsi="Aptos"/>
          <w:color w:val="000000"/>
          <w:shd w:val="clear" w:color="auto" w:fill="FFFFFF"/>
        </w:rPr>
        <w:t>ian cancer</w:t>
      </w:r>
      <w:r>
        <w:rPr>
          <w:rStyle w:val="normaltextrun"/>
          <w:rFonts w:ascii="Aptos" w:hAnsi="Aptos"/>
          <w:color w:val="000000"/>
          <w:shd w:val="clear" w:color="auto" w:fill="FFFFFF"/>
        </w:rPr>
        <w:t xml:space="preserve"> from 1994 to 2022. Incidence rates increased by 3.4% (95%CI 1</w:t>
      </w:r>
      <w:r w:rsidR="00397C73">
        <w:rPr>
          <w:rStyle w:val="normaltextrun"/>
          <w:rFonts w:ascii="Aptos" w:hAnsi="Aptos"/>
          <w:color w:val="000000"/>
          <w:shd w:val="clear" w:color="auto" w:fill="FFFFFF"/>
        </w:rPr>
        <w:t>.</w:t>
      </w:r>
      <w:r>
        <w:rPr>
          <w:rStyle w:val="normaltextrun"/>
          <w:rFonts w:ascii="Aptos" w:hAnsi="Aptos"/>
          <w:color w:val="000000"/>
          <w:shd w:val="clear" w:color="auto" w:fill="FFFFFF"/>
        </w:rPr>
        <w:t xml:space="preserve">9; 4.8) per year from 1998-2022. </w:t>
      </w:r>
    </w:p>
    <w:p w14:paraId="161B307E" w14:textId="77777777" w:rsidR="00F55E6A" w:rsidRDefault="00F55E6A" w:rsidP="00F55E6A">
      <w:pPr>
        <w:tabs>
          <w:tab w:val="left" w:pos="2422"/>
        </w:tabs>
        <w:spacing w:after="0" w:line="240" w:lineRule="auto"/>
      </w:pPr>
      <w:r>
        <w:tab/>
      </w:r>
    </w:p>
    <w:tbl>
      <w:tblPr>
        <w:tblStyle w:val="TableGrid"/>
        <w:tblW w:w="985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6"/>
      </w:tblGrid>
      <w:tr w:rsidR="00F55E6A" w:rsidRPr="00D217E1" w14:paraId="652B2643" w14:textId="77777777" w:rsidTr="0041177B">
        <w:trPr>
          <w:trHeight w:val="113"/>
        </w:trPr>
        <w:tc>
          <w:tcPr>
            <w:tcW w:w="9856" w:type="dxa"/>
            <w:shd w:val="clear" w:color="auto" w:fill="002060"/>
            <w:vAlign w:val="center"/>
          </w:tcPr>
          <w:p w14:paraId="2C2010A4" w14:textId="1FC6AA29" w:rsidR="00F55E6A" w:rsidRPr="00D217E1" w:rsidRDefault="00F55E6A" w:rsidP="0041177B">
            <w:pPr>
              <w:rPr>
                <w:rFonts w:asciiTheme="minorHAnsi" w:hAnsiTheme="minorHAnsi"/>
                <w:b/>
                <w:bCs/>
              </w:rPr>
            </w:pPr>
            <w:r w:rsidRPr="00D217E1">
              <w:rPr>
                <w:rFonts w:asciiTheme="minorHAnsi" w:hAnsiTheme="minorHAnsi"/>
                <w:b/>
                <w:bCs/>
              </w:rPr>
              <w:t xml:space="preserve">Figure </w:t>
            </w:r>
            <w:r w:rsidR="007672D9">
              <w:rPr>
                <w:rFonts w:asciiTheme="minorHAnsi" w:hAnsiTheme="minorHAnsi"/>
                <w:b/>
                <w:bCs/>
              </w:rPr>
              <w:t>18.2:</w:t>
            </w:r>
            <w:r w:rsidRPr="00D217E1">
              <w:rPr>
                <w:rFonts w:asciiTheme="minorHAnsi" w:hAnsiTheme="minorHAnsi"/>
                <w:b/>
                <w:bCs/>
              </w:rPr>
              <w:t xml:space="preserve">   Age-</w:t>
            </w:r>
            <w:r w:rsidRPr="00D217E1">
              <w:rPr>
                <w:rFonts w:asciiTheme="minorHAnsi" w:hAnsiTheme="minorHAnsi"/>
                <w:b/>
                <w:bCs/>
                <w:bdr w:val="single" w:sz="4" w:space="0" w:color="auto"/>
              </w:rPr>
              <w:t>standardised incidence rate 1994-2022, ovarian (mucinous) cancer</w:t>
            </w:r>
          </w:p>
        </w:tc>
      </w:tr>
      <w:tr w:rsidR="00F55E6A" w:rsidRPr="00D217E1" w14:paraId="7FF6F4AB" w14:textId="77777777" w:rsidTr="0041177B">
        <w:trPr>
          <w:trHeight w:val="113"/>
        </w:trPr>
        <w:tc>
          <w:tcPr>
            <w:tcW w:w="9856" w:type="dxa"/>
            <w:vAlign w:val="center"/>
          </w:tcPr>
          <w:p w14:paraId="4367CB81" w14:textId="77777777" w:rsidR="00F55E6A" w:rsidRPr="00D217E1" w:rsidRDefault="00F55E6A" w:rsidP="0041177B">
            <w:pPr>
              <w:jc w:val="center"/>
              <w:rPr>
                <w:rFonts w:asciiTheme="minorHAnsi" w:hAnsiTheme="minorHAnsi"/>
              </w:rPr>
            </w:pPr>
            <w:r w:rsidRPr="00D217E1">
              <w:rPr>
                <w:rFonts w:eastAsia="Times New Roman" w:cs="Times New Roman"/>
                <w:noProof/>
                <w:lang w:eastAsia="en-GB"/>
              </w:rPr>
              <w:drawing>
                <wp:inline distT="0" distB="0" distL="0" distR="0" wp14:anchorId="5A49BCBB" wp14:editId="59DA38F5">
                  <wp:extent cx="5772371" cy="3016800"/>
                  <wp:effectExtent l="0" t="0" r="0" b="0"/>
                  <wp:docPr id="12350528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52843" name="Picture 23"/>
                          <pic:cNvPicPr>
                            <a:picLocks noChangeAspect="1" noChangeArrowheads="1"/>
                          </pic:cNvPicPr>
                        </pic:nvPicPr>
                        <pic:blipFill>
                          <a:blip r:embed="rId248">
                            <a:extLst>
                              <a:ext uri="{96DAC541-7B7A-43D3-8B79-37D633B846F1}">
                                <asvg:svgBlip xmlns:asvg="http://schemas.microsoft.com/office/drawing/2016/SVG/main" r:embed="rId249"/>
                              </a:ext>
                            </a:extLst>
                          </a:blip>
                          <a:stretch>
                            <a:fillRect/>
                          </a:stretch>
                        </pic:blipFill>
                        <pic:spPr bwMode="auto">
                          <a:xfrm>
                            <a:off x="0" y="0"/>
                            <a:ext cx="5772371" cy="3016800"/>
                          </a:xfrm>
                          <a:prstGeom prst="rect">
                            <a:avLst/>
                          </a:prstGeom>
                        </pic:spPr>
                      </pic:pic>
                    </a:graphicData>
                  </a:graphic>
                </wp:inline>
              </w:drawing>
            </w:r>
          </w:p>
        </w:tc>
      </w:tr>
      <w:tr w:rsidR="00F55E6A" w:rsidRPr="00D217E1" w14:paraId="3ADACD62" w14:textId="77777777" w:rsidTr="0041177B">
        <w:trPr>
          <w:trHeight w:val="113"/>
        </w:trPr>
        <w:tc>
          <w:tcPr>
            <w:tcW w:w="9856" w:type="dxa"/>
            <w:vAlign w:val="center"/>
          </w:tcPr>
          <w:tbl>
            <w:tblPr>
              <w:tblpPr w:leftFromText="180" w:rightFromText="180" w:vertAnchor="page" w:horzAnchor="margin" w:tblpXSpec="center" w:tblpY="1"/>
              <w:tblOverlap w:val="never"/>
              <w:tblW w:w="0" w:type="auto"/>
              <w:tblCellMar>
                <w:top w:w="15" w:type="dxa"/>
                <w:bottom w:w="15" w:type="dxa"/>
              </w:tblCellMar>
              <w:tblLook w:val="04A0" w:firstRow="1" w:lastRow="0" w:firstColumn="1" w:lastColumn="0" w:noHBand="0" w:noVBand="1"/>
            </w:tblPr>
            <w:tblGrid>
              <w:gridCol w:w="530"/>
              <w:gridCol w:w="1139"/>
              <w:gridCol w:w="771"/>
              <w:gridCol w:w="1031"/>
              <w:gridCol w:w="706"/>
            </w:tblGrid>
            <w:tr w:rsidR="00F55E6A" w:rsidRPr="00297579" w14:paraId="77C1248E" w14:textId="77777777" w:rsidTr="0041177B">
              <w:trPr>
                <w:trHeight w:val="113"/>
              </w:trPr>
              <w:tc>
                <w:tcPr>
                  <w:tcW w:w="0" w:type="auto"/>
                  <w:tcBorders>
                    <w:top w:val="nil"/>
                    <w:left w:val="nil"/>
                    <w:bottom w:val="nil"/>
                    <w:right w:val="nil"/>
                  </w:tcBorders>
                  <w:noWrap/>
                  <w:vAlign w:val="center"/>
                  <w:hideMark/>
                </w:tcPr>
                <w:p w14:paraId="40153809" w14:textId="77777777" w:rsidR="00F55E6A" w:rsidRPr="00297579"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297579">
                    <w:rPr>
                      <w:rFonts w:eastAsia="Times New Roman" w:cs="Times New Roman"/>
                      <w:b/>
                      <w:bCs/>
                      <w:color w:val="000000"/>
                      <w:kern w:val="0"/>
                      <w:sz w:val="20"/>
                      <w:szCs w:val="20"/>
                      <w:u w:val="single"/>
                      <w:lang w:eastAsia="en-GB"/>
                      <w14:ligatures w14:val="none"/>
                    </w:rPr>
                    <w:t>sex</w:t>
                  </w:r>
                </w:p>
              </w:tc>
              <w:tc>
                <w:tcPr>
                  <w:tcW w:w="0" w:type="auto"/>
                  <w:tcBorders>
                    <w:top w:val="nil"/>
                    <w:left w:val="nil"/>
                    <w:bottom w:val="nil"/>
                    <w:right w:val="nil"/>
                  </w:tcBorders>
                  <w:noWrap/>
                  <w:vAlign w:val="center"/>
                  <w:hideMark/>
                </w:tcPr>
                <w:p w14:paraId="09138B1D" w14:textId="77777777" w:rsidR="00F55E6A" w:rsidRPr="00297579"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297579">
                    <w:rPr>
                      <w:rFonts w:eastAsia="Times New Roman" w:cs="Times New Roman"/>
                      <w:b/>
                      <w:bCs/>
                      <w:color w:val="000000"/>
                      <w:kern w:val="0"/>
                      <w:sz w:val="20"/>
                      <w:szCs w:val="20"/>
                      <w:u w:val="single"/>
                      <w:lang w:eastAsia="en-GB"/>
                      <w14:ligatures w14:val="none"/>
                    </w:rPr>
                    <w:t>period</w:t>
                  </w:r>
                </w:p>
              </w:tc>
              <w:tc>
                <w:tcPr>
                  <w:tcW w:w="0" w:type="auto"/>
                  <w:tcBorders>
                    <w:top w:val="nil"/>
                    <w:left w:val="nil"/>
                    <w:bottom w:val="nil"/>
                    <w:right w:val="nil"/>
                  </w:tcBorders>
                  <w:noWrap/>
                  <w:vAlign w:val="center"/>
                  <w:hideMark/>
                </w:tcPr>
                <w:p w14:paraId="4DCC82D8" w14:textId="77777777" w:rsidR="00F55E6A" w:rsidRPr="00297579"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297579">
                    <w:rPr>
                      <w:rFonts w:eastAsia="Times New Roman" w:cs="Times New Roman"/>
                      <w:b/>
                      <w:bCs/>
                      <w:color w:val="000000"/>
                      <w:kern w:val="0"/>
                      <w:sz w:val="20"/>
                      <w:szCs w:val="20"/>
                      <w:u w:val="single"/>
                      <w:lang w:eastAsia="en-GB"/>
                      <w14:ligatures w14:val="none"/>
                    </w:rPr>
                    <w:t>APC%</w:t>
                  </w:r>
                </w:p>
              </w:tc>
              <w:tc>
                <w:tcPr>
                  <w:tcW w:w="0" w:type="auto"/>
                  <w:tcBorders>
                    <w:top w:val="nil"/>
                    <w:left w:val="nil"/>
                    <w:bottom w:val="nil"/>
                    <w:right w:val="nil"/>
                  </w:tcBorders>
                  <w:noWrap/>
                  <w:vAlign w:val="center"/>
                  <w:hideMark/>
                </w:tcPr>
                <w:p w14:paraId="39C471DC" w14:textId="77777777" w:rsidR="00F55E6A" w:rsidRPr="00297579"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297579">
                    <w:rPr>
                      <w:rFonts w:eastAsia="Times New Roman" w:cs="Times New Roman"/>
                      <w:b/>
                      <w:bCs/>
                      <w:color w:val="000000"/>
                      <w:kern w:val="0"/>
                      <w:sz w:val="20"/>
                      <w:szCs w:val="20"/>
                      <w:u w:val="single"/>
                      <w:lang w:eastAsia="en-GB"/>
                      <w14:ligatures w14:val="none"/>
                    </w:rPr>
                    <w:t>95%CI</w:t>
                  </w:r>
                </w:p>
              </w:tc>
              <w:tc>
                <w:tcPr>
                  <w:tcW w:w="0" w:type="auto"/>
                  <w:tcBorders>
                    <w:top w:val="nil"/>
                    <w:left w:val="nil"/>
                    <w:bottom w:val="nil"/>
                    <w:right w:val="nil"/>
                  </w:tcBorders>
                  <w:noWrap/>
                  <w:vAlign w:val="center"/>
                  <w:hideMark/>
                </w:tcPr>
                <w:p w14:paraId="4050D326" w14:textId="77777777" w:rsidR="00F55E6A" w:rsidRPr="00297579"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297579">
                    <w:rPr>
                      <w:rFonts w:eastAsia="Times New Roman" w:cs="Times New Roman"/>
                      <w:b/>
                      <w:bCs/>
                      <w:color w:val="000000"/>
                      <w:kern w:val="0"/>
                      <w:sz w:val="20"/>
                      <w:szCs w:val="20"/>
                      <w:u w:val="single"/>
                      <w:lang w:eastAsia="en-GB"/>
                      <w14:ligatures w14:val="none"/>
                    </w:rPr>
                    <w:t>trend</w:t>
                  </w:r>
                </w:p>
              </w:tc>
            </w:tr>
            <w:tr w:rsidR="00F55E6A" w:rsidRPr="00297579" w14:paraId="4C949C0F" w14:textId="77777777" w:rsidTr="0041177B">
              <w:trPr>
                <w:trHeight w:val="113"/>
              </w:trPr>
              <w:tc>
                <w:tcPr>
                  <w:tcW w:w="0" w:type="auto"/>
                  <w:tcBorders>
                    <w:top w:val="nil"/>
                    <w:left w:val="nil"/>
                    <w:bottom w:val="nil"/>
                    <w:right w:val="nil"/>
                  </w:tcBorders>
                  <w:noWrap/>
                  <w:vAlign w:val="center"/>
                  <w:hideMark/>
                </w:tcPr>
                <w:p w14:paraId="47A44DED" w14:textId="77777777" w:rsidR="00F55E6A" w:rsidRPr="00297579" w:rsidRDefault="00F55E6A" w:rsidP="0041177B">
                  <w:pPr>
                    <w:spacing w:after="0" w:line="240" w:lineRule="auto"/>
                    <w:jc w:val="center"/>
                    <w:rPr>
                      <w:rFonts w:eastAsia="Times New Roman" w:cs="Times New Roman"/>
                      <w:color w:val="000000"/>
                      <w:kern w:val="0"/>
                      <w:sz w:val="20"/>
                      <w:szCs w:val="20"/>
                      <w:lang w:eastAsia="en-GB"/>
                      <w14:ligatures w14:val="none"/>
                    </w:rPr>
                  </w:pPr>
                  <w:r w:rsidRPr="00297579">
                    <w:rPr>
                      <w:rFonts w:eastAsia="Times New Roman" w:cs="Times New Roman"/>
                      <w:color w:val="000000"/>
                      <w:kern w:val="0"/>
                      <w:sz w:val="20"/>
                      <w:szCs w:val="20"/>
                      <w:lang w:eastAsia="en-GB"/>
                      <w14:ligatures w14:val="none"/>
                    </w:rPr>
                    <w:t>F</w:t>
                  </w:r>
                </w:p>
              </w:tc>
              <w:tc>
                <w:tcPr>
                  <w:tcW w:w="0" w:type="auto"/>
                  <w:tcBorders>
                    <w:top w:val="nil"/>
                    <w:left w:val="nil"/>
                    <w:bottom w:val="nil"/>
                    <w:right w:val="nil"/>
                  </w:tcBorders>
                  <w:noWrap/>
                  <w:vAlign w:val="center"/>
                  <w:hideMark/>
                </w:tcPr>
                <w:p w14:paraId="054E5E22" w14:textId="77777777" w:rsidR="00F55E6A" w:rsidRPr="00297579" w:rsidRDefault="00F55E6A" w:rsidP="0041177B">
                  <w:pPr>
                    <w:spacing w:after="0" w:line="240" w:lineRule="auto"/>
                    <w:jc w:val="center"/>
                    <w:rPr>
                      <w:rFonts w:eastAsia="Times New Roman" w:cs="Times New Roman"/>
                      <w:color w:val="000000"/>
                      <w:kern w:val="0"/>
                      <w:sz w:val="20"/>
                      <w:szCs w:val="20"/>
                      <w:lang w:eastAsia="en-GB"/>
                      <w14:ligatures w14:val="none"/>
                    </w:rPr>
                  </w:pPr>
                  <w:r w:rsidRPr="00297579">
                    <w:rPr>
                      <w:color w:val="000000"/>
                      <w:sz w:val="20"/>
                      <w:szCs w:val="20"/>
                    </w:rPr>
                    <w:t>1994-1998</w:t>
                  </w:r>
                </w:p>
              </w:tc>
              <w:tc>
                <w:tcPr>
                  <w:tcW w:w="0" w:type="auto"/>
                  <w:tcBorders>
                    <w:top w:val="nil"/>
                    <w:left w:val="nil"/>
                    <w:bottom w:val="nil"/>
                    <w:right w:val="nil"/>
                  </w:tcBorders>
                  <w:noWrap/>
                  <w:vAlign w:val="center"/>
                  <w:hideMark/>
                </w:tcPr>
                <w:p w14:paraId="2A7DFA72" w14:textId="77777777" w:rsidR="00F55E6A" w:rsidRPr="00297579" w:rsidRDefault="00F55E6A" w:rsidP="0041177B">
                  <w:pPr>
                    <w:spacing w:after="0" w:line="240" w:lineRule="auto"/>
                    <w:jc w:val="center"/>
                    <w:rPr>
                      <w:rFonts w:eastAsia="Times New Roman" w:cs="Times New Roman"/>
                      <w:color w:val="000000"/>
                      <w:kern w:val="0"/>
                      <w:sz w:val="20"/>
                      <w:szCs w:val="20"/>
                      <w:lang w:eastAsia="en-GB"/>
                      <w14:ligatures w14:val="none"/>
                    </w:rPr>
                  </w:pPr>
                  <w:r w:rsidRPr="00297579">
                    <w:rPr>
                      <w:color w:val="000000"/>
                      <w:sz w:val="20"/>
                      <w:szCs w:val="20"/>
                    </w:rPr>
                    <w:t>-19.1</w:t>
                  </w:r>
                </w:p>
              </w:tc>
              <w:tc>
                <w:tcPr>
                  <w:tcW w:w="0" w:type="auto"/>
                  <w:tcBorders>
                    <w:top w:val="nil"/>
                    <w:left w:val="nil"/>
                    <w:bottom w:val="nil"/>
                    <w:right w:val="nil"/>
                  </w:tcBorders>
                  <w:noWrap/>
                  <w:vAlign w:val="center"/>
                  <w:hideMark/>
                </w:tcPr>
                <w:p w14:paraId="3DFDB4D1" w14:textId="77777777" w:rsidR="00F55E6A" w:rsidRPr="00297579" w:rsidRDefault="00F55E6A" w:rsidP="0041177B">
                  <w:pPr>
                    <w:spacing w:after="0" w:line="240" w:lineRule="auto"/>
                    <w:jc w:val="center"/>
                    <w:rPr>
                      <w:rFonts w:eastAsia="Times New Roman" w:cs="Times New Roman"/>
                      <w:color w:val="000000"/>
                      <w:kern w:val="0"/>
                      <w:sz w:val="20"/>
                      <w:szCs w:val="20"/>
                      <w:lang w:eastAsia="en-GB"/>
                      <w14:ligatures w14:val="none"/>
                    </w:rPr>
                  </w:pPr>
                  <w:r w:rsidRPr="00297579">
                    <w:rPr>
                      <w:color w:val="000000"/>
                      <w:sz w:val="20"/>
                      <w:szCs w:val="20"/>
                    </w:rPr>
                    <w:t>-37.5, 4.8</w:t>
                  </w:r>
                </w:p>
              </w:tc>
              <w:tc>
                <w:tcPr>
                  <w:tcW w:w="0" w:type="auto"/>
                  <w:tcBorders>
                    <w:top w:val="nil"/>
                    <w:left w:val="nil"/>
                    <w:bottom w:val="nil"/>
                    <w:right w:val="nil"/>
                  </w:tcBorders>
                  <w:noWrap/>
                  <w:vAlign w:val="center"/>
                  <w:hideMark/>
                </w:tcPr>
                <w:p w14:paraId="490E81C1" w14:textId="77777777" w:rsidR="00F55E6A" w:rsidRPr="00297579" w:rsidRDefault="00F55E6A" w:rsidP="0041177B">
                  <w:pPr>
                    <w:spacing w:after="0" w:line="240" w:lineRule="auto"/>
                    <w:jc w:val="center"/>
                    <w:rPr>
                      <w:rFonts w:eastAsia="Times New Roman" w:cs="Times New Roman"/>
                      <w:color w:val="000000"/>
                      <w:kern w:val="0"/>
                      <w:sz w:val="20"/>
                      <w:szCs w:val="20"/>
                      <w:lang w:eastAsia="en-GB"/>
                      <w14:ligatures w14:val="none"/>
                    </w:rPr>
                  </w:pPr>
                  <w:r w:rsidRPr="00297579">
                    <w:rPr>
                      <w:color w:val="000000"/>
                      <w:sz w:val="20"/>
                      <w:szCs w:val="20"/>
                    </w:rPr>
                    <w:t>flat</w:t>
                  </w:r>
                </w:p>
              </w:tc>
            </w:tr>
            <w:tr w:rsidR="00F55E6A" w:rsidRPr="00297579" w14:paraId="4B587411" w14:textId="77777777" w:rsidTr="0041177B">
              <w:trPr>
                <w:trHeight w:val="113"/>
              </w:trPr>
              <w:tc>
                <w:tcPr>
                  <w:tcW w:w="0" w:type="auto"/>
                  <w:tcBorders>
                    <w:top w:val="nil"/>
                    <w:left w:val="nil"/>
                    <w:bottom w:val="nil"/>
                    <w:right w:val="nil"/>
                  </w:tcBorders>
                  <w:noWrap/>
                  <w:vAlign w:val="center"/>
                </w:tcPr>
                <w:p w14:paraId="7C33C835" w14:textId="77777777" w:rsidR="00F55E6A" w:rsidRPr="00297579" w:rsidRDefault="00F55E6A" w:rsidP="0041177B">
                  <w:pPr>
                    <w:spacing w:after="0" w:line="240" w:lineRule="auto"/>
                    <w:jc w:val="center"/>
                    <w:rPr>
                      <w:rFonts w:eastAsia="Times New Roman" w:cs="Times New Roman"/>
                      <w:color w:val="000000"/>
                      <w:kern w:val="0"/>
                      <w:sz w:val="20"/>
                      <w:szCs w:val="20"/>
                      <w:lang w:eastAsia="en-GB"/>
                      <w14:ligatures w14:val="none"/>
                    </w:rPr>
                  </w:pPr>
                  <w:r w:rsidRPr="00297579">
                    <w:rPr>
                      <w:rFonts w:eastAsia="Times New Roman" w:cs="Times New Roman"/>
                      <w:color w:val="000000"/>
                      <w:kern w:val="0"/>
                      <w:sz w:val="20"/>
                      <w:szCs w:val="20"/>
                      <w:lang w:eastAsia="en-GB"/>
                      <w14:ligatures w14:val="none"/>
                    </w:rPr>
                    <w:t>F</w:t>
                  </w:r>
                </w:p>
              </w:tc>
              <w:tc>
                <w:tcPr>
                  <w:tcW w:w="0" w:type="auto"/>
                  <w:tcBorders>
                    <w:top w:val="nil"/>
                    <w:left w:val="nil"/>
                    <w:bottom w:val="nil"/>
                    <w:right w:val="nil"/>
                  </w:tcBorders>
                  <w:noWrap/>
                  <w:vAlign w:val="center"/>
                </w:tcPr>
                <w:p w14:paraId="69949482" w14:textId="77777777" w:rsidR="00F55E6A" w:rsidRPr="00297579" w:rsidRDefault="00F55E6A" w:rsidP="0041177B">
                  <w:pPr>
                    <w:spacing w:after="0" w:line="240" w:lineRule="auto"/>
                    <w:jc w:val="center"/>
                    <w:rPr>
                      <w:rFonts w:eastAsia="Times New Roman" w:cs="Times New Roman"/>
                      <w:color w:val="000000"/>
                      <w:kern w:val="0"/>
                      <w:sz w:val="20"/>
                      <w:szCs w:val="20"/>
                      <w:lang w:eastAsia="en-GB"/>
                      <w14:ligatures w14:val="none"/>
                    </w:rPr>
                  </w:pPr>
                  <w:r w:rsidRPr="00297579">
                    <w:rPr>
                      <w:color w:val="000000"/>
                      <w:sz w:val="20"/>
                      <w:szCs w:val="20"/>
                    </w:rPr>
                    <w:t>1998-2022</w:t>
                  </w:r>
                </w:p>
              </w:tc>
              <w:tc>
                <w:tcPr>
                  <w:tcW w:w="0" w:type="auto"/>
                  <w:tcBorders>
                    <w:top w:val="nil"/>
                    <w:left w:val="nil"/>
                    <w:bottom w:val="nil"/>
                    <w:right w:val="nil"/>
                  </w:tcBorders>
                  <w:noWrap/>
                  <w:vAlign w:val="center"/>
                </w:tcPr>
                <w:p w14:paraId="041237CA" w14:textId="77777777" w:rsidR="00F55E6A" w:rsidRPr="00297579" w:rsidRDefault="00F55E6A" w:rsidP="0041177B">
                  <w:pPr>
                    <w:spacing w:after="0" w:line="240" w:lineRule="auto"/>
                    <w:jc w:val="center"/>
                    <w:rPr>
                      <w:color w:val="000000"/>
                      <w:sz w:val="20"/>
                      <w:szCs w:val="20"/>
                    </w:rPr>
                  </w:pPr>
                  <w:r w:rsidRPr="00297579">
                    <w:rPr>
                      <w:color w:val="000000"/>
                      <w:sz w:val="20"/>
                      <w:szCs w:val="20"/>
                    </w:rPr>
                    <w:t>3.4</w:t>
                  </w:r>
                </w:p>
              </w:tc>
              <w:tc>
                <w:tcPr>
                  <w:tcW w:w="0" w:type="auto"/>
                  <w:tcBorders>
                    <w:top w:val="nil"/>
                    <w:left w:val="nil"/>
                    <w:bottom w:val="nil"/>
                    <w:right w:val="nil"/>
                  </w:tcBorders>
                  <w:noWrap/>
                  <w:vAlign w:val="center"/>
                </w:tcPr>
                <w:p w14:paraId="49F2FDD3" w14:textId="77777777" w:rsidR="00F55E6A" w:rsidRPr="00297579" w:rsidRDefault="00F55E6A" w:rsidP="0041177B">
                  <w:pPr>
                    <w:spacing w:after="0" w:line="240" w:lineRule="auto"/>
                    <w:jc w:val="center"/>
                    <w:rPr>
                      <w:color w:val="000000"/>
                      <w:sz w:val="20"/>
                      <w:szCs w:val="20"/>
                    </w:rPr>
                  </w:pPr>
                  <w:r w:rsidRPr="00297579">
                    <w:rPr>
                      <w:color w:val="000000"/>
                      <w:sz w:val="20"/>
                      <w:szCs w:val="20"/>
                    </w:rPr>
                    <w:t>1.9, 4.8</w:t>
                  </w:r>
                </w:p>
              </w:tc>
              <w:tc>
                <w:tcPr>
                  <w:tcW w:w="0" w:type="auto"/>
                  <w:tcBorders>
                    <w:top w:val="nil"/>
                    <w:left w:val="nil"/>
                    <w:bottom w:val="nil"/>
                    <w:right w:val="nil"/>
                  </w:tcBorders>
                  <w:noWrap/>
                  <w:vAlign w:val="center"/>
                </w:tcPr>
                <w:p w14:paraId="0A005F66" w14:textId="77777777" w:rsidR="00F55E6A" w:rsidRPr="00297579" w:rsidRDefault="00F55E6A" w:rsidP="0041177B">
                  <w:pPr>
                    <w:spacing w:after="0" w:line="240" w:lineRule="auto"/>
                    <w:jc w:val="center"/>
                    <w:rPr>
                      <w:color w:val="000000"/>
                      <w:sz w:val="20"/>
                      <w:szCs w:val="20"/>
                    </w:rPr>
                  </w:pPr>
                  <w:r w:rsidRPr="00297579">
                    <w:rPr>
                      <w:color w:val="000000"/>
                      <w:sz w:val="20"/>
                      <w:szCs w:val="20"/>
                    </w:rPr>
                    <w:t>up</w:t>
                  </w:r>
                </w:p>
              </w:tc>
            </w:tr>
          </w:tbl>
          <w:p w14:paraId="1B6989DE" w14:textId="77777777" w:rsidR="00F55E6A" w:rsidRPr="00D217E1" w:rsidRDefault="00F55E6A" w:rsidP="0041177B">
            <w:pPr>
              <w:jc w:val="center"/>
              <w:rPr>
                <w:rFonts w:eastAsia="Times New Roman" w:cs="Times New Roman"/>
                <w:b/>
                <w:bCs/>
                <w:color w:val="000000"/>
                <w:sz w:val="14"/>
                <w:szCs w:val="14"/>
                <w:u w:val="single"/>
                <w:lang w:eastAsia="en-GB"/>
              </w:rPr>
            </w:pPr>
          </w:p>
        </w:tc>
      </w:tr>
      <w:tr w:rsidR="00F55E6A" w:rsidRPr="00D217E1" w14:paraId="0D43E961" w14:textId="77777777" w:rsidTr="0041177B">
        <w:trPr>
          <w:trHeight w:val="113"/>
        </w:trPr>
        <w:tc>
          <w:tcPr>
            <w:tcW w:w="9856" w:type="dxa"/>
            <w:vAlign w:val="center"/>
          </w:tcPr>
          <w:p w14:paraId="77060A3B" w14:textId="77777777" w:rsidR="00F55E6A" w:rsidRPr="00D217E1" w:rsidRDefault="00F55E6A" w:rsidP="0041177B">
            <w:pPr>
              <w:pBdr>
                <w:bottom w:val="single" w:sz="4" w:space="1" w:color="auto"/>
              </w:pBdr>
              <w:rPr>
                <w:rFonts w:asciiTheme="minorHAnsi" w:hAnsiTheme="minorHAnsi"/>
                <w:bCs/>
                <w:sz w:val="18"/>
                <w:szCs w:val="16"/>
              </w:rPr>
            </w:pPr>
            <w:r w:rsidRPr="00D217E1">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3DC36D46" w14:textId="77777777" w:rsidR="00F55E6A" w:rsidRPr="00D217E1" w:rsidRDefault="00F55E6A" w:rsidP="0041177B">
            <w:pPr>
              <w:rPr>
                <w:rFonts w:asciiTheme="minorHAnsi" w:hAnsiTheme="minorHAnsi"/>
                <w:b/>
                <w:bCs/>
                <w:noProof/>
                <w:sz w:val="14"/>
                <w:szCs w:val="14"/>
                <w:u w:val="single"/>
              </w:rPr>
            </w:pPr>
          </w:p>
        </w:tc>
      </w:tr>
    </w:tbl>
    <w:p w14:paraId="015CE4A4" w14:textId="77777777" w:rsidR="00F55E6A" w:rsidRDefault="00F55E6A" w:rsidP="00F55E6A">
      <w:pPr>
        <w:tabs>
          <w:tab w:val="left" w:pos="2422"/>
        </w:tabs>
        <w:spacing w:after="0" w:line="240" w:lineRule="auto"/>
        <w:sectPr w:rsidR="00F55E6A" w:rsidSect="002746C0">
          <w:pgSz w:w="11906" w:h="16838"/>
          <w:pgMar w:top="1440" w:right="1440" w:bottom="1440" w:left="1440" w:header="708" w:footer="708" w:gutter="0"/>
          <w:cols w:space="708"/>
          <w:docGrid w:linePitch="360"/>
        </w:sectPr>
      </w:pPr>
    </w:p>
    <w:p w14:paraId="63BC161B" w14:textId="77777777" w:rsidR="00F55E6A" w:rsidRDefault="00F55E6A" w:rsidP="00F55E6A">
      <w:pPr>
        <w:pStyle w:val="Heading3"/>
        <w:spacing w:before="0" w:after="0" w:line="240" w:lineRule="auto"/>
      </w:pPr>
      <w:bookmarkStart w:id="341" w:name="_Toc197557161"/>
      <w:bookmarkStart w:id="342" w:name="_Toc201512552"/>
      <w:r>
        <w:t>Variation by Deprivation</w:t>
      </w:r>
      <w:bookmarkEnd w:id="341"/>
      <w:bookmarkEnd w:id="342"/>
    </w:p>
    <w:p w14:paraId="41A9024B" w14:textId="13F5C67B" w:rsidR="00F55E6A" w:rsidRPr="000518C3" w:rsidRDefault="00F55E6A" w:rsidP="00F55E6A">
      <w:pPr>
        <w:spacing w:after="0" w:line="240" w:lineRule="auto"/>
        <w:rPr>
          <w:rFonts w:cstheme="minorHAnsi"/>
          <w:color w:val="000000" w:themeColor="text1"/>
        </w:rPr>
      </w:pPr>
      <w:r w:rsidRPr="000518C3">
        <w:rPr>
          <w:rFonts w:cstheme="minorHAnsi"/>
          <w:color w:val="000000" w:themeColor="text1"/>
        </w:rPr>
        <w:t>Age-standardised incidence rates</w:t>
      </w:r>
      <w:r>
        <w:rPr>
          <w:rFonts w:cstheme="minorHAnsi"/>
          <w:color w:val="000000" w:themeColor="text1"/>
        </w:rPr>
        <w:t xml:space="preserve"> for mucinous</w:t>
      </w:r>
      <w:r w:rsidRPr="000518C3">
        <w:rPr>
          <w:rFonts w:cstheme="minorHAnsi"/>
          <w:color w:val="000000" w:themeColor="text1"/>
        </w:rPr>
        <w:t xml:space="preserve"> </w:t>
      </w:r>
      <w:r>
        <w:rPr>
          <w:rFonts w:cstheme="minorHAnsi"/>
          <w:color w:val="000000" w:themeColor="text1"/>
        </w:rPr>
        <w:t>ovarian</w:t>
      </w:r>
      <w:r w:rsidRPr="000518C3">
        <w:rPr>
          <w:rFonts w:cstheme="minorHAnsi"/>
        </w:rPr>
        <w:t xml:space="preserve"> cancer </w:t>
      </w:r>
      <w:r w:rsidRPr="000518C3">
        <w:rPr>
          <w:rFonts w:cstheme="minorHAnsi"/>
          <w:color w:val="000000" w:themeColor="text1"/>
        </w:rPr>
        <w:t xml:space="preserve">in 2014-2018 </w:t>
      </w:r>
      <w:r>
        <w:rPr>
          <w:rFonts w:cstheme="minorHAnsi"/>
          <w:color w:val="000000" w:themeColor="text1"/>
        </w:rPr>
        <w:t>were similar across quintiles of deprivation: 0.7 cases per 100,000 females in the least deprived quintile and 1.0</w:t>
      </w:r>
      <w:r w:rsidRPr="000518C3">
        <w:rPr>
          <w:rFonts w:cstheme="minorHAnsi"/>
          <w:color w:val="000000" w:themeColor="text1"/>
        </w:rPr>
        <w:t xml:space="preserve"> case per 100,000</w:t>
      </w:r>
      <w:r>
        <w:rPr>
          <w:rFonts w:cstheme="minorHAnsi"/>
          <w:color w:val="000000" w:themeColor="text1"/>
        </w:rPr>
        <w:t xml:space="preserve"> females in the most deprived </w:t>
      </w:r>
      <w:r w:rsidRPr="000518C3">
        <w:rPr>
          <w:rFonts w:cstheme="minorHAnsi"/>
          <w:color w:val="000000" w:themeColor="text1"/>
        </w:rPr>
        <w:t xml:space="preserve">(Figure </w:t>
      </w:r>
      <w:r w:rsidR="007672D9">
        <w:rPr>
          <w:rFonts w:cstheme="minorHAnsi"/>
          <w:color w:val="000000" w:themeColor="text1"/>
        </w:rPr>
        <w:t>18.3</w:t>
      </w:r>
      <w:r w:rsidRPr="000518C3">
        <w:rPr>
          <w:rFonts w:cstheme="minorHAnsi"/>
          <w:color w:val="000000" w:themeColor="text1"/>
        </w:rPr>
        <w:t>).</w:t>
      </w:r>
    </w:p>
    <w:p w14:paraId="0BC9DF8D" w14:textId="77777777" w:rsidR="00F55E6A" w:rsidRPr="00181504" w:rsidRDefault="00F55E6A" w:rsidP="00F55E6A">
      <w:pPr>
        <w:spacing w:after="0" w:line="240" w:lineRule="auto"/>
      </w:pPr>
    </w:p>
    <w:tbl>
      <w:tblPr>
        <w:tblStyle w:val="TableGrid"/>
        <w:tblW w:w="9923" w:type="dxa"/>
        <w:tblInd w:w="-43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5507"/>
      </w:tblGrid>
      <w:tr w:rsidR="00F55E6A" w:rsidRPr="00325650" w14:paraId="2726CA0C" w14:textId="77777777" w:rsidTr="0041177B">
        <w:trPr>
          <w:trHeight w:val="113"/>
        </w:trPr>
        <w:tc>
          <w:tcPr>
            <w:tcW w:w="9923" w:type="dxa"/>
            <w:gridSpan w:val="2"/>
            <w:shd w:val="clear" w:color="auto" w:fill="002060"/>
          </w:tcPr>
          <w:p w14:paraId="5A91D1B4" w14:textId="2BB18DC0" w:rsidR="00F55E6A" w:rsidRPr="007672D9" w:rsidRDefault="00F55E6A" w:rsidP="0041177B">
            <w:pPr>
              <w:rPr>
                <w:rFonts w:cstheme="minorHAnsi"/>
                <w:b/>
                <w:bCs/>
                <w:color w:val="FFFFFF" w:themeColor="background1"/>
                <w:sz w:val="20"/>
                <w:szCs w:val="20"/>
              </w:rPr>
            </w:pPr>
            <w:r w:rsidRPr="007672D9">
              <w:rPr>
                <w:rFonts w:asciiTheme="minorHAnsi" w:hAnsiTheme="minorHAnsi" w:cstheme="minorHAnsi"/>
                <w:b/>
                <w:bCs/>
                <w:color w:val="FFFFFF" w:themeColor="background1"/>
                <w:sz w:val="20"/>
                <w:szCs w:val="20"/>
              </w:rPr>
              <w:t xml:space="preserve">Figure </w:t>
            </w:r>
            <w:r w:rsidR="007672D9" w:rsidRPr="007672D9">
              <w:rPr>
                <w:rFonts w:asciiTheme="minorHAnsi" w:hAnsiTheme="minorHAnsi" w:cstheme="minorHAnsi"/>
                <w:b/>
                <w:bCs/>
                <w:color w:val="FFFFFF" w:themeColor="background1"/>
                <w:sz w:val="20"/>
                <w:szCs w:val="20"/>
              </w:rPr>
              <w:t>18.3:</w:t>
            </w:r>
            <w:r w:rsidRPr="007672D9">
              <w:rPr>
                <w:rFonts w:asciiTheme="minorHAnsi" w:hAnsiTheme="minorHAnsi" w:cstheme="minorHAnsi"/>
                <w:b/>
                <w:bCs/>
                <w:color w:val="FFFFFF" w:themeColor="background1"/>
                <w:sz w:val="20"/>
                <w:szCs w:val="20"/>
              </w:rPr>
              <w:t xml:space="preserve"> Incidence rate (per 100,000) for ovarian (mucinous) cancer by deprivation quintile, 2014-2018</w:t>
            </w:r>
          </w:p>
        </w:tc>
      </w:tr>
      <w:tr w:rsidR="00F55E6A" w:rsidRPr="00325650" w14:paraId="5911123D" w14:textId="77777777" w:rsidTr="0041177B">
        <w:trPr>
          <w:trHeight w:val="2765"/>
        </w:trPr>
        <w:tc>
          <w:tcPr>
            <w:tcW w:w="4416" w:type="dxa"/>
            <w:shd w:val="clear" w:color="auto" w:fill="auto"/>
            <w:vAlign w:val="center"/>
          </w:tcPr>
          <w:p w14:paraId="1621F82B" w14:textId="77777777" w:rsidR="00F55E6A" w:rsidRPr="00181504" w:rsidRDefault="00F55E6A" w:rsidP="00ED4F7A">
            <w:pPr>
              <w:rPr>
                <w:rFonts w:eastAsia="Times New Roman" w:cs="Times New Roman"/>
                <w:lang w:eastAsia="en-GB"/>
              </w:rPr>
            </w:pPr>
            <w:r>
              <w:rPr>
                <w:rFonts w:eastAsia="Times New Roman" w:cs="Times New Roman"/>
                <w:noProof/>
                <w:lang w:eastAsia="en-GB"/>
              </w:rPr>
              <w:drawing>
                <wp:inline distT="0" distB="0" distL="0" distR="0" wp14:anchorId="23C805D8" wp14:editId="1FCE12A7">
                  <wp:extent cx="2615979" cy="1641250"/>
                  <wp:effectExtent l="0" t="0" r="0" b="0"/>
                  <wp:docPr id="1580264408" name="Picture 16" descr="A graph of numbers and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64408" name="Picture 16" descr="A graph of numbers and a number of objects&#10;&#10;AI-generated content may be incorrect."/>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643568" cy="1658559"/>
                          </a:xfrm>
                          <a:prstGeom prst="rect">
                            <a:avLst/>
                          </a:prstGeom>
                          <a:noFill/>
                        </pic:spPr>
                      </pic:pic>
                    </a:graphicData>
                  </a:graphic>
                </wp:inline>
              </w:drawing>
            </w:r>
          </w:p>
        </w:tc>
        <w:tc>
          <w:tcPr>
            <w:tcW w:w="5507" w:type="dxa"/>
            <w:shd w:val="clear" w:color="auto" w:fill="auto"/>
            <w:vAlign w:val="center"/>
          </w:tcPr>
          <w:p w14:paraId="303A39E0" w14:textId="77777777" w:rsidR="00F55E6A" w:rsidRPr="00A115C2" w:rsidRDefault="00F55E6A" w:rsidP="00ED4F7A">
            <w:pPr>
              <w:jc w:val="center"/>
              <w:rPr>
                <w:rFonts w:cstheme="minorHAnsi"/>
                <w:color w:val="000000" w:themeColor="text1"/>
                <w:lang w:val="en-GB"/>
              </w:rPr>
            </w:pPr>
          </w:p>
          <w:p w14:paraId="44CB1F51" w14:textId="77777777" w:rsidR="00F55E6A" w:rsidRPr="00F36AB9" w:rsidRDefault="00F55E6A" w:rsidP="00ED4F7A">
            <w:pPr>
              <w:jc w:val="center"/>
              <w:rPr>
                <w:rFonts w:cstheme="minorHAnsi"/>
                <w:color w:val="000000" w:themeColor="text1"/>
              </w:rPr>
            </w:pPr>
          </w:p>
          <w:p w14:paraId="3F7D3134" w14:textId="77777777" w:rsidR="00F55E6A" w:rsidRPr="002A10E3" w:rsidRDefault="00F55E6A" w:rsidP="00ED4F7A">
            <w:pPr>
              <w:jc w:val="center"/>
              <w:rPr>
                <w:rFonts w:cstheme="minorHAnsi"/>
                <w:color w:val="000000" w:themeColor="text1"/>
                <w:lang w:val="en-GB"/>
              </w:rPr>
            </w:pPr>
          </w:p>
          <w:p w14:paraId="40D57C5F" w14:textId="77777777" w:rsidR="00F55E6A" w:rsidRPr="00325650" w:rsidRDefault="00F55E6A" w:rsidP="00ED4F7A">
            <w:pPr>
              <w:jc w:val="center"/>
              <w:rPr>
                <w:rFonts w:asciiTheme="minorHAnsi" w:hAnsiTheme="minorHAnsi" w:cstheme="minorHAnsi"/>
                <w:color w:val="000000" w:themeColor="text1"/>
              </w:rPr>
            </w:pPr>
          </w:p>
        </w:tc>
      </w:tr>
    </w:tbl>
    <w:p w14:paraId="7EF5A42B" w14:textId="77777777" w:rsidR="001A3B02" w:rsidRPr="001A3B02" w:rsidRDefault="001A3B02" w:rsidP="00ED4F7A">
      <w:pPr>
        <w:spacing w:line="240" w:lineRule="auto"/>
      </w:pPr>
      <w:bookmarkStart w:id="343" w:name="_Toc197557162"/>
    </w:p>
    <w:p w14:paraId="30A8090C" w14:textId="77777777" w:rsidR="00F55E6A" w:rsidRDefault="00F55E6A" w:rsidP="00ED4F7A">
      <w:pPr>
        <w:pStyle w:val="Heading2"/>
        <w:spacing w:before="0" w:after="0" w:line="240" w:lineRule="auto"/>
      </w:pPr>
      <w:bookmarkStart w:id="344" w:name="_Toc201512553"/>
      <w:r>
        <w:t>Mortality</w:t>
      </w:r>
      <w:bookmarkEnd w:id="343"/>
      <w:bookmarkEnd w:id="344"/>
    </w:p>
    <w:p w14:paraId="396FDBEA" w14:textId="1A4242F6" w:rsidR="00F55E6A" w:rsidRPr="00C23F48" w:rsidRDefault="00035231" w:rsidP="00F55E6A">
      <w:pPr>
        <w:spacing w:after="0" w:line="240" w:lineRule="auto"/>
      </w:pPr>
      <w:bookmarkStart w:id="345" w:name="_Hlk196772606"/>
      <w:r w:rsidRPr="004C7861">
        <w:t>CSO mortality data does not provide mortality figures at the tumour morphological level</w:t>
      </w:r>
      <w:r>
        <w:t xml:space="preserve"> therefore mortality trends are not presented.</w:t>
      </w:r>
    </w:p>
    <w:bookmarkEnd w:id="345"/>
    <w:p w14:paraId="13546F96" w14:textId="77777777" w:rsidR="00F55E6A" w:rsidRDefault="00F55E6A" w:rsidP="00F55E6A">
      <w:pPr>
        <w:spacing w:after="0" w:line="240" w:lineRule="auto"/>
        <w:sectPr w:rsidR="00F55E6A" w:rsidSect="002746C0">
          <w:pgSz w:w="11906" w:h="16838"/>
          <w:pgMar w:top="1440" w:right="1440" w:bottom="1440" w:left="1440" w:header="708" w:footer="708" w:gutter="0"/>
          <w:cols w:space="708"/>
          <w:docGrid w:linePitch="360"/>
        </w:sectPr>
      </w:pPr>
    </w:p>
    <w:p w14:paraId="29497D39" w14:textId="77777777" w:rsidR="00F55E6A" w:rsidRDefault="00F55E6A" w:rsidP="00F55E6A">
      <w:pPr>
        <w:pStyle w:val="Heading2"/>
        <w:spacing w:before="0" w:after="0" w:line="240" w:lineRule="auto"/>
      </w:pPr>
      <w:bookmarkStart w:id="346" w:name="_Toc201512554"/>
      <w:bookmarkStart w:id="347" w:name="_Toc197557163"/>
      <w:r>
        <w:t>Survival</w:t>
      </w:r>
      <w:bookmarkEnd w:id="346"/>
      <w:r>
        <w:t xml:space="preserve"> </w:t>
      </w:r>
      <w:bookmarkEnd w:id="347"/>
    </w:p>
    <w:p w14:paraId="0355C23C" w14:textId="2ED741CA" w:rsidR="00F55E6A" w:rsidRPr="000C58A6" w:rsidRDefault="00F55E6A" w:rsidP="00F55E6A">
      <w:pPr>
        <w:spacing w:after="0" w:line="240" w:lineRule="auto"/>
        <w:rPr>
          <w:rFonts w:cstheme="minorHAnsi"/>
        </w:rPr>
      </w:pPr>
      <w:r w:rsidRPr="000C58A6">
        <w:rPr>
          <w:rFonts w:cstheme="minorHAnsi"/>
        </w:rPr>
        <w:t>For</w:t>
      </w:r>
      <w:r w:rsidR="004E76C0">
        <w:rPr>
          <w:rFonts w:cstheme="minorHAnsi"/>
        </w:rPr>
        <w:t xml:space="preserve"> mucinous</w:t>
      </w:r>
      <w:r w:rsidRPr="000C58A6">
        <w:rPr>
          <w:rFonts w:cstheme="minorHAnsi"/>
        </w:rPr>
        <w:t xml:space="preserve"> </w:t>
      </w:r>
      <w:r>
        <w:rPr>
          <w:rFonts w:cstheme="minorHAnsi"/>
        </w:rPr>
        <w:t>ovarian</w:t>
      </w:r>
      <w:r w:rsidRPr="000C58A6">
        <w:rPr>
          <w:rFonts w:cstheme="minorHAnsi"/>
        </w:rPr>
        <w:t xml:space="preserve"> cancer in Ireland overall 5-year net survival was </w:t>
      </w:r>
      <w:r>
        <w:rPr>
          <w:rFonts w:cstheme="minorHAnsi"/>
        </w:rPr>
        <w:t>70</w:t>
      </w:r>
      <w:r w:rsidRPr="000C58A6">
        <w:rPr>
          <w:rFonts w:cstheme="minorHAnsi"/>
        </w:rPr>
        <w:t xml:space="preserve">% for cases diagnosed during 2019-2022 (Figure </w:t>
      </w:r>
      <w:r w:rsidR="007672D9">
        <w:rPr>
          <w:rFonts w:cstheme="minorHAnsi"/>
        </w:rPr>
        <w:t>18.4</w:t>
      </w:r>
      <w:r w:rsidRPr="000C58A6">
        <w:rPr>
          <w:rFonts w:cstheme="minorHAnsi"/>
        </w:rPr>
        <w:t xml:space="preserve">). </w:t>
      </w:r>
    </w:p>
    <w:p w14:paraId="0C093910" w14:textId="77777777" w:rsidR="00F55E6A" w:rsidRPr="002F0A02" w:rsidRDefault="00F55E6A" w:rsidP="00F55E6A">
      <w:pPr>
        <w:spacing w:after="0" w:line="240" w:lineRule="auto"/>
      </w:pPr>
    </w:p>
    <w:tbl>
      <w:tblPr>
        <w:tblStyle w:val="TableGrid"/>
        <w:tblW w:w="8936" w:type="dxa"/>
        <w:tblInd w:w="-43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130"/>
      </w:tblGrid>
      <w:tr w:rsidR="00F55E6A" w:rsidRPr="00325650" w14:paraId="77D050B7" w14:textId="77777777" w:rsidTr="0041177B">
        <w:trPr>
          <w:trHeight w:val="113"/>
        </w:trPr>
        <w:tc>
          <w:tcPr>
            <w:tcW w:w="8936" w:type="dxa"/>
            <w:gridSpan w:val="2"/>
            <w:shd w:val="clear" w:color="auto" w:fill="002060"/>
          </w:tcPr>
          <w:p w14:paraId="58DED64E" w14:textId="54AFD549" w:rsidR="00F55E6A" w:rsidRPr="007672D9" w:rsidRDefault="00F55E6A" w:rsidP="0041177B">
            <w:pPr>
              <w:rPr>
                <w:rFonts w:cstheme="minorHAnsi"/>
                <w:b/>
                <w:bCs/>
                <w:color w:val="FFFFFF" w:themeColor="background1"/>
                <w:sz w:val="20"/>
                <w:szCs w:val="20"/>
              </w:rPr>
            </w:pPr>
            <w:r w:rsidRPr="007672D9">
              <w:rPr>
                <w:rFonts w:asciiTheme="minorHAnsi" w:hAnsiTheme="minorHAnsi" w:cstheme="minorHAnsi"/>
                <w:b/>
                <w:bCs/>
                <w:sz w:val="20"/>
                <w:szCs w:val="20"/>
              </w:rPr>
              <w:t xml:space="preserve">Figure </w:t>
            </w:r>
            <w:r w:rsidR="007672D9">
              <w:rPr>
                <w:rFonts w:asciiTheme="minorHAnsi" w:hAnsiTheme="minorHAnsi" w:cstheme="minorHAnsi"/>
                <w:b/>
                <w:bCs/>
                <w:sz w:val="20"/>
                <w:szCs w:val="20"/>
              </w:rPr>
              <w:t xml:space="preserve">18.4: </w:t>
            </w:r>
            <w:r w:rsidRPr="007672D9">
              <w:rPr>
                <w:rFonts w:asciiTheme="minorHAnsi" w:hAnsiTheme="minorHAnsi" w:cstheme="minorHAnsi"/>
                <w:b/>
                <w:bCs/>
                <w:sz w:val="20"/>
                <w:szCs w:val="20"/>
              </w:rPr>
              <w:t xml:space="preserve"> Age-standardised 5-year net survival (%) for ovarian (mucinous) cancer over six consecutive diagnosis periods</w:t>
            </w:r>
          </w:p>
        </w:tc>
      </w:tr>
      <w:tr w:rsidR="00F55E6A" w:rsidRPr="00325650" w14:paraId="4470161E" w14:textId="77777777" w:rsidTr="0041177B">
        <w:trPr>
          <w:trHeight w:val="113"/>
        </w:trPr>
        <w:tc>
          <w:tcPr>
            <w:tcW w:w="4806" w:type="dxa"/>
            <w:shd w:val="clear" w:color="auto" w:fill="auto"/>
          </w:tcPr>
          <w:p w14:paraId="0DB56948" w14:textId="77777777" w:rsidR="00F55E6A" w:rsidRPr="00181504" w:rsidRDefault="00F55E6A" w:rsidP="0041177B">
            <w:pPr>
              <w:rPr>
                <w:rFonts w:eastAsia="Times New Roman" w:cs="Times New Roman"/>
                <w:lang w:eastAsia="en-GB"/>
              </w:rPr>
            </w:pPr>
            <w:r w:rsidRPr="004078B1">
              <w:rPr>
                <w:rFonts w:eastAsia="Times New Roman" w:cs="Times New Roman"/>
                <w:noProof/>
                <w:lang w:eastAsia="en-GB"/>
              </w:rPr>
              <w:drawing>
                <wp:inline distT="0" distB="0" distL="0" distR="0" wp14:anchorId="2A4BEA28" wp14:editId="1C8744F6">
                  <wp:extent cx="2659913" cy="1594757"/>
                  <wp:effectExtent l="0" t="0" r="7620" b="5715"/>
                  <wp:docPr id="17" name="Picture 15" descr="A graph of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5" descr="A graph of numbers and a bar chart&#10;&#10;AI-generated content may be incorrect."/>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689697" cy="1612614"/>
                          </a:xfrm>
                          <a:prstGeom prst="rect">
                            <a:avLst/>
                          </a:prstGeom>
                          <a:noFill/>
                          <a:ln>
                            <a:noFill/>
                          </a:ln>
                        </pic:spPr>
                      </pic:pic>
                    </a:graphicData>
                  </a:graphic>
                </wp:inline>
              </w:drawing>
            </w:r>
          </w:p>
        </w:tc>
        <w:tc>
          <w:tcPr>
            <w:tcW w:w="4130" w:type="dxa"/>
            <w:shd w:val="clear" w:color="auto" w:fill="auto"/>
            <w:vAlign w:val="center"/>
          </w:tcPr>
          <w:p w14:paraId="039498BF" w14:textId="77777777" w:rsidR="00F55E6A" w:rsidRPr="00A115C2" w:rsidRDefault="00F55E6A" w:rsidP="0041177B">
            <w:pPr>
              <w:jc w:val="center"/>
              <w:rPr>
                <w:rFonts w:cstheme="minorHAnsi"/>
                <w:color w:val="000000" w:themeColor="text1"/>
                <w:lang w:val="en-GB"/>
              </w:rPr>
            </w:pPr>
          </w:p>
          <w:p w14:paraId="76B48397" w14:textId="77777777" w:rsidR="00F55E6A" w:rsidRPr="00F36AB9" w:rsidRDefault="00F55E6A" w:rsidP="0041177B">
            <w:pPr>
              <w:jc w:val="center"/>
              <w:rPr>
                <w:rFonts w:cstheme="minorHAnsi"/>
                <w:color w:val="000000" w:themeColor="text1"/>
              </w:rPr>
            </w:pPr>
          </w:p>
          <w:p w14:paraId="06293E81" w14:textId="77777777" w:rsidR="00F55E6A" w:rsidRPr="002A10E3" w:rsidRDefault="00F55E6A" w:rsidP="0041177B">
            <w:pPr>
              <w:jc w:val="center"/>
              <w:rPr>
                <w:rFonts w:cstheme="minorHAnsi"/>
                <w:color w:val="000000" w:themeColor="text1"/>
                <w:lang w:val="en-GB"/>
              </w:rPr>
            </w:pPr>
          </w:p>
          <w:p w14:paraId="774F9E12" w14:textId="77777777" w:rsidR="00F55E6A" w:rsidRPr="00325650" w:rsidRDefault="00F55E6A" w:rsidP="0041177B">
            <w:pPr>
              <w:jc w:val="center"/>
              <w:rPr>
                <w:rFonts w:asciiTheme="minorHAnsi" w:hAnsiTheme="minorHAnsi" w:cstheme="minorHAnsi"/>
                <w:color w:val="000000" w:themeColor="text1"/>
              </w:rPr>
            </w:pPr>
          </w:p>
        </w:tc>
      </w:tr>
    </w:tbl>
    <w:p w14:paraId="1B0D6739" w14:textId="77777777" w:rsidR="00F55E6A" w:rsidRPr="002F0A02" w:rsidRDefault="00F55E6A" w:rsidP="00F55E6A">
      <w:pPr>
        <w:spacing w:after="0" w:line="240" w:lineRule="auto"/>
      </w:pPr>
    </w:p>
    <w:p w14:paraId="6C3DC5E1" w14:textId="77777777" w:rsidR="00F55E6A" w:rsidRDefault="00F55E6A" w:rsidP="00F55E6A">
      <w:pPr>
        <w:pStyle w:val="Heading2"/>
        <w:spacing w:before="0" w:after="0" w:line="240" w:lineRule="auto"/>
      </w:pPr>
      <w:bookmarkStart w:id="348" w:name="_Toc197557164"/>
      <w:bookmarkStart w:id="349" w:name="_Toc201512555"/>
      <w:r>
        <w:t>Population Attributable Fraction</w:t>
      </w:r>
      <w:bookmarkEnd w:id="348"/>
      <w:bookmarkEnd w:id="349"/>
    </w:p>
    <w:p w14:paraId="18DD3038" w14:textId="0314BAD0" w:rsidR="00F55E6A" w:rsidRDefault="00F55E6A" w:rsidP="00F55E6A">
      <w:pPr>
        <w:spacing w:after="0" w:line="240" w:lineRule="auto"/>
        <w:rPr>
          <w:rFonts w:cstheme="minorHAnsi"/>
        </w:rPr>
      </w:pPr>
      <w:r w:rsidRPr="00E85A89">
        <w:rPr>
          <w:rFonts w:cstheme="minorHAnsi"/>
        </w:rPr>
        <w:t xml:space="preserve">In 2022, </w:t>
      </w:r>
      <w:r>
        <w:rPr>
          <w:rFonts w:cstheme="minorHAnsi"/>
        </w:rPr>
        <w:t xml:space="preserve">25 </w:t>
      </w:r>
      <w:r w:rsidRPr="00E85A89">
        <w:rPr>
          <w:rFonts w:cstheme="minorHAnsi"/>
        </w:rPr>
        <w:t xml:space="preserve">cases of </w:t>
      </w:r>
      <w:r>
        <w:rPr>
          <w:rFonts w:cstheme="minorHAnsi"/>
        </w:rPr>
        <w:t xml:space="preserve">mucinous ovarian cancer were recorded. The estimated total number of mucinous ovarian cancer cases attributable to smoking in Ireland in 2022 was 5 (PAF 20.3%). Table </w:t>
      </w:r>
      <w:r w:rsidR="007672D9">
        <w:rPr>
          <w:rFonts w:cstheme="minorHAnsi"/>
        </w:rPr>
        <w:t>18.1</w:t>
      </w:r>
      <w:r>
        <w:rPr>
          <w:rFonts w:cstheme="minorHAnsi"/>
        </w:rPr>
        <w:t xml:space="preserve"> presents cancer incidence related to smoking. The PAF for mucinous ovarian cancer among females was 20.3%.</w:t>
      </w:r>
    </w:p>
    <w:p w14:paraId="788F81F9" w14:textId="77777777" w:rsidR="00F55E6A" w:rsidRDefault="00F55E6A" w:rsidP="00F55E6A">
      <w:pPr>
        <w:spacing w:after="0" w:line="240" w:lineRule="auto"/>
        <w:rPr>
          <w:rFonts w:cstheme="minorHAnsi"/>
        </w:rPr>
      </w:pPr>
    </w:p>
    <w:tbl>
      <w:tblPr>
        <w:tblStyle w:val="TableGrid"/>
        <w:tblW w:w="5000" w:type="pct"/>
        <w:tblInd w:w="-477" w:type="dxa"/>
        <w:tblLook w:val="04A0" w:firstRow="1" w:lastRow="0" w:firstColumn="1" w:lastColumn="0" w:noHBand="0" w:noVBand="1"/>
      </w:tblPr>
      <w:tblGrid>
        <w:gridCol w:w="4867"/>
        <w:gridCol w:w="4149"/>
      </w:tblGrid>
      <w:tr w:rsidR="00F55E6A" w14:paraId="4C05F749" w14:textId="77777777">
        <w:tc>
          <w:tcPr>
            <w:tcW w:w="5000" w:type="pct"/>
            <w:gridSpan w:val="2"/>
            <w:tcBorders>
              <w:top w:val="single" w:sz="4" w:space="0" w:color="auto"/>
              <w:left w:val="single" w:sz="4" w:space="0" w:color="auto"/>
              <w:bottom w:val="single" w:sz="4" w:space="0" w:color="auto"/>
              <w:right w:val="single" w:sz="4" w:space="0" w:color="auto"/>
            </w:tcBorders>
            <w:shd w:val="clear" w:color="auto" w:fill="002060"/>
            <w:hideMark/>
          </w:tcPr>
          <w:p w14:paraId="347A1F0D" w14:textId="308C1C90" w:rsidR="00F55E6A" w:rsidRPr="007672D9" w:rsidRDefault="00F55E6A" w:rsidP="0041177B">
            <w:pPr>
              <w:rPr>
                <w:rFonts w:asciiTheme="minorHAnsi" w:hAnsiTheme="minorHAnsi" w:cstheme="minorHAnsi"/>
                <w:b/>
                <w:bCs/>
                <w:color w:val="FFFFFF" w:themeColor="background1"/>
                <w:sz w:val="20"/>
                <w:szCs w:val="20"/>
              </w:rPr>
            </w:pPr>
            <w:r w:rsidRPr="007672D9">
              <w:rPr>
                <w:rFonts w:asciiTheme="minorHAnsi" w:hAnsiTheme="minorHAnsi" w:cstheme="minorHAnsi"/>
                <w:b/>
                <w:bCs/>
                <w:color w:val="FFFFFF" w:themeColor="background1"/>
                <w:sz w:val="20"/>
                <w:szCs w:val="20"/>
              </w:rPr>
              <w:t xml:space="preserve">Table </w:t>
            </w:r>
            <w:r w:rsidR="007672D9">
              <w:rPr>
                <w:rFonts w:asciiTheme="minorHAnsi" w:hAnsiTheme="minorHAnsi" w:cstheme="minorHAnsi"/>
                <w:b/>
                <w:bCs/>
                <w:color w:val="FFFFFF" w:themeColor="background1"/>
                <w:sz w:val="20"/>
                <w:szCs w:val="20"/>
              </w:rPr>
              <w:t>18.1</w:t>
            </w:r>
            <w:r w:rsidRPr="007672D9">
              <w:rPr>
                <w:rFonts w:asciiTheme="minorHAnsi" w:hAnsiTheme="minorHAnsi" w:cstheme="minorHAnsi"/>
                <w:b/>
                <w:bCs/>
                <w:color w:val="FFFFFF" w:themeColor="background1"/>
                <w:sz w:val="20"/>
                <w:szCs w:val="20"/>
              </w:rPr>
              <w:t>: Population attributable fraction and attributable cases for ovarian</w:t>
            </w:r>
            <w:r w:rsidRPr="007672D9">
              <w:rPr>
                <w:rFonts w:asciiTheme="minorHAnsi" w:hAnsiTheme="minorHAnsi" w:cstheme="minorHAnsi"/>
                <w:b/>
                <w:bCs/>
                <w:sz w:val="20"/>
                <w:szCs w:val="20"/>
              </w:rPr>
              <w:t xml:space="preserve"> (mucinous) </w:t>
            </w:r>
            <w:r w:rsidRPr="007672D9">
              <w:rPr>
                <w:rFonts w:asciiTheme="minorHAnsi" w:hAnsiTheme="minorHAnsi" w:cstheme="minorHAnsi"/>
                <w:b/>
                <w:bCs/>
                <w:color w:val="FFFFFF" w:themeColor="background1"/>
                <w:sz w:val="20"/>
                <w:szCs w:val="20"/>
              </w:rPr>
              <w:t>cancer in 2022</w:t>
            </w:r>
          </w:p>
        </w:tc>
      </w:tr>
      <w:tr w:rsidR="00F55E6A" w14:paraId="758E87B7" w14:textId="77777777">
        <w:tc>
          <w:tcPr>
            <w:tcW w:w="2699" w:type="pct"/>
            <w:tcBorders>
              <w:top w:val="single" w:sz="4" w:space="0" w:color="auto"/>
              <w:left w:val="single" w:sz="4" w:space="0" w:color="auto"/>
              <w:bottom w:val="single" w:sz="4" w:space="0" w:color="auto"/>
              <w:right w:val="single" w:sz="4" w:space="0" w:color="auto"/>
            </w:tcBorders>
          </w:tcPr>
          <w:p w14:paraId="1BEC82E3" w14:textId="77777777" w:rsidR="00F55E6A" w:rsidRDefault="00F55E6A" w:rsidP="0041177B">
            <w:pPr>
              <w:rPr>
                <w:rFonts w:asciiTheme="minorHAnsi" w:hAnsiTheme="minorHAnsi" w:cstheme="minorHAnsi"/>
              </w:rPr>
            </w:pPr>
          </w:p>
        </w:tc>
        <w:tc>
          <w:tcPr>
            <w:tcW w:w="2301" w:type="pct"/>
            <w:tcBorders>
              <w:top w:val="single" w:sz="4" w:space="0" w:color="auto"/>
              <w:left w:val="single" w:sz="4" w:space="0" w:color="auto"/>
              <w:bottom w:val="single" w:sz="4" w:space="0" w:color="auto"/>
              <w:right w:val="single" w:sz="4" w:space="0" w:color="auto"/>
            </w:tcBorders>
          </w:tcPr>
          <w:p w14:paraId="5B66105C" w14:textId="77777777" w:rsidR="00F55E6A" w:rsidRDefault="00F55E6A" w:rsidP="0041177B">
            <w:pPr>
              <w:jc w:val="center"/>
              <w:rPr>
                <w:rFonts w:asciiTheme="minorHAnsi" w:hAnsiTheme="minorHAnsi" w:cstheme="minorHAnsi"/>
              </w:rPr>
            </w:pPr>
            <w:r>
              <w:rPr>
                <w:rFonts w:asciiTheme="minorHAnsi" w:hAnsiTheme="minorHAnsi" w:cstheme="minorHAnsi"/>
              </w:rPr>
              <w:t>Females</w:t>
            </w:r>
          </w:p>
        </w:tc>
      </w:tr>
      <w:tr w:rsidR="00F55E6A" w14:paraId="149F3B36" w14:textId="77777777">
        <w:tc>
          <w:tcPr>
            <w:tcW w:w="2699" w:type="pct"/>
            <w:tcBorders>
              <w:top w:val="single" w:sz="4" w:space="0" w:color="auto"/>
              <w:left w:val="single" w:sz="4" w:space="0" w:color="auto"/>
              <w:bottom w:val="single" w:sz="4" w:space="0" w:color="auto"/>
              <w:right w:val="single" w:sz="4" w:space="0" w:color="auto"/>
            </w:tcBorders>
            <w:hideMark/>
          </w:tcPr>
          <w:p w14:paraId="77F95FB4" w14:textId="77777777" w:rsidR="00F55E6A" w:rsidRPr="00D773E3" w:rsidRDefault="00F55E6A" w:rsidP="0041177B">
            <w:pPr>
              <w:rPr>
                <w:rFonts w:asciiTheme="minorHAnsi" w:hAnsiTheme="minorHAnsi" w:cstheme="minorHAnsi"/>
              </w:rPr>
            </w:pPr>
            <w:r w:rsidRPr="00D773E3">
              <w:rPr>
                <w:rFonts w:asciiTheme="minorHAnsi" w:hAnsiTheme="minorHAnsi" w:cstheme="minorHAnsi"/>
              </w:rPr>
              <w:t>PAF (%)</w:t>
            </w:r>
          </w:p>
        </w:tc>
        <w:tc>
          <w:tcPr>
            <w:tcW w:w="2301" w:type="pct"/>
            <w:tcBorders>
              <w:top w:val="single" w:sz="4" w:space="0" w:color="auto"/>
              <w:left w:val="single" w:sz="4" w:space="0" w:color="auto"/>
              <w:bottom w:val="single" w:sz="4" w:space="0" w:color="auto"/>
              <w:right w:val="single" w:sz="4" w:space="0" w:color="auto"/>
            </w:tcBorders>
          </w:tcPr>
          <w:p w14:paraId="34D96FB5" w14:textId="77777777" w:rsidR="00F55E6A" w:rsidRPr="00D773E3" w:rsidRDefault="00F55E6A" w:rsidP="0041177B">
            <w:pPr>
              <w:jc w:val="center"/>
              <w:rPr>
                <w:rFonts w:asciiTheme="minorHAnsi" w:hAnsiTheme="minorHAnsi" w:cstheme="minorHAnsi"/>
              </w:rPr>
            </w:pPr>
            <w:r w:rsidRPr="00D773E3">
              <w:rPr>
                <w:rFonts w:asciiTheme="minorHAnsi" w:hAnsiTheme="minorHAnsi" w:cstheme="minorHAnsi"/>
              </w:rPr>
              <w:t>20.3</w:t>
            </w:r>
          </w:p>
        </w:tc>
      </w:tr>
      <w:tr w:rsidR="00D773E3" w14:paraId="6B44AD75" w14:textId="77777777">
        <w:tc>
          <w:tcPr>
            <w:tcW w:w="2699" w:type="pct"/>
            <w:tcBorders>
              <w:top w:val="single" w:sz="4" w:space="0" w:color="auto"/>
              <w:left w:val="single" w:sz="4" w:space="0" w:color="auto"/>
              <w:bottom w:val="single" w:sz="4" w:space="0" w:color="auto"/>
              <w:right w:val="single" w:sz="4" w:space="0" w:color="auto"/>
            </w:tcBorders>
          </w:tcPr>
          <w:p w14:paraId="11FF4CBF" w14:textId="60B97839" w:rsidR="00D773E3" w:rsidRPr="006C1190" w:rsidRDefault="00D773E3" w:rsidP="0041177B">
            <w:pPr>
              <w:rPr>
                <w:rFonts w:asciiTheme="minorHAnsi" w:hAnsiTheme="minorHAnsi" w:cstheme="minorHAnsi"/>
              </w:rPr>
            </w:pPr>
            <w:r w:rsidRPr="006330ED">
              <w:rPr>
                <w:rFonts w:asciiTheme="minorHAnsi" w:hAnsiTheme="minorHAnsi" w:cstheme="minorHAnsi"/>
              </w:rPr>
              <w:t>Total cases</w:t>
            </w:r>
          </w:p>
        </w:tc>
        <w:tc>
          <w:tcPr>
            <w:tcW w:w="2301" w:type="pct"/>
            <w:tcBorders>
              <w:top w:val="single" w:sz="4" w:space="0" w:color="auto"/>
              <w:left w:val="single" w:sz="4" w:space="0" w:color="auto"/>
              <w:bottom w:val="single" w:sz="4" w:space="0" w:color="auto"/>
              <w:right w:val="single" w:sz="4" w:space="0" w:color="auto"/>
            </w:tcBorders>
          </w:tcPr>
          <w:p w14:paraId="0A2FEA85" w14:textId="50DC88B7" w:rsidR="00D773E3" w:rsidRPr="006C1190" w:rsidRDefault="00D773E3" w:rsidP="0041177B">
            <w:pPr>
              <w:jc w:val="center"/>
              <w:rPr>
                <w:rFonts w:asciiTheme="minorHAnsi" w:hAnsiTheme="minorHAnsi" w:cstheme="minorHAnsi"/>
              </w:rPr>
            </w:pPr>
            <w:r w:rsidRPr="006330ED">
              <w:rPr>
                <w:rFonts w:asciiTheme="minorHAnsi" w:hAnsiTheme="minorHAnsi" w:cstheme="minorHAnsi"/>
              </w:rPr>
              <w:t>25</w:t>
            </w:r>
          </w:p>
        </w:tc>
      </w:tr>
      <w:tr w:rsidR="00F55E6A" w14:paraId="753FCB86" w14:textId="77777777">
        <w:tc>
          <w:tcPr>
            <w:tcW w:w="2699" w:type="pct"/>
            <w:tcBorders>
              <w:top w:val="single" w:sz="4" w:space="0" w:color="auto"/>
              <w:left w:val="single" w:sz="4" w:space="0" w:color="auto"/>
              <w:bottom w:val="single" w:sz="4" w:space="0" w:color="auto"/>
              <w:right w:val="single" w:sz="4" w:space="0" w:color="auto"/>
            </w:tcBorders>
            <w:hideMark/>
          </w:tcPr>
          <w:p w14:paraId="3BAF52E5" w14:textId="77777777" w:rsidR="00F55E6A" w:rsidRPr="00D773E3" w:rsidRDefault="00F55E6A" w:rsidP="0041177B">
            <w:pPr>
              <w:rPr>
                <w:rFonts w:asciiTheme="minorHAnsi" w:hAnsiTheme="minorHAnsi" w:cstheme="minorHAnsi"/>
              </w:rPr>
            </w:pPr>
            <w:r w:rsidRPr="00D773E3">
              <w:rPr>
                <w:rFonts w:asciiTheme="minorHAnsi" w:hAnsiTheme="minorHAnsi" w:cstheme="minorHAnsi"/>
              </w:rPr>
              <w:t>Attributable cases</w:t>
            </w:r>
          </w:p>
        </w:tc>
        <w:tc>
          <w:tcPr>
            <w:tcW w:w="2301" w:type="pct"/>
            <w:tcBorders>
              <w:top w:val="single" w:sz="4" w:space="0" w:color="auto"/>
              <w:left w:val="single" w:sz="4" w:space="0" w:color="auto"/>
              <w:bottom w:val="single" w:sz="4" w:space="0" w:color="auto"/>
              <w:right w:val="single" w:sz="4" w:space="0" w:color="auto"/>
            </w:tcBorders>
          </w:tcPr>
          <w:p w14:paraId="500BF195" w14:textId="77777777" w:rsidR="00F55E6A" w:rsidRPr="00D773E3" w:rsidRDefault="00F55E6A" w:rsidP="0041177B">
            <w:pPr>
              <w:jc w:val="center"/>
              <w:rPr>
                <w:rFonts w:asciiTheme="minorHAnsi" w:hAnsiTheme="minorHAnsi" w:cstheme="minorHAnsi"/>
              </w:rPr>
            </w:pPr>
            <w:r w:rsidRPr="00D773E3">
              <w:rPr>
                <w:rFonts w:asciiTheme="minorHAnsi" w:hAnsiTheme="minorHAnsi" w:cstheme="minorHAnsi"/>
              </w:rPr>
              <w:t>5</w:t>
            </w:r>
          </w:p>
        </w:tc>
      </w:tr>
    </w:tbl>
    <w:p w14:paraId="2B6FD130" w14:textId="77777777" w:rsidR="00F55E6A" w:rsidRDefault="00F55E6A" w:rsidP="00F55E6A">
      <w:pPr>
        <w:spacing w:line="240" w:lineRule="auto"/>
      </w:pPr>
    </w:p>
    <w:p w14:paraId="7B499619" w14:textId="77777777" w:rsidR="00F55E6A" w:rsidRDefault="00F55E6A" w:rsidP="003E2932">
      <w:pPr>
        <w:sectPr w:rsidR="00F55E6A" w:rsidSect="002746C0">
          <w:pgSz w:w="11906" w:h="16838"/>
          <w:pgMar w:top="1440" w:right="1440" w:bottom="1440" w:left="1440" w:header="708" w:footer="708" w:gutter="0"/>
          <w:cols w:space="708"/>
          <w:docGrid w:linePitch="360"/>
        </w:sectPr>
      </w:pPr>
    </w:p>
    <w:p w14:paraId="6C919084" w14:textId="367CFBD3" w:rsidR="00A27215" w:rsidRDefault="00DA49D2" w:rsidP="00A27215">
      <w:pPr>
        <w:pStyle w:val="Heading1"/>
      </w:pPr>
      <w:bookmarkStart w:id="350" w:name="_Toc197557165"/>
      <w:r>
        <w:t xml:space="preserve"> </w:t>
      </w:r>
      <w:bookmarkStart w:id="351" w:name="_Toc201512556"/>
      <w:r w:rsidR="00A27215" w:rsidRPr="0061315C">
        <w:t>Kidney</w:t>
      </w:r>
      <w:r w:rsidR="00A27215" w:rsidRPr="0061315C">
        <w:tab/>
        <w:t>C64-66, C68</w:t>
      </w:r>
      <w:bookmarkEnd w:id="350"/>
      <w:bookmarkEnd w:id="351"/>
    </w:p>
    <w:p w14:paraId="2761FFE1" w14:textId="77777777" w:rsidR="00A27215" w:rsidRPr="00492B72" w:rsidRDefault="00A27215" w:rsidP="00A27215">
      <w:pPr>
        <w:numPr>
          <w:ilvl w:val="1"/>
          <w:numId w:val="0"/>
        </w:numPr>
        <w:spacing w:after="0" w:line="240" w:lineRule="auto"/>
        <w:rPr>
          <w:rFonts w:eastAsiaTheme="majorEastAsia" w:cstheme="minorHAnsi"/>
          <w:i/>
          <w:iCs/>
          <w:color w:val="0F4761" w:themeColor="accent1" w:themeShade="BF"/>
          <w:spacing w:val="15"/>
          <w:sz w:val="28"/>
          <w:szCs w:val="28"/>
        </w:rPr>
      </w:pPr>
      <w:r w:rsidRPr="00492B72">
        <w:rPr>
          <w:rFonts w:eastAsiaTheme="majorEastAsia" w:cstheme="minorHAnsi"/>
          <w:i/>
          <w:iCs/>
          <w:color w:val="0F4761" w:themeColor="accent1" w:themeShade="BF"/>
          <w:spacing w:val="15"/>
          <w:sz w:val="28"/>
          <w:szCs w:val="28"/>
        </w:rPr>
        <w:t>Key points Kidney</w:t>
      </w:r>
    </w:p>
    <w:p w14:paraId="75A2322D" w14:textId="77777777" w:rsidR="00A27215" w:rsidRPr="00492B72" w:rsidRDefault="00A27215" w:rsidP="00A27215">
      <w:pPr>
        <w:numPr>
          <w:ilvl w:val="1"/>
          <w:numId w:val="0"/>
        </w:numPr>
        <w:spacing w:after="0" w:line="240" w:lineRule="auto"/>
        <w:rPr>
          <w:rFonts w:eastAsiaTheme="majorEastAsia" w:cstheme="minorHAnsi"/>
          <w:i/>
          <w:iCs/>
          <w:color w:val="595959" w:themeColor="text1" w:themeTint="A6"/>
          <w:spacing w:val="15"/>
          <w:sz w:val="28"/>
          <w:szCs w:val="28"/>
        </w:rPr>
      </w:pPr>
      <w:r w:rsidRPr="00492B72">
        <w:rPr>
          <w:rFonts w:eastAsiaTheme="majorEastAsia" w:cstheme="minorHAnsi"/>
          <w:i/>
          <w:iCs/>
          <w:color w:val="595959" w:themeColor="text1" w:themeTint="A6"/>
          <w:spacing w:val="15"/>
          <w:sz w:val="28"/>
          <w:szCs w:val="28"/>
        </w:rPr>
        <w:t>Incidence</w:t>
      </w:r>
    </w:p>
    <w:p w14:paraId="6A6BE793" w14:textId="77777777" w:rsidR="00A27215" w:rsidRPr="00492B72" w:rsidRDefault="00A27215">
      <w:pPr>
        <w:numPr>
          <w:ilvl w:val="0"/>
          <w:numId w:val="3"/>
        </w:numPr>
        <w:spacing w:after="0" w:line="240" w:lineRule="auto"/>
        <w:contextualSpacing/>
        <w:rPr>
          <w:rFonts w:cstheme="minorHAnsi"/>
        </w:rPr>
      </w:pPr>
      <w:r>
        <w:rPr>
          <w:rFonts w:cstheme="minorHAnsi"/>
        </w:rPr>
        <w:t>Age-standardised i</w:t>
      </w:r>
      <w:r w:rsidRPr="00492B72">
        <w:rPr>
          <w:rFonts w:cstheme="minorHAnsi"/>
        </w:rPr>
        <w:t xml:space="preserve">ncidence rates in both sexes increased from 1994-2016 and subsequently declined from 2016-2022. </w:t>
      </w:r>
    </w:p>
    <w:p w14:paraId="489FDCBA" w14:textId="77777777" w:rsidR="00A27215" w:rsidRPr="007672D9" w:rsidRDefault="00A27215">
      <w:pPr>
        <w:numPr>
          <w:ilvl w:val="0"/>
          <w:numId w:val="3"/>
        </w:numPr>
        <w:spacing w:after="0" w:line="240" w:lineRule="auto"/>
        <w:contextualSpacing/>
        <w:jc w:val="both"/>
        <w:rPr>
          <w:rFonts w:cstheme="minorHAnsi"/>
          <w:i/>
          <w:iCs/>
        </w:rPr>
      </w:pPr>
      <w:r w:rsidRPr="00492B72">
        <w:rPr>
          <w:rFonts w:eastAsia="Times New Roman" w:cstheme="minorHAnsi"/>
          <w:lang w:eastAsia="en-IE"/>
        </w:rPr>
        <w:t>Incidence rates in the diagnosis period 2014-2018 were lowe</w:t>
      </w:r>
      <w:r>
        <w:rPr>
          <w:rFonts w:eastAsia="Times New Roman" w:cstheme="minorHAnsi"/>
          <w:lang w:eastAsia="en-IE"/>
        </w:rPr>
        <w:t>st</w:t>
      </w:r>
      <w:r w:rsidRPr="00492B72">
        <w:rPr>
          <w:rFonts w:eastAsia="Times New Roman" w:cstheme="minorHAnsi"/>
          <w:lang w:eastAsia="en-IE"/>
        </w:rPr>
        <w:t xml:space="preserve"> in</w:t>
      </w:r>
      <w:r>
        <w:rPr>
          <w:rFonts w:eastAsia="Times New Roman" w:cstheme="minorHAnsi"/>
          <w:lang w:eastAsia="en-IE"/>
        </w:rPr>
        <w:t xml:space="preserve"> the least</w:t>
      </w:r>
      <w:r w:rsidRPr="00492B72">
        <w:rPr>
          <w:rFonts w:eastAsia="Times New Roman" w:cstheme="minorHAnsi"/>
          <w:lang w:eastAsia="en-IE"/>
        </w:rPr>
        <w:t xml:space="preserve"> deprived population quintile</w:t>
      </w:r>
      <w:r>
        <w:rPr>
          <w:rFonts w:eastAsia="Times New Roman" w:cstheme="minorHAnsi"/>
          <w:lang w:eastAsia="en-IE"/>
        </w:rPr>
        <w:t>.</w:t>
      </w:r>
    </w:p>
    <w:p w14:paraId="37E39BBF" w14:textId="77777777" w:rsidR="00A27215" w:rsidRPr="00492B72" w:rsidRDefault="00A27215" w:rsidP="00A27215">
      <w:pPr>
        <w:spacing w:after="0" w:line="240" w:lineRule="auto"/>
        <w:jc w:val="both"/>
        <w:rPr>
          <w:rFonts w:eastAsia="Times New Roman" w:cstheme="minorHAnsi"/>
          <w:i/>
          <w:iCs/>
          <w:color w:val="808080" w:themeColor="background1" w:themeShade="80"/>
        </w:rPr>
      </w:pPr>
      <w:r w:rsidRPr="00492B72">
        <w:rPr>
          <w:rFonts w:cstheme="minorHAnsi"/>
          <w:i/>
          <w:iCs/>
          <w:color w:val="808080" w:themeColor="background1" w:themeShade="80"/>
        </w:rPr>
        <w:t>Mortality</w:t>
      </w:r>
    </w:p>
    <w:p w14:paraId="31DAAF80" w14:textId="77777777" w:rsidR="00A27215" w:rsidRDefault="00A27215" w:rsidP="00A27215">
      <w:pPr>
        <w:spacing w:after="0" w:line="240" w:lineRule="auto"/>
        <w:ind w:left="720"/>
        <w:contextualSpacing/>
        <w:jc w:val="both"/>
      </w:pPr>
      <w:r w:rsidRPr="00492B72">
        <w:t>Age-standardised mortality rates increased from 1994-2022 in males and females.</w:t>
      </w:r>
    </w:p>
    <w:p w14:paraId="2D8B956C" w14:textId="77777777" w:rsidR="00A27215" w:rsidRPr="00492B72" w:rsidRDefault="00A27215" w:rsidP="00A27215">
      <w:pPr>
        <w:numPr>
          <w:ilvl w:val="1"/>
          <w:numId w:val="0"/>
        </w:numPr>
        <w:spacing w:after="0" w:line="240" w:lineRule="auto"/>
        <w:rPr>
          <w:rFonts w:eastAsiaTheme="majorEastAsia" w:cstheme="minorHAnsi"/>
          <w:i/>
          <w:iCs/>
          <w:color w:val="595959" w:themeColor="text1" w:themeTint="A6"/>
          <w:spacing w:val="15"/>
        </w:rPr>
      </w:pPr>
      <w:r w:rsidRPr="00492B72">
        <w:rPr>
          <w:rFonts w:eastAsiaTheme="majorEastAsia" w:cstheme="minorHAnsi"/>
          <w:i/>
          <w:iCs/>
          <w:color w:val="595959" w:themeColor="text1" w:themeTint="A6"/>
          <w:spacing w:val="15"/>
        </w:rPr>
        <w:t>Survival</w:t>
      </w:r>
    </w:p>
    <w:p w14:paraId="5EF0147E" w14:textId="77777777" w:rsidR="00A27215" w:rsidRDefault="00A27215">
      <w:pPr>
        <w:numPr>
          <w:ilvl w:val="0"/>
          <w:numId w:val="4"/>
        </w:numPr>
        <w:spacing w:after="0" w:line="240" w:lineRule="auto"/>
        <w:contextualSpacing/>
        <w:rPr>
          <w:rFonts w:cstheme="minorHAnsi"/>
        </w:rPr>
      </w:pPr>
      <w:r w:rsidRPr="00492B72">
        <w:rPr>
          <w:rFonts w:cstheme="minorHAnsi"/>
        </w:rPr>
        <w:t>5-year net survival was 69% for cases diagnosed during 2019-2022.</w:t>
      </w:r>
    </w:p>
    <w:p w14:paraId="3B4F11D2" w14:textId="77777777" w:rsidR="00A27215" w:rsidRPr="00492B72" w:rsidRDefault="00A27215" w:rsidP="00A27215">
      <w:pPr>
        <w:numPr>
          <w:ilvl w:val="1"/>
          <w:numId w:val="0"/>
        </w:numPr>
        <w:spacing w:after="0" w:line="240" w:lineRule="auto"/>
        <w:rPr>
          <w:rFonts w:cstheme="minorHAnsi"/>
          <w:i/>
          <w:iCs/>
        </w:rPr>
      </w:pPr>
      <w:r w:rsidRPr="00492B72">
        <w:rPr>
          <w:rFonts w:eastAsiaTheme="majorEastAsia" w:cstheme="minorHAnsi"/>
          <w:i/>
          <w:iCs/>
          <w:color w:val="595959" w:themeColor="text1" w:themeTint="A6"/>
          <w:spacing w:val="15"/>
        </w:rPr>
        <w:t>Population attributable fraction</w:t>
      </w:r>
    </w:p>
    <w:p w14:paraId="636B7C47" w14:textId="77777777" w:rsidR="00A27215" w:rsidRPr="00492B72" w:rsidRDefault="00A27215">
      <w:pPr>
        <w:numPr>
          <w:ilvl w:val="0"/>
          <w:numId w:val="2"/>
        </w:numPr>
        <w:spacing w:after="0" w:line="240" w:lineRule="auto"/>
        <w:contextualSpacing/>
        <w:rPr>
          <w:rFonts w:eastAsiaTheme="majorEastAsia" w:cstheme="minorHAnsi"/>
          <w:color w:val="0F4761" w:themeColor="accent1" w:themeShade="BF"/>
        </w:rPr>
      </w:pPr>
      <w:r w:rsidRPr="00492B72">
        <w:rPr>
          <w:rFonts w:eastAsia="Calibri" w:cstheme="minorHAnsi"/>
          <w:color w:val="000000" w:themeColor="text1"/>
        </w:rPr>
        <w:t xml:space="preserve">In 2022 the estimated total number of cases of kidney cancer attributable to smoking in Ireland was </w:t>
      </w:r>
      <w:r>
        <w:rPr>
          <w:rFonts w:eastAsia="Calibri" w:cstheme="minorHAnsi"/>
          <w:color w:val="000000" w:themeColor="text1"/>
        </w:rPr>
        <w:t>105</w:t>
      </w:r>
      <w:r w:rsidRPr="00492B72">
        <w:rPr>
          <w:rFonts w:eastAsia="Calibri" w:cstheme="minorHAnsi"/>
          <w:color w:val="000000" w:themeColor="text1"/>
        </w:rPr>
        <w:t xml:space="preserve"> (PAF </w:t>
      </w:r>
      <w:r>
        <w:rPr>
          <w:rFonts w:eastAsia="Calibri" w:cstheme="minorHAnsi"/>
          <w:color w:val="000000" w:themeColor="text1"/>
        </w:rPr>
        <w:t>13.2</w:t>
      </w:r>
      <w:r w:rsidRPr="00492B72">
        <w:rPr>
          <w:rFonts w:eastAsia="Calibri" w:cstheme="minorHAnsi"/>
          <w:color w:val="000000" w:themeColor="text1"/>
        </w:rPr>
        <w:t xml:space="preserve">%). </w:t>
      </w:r>
    </w:p>
    <w:p w14:paraId="2D8BAB93" w14:textId="77777777" w:rsidR="00A27215" w:rsidRDefault="00A27215" w:rsidP="00A27215">
      <w:pPr>
        <w:spacing w:after="0" w:line="240" w:lineRule="auto"/>
        <w:sectPr w:rsidR="00A27215" w:rsidSect="002746C0">
          <w:footerReference w:type="default" r:id="rId252"/>
          <w:pgSz w:w="11906" w:h="16838"/>
          <w:pgMar w:top="1440" w:right="1440" w:bottom="1440" w:left="1440" w:header="708" w:footer="708" w:gutter="0"/>
          <w:cols w:space="708"/>
          <w:docGrid w:linePitch="360"/>
        </w:sectPr>
      </w:pPr>
    </w:p>
    <w:p w14:paraId="624202F0" w14:textId="77777777" w:rsidR="00A27215" w:rsidRPr="0061315C" w:rsidRDefault="00A27215" w:rsidP="00A27215">
      <w:pPr>
        <w:pStyle w:val="Heading2"/>
        <w:spacing w:before="0" w:after="0" w:line="240" w:lineRule="auto"/>
      </w:pPr>
      <w:bookmarkStart w:id="352" w:name="_Toc197557166"/>
      <w:bookmarkStart w:id="353" w:name="_Toc201512557"/>
      <w:r w:rsidRPr="0061315C">
        <w:t>Incidence</w:t>
      </w:r>
      <w:bookmarkEnd w:id="352"/>
      <w:bookmarkEnd w:id="353"/>
    </w:p>
    <w:p w14:paraId="1977978B" w14:textId="4D72A231" w:rsidR="00A27215" w:rsidRDefault="00A27215" w:rsidP="00A27215">
      <w:pPr>
        <w:spacing w:after="0" w:line="240" w:lineRule="auto"/>
        <w:rPr>
          <w:rFonts w:cstheme="minorHAnsi"/>
        </w:rPr>
      </w:pPr>
      <w:r>
        <w:t>Between</w:t>
      </w:r>
      <w:r w:rsidRPr="00FB42E1">
        <w:t xml:space="preserve"> 1994-2022, 15,079 cases of kidney cancer were recorded (9,622 males, 5,457 females). Median age at diagnosis was 66 years (</w:t>
      </w:r>
      <w:r>
        <w:t>IQR</w:t>
      </w:r>
      <w:r w:rsidR="00972239">
        <w:t>:</w:t>
      </w:r>
      <w:r>
        <w:t xml:space="preserve"> </w:t>
      </w:r>
      <w:r w:rsidRPr="00FB42E1">
        <w:t>56-75) for males and 68 (</w:t>
      </w:r>
      <w:r>
        <w:t>IQR</w:t>
      </w:r>
      <w:r w:rsidR="00972239">
        <w:t>:</w:t>
      </w:r>
      <w:r>
        <w:t xml:space="preserve"> </w:t>
      </w:r>
      <w:r w:rsidRPr="00FB42E1">
        <w:t>57-77) for females.</w:t>
      </w:r>
      <w:r>
        <w:t xml:space="preserve"> </w:t>
      </w:r>
      <w:r w:rsidRPr="00FB42E1">
        <w:rPr>
          <w:rFonts w:cstheme="minorHAnsi"/>
        </w:rPr>
        <w:t>On average</w:t>
      </w:r>
      <w:r w:rsidR="00972239">
        <w:rPr>
          <w:rFonts w:cstheme="minorHAnsi"/>
        </w:rPr>
        <w:t xml:space="preserve"> during the period</w:t>
      </w:r>
      <w:r w:rsidRPr="00FB42E1">
        <w:rPr>
          <w:rFonts w:cstheme="minorHAnsi"/>
        </w:rPr>
        <w:t xml:space="preserve"> 1994-2022 the age-standardised incidence rate of kidney cancer was 22.7 cases per 100,000 males and 11.2 cases per 100,000 females per year</w:t>
      </w:r>
      <w:r>
        <w:rPr>
          <w:rFonts w:cstheme="minorHAnsi"/>
        </w:rPr>
        <w:t xml:space="preserve">. </w:t>
      </w:r>
      <w:r w:rsidRPr="00FB42E1">
        <w:rPr>
          <w:rFonts w:cstheme="minorHAnsi"/>
        </w:rPr>
        <w:t xml:space="preserve">Figure </w:t>
      </w:r>
      <w:r w:rsidR="007672D9">
        <w:rPr>
          <w:rFonts w:cstheme="minorHAnsi"/>
        </w:rPr>
        <w:t>19.1</w:t>
      </w:r>
      <w:r w:rsidRPr="00FB42E1">
        <w:rPr>
          <w:rFonts w:cstheme="minorHAnsi"/>
        </w:rPr>
        <w:t xml:space="preserve"> breaks this down further by sex and age group.</w:t>
      </w:r>
    </w:p>
    <w:p w14:paraId="1BFD679F" w14:textId="77777777" w:rsidR="00A27215" w:rsidRDefault="00A27215" w:rsidP="00A27215">
      <w:pPr>
        <w:spacing w:after="0" w:line="240" w:lineRule="auto"/>
        <w:rPr>
          <w:rFonts w:cstheme="minorHAnsi"/>
        </w:rPr>
      </w:pPr>
    </w:p>
    <w:tbl>
      <w:tblPr>
        <w:tblStyle w:val="TableGrid"/>
        <w:tblW w:w="976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0"/>
        <w:gridCol w:w="3122"/>
        <w:gridCol w:w="3216"/>
      </w:tblGrid>
      <w:tr w:rsidR="00A27215" w:rsidRPr="00D5039D" w14:paraId="4BADBC99" w14:textId="77777777" w:rsidTr="0041177B">
        <w:trPr>
          <w:trHeight w:val="113"/>
        </w:trPr>
        <w:tc>
          <w:tcPr>
            <w:tcW w:w="9768" w:type="dxa"/>
            <w:gridSpan w:val="3"/>
            <w:shd w:val="clear" w:color="auto" w:fill="002060"/>
          </w:tcPr>
          <w:p w14:paraId="637CF41C" w14:textId="53234356" w:rsidR="00A27215" w:rsidRPr="00C87CE4" w:rsidRDefault="00A27215" w:rsidP="0041177B">
            <w:pPr>
              <w:rPr>
                <w:rFonts w:asciiTheme="minorHAnsi" w:hAnsiTheme="minorHAnsi" w:cstheme="minorHAnsi"/>
                <w:b/>
                <w:bCs/>
                <w:color w:val="FFFFFF" w:themeColor="background1"/>
              </w:rPr>
            </w:pPr>
            <w:r w:rsidRPr="00C87CE4">
              <w:rPr>
                <w:rFonts w:asciiTheme="minorHAnsi" w:hAnsiTheme="minorHAnsi" w:cstheme="minorHAnsi"/>
                <w:b/>
                <w:bCs/>
                <w:color w:val="FFFFFF" w:themeColor="background1"/>
              </w:rPr>
              <w:t xml:space="preserve">Figure </w:t>
            </w:r>
            <w:r w:rsidR="007672D9" w:rsidRPr="00C87CE4">
              <w:rPr>
                <w:rFonts w:asciiTheme="minorHAnsi" w:hAnsiTheme="minorHAnsi" w:cstheme="minorHAnsi"/>
                <w:b/>
                <w:bCs/>
                <w:color w:val="FFFFFF" w:themeColor="background1"/>
              </w:rPr>
              <w:t>19.1:</w:t>
            </w:r>
            <w:r w:rsidRPr="00C87CE4">
              <w:rPr>
                <w:rFonts w:asciiTheme="minorHAnsi" w:hAnsiTheme="minorHAnsi" w:cstheme="minorHAnsi"/>
                <w:b/>
                <w:bCs/>
                <w:color w:val="FFFFFF" w:themeColor="background1"/>
              </w:rPr>
              <w:t xml:space="preserve"> Incidence rate (per 100,000) for kidney cancer by </w:t>
            </w:r>
            <w:r w:rsidR="00366242">
              <w:rPr>
                <w:rFonts w:asciiTheme="minorHAnsi" w:hAnsiTheme="minorHAnsi" w:cstheme="minorHAnsi"/>
                <w:b/>
                <w:bCs/>
                <w:color w:val="FFFFFF" w:themeColor="background1"/>
              </w:rPr>
              <w:t>age group</w:t>
            </w:r>
            <w:r w:rsidRPr="00C87CE4">
              <w:rPr>
                <w:rFonts w:asciiTheme="minorHAnsi" w:hAnsiTheme="minorHAnsi" w:cstheme="minorHAnsi"/>
                <w:b/>
                <w:bCs/>
                <w:color w:val="FFFFFF" w:themeColor="background1"/>
              </w:rPr>
              <w:t>,1994-2022</w:t>
            </w:r>
          </w:p>
        </w:tc>
      </w:tr>
      <w:tr w:rsidR="00A27215" w:rsidRPr="00D5039D" w14:paraId="6E5F8C23" w14:textId="77777777" w:rsidTr="0041177B">
        <w:trPr>
          <w:trHeight w:val="113"/>
        </w:trPr>
        <w:tc>
          <w:tcPr>
            <w:tcW w:w="3430" w:type="dxa"/>
            <w:shd w:val="clear" w:color="auto" w:fill="auto"/>
          </w:tcPr>
          <w:p w14:paraId="63291F08" w14:textId="77777777" w:rsidR="00A27215" w:rsidRPr="00D5039D" w:rsidRDefault="00A27215" w:rsidP="0041177B">
            <w:pPr>
              <w:jc w:val="center"/>
              <w:rPr>
                <w:rFonts w:asciiTheme="minorHAnsi" w:hAnsiTheme="minorHAnsi" w:cstheme="minorHAnsi"/>
                <w:color w:val="000000" w:themeColor="text1"/>
              </w:rPr>
            </w:pPr>
            <w:r w:rsidRPr="00D5039D">
              <w:rPr>
                <w:rFonts w:asciiTheme="minorHAnsi" w:hAnsiTheme="minorHAnsi" w:cstheme="minorHAnsi"/>
                <w:color w:val="000000" w:themeColor="text1"/>
              </w:rPr>
              <w:t>Total</w:t>
            </w:r>
          </w:p>
        </w:tc>
        <w:tc>
          <w:tcPr>
            <w:tcW w:w="3122" w:type="dxa"/>
            <w:shd w:val="clear" w:color="auto" w:fill="auto"/>
          </w:tcPr>
          <w:p w14:paraId="3B9873DC" w14:textId="77777777" w:rsidR="00A27215" w:rsidRPr="00D5039D" w:rsidRDefault="00A27215" w:rsidP="0041177B">
            <w:pPr>
              <w:jc w:val="center"/>
              <w:rPr>
                <w:rFonts w:asciiTheme="minorHAnsi" w:hAnsiTheme="minorHAnsi" w:cstheme="minorHAnsi"/>
                <w:color w:val="000000" w:themeColor="text1"/>
              </w:rPr>
            </w:pPr>
            <w:r w:rsidRPr="00D5039D">
              <w:rPr>
                <w:rFonts w:asciiTheme="minorHAnsi" w:hAnsiTheme="minorHAnsi" w:cstheme="minorHAnsi"/>
                <w:color w:val="000000" w:themeColor="text1"/>
              </w:rPr>
              <w:t>Males</w:t>
            </w:r>
          </w:p>
        </w:tc>
        <w:tc>
          <w:tcPr>
            <w:tcW w:w="3216" w:type="dxa"/>
          </w:tcPr>
          <w:p w14:paraId="62A1A5B9" w14:textId="77777777" w:rsidR="00A27215" w:rsidRPr="00D5039D" w:rsidRDefault="00A27215" w:rsidP="0041177B">
            <w:pPr>
              <w:jc w:val="center"/>
              <w:rPr>
                <w:rFonts w:asciiTheme="minorHAnsi" w:hAnsiTheme="minorHAnsi" w:cstheme="minorHAnsi"/>
                <w:color w:val="000000" w:themeColor="text1"/>
              </w:rPr>
            </w:pPr>
            <w:r w:rsidRPr="00D5039D">
              <w:rPr>
                <w:rFonts w:asciiTheme="minorHAnsi" w:hAnsiTheme="minorHAnsi" w:cstheme="minorHAnsi"/>
                <w:color w:val="000000" w:themeColor="text1"/>
              </w:rPr>
              <w:t>Females</w:t>
            </w:r>
          </w:p>
        </w:tc>
      </w:tr>
      <w:tr w:rsidR="00A27215" w:rsidRPr="00D5039D" w14:paraId="7A57A020" w14:textId="77777777" w:rsidTr="0041177B">
        <w:trPr>
          <w:trHeight w:val="113"/>
        </w:trPr>
        <w:tc>
          <w:tcPr>
            <w:tcW w:w="3430" w:type="dxa"/>
            <w:shd w:val="clear" w:color="auto" w:fill="auto"/>
          </w:tcPr>
          <w:p w14:paraId="62900410" w14:textId="77777777" w:rsidR="00A27215" w:rsidRPr="00D5039D" w:rsidRDefault="00A27215" w:rsidP="0041177B">
            <w:pPr>
              <w:rPr>
                <w:rFonts w:asciiTheme="minorHAnsi" w:eastAsia="Times New Roman" w:hAnsiTheme="minorHAnsi" w:cs="Times New Roman"/>
                <w:lang w:eastAsia="en-GB"/>
              </w:rPr>
            </w:pPr>
            <w:r w:rsidRPr="00D5039D">
              <w:rPr>
                <w:rFonts w:eastAsia="Times New Roman" w:cs="Times New Roman"/>
                <w:noProof/>
                <w:lang w:eastAsia="en-GB"/>
              </w:rPr>
              <w:drawing>
                <wp:inline distT="0" distB="0" distL="0" distR="0" wp14:anchorId="76755DC3" wp14:editId="250BAFE5">
                  <wp:extent cx="2040890" cy="1436400"/>
                  <wp:effectExtent l="0" t="0" r="0" b="0"/>
                  <wp:docPr id="2032261995" name="Picture 9" descr="A graph with numbers and a ba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2261995" name="Picture 9" descr="A graph with numbers and a bar&#10;&#10;AI-generated content may be incorrect."/>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040890" cy="1436400"/>
                          </a:xfrm>
                          <a:prstGeom prst="rect">
                            <a:avLst/>
                          </a:prstGeom>
                          <a:noFill/>
                          <a:ln>
                            <a:noFill/>
                          </a:ln>
                        </pic:spPr>
                      </pic:pic>
                    </a:graphicData>
                  </a:graphic>
                </wp:inline>
              </w:drawing>
            </w:r>
          </w:p>
        </w:tc>
        <w:tc>
          <w:tcPr>
            <w:tcW w:w="3122" w:type="dxa"/>
            <w:shd w:val="clear" w:color="auto" w:fill="auto"/>
          </w:tcPr>
          <w:p w14:paraId="49F8C2A3" w14:textId="77777777" w:rsidR="00A27215" w:rsidRPr="00D5039D" w:rsidRDefault="00A27215" w:rsidP="0041177B">
            <w:pPr>
              <w:rPr>
                <w:rFonts w:asciiTheme="minorHAnsi" w:hAnsiTheme="minorHAnsi" w:cstheme="minorHAnsi"/>
                <w:color w:val="000000" w:themeColor="text1"/>
              </w:rPr>
            </w:pPr>
            <w:r w:rsidRPr="00D5039D">
              <w:rPr>
                <w:rFonts w:eastAsia="Times New Roman" w:cs="Times New Roman"/>
                <w:noProof/>
                <w:lang w:eastAsia="en-GB"/>
              </w:rPr>
              <w:drawing>
                <wp:inline distT="0" distB="0" distL="0" distR="0" wp14:anchorId="464E8CE7" wp14:editId="08B30F53">
                  <wp:extent cx="1709057" cy="1440000"/>
                  <wp:effectExtent l="0" t="0" r="5715" b="8255"/>
                  <wp:docPr id="8" name="Picture 7" descr="A graph with numbers and a ba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 descr="A graph with numbers and a bar&#10;&#10;AI-generated content may be incorrect."/>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709057" cy="1440000"/>
                          </a:xfrm>
                          <a:prstGeom prst="rect">
                            <a:avLst/>
                          </a:prstGeom>
                          <a:noFill/>
                          <a:ln>
                            <a:noFill/>
                          </a:ln>
                        </pic:spPr>
                      </pic:pic>
                    </a:graphicData>
                  </a:graphic>
                </wp:inline>
              </w:drawing>
            </w:r>
          </w:p>
        </w:tc>
        <w:tc>
          <w:tcPr>
            <w:tcW w:w="3216" w:type="dxa"/>
          </w:tcPr>
          <w:p w14:paraId="674FC579" w14:textId="77777777" w:rsidR="00A27215" w:rsidRPr="00D5039D" w:rsidRDefault="00A27215" w:rsidP="0041177B">
            <w:pPr>
              <w:rPr>
                <w:rFonts w:asciiTheme="minorHAnsi" w:hAnsiTheme="minorHAnsi" w:cstheme="minorHAnsi"/>
                <w:color w:val="000000" w:themeColor="text1"/>
              </w:rPr>
            </w:pPr>
            <w:r w:rsidRPr="00D5039D">
              <w:rPr>
                <w:rFonts w:eastAsia="Times New Roman" w:cs="Times New Roman"/>
                <w:noProof/>
                <w:lang w:eastAsia="en-GB"/>
              </w:rPr>
              <w:drawing>
                <wp:inline distT="0" distB="0" distL="0" distR="0" wp14:anchorId="2A8A7D20" wp14:editId="3D3DCC47">
                  <wp:extent cx="1872342" cy="1436400"/>
                  <wp:effectExtent l="0" t="0" r="0" b="0"/>
                  <wp:docPr id="9" name="Picture 8" descr="A graph with numbers and a bar char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8" descr="A graph with numbers and a bar chart&#10;&#10;AI-generated content may be incorrect."/>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872342" cy="1436400"/>
                          </a:xfrm>
                          <a:prstGeom prst="rect">
                            <a:avLst/>
                          </a:prstGeom>
                          <a:noFill/>
                          <a:ln>
                            <a:noFill/>
                          </a:ln>
                        </pic:spPr>
                      </pic:pic>
                    </a:graphicData>
                  </a:graphic>
                </wp:inline>
              </w:drawing>
            </w:r>
          </w:p>
        </w:tc>
      </w:tr>
    </w:tbl>
    <w:p w14:paraId="0EA6DE6B" w14:textId="77777777" w:rsidR="00A27215" w:rsidRDefault="00A27215" w:rsidP="00A27215">
      <w:pPr>
        <w:spacing w:after="0" w:line="240" w:lineRule="auto"/>
        <w:sectPr w:rsidR="00A27215" w:rsidSect="002746C0">
          <w:pgSz w:w="11906" w:h="16838"/>
          <w:pgMar w:top="1440" w:right="1440" w:bottom="1440" w:left="1440" w:header="708" w:footer="708" w:gutter="0"/>
          <w:cols w:space="708"/>
          <w:docGrid w:linePitch="360"/>
        </w:sectPr>
      </w:pPr>
    </w:p>
    <w:p w14:paraId="32AF6CD7" w14:textId="77777777" w:rsidR="00A27215" w:rsidRPr="001817D2" w:rsidRDefault="00A27215" w:rsidP="00A27215">
      <w:pPr>
        <w:pStyle w:val="Heading3"/>
        <w:spacing w:before="0" w:after="0" w:line="240" w:lineRule="auto"/>
      </w:pPr>
      <w:bookmarkStart w:id="354" w:name="_Toc197557167"/>
      <w:bookmarkStart w:id="355" w:name="_Toc201512558"/>
      <w:bookmarkStart w:id="356" w:name="_Hlk196769394"/>
      <w:r w:rsidRPr="001817D2">
        <w:t>Trends over</w:t>
      </w:r>
      <w:r>
        <w:t xml:space="preserve"> </w:t>
      </w:r>
      <w:r w:rsidRPr="001817D2">
        <w:t>time</w:t>
      </w:r>
      <w:bookmarkEnd w:id="354"/>
      <w:bookmarkEnd w:id="355"/>
    </w:p>
    <w:p w14:paraId="0EEF2FE7" w14:textId="33ABA925" w:rsidR="00A27215" w:rsidRPr="004F4E2A" w:rsidRDefault="00A27215" w:rsidP="00A27215">
      <w:pPr>
        <w:pStyle w:val="paragraph"/>
        <w:spacing w:before="0" w:beforeAutospacing="0" w:after="0" w:afterAutospacing="0"/>
        <w:textAlignment w:val="baseline"/>
        <w:rPr>
          <w:rStyle w:val="normaltextrun"/>
          <w:rFonts w:ascii="Aptos" w:eastAsiaTheme="majorEastAsia" w:hAnsi="Aptos"/>
        </w:rPr>
      </w:pPr>
      <w:r w:rsidRPr="007A2F1B">
        <w:rPr>
          <w:rStyle w:val="normaltextrun"/>
          <w:rFonts w:ascii="Aptos" w:eastAsiaTheme="majorEastAsia" w:hAnsi="Aptos" w:cs="Segoe UI"/>
        </w:rPr>
        <w:t xml:space="preserve">Figure </w:t>
      </w:r>
      <w:r w:rsidR="00C87CE4">
        <w:rPr>
          <w:rStyle w:val="normaltextrun"/>
          <w:rFonts w:ascii="Aptos" w:eastAsiaTheme="majorEastAsia" w:hAnsi="Aptos" w:cs="Segoe UI"/>
        </w:rPr>
        <w:t>19.2</w:t>
      </w:r>
      <w:r w:rsidRPr="007A2F1B">
        <w:rPr>
          <w:rStyle w:val="normaltextrun"/>
          <w:rFonts w:ascii="Aptos" w:eastAsiaTheme="majorEastAsia" w:hAnsi="Aptos" w:cs="Segoe UI"/>
        </w:rPr>
        <w:t xml:space="preserve"> shows </w:t>
      </w:r>
      <w:r>
        <w:rPr>
          <w:rStyle w:val="normaltextrun"/>
          <w:rFonts w:ascii="Aptos" w:eastAsiaTheme="majorEastAsia" w:hAnsi="Aptos" w:cs="Segoe UI"/>
        </w:rPr>
        <w:t>age-standardised</w:t>
      </w:r>
      <w:r w:rsidRPr="007A2F1B">
        <w:rPr>
          <w:rStyle w:val="normaltextrun"/>
          <w:rFonts w:ascii="Aptos" w:eastAsiaTheme="majorEastAsia" w:hAnsi="Aptos" w:cs="Segoe UI"/>
        </w:rPr>
        <w:t xml:space="preserve"> </w:t>
      </w:r>
      <w:r w:rsidRPr="00291A96">
        <w:rPr>
          <w:rStyle w:val="normaltextrun"/>
          <w:rFonts w:ascii="Aptos" w:eastAsiaTheme="majorEastAsia" w:hAnsi="Aptos" w:cs="Segoe UI"/>
        </w:rPr>
        <w:t xml:space="preserve">incidence of </w:t>
      </w:r>
      <w:r w:rsidRPr="004F4E2A">
        <w:rPr>
          <w:rStyle w:val="normaltextrun"/>
          <w:rFonts w:ascii="Aptos" w:eastAsiaTheme="majorEastAsia" w:hAnsi="Aptos" w:cs="Segoe UI"/>
        </w:rPr>
        <w:t>kidney</w:t>
      </w:r>
      <w:r w:rsidRPr="00291A96">
        <w:rPr>
          <w:rStyle w:val="normaltextrun"/>
          <w:rFonts w:ascii="Aptos" w:eastAsiaTheme="majorEastAsia" w:hAnsi="Aptos" w:cs="Segoe UI"/>
        </w:rPr>
        <w:t xml:space="preserve"> cancer</w:t>
      </w:r>
      <w:r>
        <w:rPr>
          <w:rStyle w:val="normaltextrun"/>
          <w:rFonts w:ascii="Aptos" w:eastAsiaTheme="majorEastAsia" w:hAnsi="Aptos" w:cs="Segoe UI"/>
        </w:rPr>
        <w:t xml:space="preserve"> from </w:t>
      </w:r>
      <w:r w:rsidRPr="00291A96">
        <w:rPr>
          <w:rStyle w:val="normaltextrun"/>
          <w:rFonts w:ascii="Aptos" w:eastAsiaTheme="majorEastAsia" w:hAnsi="Aptos" w:cs="Segoe UI"/>
        </w:rPr>
        <w:t>1994 to 2022. In females there was an increase in incidence from 1994 to 2016 (3.1% per year (2.6;3.7)) followed by a decrease from 2016 to 2022 (-3.2</w:t>
      </w:r>
      <w:r w:rsidR="00E716DB">
        <w:rPr>
          <w:rStyle w:val="normaltextrun"/>
          <w:rFonts w:ascii="Aptos" w:eastAsiaTheme="majorEastAsia" w:hAnsi="Aptos" w:cs="Segoe UI"/>
        </w:rPr>
        <w:t>%</w:t>
      </w:r>
      <w:r w:rsidR="00E716DB" w:rsidRPr="00291A96">
        <w:rPr>
          <w:rStyle w:val="normaltextrun"/>
          <w:rFonts w:ascii="Aptos" w:eastAsiaTheme="majorEastAsia" w:hAnsi="Aptos" w:cs="Segoe UI"/>
        </w:rPr>
        <w:t xml:space="preserve"> (</w:t>
      </w:r>
      <w:r w:rsidRPr="00291A96">
        <w:rPr>
          <w:rStyle w:val="normaltextrun"/>
          <w:rFonts w:ascii="Aptos" w:eastAsiaTheme="majorEastAsia" w:hAnsi="Aptos" w:cs="Segoe UI"/>
        </w:rPr>
        <w:t>-6.0;</w:t>
      </w:r>
      <w:r>
        <w:rPr>
          <w:rStyle w:val="normaltextrun"/>
          <w:rFonts w:ascii="Aptos" w:eastAsiaTheme="majorEastAsia" w:hAnsi="Aptos" w:cs="Segoe UI"/>
        </w:rPr>
        <w:t xml:space="preserve"> </w:t>
      </w:r>
      <w:r w:rsidRPr="00291A96">
        <w:rPr>
          <w:rStyle w:val="normaltextrun"/>
          <w:rFonts w:ascii="Aptos" w:eastAsiaTheme="majorEastAsia" w:hAnsi="Aptos" w:cs="Segoe UI"/>
        </w:rPr>
        <w:t>-0.4). Similarly, among</w:t>
      </w:r>
      <w:r>
        <w:rPr>
          <w:rStyle w:val="normaltextrun"/>
          <w:rFonts w:ascii="Aptos" w:eastAsiaTheme="majorEastAsia" w:hAnsi="Aptos" w:cs="Segoe UI"/>
        </w:rPr>
        <w:t xml:space="preserve"> males there was an increase in incidence from 1994 to 2016 (2.7% per year (2.1;3.3)) followed by a decrease from 2016 to 2022 (-3.9</w:t>
      </w:r>
      <w:r w:rsidR="00B46098">
        <w:rPr>
          <w:rStyle w:val="normaltextrun"/>
          <w:rFonts w:ascii="Aptos" w:eastAsiaTheme="majorEastAsia" w:hAnsi="Aptos" w:cs="Segoe UI"/>
        </w:rPr>
        <w:t>% (</w:t>
      </w:r>
      <w:r>
        <w:rPr>
          <w:rStyle w:val="normaltextrun"/>
          <w:rFonts w:ascii="Aptos" w:eastAsiaTheme="majorEastAsia" w:hAnsi="Aptos" w:cs="Segoe UI"/>
        </w:rPr>
        <w:t>-6.9; -0.9)).</w:t>
      </w:r>
      <w:r w:rsidRPr="004F4E2A">
        <w:rPr>
          <w:rStyle w:val="normaltextrun"/>
          <w:rFonts w:eastAsiaTheme="majorEastAsia"/>
        </w:rPr>
        <w:t> </w:t>
      </w:r>
    </w:p>
    <w:p w14:paraId="090D6273" w14:textId="77777777" w:rsidR="00A27215" w:rsidRDefault="00A27215" w:rsidP="00A27215">
      <w:pPr>
        <w:pStyle w:val="paragraph"/>
        <w:spacing w:before="0" w:beforeAutospacing="0" w:after="0" w:afterAutospacing="0"/>
        <w:textAlignment w:val="baseline"/>
        <w:rPr>
          <w:rFonts w:ascii="Segoe UI" w:hAnsi="Segoe UI" w:cs="Segoe UI"/>
          <w:sz w:val="18"/>
          <w:szCs w:val="18"/>
        </w:rPr>
      </w:pPr>
    </w:p>
    <w:tbl>
      <w:tblPr>
        <w:tblStyle w:val="TableGrid"/>
        <w:tblW w:w="970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06"/>
      </w:tblGrid>
      <w:tr w:rsidR="00A27215" w:rsidRPr="00D5039D" w14:paraId="01AB3006" w14:textId="77777777" w:rsidTr="0041177B">
        <w:trPr>
          <w:trHeight w:val="113"/>
        </w:trPr>
        <w:tc>
          <w:tcPr>
            <w:tcW w:w="9706" w:type="dxa"/>
            <w:shd w:val="clear" w:color="auto" w:fill="002060"/>
            <w:vAlign w:val="center"/>
          </w:tcPr>
          <w:p w14:paraId="61868BB9" w14:textId="0D1026C0" w:rsidR="00A27215" w:rsidRPr="00D5039D" w:rsidRDefault="00A27215" w:rsidP="0041177B">
            <w:pPr>
              <w:rPr>
                <w:rFonts w:asciiTheme="minorHAnsi" w:hAnsiTheme="minorHAnsi"/>
                <w:b/>
                <w:bCs/>
              </w:rPr>
            </w:pPr>
            <w:r w:rsidRPr="00D5039D">
              <w:rPr>
                <w:rFonts w:asciiTheme="minorHAnsi" w:hAnsiTheme="minorHAnsi"/>
                <w:b/>
                <w:bCs/>
              </w:rPr>
              <w:t xml:space="preserve">Figure </w:t>
            </w:r>
            <w:r w:rsidR="00C87CE4">
              <w:rPr>
                <w:rFonts w:asciiTheme="minorHAnsi" w:hAnsiTheme="minorHAnsi"/>
                <w:b/>
                <w:bCs/>
              </w:rPr>
              <w:t>19.2:</w:t>
            </w:r>
            <w:r w:rsidRPr="00D5039D">
              <w:rPr>
                <w:rFonts w:asciiTheme="minorHAnsi" w:hAnsiTheme="minorHAnsi"/>
                <w:b/>
                <w:bCs/>
              </w:rPr>
              <w:t xml:space="preserve">   Age-</w:t>
            </w:r>
            <w:r w:rsidRPr="00D5039D">
              <w:rPr>
                <w:rFonts w:asciiTheme="minorHAnsi" w:hAnsiTheme="minorHAnsi"/>
                <w:b/>
                <w:bCs/>
                <w:bdr w:val="single" w:sz="4" w:space="0" w:color="auto"/>
              </w:rPr>
              <w:t>standardised incidence rate 1994-2022, kidney cancer</w:t>
            </w:r>
          </w:p>
        </w:tc>
      </w:tr>
      <w:tr w:rsidR="00A27215" w:rsidRPr="00D5039D" w14:paraId="72720890" w14:textId="77777777" w:rsidTr="0041177B">
        <w:trPr>
          <w:trHeight w:val="4415"/>
        </w:trPr>
        <w:tc>
          <w:tcPr>
            <w:tcW w:w="9706" w:type="dxa"/>
          </w:tcPr>
          <w:p w14:paraId="1F5DF44E" w14:textId="77777777" w:rsidR="00A27215" w:rsidRPr="00D5039D" w:rsidRDefault="00A27215" w:rsidP="0041177B">
            <w:pPr>
              <w:rPr>
                <w:rFonts w:asciiTheme="minorHAnsi" w:hAnsiTheme="minorHAnsi"/>
              </w:rPr>
            </w:pPr>
            <w:r>
              <w:rPr>
                <w:noProof/>
              </w:rPr>
              <w:drawing>
                <wp:inline distT="0" distB="0" distL="0" distR="0" wp14:anchorId="7694E234" wp14:editId="06D288B4">
                  <wp:extent cx="5883275" cy="3017520"/>
                  <wp:effectExtent l="0" t="0" r="3175" b="0"/>
                  <wp:docPr id="324149638" name="Picture 1" descr="A graph with different colored dot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49638" name="Picture 1" descr="A graph with different colored dots and numbers&#10;&#10;AI-generated content may be incorrect."/>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883275" cy="3017520"/>
                          </a:xfrm>
                          <a:prstGeom prst="rect">
                            <a:avLst/>
                          </a:prstGeom>
                          <a:noFill/>
                        </pic:spPr>
                      </pic:pic>
                    </a:graphicData>
                  </a:graphic>
                </wp:inline>
              </w:drawing>
            </w:r>
          </w:p>
        </w:tc>
      </w:tr>
      <w:tr w:rsidR="00A27215" w:rsidRPr="00D5039D" w14:paraId="03F64DF4" w14:textId="77777777" w:rsidTr="0041177B">
        <w:trPr>
          <w:trHeight w:val="656"/>
        </w:trPr>
        <w:tc>
          <w:tcPr>
            <w:tcW w:w="9706" w:type="dxa"/>
            <w:vAlign w:val="center"/>
          </w:tcPr>
          <w:tbl>
            <w:tblPr>
              <w:tblpPr w:leftFromText="180" w:rightFromText="180" w:vertAnchor="page" w:horzAnchor="margin" w:tblpXSpec="center" w:tblpY="1"/>
              <w:tblOverlap w:val="never"/>
              <w:tblW w:w="0" w:type="auto"/>
              <w:tblCellMar>
                <w:top w:w="15" w:type="dxa"/>
                <w:bottom w:w="15" w:type="dxa"/>
              </w:tblCellMar>
              <w:tblLook w:val="04A0" w:firstRow="1" w:lastRow="0" w:firstColumn="1" w:lastColumn="0" w:noHBand="0" w:noVBand="1"/>
            </w:tblPr>
            <w:tblGrid>
              <w:gridCol w:w="530"/>
              <w:gridCol w:w="1139"/>
              <w:gridCol w:w="771"/>
              <w:gridCol w:w="992"/>
              <w:gridCol w:w="706"/>
              <w:gridCol w:w="530"/>
              <w:gridCol w:w="1139"/>
              <w:gridCol w:w="771"/>
              <w:gridCol w:w="1077"/>
              <w:gridCol w:w="850"/>
            </w:tblGrid>
            <w:tr w:rsidR="00A27215" w:rsidRPr="00D5039D" w14:paraId="6DFB0C47" w14:textId="77777777" w:rsidTr="0041177B">
              <w:trPr>
                <w:trHeight w:val="113"/>
              </w:trPr>
              <w:tc>
                <w:tcPr>
                  <w:tcW w:w="0" w:type="auto"/>
                  <w:tcBorders>
                    <w:top w:val="nil"/>
                    <w:left w:val="nil"/>
                    <w:bottom w:val="nil"/>
                    <w:right w:val="nil"/>
                  </w:tcBorders>
                  <w:noWrap/>
                  <w:vAlign w:val="center"/>
                  <w:hideMark/>
                </w:tcPr>
                <w:p w14:paraId="1BBF5DF2" w14:textId="77777777" w:rsidR="00A27215" w:rsidRPr="00931151"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931151">
                    <w:rPr>
                      <w:rFonts w:eastAsia="Times New Roman" w:cs="Times New Roman"/>
                      <w:b/>
                      <w:bCs/>
                      <w:color w:val="000000"/>
                      <w:kern w:val="0"/>
                      <w:sz w:val="20"/>
                      <w:szCs w:val="20"/>
                      <w:u w:val="single"/>
                      <w:lang w:eastAsia="en-GB"/>
                      <w14:ligatures w14:val="none"/>
                    </w:rPr>
                    <w:t>sex</w:t>
                  </w:r>
                </w:p>
              </w:tc>
              <w:tc>
                <w:tcPr>
                  <w:tcW w:w="0" w:type="auto"/>
                  <w:tcBorders>
                    <w:top w:val="nil"/>
                    <w:left w:val="nil"/>
                    <w:bottom w:val="nil"/>
                    <w:right w:val="nil"/>
                  </w:tcBorders>
                  <w:noWrap/>
                  <w:vAlign w:val="center"/>
                  <w:hideMark/>
                </w:tcPr>
                <w:p w14:paraId="1783DA78" w14:textId="77777777" w:rsidR="00A27215" w:rsidRPr="00931151"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931151">
                    <w:rPr>
                      <w:rFonts w:eastAsia="Times New Roman" w:cs="Times New Roman"/>
                      <w:b/>
                      <w:bCs/>
                      <w:color w:val="000000"/>
                      <w:kern w:val="0"/>
                      <w:sz w:val="20"/>
                      <w:szCs w:val="20"/>
                      <w:u w:val="single"/>
                      <w:lang w:eastAsia="en-GB"/>
                      <w14:ligatures w14:val="none"/>
                    </w:rPr>
                    <w:t>period</w:t>
                  </w:r>
                </w:p>
              </w:tc>
              <w:tc>
                <w:tcPr>
                  <w:tcW w:w="0" w:type="auto"/>
                  <w:tcBorders>
                    <w:top w:val="nil"/>
                    <w:left w:val="nil"/>
                    <w:bottom w:val="nil"/>
                    <w:right w:val="nil"/>
                  </w:tcBorders>
                  <w:noWrap/>
                  <w:vAlign w:val="center"/>
                  <w:hideMark/>
                </w:tcPr>
                <w:p w14:paraId="3860E0FF" w14:textId="77777777" w:rsidR="00A27215" w:rsidRPr="00931151"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931151">
                    <w:rPr>
                      <w:rFonts w:eastAsia="Times New Roman" w:cs="Times New Roman"/>
                      <w:b/>
                      <w:bCs/>
                      <w:color w:val="000000"/>
                      <w:kern w:val="0"/>
                      <w:sz w:val="20"/>
                      <w:szCs w:val="20"/>
                      <w:u w:val="single"/>
                      <w:lang w:eastAsia="en-GB"/>
                      <w14:ligatures w14:val="none"/>
                    </w:rPr>
                    <w:t>APC%</w:t>
                  </w:r>
                </w:p>
              </w:tc>
              <w:tc>
                <w:tcPr>
                  <w:tcW w:w="0" w:type="auto"/>
                  <w:tcBorders>
                    <w:top w:val="nil"/>
                    <w:left w:val="nil"/>
                    <w:bottom w:val="nil"/>
                    <w:right w:val="nil"/>
                  </w:tcBorders>
                  <w:noWrap/>
                  <w:vAlign w:val="center"/>
                  <w:hideMark/>
                </w:tcPr>
                <w:p w14:paraId="77A46156" w14:textId="77777777" w:rsidR="00A27215" w:rsidRPr="00931151"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931151">
                    <w:rPr>
                      <w:rFonts w:eastAsia="Times New Roman" w:cs="Times New Roman"/>
                      <w:b/>
                      <w:bCs/>
                      <w:color w:val="000000"/>
                      <w:kern w:val="0"/>
                      <w:sz w:val="20"/>
                      <w:szCs w:val="20"/>
                      <w:u w:val="single"/>
                      <w:lang w:eastAsia="en-GB"/>
                      <w14:ligatures w14:val="none"/>
                    </w:rPr>
                    <w:t>95%CI</w:t>
                  </w:r>
                </w:p>
              </w:tc>
              <w:tc>
                <w:tcPr>
                  <w:tcW w:w="0" w:type="auto"/>
                  <w:tcBorders>
                    <w:top w:val="nil"/>
                    <w:left w:val="nil"/>
                    <w:bottom w:val="nil"/>
                    <w:right w:val="single" w:sz="4" w:space="0" w:color="auto"/>
                  </w:tcBorders>
                  <w:noWrap/>
                  <w:vAlign w:val="center"/>
                  <w:hideMark/>
                </w:tcPr>
                <w:p w14:paraId="7837241D" w14:textId="77777777" w:rsidR="00A27215" w:rsidRPr="00931151"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931151">
                    <w:rPr>
                      <w:rFonts w:eastAsia="Times New Roman" w:cs="Times New Roman"/>
                      <w:b/>
                      <w:bCs/>
                      <w:color w:val="000000"/>
                      <w:kern w:val="0"/>
                      <w:sz w:val="20"/>
                      <w:szCs w:val="20"/>
                      <w:u w:val="single"/>
                      <w:lang w:eastAsia="en-GB"/>
                      <w14:ligatures w14:val="none"/>
                    </w:rPr>
                    <w:t>trend</w:t>
                  </w:r>
                </w:p>
              </w:tc>
              <w:tc>
                <w:tcPr>
                  <w:tcW w:w="0" w:type="auto"/>
                  <w:tcBorders>
                    <w:top w:val="nil"/>
                    <w:left w:val="single" w:sz="4" w:space="0" w:color="auto"/>
                    <w:bottom w:val="nil"/>
                    <w:right w:val="nil"/>
                  </w:tcBorders>
                  <w:vAlign w:val="center"/>
                </w:tcPr>
                <w:p w14:paraId="767160BF" w14:textId="77777777" w:rsidR="00A27215" w:rsidRPr="00931151"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931151">
                    <w:rPr>
                      <w:rFonts w:eastAsia="Times New Roman" w:cs="Times New Roman"/>
                      <w:b/>
                      <w:bCs/>
                      <w:color w:val="000000"/>
                      <w:kern w:val="0"/>
                      <w:sz w:val="20"/>
                      <w:szCs w:val="20"/>
                      <w:u w:val="single"/>
                      <w:lang w:eastAsia="en-GB"/>
                      <w14:ligatures w14:val="none"/>
                    </w:rPr>
                    <w:t>sex</w:t>
                  </w:r>
                </w:p>
              </w:tc>
              <w:tc>
                <w:tcPr>
                  <w:tcW w:w="0" w:type="auto"/>
                  <w:tcBorders>
                    <w:top w:val="nil"/>
                    <w:left w:val="nil"/>
                    <w:bottom w:val="nil"/>
                    <w:right w:val="nil"/>
                  </w:tcBorders>
                  <w:vAlign w:val="center"/>
                </w:tcPr>
                <w:p w14:paraId="76997519" w14:textId="77777777" w:rsidR="00A27215" w:rsidRPr="00931151"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931151">
                    <w:rPr>
                      <w:rFonts w:eastAsia="Times New Roman" w:cs="Times New Roman"/>
                      <w:b/>
                      <w:bCs/>
                      <w:color w:val="000000"/>
                      <w:kern w:val="0"/>
                      <w:sz w:val="20"/>
                      <w:szCs w:val="20"/>
                      <w:u w:val="single"/>
                      <w:lang w:eastAsia="en-GB"/>
                      <w14:ligatures w14:val="none"/>
                    </w:rPr>
                    <w:t>period</w:t>
                  </w:r>
                </w:p>
              </w:tc>
              <w:tc>
                <w:tcPr>
                  <w:tcW w:w="0" w:type="auto"/>
                  <w:tcBorders>
                    <w:top w:val="nil"/>
                    <w:left w:val="nil"/>
                    <w:bottom w:val="nil"/>
                    <w:right w:val="nil"/>
                  </w:tcBorders>
                  <w:vAlign w:val="center"/>
                </w:tcPr>
                <w:p w14:paraId="782E27B4" w14:textId="77777777" w:rsidR="00A27215" w:rsidRPr="00931151"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931151">
                    <w:rPr>
                      <w:rFonts w:eastAsia="Times New Roman" w:cs="Times New Roman"/>
                      <w:b/>
                      <w:bCs/>
                      <w:color w:val="000000"/>
                      <w:kern w:val="0"/>
                      <w:sz w:val="20"/>
                      <w:szCs w:val="20"/>
                      <w:u w:val="single"/>
                      <w:lang w:eastAsia="en-GB"/>
                      <w14:ligatures w14:val="none"/>
                    </w:rPr>
                    <w:t>APC%</w:t>
                  </w:r>
                </w:p>
              </w:tc>
              <w:tc>
                <w:tcPr>
                  <w:tcW w:w="1077" w:type="dxa"/>
                  <w:tcBorders>
                    <w:top w:val="nil"/>
                    <w:left w:val="nil"/>
                    <w:bottom w:val="nil"/>
                    <w:right w:val="nil"/>
                  </w:tcBorders>
                  <w:vAlign w:val="center"/>
                </w:tcPr>
                <w:p w14:paraId="1DB62CB0" w14:textId="77777777" w:rsidR="00A27215" w:rsidRPr="00931151"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931151">
                    <w:rPr>
                      <w:rFonts w:eastAsia="Times New Roman" w:cs="Times New Roman"/>
                      <w:b/>
                      <w:bCs/>
                      <w:color w:val="000000"/>
                      <w:kern w:val="0"/>
                      <w:sz w:val="20"/>
                      <w:szCs w:val="20"/>
                      <w:u w:val="single"/>
                      <w:lang w:eastAsia="en-GB"/>
                      <w14:ligatures w14:val="none"/>
                    </w:rPr>
                    <w:t>95%CI</w:t>
                  </w:r>
                </w:p>
              </w:tc>
              <w:tc>
                <w:tcPr>
                  <w:tcW w:w="850" w:type="dxa"/>
                  <w:tcBorders>
                    <w:top w:val="nil"/>
                    <w:left w:val="nil"/>
                    <w:bottom w:val="nil"/>
                    <w:right w:val="nil"/>
                  </w:tcBorders>
                  <w:vAlign w:val="center"/>
                </w:tcPr>
                <w:p w14:paraId="70DD1EFF" w14:textId="77777777" w:rsidR="00A27215" w:rsidRPr="00931151"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931151">
                    <w:rPr>
                      <w:rFonts w:eastAsia="Times New Roman" w:cs="Times New Roman"/>
                      <w:b/>
                      <w:bCs/>
                      <w:color w:val="000000"/>
                      <w:kern w:val="0"/>
                      <w:sz w:val="20"/>
                      <w:szCs w:val="20"/>
                      <w:u w:val="single"/>
                      <w:lang w:eastAsia="en-GB"/>
                      <w14:ligatures w14:val="none"/>
                    </w:rPr>
                    <w:t>trend</w:t>
                  </w:r>
                </w:p>
              </w:tc>
            </w:tr>
            <w:tr w:rsidR="00A27215" w:rsidRPr="00D5039D" w14:paraId="54968ECC" w14:textId="77777777" w:rsidTr="0041177B">
              <w:trPr>
                <w:trHeight w:val="113"/>
              </w:trPr>
              <w:tc>
                <w:tcPr>
                  <w:tcW w:w="0" w:type="auto"/>
                  <w:tcBorders>
                    <w:top w:val="nil"/>
                    <w:left w:val="nil"/>
                    <w:bottom w:val="nil"/>
                    <w:right w:val="nil"/>
                  </w:tcBorders>
                  <w:noWrap/>
                  <w:vAlign w:val="center"/>
                  <w:hideMark/>
                </w:tcPr>
                <w:p w14:paraId="5312F282" w14:textId="77777777" w:rsidR="00A27215" w:rsidRPr="00931151" w:rsidRDefault="00A27215" w:rsidP="0041177B">
                  <w:pPr>
                    <w:spacing w:after="0" w:line="240" w:lineRule="auto"/>
                    <w:jc w:val="center"/>
                    <w:rPr>
                      <w:rFonts w:eastAsia="Times New Roman" w:cs="Times New Roman"/>
                      <w:color w:val="000000"/>
                      <w:kern w:val="0"/>
                      <w:sz w:val="20"/>
                      <w:szCs w:val="20"/>
                      <w:lang w:eastAsia="en-GB"/>
                      <w14:ligatures w14:val="none"/>
                    </w:rPr>
                  </w:pPr>
                  <w:r w:rsidRPr="00931151">
                    <w:rPr>
                      <w:rFonts w:eastAsia="Times New Roman" w:cs="Times New Roman"/>
                      <w:color w:val="000000"/>
                      <w:kern w:val="0"/>
                      <w:sz w:val="20"/>
                      <w:szCs w:val="20"/>
                      <w:lang w:eastAsia="en-GB"/>
                      <w14:ligatures w14:val="none"/>
                    </w:rPr>
                    <w:t>M</w:t>
                  </w:r>
                </w:p>
              </w:tc>
              <w:tc>
                <w:tcPr>
                  <w:tcW w:w="0" w:type="auto"/>
                  <w:tcBorders>
                    <w:top w:val="nil"/>
                    <w:left w:val="nil"/>
                    <w:bottom w:val="nil"/>
                    <w:right w:val="nil"/>
                  </w:tcBorders>
                  <w:noWrap/>
                  <w:vAlign w:val="center"/>
                </w:tcPr>
                <w:p w14:paraId="18EE42AA" w14:textId="77777777" w:rsidR="00A27215" w:rsidRPr="00931151" w:rsidRDefault="00A27215" w:rsidP="0041177B">
                  <w:pPr>
                    <w:spacing w:after="0" w:line="240" w:lineRule="auto"/>
                    <w:jc w:val="center"/>
                    <w:rPr>
                      <w:rFonts w:eastAsia="Times New Roman" w:cs="Times New Roman"/>
                      <w:color w:val="000000"/>
                      <w:kern w:val="0"/>
                      <w:sz w:val="20"/>
                      <w:szCs w:val="20"/>
                      <w:lang w:eastAsia="en-GB"/>
                      <w14:ligatures w14:val="none"/>
                    </w:rPr>
                  </w:pPr>
                  <w:r w:rsidRPr="00931151">
                    <w:rPr>
                      <w:color w:val="000000"/>
                      <w:sz w:val="20"/>
                      <w:szCs w:val="20"/>
                    </w:rPr>
                    <w:t>1994-2016</w:t>
                  </w:r>
                </w:p>
              </w:tc>
              <w:tc>
                <w:tcPr>
                  <w:tcW w:w="0" w:type="auto"/>
                  <w:tcBorders>
                    <w:top w:val="nil"/>
                    <w:left w:val="nil"/>
                    <w:bottom w:val="nil"/>
                    <w:right w:val="nil"/>
                  </w:tcBorders>
                  <w:noWrap/>
                  <w:vAlign w:val="center"/>
                </w:tcPr>
                <w:p w14:paraId="07803AA5" w14:textId="77777777" w:rsidR="00A27215" w:rsidRPr="00931151" w:rsidRDefault="00A27215" w:rsidP="0041177B">
                  <w:pPr>
                    <w:spacing w:after="0" w:line="240" w:lineRule="auto"/>
                    <w:jc w:val="center"/>
                    <w:rPr>
                      <w:rFonts w:eastAsia="Times New Roman" w:cs="Times New Roman"/>
                      <w:color w:val="000000"/>
                      <w:kern w:val="0"/>
                      <w:sz w:val="20"/>
                      <w:szCs w:val="20"/>
                      <w:lang w:eastAsia="en-GB"/>
                      <w14:ligatures w14:val="none"/>
                    </w:rPr>
                  </w:pPr>
                  <w:r w:rsidRPr="00931151">
                    <w:rPr>
                      <w:color w:val="000000"/>
                      <w:sz w:val="20"/>
                      <w:szCs w:val="20"/>
                    </w:rPr>
                    <w:t>2.7</w:t>
                  </w:r>
                </w:p>
              </w:tc>
              <w:tc>
                <w:tcPr>
                  <w:tcW w:w="0" w:type="auto"/>
                  <w:tcBorders>
                    <w:top w:val="nil"/>
                    <w:left w:val="nil"/>
                    <w:bottom w:val="nil"/>
                    <w:right w:val="nil"/>
                  </w:tcBorders>
                  <w:noWrap/>
                  <w:vAlign w:val="center"/>
                </w:tcPr>
                <w:p w14:paraId="5D5678F9" w14:textId="77777777" w:rsidR="00A27215" w:rsidRPr="00931151" w:rsidRDefault="00A27215" w:rsidP="0041177B">
                  <w:pPr>
                    <w:spacing w:after="0" w:line="240" w:lineRule="auto"/>
                    <w:jc w:val="center"/>
                    <w:rPr>
                      <w:rFonts w:eastAsia="Times New Roman" w:cs="Times New Roman"/>
                      <w:color w:val="000000"/>
                      <w:kern w:val="0"/>
                      <w:sz w:val="20"/>
                      <w:szCs w:val="20"/>
                      <w:lang w:eastAsia="en-GB"/>
                      <w14:ligatures w14:val="none"/>
                    </w:rPr>
                  </w:pPr>
                  <w:r w:rsidRPr="00931151">
                    <w:rPr>
                      <w:color w:val="000000"/>
                      <w:sz w:val="20"/>
                      <w:szCs w:val="20"/>
                    </w:rPr>
                    <w:t>2.1, 3.3</w:t>
                  </w:r>
                </w:p>
              </w:tc>
              <w:tc>
                <w:tcPr>
                  <w:tcW w:w="0" w:type="auto"/>
                  <w:tcBorders>
                    <w:top w:val="nil"/>
                    <w:left w:val="nil"/>
                    <w:bottom w:val="nil"/>
                    <w:right w:val="single" w:sz="4" w:space="0" w:color="auto"/>
                  </w:tcBorders>
                  <w:noWrap/>
                  <w:vAlign w:val="center"/>
                </w:tcPr>
                <w:p w14:paraId="596BC8AA" w14:textId="77777777" w:rsidR="00A27215" w:rsidRPr="00931151" w:rsidRDefault="00A27215" w:rsidP="0041177B">
                  <w:pPr>
                    <w:spacing w:after="0" w:line="240" w:lineRule="auto"/>
                    <w:jc w:val="center"/>
                    <w:rPr>
                      <w:rFonts w:eastAsia="Times New Roman" w:cs="Times New Roman"/>
                      <w:color w:val="000000"/>
                      <w:kern w:val="0"/>
                      <w:sz w:val="20"/>
                      <w:szCs w:val="20"/>
                      <w:lang w:eastAsia="en-GB"/>
                      <w14:ligatures w14:val="none"/>
                    </w:rPr>
                  </w:pPr>
                  <w:r w:rsidRPr="00931151">
                    <w:rPr>
                      <w:color w:val="000000"/>
                      <w:sz w:val="20"/>
                      <w:szCs w:val="20"/>
                    </w:rPr>
                    <w:t>up</w:t>
                  </w:r>
                </w:p>
              </w:tc>
              <w:tc>
                <w:tcPr>
                  <w:tcW w:w="0" w:type="auto"/>
                  <w:tcBorders>
                    <w:top w:val="nil"/>
                    <w:left w:val="single" w:sz="4" w:space="0" w:color="auto"/>
                    <w:bottom w:val="nil"/>
                    <w:right w:val="nil"/>
                  </w:tcBorders>
                  <w:vAlign w:val="center"/>
                </w:tcPr>
                <w:p w14:paraId="16FE044B" w14:textId="77777777" w:rsidR="00A27215" w:rsidRPr="00931151" w:rsidRDefault="00A27215" w:rsidP="0041177B">
                  <w:pPr>
                    <w:spacing w:after="0" w:line="240" w:lineRule="auto"/>
                    <w:jc w:val="center"/>
                    <w:rPr>
                      <w:color w:val="000000"/>
                      <w:sz w:val="20"/>
                      <w:szCs w:val="20"/>
                    </w:rPr>
                  </w:pPr>
                  <w:r w:rsidRPr="00931151">
                    <w:rPr>
                      <w:rFonts w:eastAsia="Times New Roman" w:cs="Times New Roman"/>
                      <w:color w:val="000000"/>
                      <w:kern w:val="0"/>
                      <w:sz w:val="20"/>
                      <w:szCs w:val="20"/>
                      <w:lang w:eastAsia="en-GB"/>
                      <w14:ligatures w14:val="none"/>
                    </w:rPr>
                    <w:t>F</w:t>
                  </w:r>
                </w:p>
              </w:tc>
              <w:tc>
                <w:tcPr>
                  <w:tcW w:w="0" w:type="auto"/>
                  <w:tcBorders>
                    <w:top w:val="nil"/>
                    <w:left w:val="nil"/>
                    <w:bottom w:val="nil"/>
                    <w:right w:val="nil"/>
                  </w:tcBorders>
                  <w:vAlign w:val="center"/>
                </w:tcPr>
                <w:p w14:paraId="29F75F41" w14:textId="77777777" w:rsidR="00A27215" w:rsidRPr="00931151" w:rsidRDefault="00A27215" w:rsidP="0041177B">
                  <w:pPr>
                    <w:spacing w:after="0" w:line="240" w:lineRule="auto"/>
                    <w:jc w:val="center"/>
                    <w:rPr>
                      <w:color w:val="000000"/>
                      <w:sz w:val="20"/>
                      <w:szCs w:val="20"/>
                    </w:rPr>
                  </w:pPr>
                  <w:r w:rsidRPr="00931151">
                    <w:rPr>
                      <w:color w:val="000000"/>
                      <w:sz w:val="20"/>
                      <w:szCs w:val="20"/>
                    </w:rPr>
                    <w:t>1994-2016</w:t>
                  </w:r>
                </w:p>
              </w:tc>
              <w:tc>
                <w:tcPr>
                  <w:tcW w:w="0" w:type="auto"/>
                  <w:tcBorders>
                    <w:top w:val="nil"/>
                    <w:left w:val="nil"/>
                    <w:bottom w:val="nil"/>
                    <w:right w:val="nil"/>
                  </w:tcBorders>
                  <w:vAlign w:val="center"/>
                </w:tcPr>
                <w:p w14:paraId="120E0853" w14:textId="77777777" w:rsidR="00A27215" w:rsidRPr="00931151" w:rsidRDefault="00A27215" w:rsidP="0041177B">
                  <w:pPr>
                    <w:spacing w:after="0" w:line="240" w:lineRule="auto"/>
                    <w:jc w:val="center"/>
                    <w:rPr>
                      <w:color w:val="000000"/>
                      <w:sz w:val="20"/>
                      <w:szCs w:val="20"/>
                    </w:rPr>
                  </w:pPr>
                  <w:r w:rsidRPr="00931151">
                    <w:rPr>
                      <w:color w:val="000000"/>
                      <w:sz w:val="20"/>
                      <w:szCs w:val="20"/>
                    </w:rPr>
                    <w:t>3.1</w:t>
                  </w:r>
                </w:p>
              </w:tc>
              <w:tc>
                <w:tcPr>
                  <w:tcW w:w="1077" w:type="dxa"/>
                  <w:tcBorders>
                    <w:top w:val="nil"/>
                    <w:left w:val="nil"/>
                    <w:bottom w:val="nil"/>
                    <w:right w:val="nil"/>
                  </w:tcBorders>
                  <w:vAlign w:val="center"/>
                </w:tcPr>
                <w:p w14:paraId="3F62051C" w14:textId="77777777" w:rsidR="00A27215" w:rsidRPr="00931151" w:rsidRDefault="00A27215" w:rsidP="0041177B">
                  <w:pPr>
                    <w:spacing w:after="0" w:line="240" w:lineRule="auto"/>
                    <w:jc w:val="center"/>
                    <w:rPr>
                      <w:color w:val="000000"/>
                      <w:sz w:val="20"/>
                      <w:szCs w:val="20"/>
                    </w:rPr>
                  </w:pPr>
                  <w:r w:rsidRPr="00931151">
                    <w:rPr>
                      <w:color w:val="000000"/>
                      <w:sz w:val="20"/>
                      <w:szCs w:val="20"/>
                    </w:rPr>
                    <w:t>2.6, 3.7</w:t>
                  </w:r>
                </w:p>
              </w:tc>
              <w:tc>
                <w:tcPr>
                  <w:tcW w:w="850" w:type="dxa"/>
                  <w:tcBorders>
                    <w:top w:val="nil"/>
                    <w:left w:val="nil"/>
                    <w:bottom w:val="nil"/>
                    <w:right w:val="nil"/>
                  </w:tcBorders>
                  <w:vAlign w:val="center"/>
                </w:tcPr>
                <w:p w14:paraId="2E6ADC6A" w14:textId="77777777" w:rsidR="00A27215" w:rsidRPr="00931151" w:rsidRDefault="00A27215" w:rsidP="0041177B">
                  <w:pPr>
                    <w:spacing w:after="0" w:line="240" w:lineRule="auto"/>
                    <w:jc w:val="center"/>
                    <w:rPr>
                      <w:color w:val="000000"/>
                      <w:sz w:val="20"/>
                      <w:szCs w:val="20"/>
                    </w:rPr>
                  </w:pPr>
                  <w:r w:rsidRPr="00931151">
                    <w:rPr>
                      <w:color w:val="000000"/>
                      <w:sz w:val="20"/>
                      <w:szCs w:val="20"/>
                    </w:rPr>
                    <w:t>up</w:t>
                  </w:r>
                </w:p>
              </w:tc>
            </w:tr>
            <w:tr w:rsidR="00A27215" w:rsidRPr="00D5039D" w14:paraId="19094EF4" w14:textId="77777777" w:rsidTr="0041177B">
              <w:trPr>
                <w:trHeight w:val="113"/>
              </w:trPr>
              <w:tc>
                <w:tcPr>
                  <w:tcW w:w="0" w:type="auto"/>
                  <w:tcBorders>
                    <w:top w:val="nil"/>
                    <w:left w:val="nil"/>
                    <w:bottom w:val="nil"/>
                    <w:right w:val="nil"/>
                  </w:tcBorders>
                  <w:noWrap/>
                  <w:vAlign w:val="center"/>
                </w:tcPr>
                <w:p w14:paraId="2EF0FC1B" w14:textId="77777777" w:rsidR="00A27215" w:rsidRPr="00931151" w:rsidRDefault="00A27215" w:rsidP="0041177B">
                  <w:pPr>
                    <w:spacing w:after="0" w:line="240" w:lineRule="auto"/>
                    <w:jc w:val="center"/>
                    <w:rPr>
                      <w:rFonts w:eastAsia="Times New Roman" w:cs="Times New Roman"/>
                      <w:color w:val="000000"/>
                      <w:kern w:val="0"/>
                      <w:sz w:val="20"/>
                      <w:szCs w:val="20"/>
                      <w:lang w:eastAsia="en-GB"/>
                      <w14:ligatures w14:val="none"/>
                    </w:rPr>
                  </w:pPr>
                  <w:r w:rsidRPr="00931151">
                    <w:rPr>
                      <w:rFonts w:eastAsia="Times New Roman" w:cs="Times New Roman"/>
                      <w:color w:val="000000"/>
                      <w:kern w:val="0"/>
                      <w:sz w:val="20"/>
                      <w:szCs w:val="20"/>
                      <w:lang w:eastAsia="en-GB"/>
                      <w14:ligatures w14:val="none"/>
                    </w:rPr>
                    <w:t>M</w:t>
                  </w:r>
                </w:p>
              </w:tc>
              <w:tc>
                <w:tcPr>
                  <w:tcW w:w="0" w:type="auto"/>
                  <w:tcBorders>
                    <w:top w:val="nil"/>
                    <w:left w:val="nil"/>
                    <w:bottom w:val="nil"/>
                    <w:right w:val="nil"/>
                  </w:tcBorders>
                  <w:noWrap/>
                  <w:vAlign w:val="center"/>
                </w:tcPr>
                <w:p w14:paraId="6E046309" w14:textId="77777777" w:rsidR="00A27215" w:rsidRPr="00931151" w:rsidRDefault="00A27215" w:rsidP="0041177B">
                  <w:pPr>
                    <w:spacing w:after="0" w:line="240" w:lineRule="auto"/>
                    <w:jc w:val="center"/>
                    <w:rPr>
                      <w:rFonts w:eastAsia="Times New Roman" w:cs="Times New Roman"/>
                      <w:color w:val="000000"/>
                      <w:kern w:val="0"/>
                      <w:sz w:val="20"/>
                      <w:szCs w:val="20"/>
                      <w:lang w:eastAsia="en-GB"/>
                      <w14:ligatures w14:val="none"/>
                    </w:rPr>
                  </w:pPr>
                  <w:r w:rsidRPr="00931151">
                    <w:rPr>
                      <w:color w:val="000000"/>
                      <w:sz w:val="20"/>
                      <w:szCs w:val="20"/>
                    </w:rPr>
                    <w:t>2016-2022</w:t>
                  </w:r>
                </w:p>
              </w:tc>
              <w:tc>
                <w:tcPr>
                  <w:tcW w:w="0" w:type="auto"/>
                  <w:tcBorders>
                    <w:top w:val="nil"/>
                    <w:left w:val="nil"/>
                    <w:bottom w:val="nil"/>
                    <w:right w:val="nil"/>
                  </w:tcBorders>
                  <w:noWrap/>
                  <w:vAlign w:val="center"/>
                </w:tcPr>
                <w:p w14:paraId="39583832" w14:textId="77777777" w:rsidR="00A27215" w:rsidRPr="00931151" w:rsidRDefault="00A27215" w:rsidP="0041177B">
                  <w:pPr>
                    <w:spacing w:after="0" w:line="240" w:lineRule="auto"/>
                    <w:jc w:val="center"/>
                    <w:rPr>
                      <w:rFonts w:eastAsia="Times New Roman" w:cs="Times New Roman"/>
                      <w:color w:val="000000"/>
                      <w:kern w:val="0"/>
                      <w:sz w:val="20"/>
                      <w:szCs w:val="20"/>
                      <w:lang w:eastAsia="en-GB"/>
                      <w14:ligatures w14:val="none"/>
                    </w:rPr>
                  </w:pPr>
                  <w:r w:rsidRPr="00931151">
                    <w:rPr>
                      <w:color w:val="000000"/>
                      <w:sz w:val="20"/>
                      <w:szCs w:val="20"/>
                    </w:rPr>
                    <w:t>-3.9</w:t>
                  </w:r>
                </w:p>
              </w:tc>
              <w:tc>
                <w:tcPr>
                  <w:tcW w:w="0" w:type="auto"/>
                  <w:tcBorders>
                    <w:top w:val="nil"/>
                    <w:left w:val="nil"/>
                    <w:bottom w:val="nil"/>
                    <w:right w:val="nil"/>
                  </w:tcBorders>
                  <w:noWrap/>
                  <w:vAlign w:val="center"/>
                </w:tcPr>
                <w:p w14:paraId="0870AD9C" w14:textId="77777777" w:rsidR="00A27215" w:rsidRPr="00931151" w:rsidRDefault="00A27215" w:rsidP="0041177B">
                  <w:pPr>
                    <w:spacing w:after="0" w:line="240" w:lineRule="auto"/>
                    <w:jc w:val="center"/>
                    <w:rPr>
                      <w:rFonts w:eastAsia="Times New Roman" w:cs="Times New Roman"/>
                      <w:color w:val="000000"/>
                      <w:kern w:val="0"/>
                      <w:sz w:val="20"/>
                      <w:szCs w:val="20"/>
                      <w:lang w:eastAsia="en-GB"/>
                      <w14:ligatures w14:val="none"/>
                    </w:rPr>
                  </w:pPr>
                  <w:r w:rsidRPr="00931151">
                    <w:rPr>
                      <w:color w:val="000000"/>
                      <w:sz w:val="20"/>
                      <w:szCs w:val="20"/>
                    </w:rPr>
                    <w:t>-6.8, -0.9</w:t>
                  </w:r>
                </w:p>
              </w:tc>
              <w:tc>
                <w:tcPr>
                  <w:tcW w:w="0" w:type="auto"/>
                  <w:tcBorders>
                    <w:top w:val="nil"/>
                    <w:left w:val="nil"/>
                    <w:bottom w:val="nil"/>
                    <w:right w:val="single" w:sz="4" w:space="0" w:color="auto"/>
                  </w:tcBorders>
                  <w:noWrap/>
                  <w:vAlign w:val="center"/>
                </w:tcPr>
                <w:p w14:paraId="65C0EC2C" w14:textId="77777777" w:rsidR="00A27215" w:rsidRPr="00931151" w:rsidRDefault="00A27215" w:rsidP="0041177B">
                  <w:pPr>
                    <w:spacing w:after="0" w:line="240" w:lineRule="auto"/>
                    <w:jc w:val="center"/>
                    <w:rPr>
                      <w:rFonts w:eastAsia="Times New Roman" w:cs="Times New Roman"/>
                      <w:color w:val="000000"/>
                      <w:kern w:val="0"/>
                      <w:sz w:val="20"/>
                      <w:szCs w:val="20"/>
                      <w:lang w:eastAsia="en-GB"/>
                      <w14:ligatures w14:val="none"/>
                    </w:rPr>
                  </w:pPr>
                  <w:r w:rsidRPr="00931151">
                    <w:rPr>
                      <w:color w:val="000000"/>
                      <w:sz w:val="20"/>
                      <w:szCs w:val="20"/>
                    </w:rPr>
                    <w:t>down</w:t>
                  </w:r>
                </w:p>
              </w:tc>
              <w:tc>
                <w:tcPr>
                  <w:tcW w:w="0" w:type="auto"/>
                  <w:tcBorders>
                    <w:top w:val="nil"/>
                    <w:left w:val="single" w:sz="4" w:space="0" w:color="auto"/>
                    <w:bottom w:val="nil"/>
                    <w:right w:val="nil"/>
                  </w:tcBorders>
                  <w:vAlign w:val="center"/>
                </w:tcPr>
                <w:p w14:paraId="35313E29" w14:textId="77777777" w:rsidR="00A27215" w:rsidRPr="00931151" w:rsidRDefault="00A27215" w:rsidP="0041177B">
                  <w:pPr>
                    <w:spacing w:after="0" w:line="240" w:lineRule="auto"/>
                    <w:jc w:val="center"/>
                    <w:rPr>
                      <w:color w:val="000000"/>
                      <w:sz w:val="20"/>
                      <w:szCs w:val="20"/>
                    </w:rPr>
                  </w:pPr>
                  <w:r w:rsidRPr="00931151">
                    <w:rPr>
                      <w:rFonts w:eastAsia="Times New Roman" w:cs="Times New Roman"/>
                      <w:color w:val="000000"/>
                      <w:kern w:val="0"/>
                      <w:sz w:val="20"/>
                      <w:szCs w:val="20"/>
                      <w:lang w:eastAsia="en-GB"/>
                      <w14:ligatures w14:val="none"/>
                    </w:rPr>
                    <w:t>F</w:t>
                  </w:r>
                </w:p>
              </w:tc>
              <w:tc>
                <w:tcPr>
                  <w:tcW w:w="0" w:type="auto"/>
                  <w:tcBorders>
                    <w:top w:val="nil"/>
                    <w:left w:val="nil"/>
                    <w:bottom w:val="nil"/>
                    <w:right w:val="nil"/>
                  </w:tcBorders>
                  <w:vAlign w:val="center"/>
                </w:tcPr>
                <w:p w14:paraId="3D2A6D22" w14:textId="77777777" w:rsidR="00A27215" w:rsidRPr="00931151" w:rsidRDefault="00A27215" w:rsidP="0041177B">
                  <w:pPr>
                    <w:spacing w:after="0" w:line="240" w:lineRule="auto"/>
                    <w:jc w:val="center"/>
                    <w:rPr>
                      <w:color w:val="000000"/>
                      <w:sz w:val="20"/>
                      <w:szCs w:val="20"/>
                    </w:rPr>
                  </w:pPr>
                  <w:r w:rsidRPr="00931151">
                    <w:rPr>
                      <w:color w:val="000000"/>
                      <w:sz w:val="20"/>
                      <w:szCs w:val="20"/>
                    </w:rPr>
                    <w:t>2016-2022</w:t>
                  </w:r>
                </w:p>
              </w:tc>
              <w:tc>
                <w:tcPr>
                  <w:tcW w:w="0" w:type="auto"/>
                  <w:tcBorders>
                    <w:top w:val="nil"/>
                    <w:left w:val="nil"/>
                    <w:bottom w:val="nil"/>
                    <w:right w:val="nil"/>
                  </w:tcBorders>
                  <w:vAlign w:val="center"/>
                </w:tcPr>
                <w:p w14:paraId="1FA97AB5" w14:textId="77777777" w:rsidR="00A27215" w:rsidRPr="00931151" w:rsidRDefault="00A27215" w:rsidP="0041177B">
                  <w:pPr>
                    <w:spacing w:after="0" w:line="240" w:lineRule="auto"/>
                    <w:jc w:val="center"/>
                    <w:rPr>
                      <w:color w:val="000000"/>
                      <w:sz w:val="20"/>
                      <w:szCs w:val="20"/>
                    </w:rPr>
                  </w:pPr>
                  <w:r w:rsidRPr="00931151">
                    <w:rPr>
                      <w:color w:val="000000"/>
                      <w:sz w:val="20"/>
                      <w:szCs w:val="20"/>
                    </w:rPr>
                    <w:t>-3.2</w:t>
                  </w:r>
                </w:p>
              </w:tc>
              <w:tc>
                <w:tcPr>
                  <w:tcW w:w="1077" w:type="dxa"/>
                  <w:tcBorders>
                    <w:top w:val="nil"/>
                    <w:left w:val="nil"/>
                    <w:bottom w:val="nil"/>
                    <w:right w:val="nil"/>
                  </w:tcBorders>
                  <w:vAlign w:val="center"/>
                </w:tcPr>
                <w:p w14:paraId="43D544ED" w14:textId="77777777" w:rsidR="00A27215" w:rsidRPr="00931151" w:rsidRDefault="00A27215" w:rsidP="0041177B">
                  <w:pPr>
                    <w:spacing w:after="0" w:line="240" w:lineRule="auto"/>
                    <w:jc w:val="center"/>
                    <w:rPr>
                      <w:color w:val="000000"/>
                      <w:sz w:val="20"/>
                      <w:szCs w:val="20"/>
                    </w:rPr>
                  </w:pPr>
                  <w:r w:rsidRPr="00931151">
                    <w:rPr>
                      <w:color w:val="000000"/>
                      <w:sz w:val="20"/>
                      <w:szCs w:val="20"/>
                    </w:rPr>
                    <w:t>-6.0, -0.4</w:t>
                  </w:r>
                </w:p>
              </w:tc>
              <w:tc>
                <w:tcPr>
                  <w:tcW w:w="850" w:type="dxa"/>
                  <w:tcBorders>
                    <w:top w:val="nil"/>
                    <w:left w:val="nil"/>
                    <w:bottom w:val="nil"/>
                    <w:right w:val="nil"/>
                  </w:tcBorders>
                  <w:vAlign w:val="center"/>
                </w:tcPr>
                <w:p w14:paraId="67C20366" w14:textId="77777777" w:rsidR="00A27215" w:rsidRPr="00931151" w:rsidRDefault="00A27215" w:rsidP="0041177B">
                  <w:pPr>
                    <w:spacing w:after="0" w:line="240" w:lineRule="auto"/>
                    <w:jc w:val="center"/>
                    <w:rPr>
                      <w:color w:val="000000"/>
                      <w:sz w:val="20"/>
                      <w:szCs w:val="20"/>
                    </w:rPr>
                  </w:pPr>
                  <w:r w:rsidRPr="00931151">
                    <w:rPr>
                      <w:color w:val="000000"/>
                      <w:sz w:val="20"/>
                      <w:szCs w:val="20"/>
                    </w:rPr>
                    <w:t>down</w:t>
                  </w:r>
                </w:p>
              </w:tc>
            </w:tr>
          </w:tbl>
          <w:p w14:paraId="15269387" w14:textId="77777777" w:rsidR="00A27215" w:rsidRPr="00D5039D" w:rsidRDefault="00A27215" w:rsidP="0041177B">
            <w:pPr>
              <w:jc w:val="center"/>
              <w:rPr>
                <w:rFonts w:eastAsia="Times New Roman" w:cs="Times New Roman"/>
                <w:b/>
                <w:bCs/>
                <w:color w:val="000000"/>
                <w:sz w:val="14"/>
                <w:szCs w:val="14"/>
                <w:u w:val="single"/>
                <w:lang w:eastAsia="en-GB"/>
              </w:rPr>
            </w:pPr>
          </w:p>
        </w:tc>
      </w:tr>
      <w:tr w:rsidR="00A27215" w:rsidRPr="00D5039D" w14:paraId="48502AB8" w14:textId="77777777" w:rsidTr="0041177B">
        <w:trPr>
          <w:trHeight w:val="113"/>
        </w:trPr>
        <w:tc>
          <w:tcPr>
            <w:tcW w:w="9706" w:type="dxa"/>
            <w:vAlign w:val="center"/>
          </w:tcPr>
          <w:p w14:paraId="1B194E0E" w14:textId="77777777" w:rsidR="00A27215" w:rsidRPr="00D5039D" w:rsidRDefault="00A27215" w:rsidP="0041177B">
            <w:pPr>
              <w:pBdr>
                <w:bottom w:val="single" w:sz="4" w:space="1" w:color="auto"/>
              </w:pBdr>
              <w:rPr>
                <w:rFonts w:asciiTheme="minorHAnsi" w:hAnsiTheme="minorHAnsi"/>
                <w:bCs/>
                <w:sz w:val="18"/>
                <w:szCs w:val="16"/>
              </w:rPr>
            </w:pPr>
            <w:r w:rsidRPr="00D5039D">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34D41C58" w14:textId="77777777" w:rsidR="00A27215" w:rsidRPr="00D5039D" w:rsidRDefault="00A27215" w:rsidP="0041177B">
            <w:pPr>
              <w:rPr>
                <w:rFonts w:asciiTheme="minorHAnsi" w:hAnsiTheme="minorHAnsi"/>
                <w:b/>
                <w:bCs/>
                <w:noProof/>
                <w:sz w:val="14"/>
                <w:szCs w:val="14"/>
                <w:u w:val="single"/>
              </w:rPr>
            </w:pPr>
          </w:p>
        </w:tc>
      </w:tr>
    </w:tbl>
    <w:p w14:paraId="4683AB03" w14:textId="77777777" w:rsidR="00A27215" w:rsidRDefault="00A27215" w:rsidP="00A27215">
      <w:pPr>
        <w:pStyle w:val="Heading3"/>
        <w:spacing w:before="0" w:after="0" w:line="240" w:lineRule="auto"/>
        <w:sectPr w:rsidR="00A27215" w:rsidSect="002746C0">
          <w:pgSz w:w="11906" w:h="16838"/>
          <w:pgMar w:top="1440" w:right="1440" w:bottom="1440" w:left="1440" w:header="708" w:footer="708" w:gutter="0"/>
          <w:cols w:space="708"/>
          <w:docGrid w:linePitch="360"/>
        </w:sectPr>
      </w:pPr>
      <w:bookmarkStart w:id="357" w:name="_Toc197557168"/>
    </w:p>
    <w:p w14:paraId="44446795" w14:textId="77777777" w:rsidR="00A27215" w:rsidRPr="00F77F54" w:rsidRDefault="00A27215" w:rsidP="00A27215">
      <w:pPr>
        <w:pStyle w:val="Heading3"/>
        <w:spacing w:before="0" w:after="0" w:line="240" w:lineRule="auto"/>
      </w:pPr>
      <w:bookmarkStart w:id="358" w:name="_Toc201512559"/>
      <w:r w:rsidRPr="000518C3">
        <w:rPr>
          <w:rFonts w:cstheme="minorHAnsi"/>
          <w:color w:val="7F7F7F" w:themeColor="text1" w:themeTint="80"/>
        </w:rPr>
        <w:t>Va</w:t>
      </w:r>
      <w:r w:rsidRPr="00F77F54">
        <w:t>riation by deprivation quintile</w:t>
      </w:r>
      <w:bookmarkEnd w:id="357"/>
      <w:bookmarkEnd w:id="358"/>
      <w:r w:rsidRPr="00F77F54">
        <w:t xml:space="preserve"> </w:t>
      </w:r>
    </w:p>
    <w:p w14:paraId="0F46A2A3" w14:textId="73A240CB" w:rsidR="00A27215" w:rsidRDefault="00A27215" w:rsidP="00A27215">
      <w:pPr>
        <w:spacing w:after="0" w:line="240" w:lineRule="auto"/>
        <w:rPr>
          <w:rFonts w:cstheme="minorHAnsi"/>
          <w:color w:val="000000" w:themeColor="text1"/>
        </w:rPr>
      </w:pPr>
      <w:r w:rsidRPr="000518C3">
        <w:rPr>
          <w:rFonts w:cstheme="minorHAnsi"/>
          <w:color w:val="000000" w:themeColor="text1"/>
        </w:rPr>
        <w:t xml:space="preserve">Age-standardised incidence rates of </w:t>
      </w:r>
      <w:r>
        <w:rPr>
          <w:rFonts w:cstheme="minorHAnsi"/>
        </w:rPr>
        <w:t>kidney</w:t>
      </w:r>
      <w:r w:rsidRPr="000518C3">
        <w:rPr>
          <w:rFonts w:cstheme="minorHAnsi"/>
        </w:rPr>
        <w:t xml:space="preserve"> cancer </w:t>
      </w:r>
      <w:r w:rsidRPr="000518C3">
        <w:rPr>
          <w:rFonts w:cstheme="minorHAnsi"/>
          <w:color w:val="000000" w:themeColor="text1"/>
        </w:rPr>
        <w:t xml:space="preserve">in 2014-2018 </w:t>
      </w:r>
      <w:r>
        <w:rPr>
          <w:rFonts w:cstheme="minorHAnsi"/>
          <w:color w:val="000000" w:themeColor="text1"/>
        </w:rPr>
        <w:t xml:space="preserve">were lowest in the least deprived quintile (19.0 </w:t>
      </w:r>
      <w:r w:rsidRPr="000518C3">
        <w:rPr>
          <w:rFonts w:cstheme="minorHAnsi"/>
          <w:color w:val="000000" w:themeColor="text1"/>
        </w:rPr>
        <w:t>cases per 100,000</w:t>
      </w:r>
      <w:r>
        <w:rPr>
          <w:rFonts w:cstheme="minorHAnsi"/>
          <w:color w:val="000000" w:themeColor="text1"/>
        </w:rPr>
        <w:t xml:space="preserve">) and higher in the intermediate quintile (21.5 cases per 100,000) </w:t>
      </w:r>
      <w:r w:rsidRPr="000518C3">
        <w:rPr>
          <w:rFonts w:cstheme="minorHAnsi"/>
          <w:color w:val="000000" w:themeColor="text1"/>
        </w:rPr>
        <w:t xml:space="preserve">(Figure </w:t>
      </w:r>
      <w:r w:rsidR="00C87CE4">
        <w:rPr>
          <w:rFonts w:cstheme="minorHAnsi"/>
          <w:color w:val="000000" w:themeColor="text1"/>
        </w:rPr>
        <w:t>19.3</w:t>
      </w:r>
      <w:r w:rsidRPr="000518C3">
        <w:rPr>
          <w:rFonts w:cstheme="minorHAnsi"/>
          <w:color w:val="000000" w:themeColor="text1"/>
        </w:rPr>
        <w:t>)</w:t>
      </w:r>
      <w:r>
        <w:rPr>
          <w:rFonts w:cstheme="minorHAnsi"/>
          <w:color w:val="000000" w:themeColor="text1"/>
        </w:rPr>
        <w:t xml:space="preserve"> with little clear evidence for a socioeconomic gradient in incidence</w:t>
      </w:r>
      <w:r w:rsidRPr="000518C3">
        <w:rPr>
          <w:rFonts w:cstheme="minorHAnsi"/>
          <w:color w:val="000000" w:themeColor="text1"/>
        </w:rPr>
        <w:t>.</w:t>
      </w:r>
      <w:bookmarkEnd w:id="356"/>
      <w:r>
        <w:rPr>
          <w:rFonts w:cstheme="minorHAnsi"/>
          <w:color w:val="000000" w:themeColor="text1"/>
        </w:rPr>
        <w:t xml:space="preserve"> </w:t>
      </w:r>
    </w:p>
    <w:p w14:paraId="23DA0316" w14:textId="77777777" w:rsidR="00A27215" w:rsidRPr="00B26994" w:rsidRDefault="00A27215" w:rsidP="00A27215">
      <w:pPr>
        <w:spacing w:after="0" w:line="240" w:lineRule="auto"/>
        <w:rPr>
          <w:rFonts w:cstheme="minorHAnsi"/>
          <w:color w:val="000000" w:themeColor="text1"/>
        </w:rPr>
      </w:pPr>
    </w:p>
    <w:tbl>
      <w:tblPr>
        <w:tblStyle w:val="TableGrid"/>
        <w:tblW w:w="976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246"/>
        <w:gridCol w:w="3261"/>
      </w:tblGrid>
      <w:tr w:rsidR="00A27215" w:rsidRPr="00D5039D" w14:paraId="27EC629A" w14:textId="77777777" w:rsidTr="0041177B">
        <w:trPr>
          <w:trHeight w:val="113"/>
        </w:trPr>
        <w:tc>
          <w:tcPr>
            <w:tcW w:w="9768" w:type="dxa"/>
            <w:gridSpan w:val="3"/>
            <w:shd w:val="clear" w:color="auto" w:fill="002060"/>
          </w:tcPr>
          <w:p w14:paraId="7DB51B7C" w14:textId="3819893E" w:rsidR="00A27215" w:rsidRPr="00C87CE4" w:rsidRDefault="00A27215" w:rsidP="0041177B">
            <w:pPr>
              <w:rPr>
                <w:rFonts w:asciiTheme="minorHAnsi" w:hAnsiTheme="minorHAnsi" w:cstheme="minorHAnsi"/>
                <w:b/>
                <w:bCs/>
                <w:color w:val="FFFFFF" w:themeColor="background1"/>
              </w:rPr>
            </w:pPr>
            <w:r w:rsidRPr="00C87CE4">
              <w:rPr>
                <w:rFonts w:asciiTheme="minorHAnsi" w:hAnsiTheme="minorHAnsi" w:cstheme="minorHAnsi"/>
                <w:b/>
                <w:bCs/>
                <w:color w:val="FFFFFF" w:themeColor="background1"/>
              </w:rPr>
              <w:t xml:space="preserve">Figure </w:t>
            </w:r>
            <w:r w:rsidR="00C87CE4" w:rsidRPr="00C87CE4">
              <w:rPr>
                <w:rFonts w:asciiTheme="minorHAnsi" w:hAnsiTheme="minorHAnsi" w:cstheme="minorHAnsi"/>
                <w:b/>
                <w:bCs/>
                <w:color w:val="FFFFFF" w:themeColor="background1"/>
              </w:rPr>
              <w:t>19.3:</w:t>
            </w:r>
            <w:r w:rsidRPr="00C87CE4">
              <w:rPr>
                <w:rFonts w:asciiTheme="minorHAnsi" w:hAnsiTheme="minorHAnsi" w:cstheme="minorHAnsi"/>
                <w:b/>
                <w:bCs/>
                <w:color w:val="FFFFFF" w:themeColor="background1"/>
              </w:rPr>
              <w:t xml:space="preserve"> Incidence rate (per 100,000) for kidney cancer by deprivation quintile, 2014-2018</w:t>
            </w:r>
          </w:p>
        </w:tc>
      </w:tr>
      <w:tr w:rsidR="00A27215" w:rsidRPr="00D5039D" w14:paraId="6E21B508" w14:textId="77777777" w:rsidTr="0041177B">
        <w:trPr>
          <w:trHeight w:val="113"/>
        </w:trPr>
        <w:tc>
          <w:tcPr>
            <w:tcW w:w="3261" w:type="dxa"/>
            <w:shd w:val="clear" w:color="auto" w:fill="auto"/>
          </w:tcPr>
          <w:p w14:paraId="328F7FD8" w14:textId="77777777" w:rsidR="00A27215" w:rsidRPr="00D5039D" w:rsidRDefault="00A27215" w:rsidP="0041177B">
            <w:pPr>
              <w:jc w:val="center"/>
              <w:rPr>
                <w:rFonts w:asciiTheme="minorHAnsi" w:hAnsiTheme="minorHAnsi" w:cstheme="minorHAnsi"/>
                <w:color w:val="000000" w:themeColor="text1"/>
              </w:rPr>
            </w:pPr>
            <w:r w:rsidRPr="00D5039D">
              <w:rPr>
                <w:rFonts w:asciiTheme="minorHAnsi" w:hAnsiTheme="minorHAnsi" w:cstheme="minorHAnsi"/>
                <w:color w:val="000000" w:themeColor="text1"/>
              </w:rPr>
              <w:t>Total</w:t>
            </w:r>
          </w:p>
        </w:tc>
        <w:tc>
          <w:tcPr>
            <w:tcW w:w="3246" w:type="dxa"/>
            <w:shd w:val="clear" w:color="auto" w:fill="auto"/>
          </w:tcPr>
          <w:p w14:paraId="46284966" w14:textId="77777777" w:rsidR="00A27215" w:rsidRPr="00D5039D" w:rsidRDefault="00A27215" w:rsidP="0041177B">
            <w:pPr>
              <w:jc w:val="center"/>
              <w:rPr>
                <w:rFonts w:asciiTheme="minorHAnsi" w:hAnsiTheme="minorHAnsi" w:cstheme="minorHAnsi"/>
                <w:color w:val="000000" w:themeColor="text1"/>
              </w:rPr>
            </w:pPr>
            <w:r>
              <w:rPr>
                <w:rFonts w:asciiTheme="minorHAnsi" w:hAnsiTheme="minorHAnsi" w:cstheme="minorHAnsi"/>
                <w:color w:val="000000" w:themeColor="text1"/>
              </w:rPr>
              <w:t>Males</w:t>
            </w:r>
          </w:p>
        </w:tc>
        <w:tc>
          <w:tcPr>
            <w:tcW w:w="3261" w:type="dxa"/>
          </w:tcPr>
          <w:p w14:paraId="1294B648" w14:textId="77777777" w:rsidR="00A27215" w:rsidRPr="00D5039D" w:rsidRDefault="00A27215" w:rsidP="0041177B">
            <w:pPr>
              <w:jc w:val="center"/>
              <w:rPr>
                <w:rFonts w:asciiTheme="minorHAnsi" w:hAnsiTheme="minorHAnsi" w:cstheme="minorHAnsi"/>
                <w:color w:val="000000" w:themeColor="text1"/>
              </w:rPr>
            </w:pPr>
            <w:r>
              <w:rPr>
                <w:rFonts w:asciiTheme="minorHAnsi" w:hAnsiTheme="minorHAnsi" w:cstheme="minorHAnsi"/>
                <w:color w:val="000000" w:themeColor="text1"/>
              </w:rPr>
              <w:t>Females</w:t>
            </w:r>
          </w:p>
        </w:tc>
      </w:tr>
      <w:tr w:rsidR="00A27215" w:rsidRPr="00D5039D" w14:paraId="39E627F0" w14:textId="77777777" w:rsidTr="0041177B">
        <w:trPr>
          <w:trHeight w:val="113"/>
        </w:trPr>
        <w:tc>
          <w:tcPr>
            <w:tcW w:w="3261" w:type="dxa"/>
            <w:shd w:val="clear" w:color="auto" w:fill="auto"/>
          </w:tcPr>
          <w:p w14:paraId="1E2ADBAF" w14:textId="77777777" w:rsidR="00A27215" w:rsidRPr="00D5039D" w:rsidRDefault="00A27215" w:rsidP="0041177B">
            <w:pPr>
              <w:rPr>
                <w:rFonts w:asciiTheme="minorHAnsi" w:eastAsia="Times New Roman" w:hAnsiTheme="minorHAnsi" w:cs="Times New Roman"/>
                <w:lang w:eastAsia="en-GB"/>
              </w:rPr>
            </w:pPr>
            <w:r w:rsidRPr="00D5039D">
              <w:rPr>
                <w:rFonts w:eastAsia="Times New Roman" w:cs="Times New Roman"/>
                <w:noProof/>
                <w:lang w:eastAsia="en-GB"/>
              </w:rPr>
              <w:drawing>
                <wp:inline distT="0" distB="0" distL="0" distR="0" wp14:anchorId="2801A39D" wp14:editId="55D30AC0">
                  <wp:extent cx="1845836" cy="1432800"/>
                  <wp:effectExtent l="0" t="0" r="2540" b="0"/>
                  <wp:docPr id="1982844700" name="Picture 3" descr="A graph with numbers and a number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844700" name="Picture 3" descr="A graph with numbers and a number on it&#10;&#10;AI-generated content may be incorrect."/>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845836" cy="1432800"/>
                          </a:xfrm>
                          <a:prstGeom prst="rect">
                            <a:avLst/>
                          </a:prstGeom>
                          <a:noFill/>
                        </pic:spPr>
                      </pic:pic>
                    </a:graphicData>
                  </a:graphic>
                </wp:inline>
              </w:drawing>
            </w:r>
          </w:p>
        </w:tc>
        <w:tc>
          <w:tcPr>
            <w:tcW w:w="3246" w:type="dxa"/>
            <w:shd w:val="clear" w:color="auto" w:fill="auto"/>
          </w:tcPr>
          <w:p w14:paraId="6D3A9214" w14:textId="77777777" w:rsidR="00A27215" w:rsidRPr="00D5039D" w:rsidRDefault="00A27215" w:rsidP="0041177B">
            <w:pPr>
              <w:rPr>
                <w:rFonts w:asciiTheme="minorHAnsi" w:hAnsiTheme="minorHAnsi" w:cstheme="minorHAnsi"/>
                <w:color w:val="000000" w:themeColor="text1"/>
                <w:lang w:val="en-GB"/>
              </w:rPr>
            </w:pPr>
            <w:r w:rsidRPr="00D5039D">
              <w:rPr>
                <w:rFonts w:eastAsia="Times New Roman" w:cs="Times New Roman"/>
                <w:noProof/>
                <w:lang w:eastAsia="en-GB"/>
              </w:rPr>
              <w:drawing>
                <wp:inline distT="0" distB="0" distL="0" distR="0" wp14:anchorId="15CD0603" wp14:editId="1C504BC8">
                  <wp:extent cx="1842223" cy="1432800"/>
                  <wp:effectExtent l="0" t="0" r="5715" b="0"/>
                  <wp:docPr id="1867512783" name="Picture 1" descr="A graph with blue rectangl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512783" name="Picture 1" descr="A graph with blue rectangles and black text&#10;&#10;AI-generated content may be incorrect."/>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842223" cy="1432800"/>
                          </a:xfrm>
                          <a:prstGeom prst="rect">
                            <a:avLst/>
                          </a:prstGeom>
                          <a:noFill/>
                        </pic:spPr>
                      </pic:pic>
                    </a:graphicData>
                  </a:graphic>
                </wp:inline>
              </w:drawing>
            </w:r>
          </w:p>
        </w:tc>
        <w:tc>
          <w:tcPr>
            <w:tcW w:w="3261" w:type="dxa"/>
          </w:tcPr>
          <w:p w14:paraId="7B02EA5F" w14:textId="77777777" w:rsidR="00A27215" w:rsidRPr="00D5039D" w:rsidRDefault="00A27215" w:rsidP="0041177B">
            <w:pPr>
              <w:jc w:val="center"/>
              <w:rPr>
                <w:rFonts w:asciiTheme="minorHAnsi" w:hAnsiTheme="minorHAnsi" w:cstheme="minorHAnsi"/>
                <w:color w:val="000000" w:themeColor="text1"/>
              </w:rPr>
            </w:pPr>
            <w:r w:rsidRPr="00D5039D">
              <w:rPr>
                <w:rFonts w:eastAsia="Times New Roman" w:cs="Times New Roman"/>
                <w:noProof/>
                <w:lang w:eastAsia="en-GB"/>
              </w:rPr>
              <w:drawing>
                <wp:inline distT="0" distB="0" distL="0" distR="0" wp14:anchorId="59006452" wp14:editId="4F77FDF0">
                  <wp:extent cx="1845837" cy="1432800"/>
                  <wp:effectExtent l="0" t="0" r="2540" b="0"/>
                  <wp:docPr id="1023765096"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65096" name="Picture 1" descr="A graph with numbers and lines&#10;&#10;AI-generated content may be incorrect."/>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845837" cy="1432800"/>
                          </a:xfrm>
                          <a:prstGeom prst="rect">
                            <a:avLst/>
                          </a:prstGeom>
                          <a:noFill/>
                        </pic:spPr>
                      </pic:pic>
                    </a:graphicData>
                  </a:graphic>
                </wp:inline>
              </w:drawing>
            </w:r>
          </w:p>
        </w:tc>
      </w:tr>
    </w:tbl>
    <w:p w14:paraId="4D96EB8B" w14:textId="77777777" w:rsidR="001A3B02" w:rsidRPr="001A3B02" w:rsidRDefault="001A3B02" w:rsidP="001A3B02">
      <w:bookmarkStart w:id="359" w:name="_Toc197557169"/>
    </w:p>
    <w:p w14:paraId="31D706AB" w14:textId="77777777" w:rsidR="00A27215" w:rsidRDefault="00A27215" w:rsidP="00A27215">
      <w:pPr>
        <w:pStyle w:val="Heading2"/>
        <w:spacing w:before="0" w:after="0" w:line="240" w:lineRule="auto"/>
      </w:pPr>
      <w:bookmarkStart w:id="360" w:name="_Toc201512560"/>
      <w:r>
        <w:t>Mortality</w:t>
      </w:r>
      <w:bookmarkEnd w:id="359"/>
      <w:bookmarkEnd w:id="360"/>
    </w:p>
    <w:p w14:paraId="2127996D" w14:textId="570EC391" w:rsidR="00A27215" w:rsidRDefault="00A27215" w:rsidP="00A27215">
      <w:pPr>
        <w:spacing w:after="0" w:line="240" w:lineRule="auto"/>
      </w:pPr>
      <w:r w:rsidRPr="00447F66">
        <w:t xml:space="preserve">Age-standardised mortality rates of kidney cancer </w:t>
      </w:r>
      <w:r w:rsidR="00972239">
        <w:t xml:space="preserve">during the period </w:t>
      </w:r>
      <w:r w:rsidRPr="00447F66">
        <w:t>1994-2022 were 10.5 deaths per 100,000 males and 4.5 deaths per 100,000 females per year</w:t>
      </w:r>
      <w:r>
        <w:t xml:space="preserve">. </w:t>
      </w:r>
      <w:r w:rsidRPr="00447F66">
        <w:t xml:space="preserve">Figure </w:t>
      </w:r>
      <w:r w:rsidR="00C87CE4">
        <w:t>19.4</w:t>
      </w:r>
      <w:r w:rsidRPr="00447F66">
        <w:t xml:space="preserve"> breaks this down further by sex and </w:t>
      </w:r>
      <w:r w:rsidR="00366242">
        <w:t>age group</w:t>
      </w:r>
      <w:r w:rsidRPr="00447F66">
        <w:t>. Mortality rates increased with increasing age and mortality</w:t>
      </w:r>
      <w:r>
        <w:t xml:space="preserve"> rates were higher among males</w:t>
      </w:r>
      <w:r w:rsidRPr="00447F66">
        <w:t xml:space="preserve"> compared with females</w:t>
      </w:r>
      <w:r w:rsidRPr="001120ED">
        <w:t xml:space="preserve"> </w:t>
      </w:r>
      <w:r w:rsidRPr="00447F66">
        <w:t>across age groups.</w:t>
      </w:r>
    </w:p>
    <w:p w14:paraId="0735B322" w14:textId="77777777" w:rsidR="00A27215" w:rsidRDefault="00A27215" w:rsidP="00A27215">
      <w:pPr>
        <w:spacing w:after="0" w:line="240" w:lineRule="auto"/>
      </w:pPr>
    </w:p>
    <w:tbl>
      <w:tblPr>
        <w:tblStyle w:val="TableGrid"/>
        <w:tblW w:w="976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8"/>
        <w:gridCol w:w="3226"/>
        <w:gridCol w:w="3344"/>
      </w:tblGrid>
      <w:tr w:rsidR="00A27215" w:rsidRPr="00D5039D" w14:paraId="6F18EC11" w14:textId="77777777" w:rsidTr="0041177B">
        <w:trPr>
          <w:trHeight w:val="113"/>
        </w:trPr>
        <w:tc>
          <w:tcPr>
            <w:tcW w:w="9768" w:type="dxa"/>
            <w:gridSpan w:val="3"/>
            <w:shd w:val="clear" w:color="auto" w:fill="002060"/>
          </w:tcPr>
          <w:p w14:paraId="3225CC3C" w14:textId="7B7AAC08" w:rsidR="00A27215" w:rsidRPr="00C87CE4" w:rsidRDefault="00A27215" w:rsidP="0041177B">
            <w:pPr>
              <w:rPr>
                <w:rFonts w:asciiTheme="minorHAnsi" w:hAnsiTheme="minorHAnsi" w:cstheme="minorHAnsi"/>
                <w:b/>
                <w:bCs/>
                <w:color w:val="FFFFFF" w:themeColor="background1"/>
              </w:rPr>
            </w:pPr>
            <w:r w:rsidRPr="00C87CE4">
              <w:rPr>
                <w:rFonts w:asciiTheme="minorHAnsi" w:hAnsiTheme="minorHAnsi" w:cstheme="minorHAnsi"/>
                <w:b/>
                <w:bCs/>
                <w:color w:val="FFFFFF" w:themeColor="background1"/>
              </w:rPr>
              <w:t xml:space="preserve">Figure </w:t>
            </w:r>
            <w:r w:rsidR="00C87CE4">
              <w:rPr>
                <w:rFonts w:asciiTheme="minorHAnsi" w:hAnsiTheme="minorHAnsi" w:cstheme="minorHAnsi"/>
                <w:b/>
                <w:bCs/>
                <w:color w:val="FFFFFF" w:themeColor="background1"/>
              </w:rPr>
              <w:t>19.4:</w:t>
            </w:r>
            <w:r w:rsidRPr="00C87CE4">
              <w:rPr>
                <w:rFonts w:asciiTheme="minorHAnsi" w:hAnsiTheme="minorHAnsi" w:cstheme="minorHAnsi"/>
                <w:b/>
                <w:bCs/>
                <w:color w:val="FFFFFF" w:themeColor="background1"/>
              </w:rPr>
              <w:t xml:space="preserve"> Mortality rate (per 100,000) for kidney cancer by </w:t>
            </w:r>
            <w:r w:rsidR="00366242">
              <w:rPr>
                <w:rFonts w:asciiTheme="minorHAnsi" w:hAnsiTheme="minorHAnsi" w:cstheme="minorHAnsi"/>
                <w:b/>
                <w:bCs/>
                <w:color w:val="FFFFFF" w:themeColor="background1"/>
              </w:rPr>
              <w:t>age group</w:t>
            </w:r>
            <w:r w:rsidRPr="00C87CE4">
              <w:rPr>
                <w:rFonts w:asciiTheme="minorHAnsi" w:hAnsiTheme="minorHAnsi" w:cstheme="minorHAnsi"/>
                <w:b/>
                <w:bCs/>
                <w:color w:val="FFFFFF" w:themeColor="background1"/>
              </w:rPr>
              <w:t>, 1994-2022</w:t>
            </w:r>
          </w:p>
        </w:tc>
      </w:tr>
      <w:tr w:rsidR="00A27215" w:rsidRPr="00D5039D" w14:paraId="3C6B3D65" w14:textId="77777777" w:rsidTr="0041177B">
        <w:trPr>
          <w:trHeight w:val="113"/>
        </w:trPr>
        <w:tc>
          <w:tcPr>
            <w:tcW w:w="3195" w:type="dxa"/>
            <w:shd w:val="clear" w:color="auto" w:fill="auto"/>
          </w:tcPr>
          <w:p w14:paraId="2A2532F3" w14:textId="77777777" w:rsidR="00A27215" w:rsidRPr="00D5039D" w:rsidRDefault="00A27215" w:rsidP="0041177B">
            <w:pPr>
              <w:jc w:val="center"/>
              <w:rPr>
                <w:rFonts w:asciiTheme="minorHAnsi" w:hAnsiTheme="minorHAnsi" w:cstheme="minorHAnsi"/>
                <w:color w:val="000000" w:themeColor="text1"/>
              </w:rPr>
            </w:pPr>
            <w:r w:rsidRPr="00D5039D">
              <w:rPr>
                <w:rFonts w:asciiTheme="minorHAnsi" w:hAnsiTheme="minorHAnsi" w:cstheme="minorHAnsi"/>
                <w:color w:val="000000" w:themeColor="text1"/>
              </w:rPr>
              <w:t>Total</w:t>
            </w:r>
          </w:p>
        </w:tc>
        <w:tc>
          <w:tcPr>
            <w:tcW w:w="3253" w:type="dxa"/>
            <w:shd w:val="clear" w:color="auto" w:fill="auto"/>
          </w:tcPr>
          <w:p w14:paraId="702067F8" w14:textId="77777777" w:rsidR="00A27215" w:rsidRPr="00D5039D" w:rsidRDefault="00A27215" w:rsidP="0041177B">
            <w:pPr>
              <w:jc w:val="center"/>
              <w:rPr>
                <w:rFonts w:asciiTheme="minorHAnsi" w:hAnsiTheme="minorHAnsi" w:cstheme="minorHAnsi"/>
                <w:color w:val="000000" w:themeColor="text1"/>
              </w:rPr>
            </w:pPr>
            <w:r w:rsidRPr="00D5039D">
              <w:rPr>
                <w:rFonts w:asciiTheme="minorHAnsi" w:hAnsiTheme="minorHAnsi" w:cstheme="minorHAnsi"/>
                <w:color w:val="000000" w:themeColor="text1"/>
              </w:rPr>
              <w:t>Males</w:t>
            </w:r>
          </w:p>
        </w:tc>
        <w:tc>
          <w:tcPr>
            <w:tcW w:w="3320" w:type="dxa"/>
          </w:tcPr>
          <w:p w14:paraId="2641912D" w14:textId="77777777" w:rsidR="00A27215" w:rsidRPr="00D5039D" w:rsidRDefault="00A27215" w:rsidP="0041177B">
            <w:pPr>
              <w:jc w:val="center"/>
              <w:rPr>
                <w:rFonts w:asciiTheme="minorHAnsi" w:hAnsiTheme="minorHAnsi" w:cstheme="minorHAnsi"/>
                <w:color w:val="000000" w:themeColor="text1"/>
              </w:rPr>
            </w:pPr>
            <w:r w:rsidRPr="00D5039D">
              <w:rPr>
                <w:rFonts w:asciiTheme="minorHAnsi" w:hAnsiTheme="minorHAnsi" w:cstheme="minorHAnsi"/>
                <w:color w:val="000000" w:themeColor="text1"/>
              </w:rPr>
              <w:t>Females</w:t>
            </w:r>
          </w:p>
        </w:tc>
      </w:tr>
      <w:tr w:rsidR="00A27215" w:rsidRPr="00D5039D" w14:paraId="29697C62" w14:textId="77777777" w:rsidTr="0041177B">
        <w:trPr>
          <w:trHeight w:val="113"/>
        </w:trPr>
        <w:tc>
          <w:tcPr>
            <w:tcW w:w="3195" w:type="dxa"/>
            <w:shd w:val="clear" w:color="auto" w:fill="auto"/>
          </w:tcPr>
          <w:p w14:paraId="791F218E" w14:textId="77777777" w:rsidR="00A27215" w:rsidRPr="00D5039D" w:rsidRDefault="00A27215" w:rsidP="0041177B">
            <w:pPr>
              <w:rPr>
                <w:rFonts w:asciiTheme="minorHAnsi" w:eastAsia="Times New Roman" w:hAnsiTheme="minorHAnsi" w:cs="Times New Roman"/>
                <w:lang w:eastAsia="en-GB"/>
              </w:rPr>
            </w:pPr>
            <w:r w:rsidRPr="00D5039D">
              <w:rPr>
                <w:rFonts w:eastAsia="Times New Roman" w:cs="Times New Roman"/>
                <w:noProof/>
                <w:lang w:eastAsia="en-GB"/>
              </w:rPr>
              <w:drawing>
                <wp:inline distT="0" distB="0" distL="0" distR="0" wp14:anchorId="759B2D28" wp14:editId="4955C890">
                  <wp:extent cx="1894114" cy="1422000"/>
                  <wp:effectExtent l="0" t="0" r="0" b="6985"/>
                  <wp:docPr id="13" name="Picture 12" descr="A graph with numbers and a ba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2" descr="A graph with numbers and a bar&#10;&#10;AI-generated content may be incorrect."/>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894114" cy="1422000"/>
                          </a:xfrm>
                          <a:prstGeom prst="rect">
                            <a:avLst/>
                          </a:prstGeom>
                          <a:noFill/>
                          <a:ln>
                            <a:noFill/>
                          </a:ln>
                        </pic:spPr>
                      </pic:pic>
                    </a:graphicData>
                  </a:graphic>
                </wp:inline>
              </w:drawing>
            </w:r>
          </w:p>
        </w:tc>
        <w:tc>
          <w:tcPr>
            <w:tcW w:w="3253" w:type="dxa"/>
            <w:shd w:val="clear" w:color="auto" w:fill="auto"/>
          </w:tcPr>
          <w:p w14:paraId="3A574AEF" w14:textId="77777777" w:rsidR="00A27215" w:rsidRPr="00D5039D" w:rsidRDefault="00A27215" w:rsidP="0041177B">
            <w:pPr>
              <w:rPr>
                <w:rFonts w:asciiTheme="minorHAnsi" w:hAnsiTheme="minorHAnsi" w:cstheme="minorHAnsi"/>
                <w:color w:val="000000" w:themeColor="text1"/>
              </w:rPr>
            </w:pPr>
            <w:r w:rsidRPr="00D5039D">
              <w:rPr>
                <w:rFonts w:eastAsia="Times New Roman" w:cs="Times New Roman"/>
                <w:noProof/>
                <w:lang w:eastAsia="en-GB"/>
              </w:rPr>
              <w:drawing>
                <wp:inline distT="0" distB="0" distL="0" distR="0" wp14:anchorId="3CC71990" wp14:editId="7AFC171F">
                  <wp:extent cx="1905000" cy="1422000"/>
                  <wp:effectExtent l="0" t="0" r="0" b="6985"/>
                  <wp:docPr id="11" name="Picture 10" descr="A graph of numbers and a ba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0" descr="A graph of numbers and a bar&#10;&#10;AI-generated content may be incorrect."/>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905000" cy="1422000"/>
                          </a:xfrm>
                          <a:prstGeom prst="rect">
                            <a:avLst/>
                          </a:prstGeom>
                          <a:noFill/>
                          <a:ln>
                            <a:noFill/>
                          </a:ln>
                        </pic:spPr>
                      </pic:pic>
                    </a:graphicData>
                  </a:graphic>
                </wp:inline>
              </w:drawing>
            </w:r>
          </w:p>
        </w:tc>
        <w:tc>
          <w:tcPr>
            <w:tcW w:w="3320" w:type="dxa"/>
          </w:tcPr>
          <w:p w14:paraId="41E28086" w14:textId="77777777" w:rsidR="00A27215" w:rsidRPr="00D5039D" w:rsidRDefault="00A27215" w:rsidP="0041177B">
            <w:pPr>
              <w:jc w:val="center"/>
              <w:rPr>
                <w:rFonts w:asciiTheme="minorHAnsi" w:hAnsiTheme="minorHAnsi" w:cstheme="minorHAnsi"/>
                <w:color w:val="000000" w:themeColor="text1"/>
              </w:rPr>
            </w:pPr>
            <w:r w:rsidRPr="00D5039D">
              <w:rPr>
                <w:rFonts w:eastAsia="Times New Roman" w:cs="Times New Roman"/>
                <w:noProof/>
                <w:lang w:eastAsia="en-GB"/>
              </w:rPr>
              <w:drawing>
                <wp:inline distT="0" distB="0" distL="0" distR="0" wp14:anchorId="6D62FB59" wp14:editId="34100629">
                  <wp:extent cx="1986642" cy="1422000"/>
                  <wp:effectExtent l="0" t="0" r="0" b="6985"/>
                  <wp:docPr id="12" name="Picture 11" descr="A graph with numbers and a bar char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 descr="A graph with numbers and a bar chart&#10;&#10;AI-generated content may be incorrect."/>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986642" cy="1422000"/>
                          </a:xfrm>
                          <a:prstGeom prst="rect">
                            <a:avLst/>
                          </a:prstGeom>
                          <a:noFill/>
                          <a:ln>
                            <a:noFill/>
                          </a:ln>
                        </pic:spPr>
                      </pic:pic>
                    </a:graphicData>
                  </a:graphic>
                </wp:inline>
              </w:drawing>
            </w:r>
          </w:p>
        </w:tc>
      </w:tr>
    </w:tbl>
    <w:p w14:paraId="4ED57E10" w14:textId="77777777" w:rsidR="00A27215" w:rsidRDefault="00A27215" w:rsidP="00A27215">
      <w:pPr>
        <w:spacing w:after="0" w:line="240" w:lineRule="auto"/>
        <w:sectPr w:rsidR="00A27215" w:rsidSect="002746C0">
          <w:pgSz w:w="11906" w:h="16838"/>
          <w:pgMar w:top="1440" w:right="1440" w:bottom="1440" w:left="1440" w:header="708" w:footer="708" w:gutter="0"/>
          <w:cols w:space="708"/>
          <w:docGrid w:linePitch="360"/>
        </w:sectPr>
      </w:pPr>
    </w:p>
    <w:p w14:paraId="6F520A12" w14:textId="77777777" w:rsidR="00A27215" w:rsidRPr="00E85A89" w:rsidRDefault="00A27215" w:rsidP="00A27215">
      <w:pPr>
        <w:pStyle w:val="Heading3"/>
        <w:spacing w:before="0" w:after="0" w:line="240" w:lineRule="auto"/>
      </w:pPr>
      <w:bookmarkStart w:id="361" w:name="_Toc197557170"/>
      <w:bookmarkStart w:id="362" w:name="_Toc201512561"/>
      <w:r w:rsidRPr="00E85A89">
        <w:t>Trends over time</w:t>
      </w:r>
      <w:bookmarkEnd w:id="361"/>
      <w:bookmarkEnd w:id="362"/>
    </w:p>
    <w:p w14:paraId="395941B6" w14:textId="5CDB3316" w:rsidR="00A27215" w:rsidRDefault="00A27215" w:rsidP="00A27215">
      <w:pPr>
        <w:spacing w:after="0" w:line="240" w:lineRule="auto"/>
      </w:pPr>
      <w:r>
        <w:t xml:space="preserve">Figure </w:t>
      </w:r>
      <w:r w:rsidR="00C87CE4">
        <w:t>19.5</w:t>
      </w:r>
      <w:r>
        <w:t xml:space="preserve"> shows age</w:t>
      </w:r>
      <w:r w:rsidR="00366242">
        <w:t>-</w:t>
      </w:r>
      <w:r>
        <w:t>standardised mortality rates for kidney cancer from1994 to 2022. In males there was an increase in mortality from 1994 to 2022 (0.7% per year (0.2;1.3)). Similarly, among females there was an increase in mortality from 1994 to 2022 (0.7% per year (0.1;1.4)).</w:t>
      </w:r>
    </w:p>
    <w:p w14:paraId="303AAF9F" w14:textId="77777777" w:rsidR="00A27215" w:rsidRDefault="00A27215" w:rsidP="00A27215">
      <w:pPr>
        <w:spacing w:after="0" w:line="240" w:lineRule="auto"/>
      </w:pPr>
    </w:p>
    <w:tbl>
      <w:tblPr>
        <w:tblStyle w:val="TableGrid"/>
        <w:tblW w:w="9706"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06"/>
      </w:tblGrid>
      <w:tr w:rsidR="00A27215" w:rsidRPr="00D37582" w14:paraId="284929B3" w14:textId="77777777" w:rsidTr="0041177B">
        <w:trPr>
          <w:trHeight w:val="113"/>
        </w:trPr>
        <w:tc>
          <w:tcPr>
            <w:tcW w:w="9706" w:type="dxa"/>
            <w:shd w:val="clear" w:color="auto" w:fill="002060"/>
            <w:vAlign w:val="center"/>
          </w:tcPr>
          <w:p w14:paraId="56702BB2" w14:textId="7BC0AB20" w:rsidR="00A27215" w:rsidRPr="00D37582" w:rsidRDefault="00A27215" w:rsidP="0041177B">
            <w:pPr>
              <w:rPr>
                <w:rFonts w:asciiTheme="minorHAnsi" w:hAnsiTheme="minorHAnsi"/>
                <w:b/>
                <w:bCs/>
              </w:rPr>
            </w:pPr>
            <w:r w:rsidRPr="00D37582">
              <w:rPr>
                <w:rFonts w:asciiTheme="minorHAnsi" w:hAnsiTheme="minorHAnsi"/>
                <w:b/>
                <w:bCs/>
              </w:rPr>
              <w:t xml:space="preserve">Figure </w:t>
            </w:r>
            <w:r w:rsidR="00C87CE4">
              <w:rPr>
                <w:rFonts w:asciiTheme="minorHAnsi" w:hAnsiTheme="minorHAnsi"/>
                <w:b/>
                <w:bCs/>
              </w:rPr>
              <w:t>19.5:</w:t>
            </w:r>
            <w:r w:rsidRPr="00D37582">
              <w:rPr>
                <w:rFonts w:asciiTheme="minorHAnsi" w:hAnsiTheme="minorHAnsi"/>
                <w:b/>
                <w:bCs/>
              </w:rPr>
              <w:t xml:space="preserve">  Age-</w:t>
            </w:r>
            <w:r w:rsidRPr="00D37582">
              <w:rPr>
                <w:rFonts w:asciiTheme="minorHAnsi" w:hAnsiTheme="minorHAnsi"/>
                <w:b/>
                <w:bCs/>
                <w:bdr w:val="single" w:sz="4" w:space="0" w:color="auto"/>
              </w:rPr>
              <w:t>standardised mortality rate 1994-2022, kidney cancer</w:t>
            </w:r>
          </w:p>
        </w:tc>
      </w:tr>
      <w:tr w:rsidR="00A27215" w:rsidRPr="00D37582" w14:paraId="1799660A" w14:textId="77777777" w:rsidTr="0041177B">
        <w:trPr>
          <w:trHeight w:val="4154"/>
        </w:trPr>
        <w:tc>
          <w:tcPr>
            <w:tcW w:w="9706" w:type="dxa"/>
            <w:vAlign w:val="center"/>
          </w:tcPr>
          <w:p w14:paraId="19D1904C" w14:textId="77777777" w:rsidR="00A27215" w:rsidRPr="00D37582" w:rsidRDefault="00A27215" w:rsidP="0041177B">
            <w:pPr>
              <w:jc w:val="center"/>
              <w:rPr>
                <w:rFonts w:asciiTheme="minorHAnsi" w:hAnsiTheme="minorHAnsi"/>
              </w:rPr>
            </w:pPr>
            <w:r>
              <w:rPr>
                <w:noProof/>
              </w:rPr>
              <w:drawing>
                <wp:inline distT="0" distB="0" distL="0" distR="0" wp14:anchorId="178B09CC" wp14:editId="65C91D26">
                  <wp:extent cx="5883275" cy="3084830"/>
                  <wp:effectExtent l="0" t="0" r="3175" b="1270"/>
                  <wp:docPr id="1878672335" name="Picture 2" descr="A graph of different colored dot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672335" name="Picture 2" descr="A graph of different colored dots and numbers&#10;&#10;AI-generated content may be incorrect."/>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883275" cy="3084830"/>
                          </a:xfrm>
                          <a:prstGeom prst="rect">
                            <a:avLst/>
                          </a:prstGeom>
                          <a:noFill/>
                        </pic:spPr>
                      </pic:pic>
                    </a:graphicData>
                  </a:graphic>
                </wp:inline>
              </w:drawing>
            </w:r>
          </w:p>
        </w:tc>
      </w:tr>
      <w:tr w:rsidR="00A27215" w:rsidRPr="00D37582" w14:paraId="30AB9698" w14:textId="77777777" w:rsidTr="0041177B">
        <w:trPr>
          <w:trHeight w:val="113"/>
        </w:trPr>
        <w:tc>
          <w:tcPr>
            <w:tcW w:w="9706" w:type="dxa"/>
            <w:vAlign w:val="center"/>
          </w:tcPr>
          <w:tbl>
            <w:tblPr>
              <w:tblpPr w:leftFromText="180" w:rightFromText="180" w:vertAnchor="page" w:horzAnchor="margin" w:tblpXSpec="center" w:tblpY="1"/>
              <w:tblOverlap w:val="never"/>
              <w:tblW w:w="0" w:type="auto"/>
              <w:tblCellMar>
                <w:top w:w="15" w:type="dxa"/>
                <w:bottom w:w="15" w:type="dxa"/>
              </w:tblCellMar>
              <w:tblLook w:val="04A0" w:firstRow="1" w:lastRow="0" w:firstColumn="1" w:lastColumn="0" w:noHBand="0" w:noVBand="1"/>
            </w:tblPr>
            <w:tblGrid>
              <w:gridCol w:w="530"/>
              <w:gridCol w:w="1139"/>
              <w:gridCol w:w="771"/>
              <w:gridCol w:w="856"/>
              <w:gridCol w:w="706"/>
              <w:gridCol w:w="530"/>
              <w:gridCol w:w="1139"/>
              <w:gridCol w:w="771"/>
              <w:gridCol w:w="856"/>
              <w:gridCol w:w="706"/>
            </w:tblGrid>
            <w:tr w:rsidR="00A27215" w:rsidRPr="00D37582" w14:paraId="7DCD0AB3" w14:textId="77777777" w:rsidTr="0041177B">
              <w:trPr>
                <w:trHeight w:val="113"/>
              </w:trPr>
              <w:tc>
                <w:tcPr>
                  <w:tcW w:w="0" w:type="auto"/>
                  <w:vAlign w:val="center"/>
                </w:tcPr>
                <w:p w14:paraId="72EC4A79" w14:textId="77777777" w:rsidR="00A27215" w:rsidRPr="00D37582" w:rsidRDefault="00A27215" w:rsidP="0041177B">
                  <w:r w:rsidRPr="00931151">
                    <w:rPr>
                      <w:rFonts w:eastAsia="Times New Roman" w:cs="Times New Roman"/>
                      <w:b/>
                      <w:bCs/>
                      <w:color w:val="000000"/>
                      <w:kern w:val="0"/>
                      <w:sz w:val="20"/>
                      <w:szCs w:val="20"/>
                      <w:u w:val="single"/>
                      <w:lang w:eastAsia="en-GB"/>
                      <w14:ligatures w14:val="none"/>
                    </w:rPr>
                    <w:t>sex</w:t>
                  </w:r>
                </w:p>
              </w:tc>
              <w:tc>
                <w:tcPr>
                  <w:tcW w:w="0" w:type="auto"/>
                  <w:vAlign w:val="center"/>
                </w:tcPr>
                <w:p w14:paraId="6DF1F0AD" w14:textId="77777777" w:rsidR="00A27215" w:rsidRPr="00D37582" w:rsidRDefault="00A27215" w:rsidP="0041177B">
                  <w:r w:rsidRPr="00931151">
                    <w:rPr>
                      <w:rFonts w:eastAsia="Times New Roman" w:cs="Times New Roman"/>
                      <w:b/>
                      <w:bCs/>
                      <w:color w:val="000000"/>
                      <w:kern w:val="0"/>
                      <w:sz w:val="20"/>
                      <w:szCs w:val="20"/>
                      <w:u w:val="single"/>
                      <w:lang w:eastAsia="en-GB"/>
                      <w14:ligatures w14:val="none"/>
                    </w:rPr>
                    <w:t>period</w:t>
                  </w:r>
                </w:p>
              </w:tc>
              <w:tc>
                <w:tcPr>
                  <w:tcW w:w="0" w:type="auto"/>
                  <w:vAlign w:val="center"/>
                </w:tcPr>
                <w:p w14:paraId="75AB0C43" w14:textId="77777777" w:rsidR="00A27215" w:rsidRPr="00D37582" w:rsidRDefault="00A27215" w:rsidP="0041177B">
                  <w:r w:rsidRPr="00931151">
                    <w:rPr>
                      <w:rFonts w:eastAsia="Times New Roman" w:cs="Times New Roman"/>
                      <w:b/>
                      <w:bCs/>
                      <w:color w:val="000000"/>
                      <w:kern w:val="0"/>
                      <w:sz w:val="20"/>
                      <w:szCs w:val="20"/>
                      <w:u w:val="single"/>
                      <w:lang w:eastAsia="en-GB"/>
                      <w14:ligatures w14:val="none"/>
                    </w:rPr>
                    <w:t>APC%</w:t>
                  </w:r>
                </w:p>
              </w:tc>
              <w:tc>
                <w:tcPr>
                  <w:tcW w:w="0" w:type="auto"/>
                  <w:vAlign w:val="center"/>
                </w:tcPr>
                <w:p w14:paraId="3E026A70" w14:textId="77777777" w:rsidR="00A27215" w:rsidRPr="00D37582" w:rsidRDefault="00A27215" w:rsidP="0041177B">
                  <w:r w:rsidRPr="00931151">
                    <w:rPr>
                      <w:rFonts w:eastAsia="Times New Roman" w:cs="Times New Roman"/>
                      <w:b/>
                      <w:bCs/>
                      <w:color w:val="000000"/>
                      <w:kern w:val="0"/>
                      <w:sz w:val="20"/>
                      <w:szCs w:val="20"/>
                      <w:u w:val="single"/>
                      <w:lang w:eastAsia="en-GB"/>
                      <w14:ligatures w14:val="none"/>
                    </w:rPr>
                    <w:t>95%CI</w:t>
                  </w:r>
                </w:p>
              </w:tc>
              <w:tc>
                <w:tcPr>
                  <w:tcW w:w="0" w:type="auto"/>
                  <w:tcBorders>
                    <w:right w:val="single" w:sz="4" w:space="0" w:color="auto"/>
                  </w:tcBorders>
                  <w:vAlign w:val="center"/>
                </w:tcPr>
                <w:p w14:paraId="7DBA2D84" w14:textId="77777777" w:rsidR="00A27215" w:rsidRPr="00D37582" w:rsidRDefault="00A27215" w:rsidP="0041177B">
                  <w:r w:rsidRPr="00931151">
                    <w:rPr>
                      <w:rFonts w:eastAsia="Times New Roman" w:cs="Times New Roman"/>
                      <w:b/>
                      <w:bCs/>
                      <w:color w:val="000000"/>
                      <w:kern w:val="0"/>
                      <w:sz w:val="20"/>
                      <w:szCs w:val="20"/>
                      <w:u w:val="single"/>
                      <w:lang w:eastAsia="en-GB"/>
                      <w14:ligatures w14:val="none"/>
                    </w:rPr>
                    <w:t>trend</w:t>
                  </w:r>
                </w:p>
              </w:tc>
              <w:tc>
                <w:tcPr>
                  <w:tcW w:w="0" w:type="auto"/>
                  <w:tcBorders>
                    <w:left w:val="single" w:sz="4" w:space="0" w:color="auto"/>
                  </w:tcBorders>
                  <w:vAlign w:val="center"/>
                </w:tcPr>
                <w:p w14:paraId="6A711132" w14:textId="77777777" w:rsidR="00A27215" w:rsidRPr="00D37582" w:rsidRDefault="00A27215" w:rsidP="0041177B">
                  <w:r w:rsidRPr="00931151">
                    <w:rPr>
                      <w:rFonts w:eastAsia="Times New Roman" w:cs="Times New Roman"/>
                      <w:b/>
                      <w:bCs/>
                      <w:color w:val="000000"/>
                      <w:kern w:val="0"/>
                      <w:sz w:val="20"/>
                      <w:szCs w:val="20"/>
                      <w:u w:val="single"/>
                      <w:lang w:eastAsia="en-GB"/>
                      <w14:ligatures w14:val="none"/>
                    </w:rPr>
                    <w:t>sex</w:t>
                  </w:r>
                </w:p>
              </w:tc>
              <w:tc>
                <w:tcPr>
                  <w:tcW w:w="0" w:type="auto"/>
                  <w:vAlign w:val="center"/>
                </w:tcPr>
                <w:p w14:paraId="0EAD88E7" w14:textId="77777777" w:rsidR="00A27215" w:rsidRPr="00D37582" w:rsidRDefault="00A27215" w:rsidP="0041177B">
                  <w:r w:rsidRPr="00931151">
                    <w:rPr>
                      <w:rFonts w:eastAsia="Times New Roman" w:cs="Times New Roman"/>
                      <w:b/>
                      <w:bCs/>
                      <w:color w:val="000000"/>
                      <w:kern w:val="0"/>
                      <w:sz w:val="20"/>
                      <w:szCs w:val="20"/>
                      <w:u w:val="single"/>
                      <w:lang w:eastAsia="en-GB"/>
                      <w14:ligatures w14:val="none"/>
                    </w:rPr>
                    <w:t>period</w:t>
                  </w:r>
                </w:p>
              </w:tc>
              <w:tc>
                <w:tcPr>
                  <w:tcW w:w="0" w:type="auto"/>
                  <w:vAlign w:val="center"/>
                </w:tcPr>
                <w:p w14:paraId="3269C250" w14:textId="77777777" w:rsidR="00A27215" w:rsidRPr="00D37582" w:rsidRDefault="00A27215" w:rsidP="0041177B">
                  <w:r w:rsidRPr="00931151">
                    <w:rPr>
                      <w:rFonts w:eastAsia="Times New Roman" w:cs="Times New Roman"/>
                      <w:b/>
                      <w:bCs/>
                      <w:color w:val="000000"/>
                      <w:kern w:val="0"/>
                      <w:sz w:val="20"/>
                      <w:szCs w:val="20"/>
                      <w:u w:val="single"/>
                      <w:lang w:eastAsia="en-GB"/>
                      <w14:ligatures w14:val="none"/>
                    </w:rPr>
                    <w:t>APC%</w:t>
                  </w:r>
                </w:p>
              </w:tc>
              <w:tc>
                <w:tcPr>
                  <w:tcW w:w="0" w:type="auto"/>
                  <w:vAlign w:val="center"/>
                </w:tcPr>
                <w:p w14:paraId="1E5039FA" w14:textId="77777777" w:rsidR="00A27215" w:rsidRPr="00D37582" w:rsidRDefault="00A27215" w:rsidP="0041177B">
                  <w:r w:rsidRPr="00931151">
                    <w:rPr>
                      <w:rFonts w:eastAsia="Times New Roman" w:cs="Times New Roman"/>
                      <w:b/>
                      <w:bCs/>
                      <w:color w:val="000000"/>
                      <w:kern w:val="0"/>
                      <w:sz w:val="20"/>
                      <w:szCs w:val="20"/>
                      <w:u w:val="single"/>
                      <w:lang w:eastAsia="en-GB"/>
                      <w14:ligatures w14:val="none"/>
                    </w:rPr>
                    <w:t>95%CI</w:t>
                  </w:r>
                </w:p>
              </w:tc>
              <w:tc>
                <w:tcPr>
                  <w:tcW w:w="0" w:type="auto"/>
                  <w:vAlign w:val="center"/>
                </w:tcPr>
                <w:p w14:paraId="06CCE72B" w14:textId="77777777" w:rsidR="00A27215" w:rsidRPr="00D37582" w:rsidRDefault="00A27215" w:rsidP="0041177B">
                  <w:r w:rsidRPr="00931151">
                    <w:rPr>
                      <w:rFonts w:eastAsia="Times New Roman" w:cs="Times New Roman"/>
                      <w:b/>
                      <w:bCs/>
                      <w:color w:val="000000"/>
                      <w:kern w:val="0"/>
                      <w:sz w:val="20"/>
                      <w:szCs w:val="20"/>
                      <w:u w:val="single"/>
                      <w:lang w:eastAsia="en-GB"/>
                      <w14:ligatures w14:val="none"/>
                    </w:rPr>
                    <w:t>trend</w:t>
                  </w:r>
                </w:p>
              </w:tc>
            </w:tr>
            <w:tr w:rsidR="00A27215" w:rsidRPr="00D37582" w14:paraId="2B6595FA" w14:textId="77777777" w:rsidTr="0041177B">
              <w:trPr>
                <w:trHeight w:val="113"/>
              </w:trPr>
              <w:tc>
                <w:tcPr>
                  <w:tcW w:w="0" w:type="auto"/>
                  <w:tcBorders>
                    <w:top w:val="nil"/>
                    <w:left w:val="nil"/>
                    <w:bottom w:val="nil"/>
                    <w:right w:val="nil"/>
                  </w:tcBorders>
                  <w:vAlign w:val="center"/>
                </w:tcPr>
                <w:p w14:paraId="3E206A11" w14:textId="77777777" w:rsidR="00A27215" w:rsidRPr="006C1E34" w:rsidRDefault="00A27215" w:rsidP="0041177B">
                  <w:pPr>
                    <w:rPr>
                      <w:color w:val="000000"/>
                      <w:sz w:val="20"/>
                      <w:szCs w:val="20"/>
                    </w:rPr>
                  </w:pPr>
                  <w:r w:rsidRPr="006C1E34">
                    <w:rPr>
                      <w:color w:val="000000"/>
                      <w:sz w:val="20"/>
                      <w:szCs w:val="20"/>
                    </w:rPr>
                    <w:t>M</w:t>
                  </w:r>
                </w:p>
              </w:tc>
              <w:tc>
                <w:tcPr>
                  <w:tcW w:w="0" w:type="auto"/>
                  <w:tcBorders>
                    <w:top w:val="nil"/>
                    <w:left w:val="nil"/>
                    <w:bottom w:val="nil"/>
                    <w:right w:val="nil"/>
                  </w:tcBorders>
                  <w:vAlign w:val="center"/>
                </w:tcPr>
                <w:p w14:paraId="7C91DD85" w14:textId="77777777" w:rsidR="00A27215" w:rsidRPr="006C1E34" w:rsidRDefault="00A27215" w:rsidP="0041177B">
                  <w:pPr>
                    <w:rPr>
                      <w:color w:val="000000"/>
                      <w:sz w:val="20"/>
                      <w:szCs w:val="20"/>
                    </w:rPr>
                  </w:pPr>
                  <w:r w:rsidRPr="006C1E34">
                    <w:rPr>
                      <w:color w:val="000000"/>
                      <w:sz w:val="20"/>
                      <w:szCs w:val="20"/>
                    </w:rPr>
                    <w:t>1994-2022</w:t>
                  </w:r>
                </w:p>
              </w:tc>
              <w:tc>
                <w:tcPr>
                  <w:tcW w:w="0" w:type="auto"/>
                  <w:tcBorders>
                    <w:top w:val="nil"/>
                    <w:left w:val="nil"/>
                    <w:bottom w:val="nil"/>
                    <w:right w:val="nil"/>
                  </w:tcBorders>
                  <w:vAlign w:val="center"/>
                </w:tcPr>
                <w:p w14:paraId="02EC453C" w14:textId="77777777" w:rsidR="00A27215" w:rsidRPr="006C1E34" w:rsidRDefault="00A27215" w:rsidP="0041177B">
                  <w:pPr>
                    <w:rPr>
                      <w:color w:val="000000"/>
                      <w:sz w:val="20"/>
                      <w:szCs w:val="20"/>
                    </w:rPr>
                  </w:pPr>
                  <w:r w:rsidRPr="006C1E34">
                    <w:rPr>
                      <w:color w:val="000000"/>
                      <w:sz w:val="20"/>
                      <w:szCs w:val="20"/>
                    </w:rPr>
                    <w:t>0.7</w:t>
                  </w:r>
                </w:p>
              </w:tc>
              <w:tc>
                <w:tcPr>
                  <w:tcW w:w="0" w:type="auto"/>
                  <w:tcBorders>
                    <w:top w:val="nil"/>
                    <w:left w:val="nil"/>
                    <w:bottom w:val="nil"/>
                    <w:right w:val="nil"/>
                  </w:tcBorders>
                  <w:vAlign w:val="center"/>
                </w:tcPr>
                <w:p w14:paraId="3D28C379" w14:textId="77777777" w:rsidR="00A27215" w:rsidRPr="006C1E34" w:rsidRDefault="00A27215" w:rsidP="0041177B">
                  <w:pPr>
                    <w:rPr>
                      <w:color w:val="000000"/>
                      <w:sz w:val="20"/>
                      <w:szCs w:val="20"/>
                    </w:rPr>
                  </w:pPr>
                  <w:r w:rsidRPr="006C1E34">
                    <w:rPr>
                      <w:color w:val="000000"/>
                      <w:sz w:val="20"/>
                      <w:szCs w:val="20"/>
                    </w:rPr>
                    <w:t>0.2, 1.3</w:t>
                  </w:r>
                </w:p>
              </w:tc>
              <w:tc>
                <w:tcPr>
                  <w:tcW w:w="0" w:type="auto"/>
                  <w:tcBorders>
                    <w:top w:val="nil"/>
                    <w:left w:val="nil"/>
                    <w:bottom w:val="nil"/>
                    <w:right w:val="single" w:sz="4" w:space="0" w:color="auto"/>
                  </w:tcBorders>
                  <w:vAlign w:val="center"/>
                </w:tcPr>
                <w:p w14:paraId="5FDFC708" w14:textId="77777777" w:rsidR="00A27215" w:rsidRPr="006C1E34" w:rsidRDefault="00A27215" w:rsidP="0041177B">
                  <w:pPr>
                    <w:rPr>
                      <w:color w:val="000000"/>
                      <w:sz w:val="20"/>
                      <w:szCs w:val="20"/>
                    </w:rPr>
                  </w:pPr>
                  <w:r w:rsidRPr="006C1E34">
                    <w:rPr>
                      <w:color w:val="000000"/>
                      <w:sz w:val="20"/>
                      <w:szCs w:val="20"/>
                    </w:rPr>
                    <w:t>up</w:t>
                  </w:r>
                </w:p>
              </w:tc>
              <w:tc>
                <w:tcPr>
                  <w:tcW w:w="0" w:type="auto"/>
                  <w:tcBorders>
                    <w:top w:val="nil"/>
                    <w:left w:val="single" w:sz="4" w:space="0" w:color="auto"/>
                    <w:bottom w:val="nil"/>
                    <w:right w:val="nil"/>
                  </w:tcBorders>
                  <w:vAlign w:val="center"/>
                </w:tcPr>
                <w:p w14:paraId="26E37917" w14:textId="77777777" w:rsidR="00A27215" w:rsidRPr="006C1E34" w:rsidRDefault="00A27215" w:rsidP="0041177B">
                  <w:pPr>
                    <w:rPr>
                      <w:color w:val="000000"/>
                      <w:sz w:val="20"/>
                      <w:szCs w:val="20"/>
                    </w:rPr>
                  </w:pPr>
                  <w:r w:rsidRPr="006C1E34">
                    <w:rPr>
                      <w:color w:val="000000"/>
                      <w:sz w:val="20"/>
                      <w:szCs w:val="20"/>
                    </w:rPr>
                    <w:t>F</w:t>
                  </w:r>
                </w:p>
              </w:tc>
              <w:tc>
                <w:tcPr>
                  <w:tcW w:w="0" w:type="auto"/>
                  <w:tcBorders>
                    <w:top w:val="nil"/>
                    <w:left w:val="nil"/>
                    <w:bottom w:val="nil"/>
                    <w:right w:val="nil"/>
                  </w:tcBorders>
                  <w:vAlign w:val="center"/>
                </w:tcPr>
                <w:p w14:paraId="7FA93281" w14:textId="77777777" w:rsidR="00A27215" w:rsidRPr="006C1E34" w:rsidRDefault="00A27215" w:rsidP="0041177B">
                  <w:pPr>
                    <w:rPr>
                      <w:color w:val="000000"/>
                      <w:sz w:val="20"/>
                      <w:szCs w:val="20"/>
                    </w:rPr>
                  </w:pPr>
                  <w:r w:rsidRPr="006C1E34">
                    <w:rPr>
                      <w:color w:val="000000"/>
                      <w:sz w:val="20"/>
                      <w:szCs w:val="20"/>
                    </w:rPr>
                    <w:t>1994-2022</w:t>
                  </w:r>
                </w:p>
              </w:tc>
              <w:tc>
                <w:tcPr>
                  <w:tcW w:w="0" w:type="auto"/>
                  <w:tcBorders>
                    <w:top w:val="nil"/>
                    <w:left w:val="nil"/>
                    <w:bottom w:val="nil"/>
                    <w:right w:val="nil"/>
                  </w:tcBorders>
                  <w:vAlign w:val="center"/>
                </w:tcPr>
                <w:p w14:paraId="19038630" w14:textId="77777777" w:rsidR="00A27215" w:rsidRPr="006C1E34" w:rsidRDefault="00A27215" w:rsidP="0041177B">
                  <w:pPr>
                    <w:rPr>
                      <w:color w:val="000000"/>
                      <w:sz w:val="20"/>
                      <w:szCs w:val="20"/>
                    </w:rPr>
                  </w:pPr>
                  <w:r w:rsidRPr="006C1E34">
                    <w:rPr>
                      <w:color w:val="000000"/>
                      <w:sz w:val="20"/>
                      <w:szCs w:val="20"/>
                    </w:rPr>
                    <w:t>0.7</w:t>
                  </w:r>
                </w:p>
              </w:tc>
              <w:tc>
                <w:tcPr>
                  <w:tcW w:w="0" w:type="auto"/>
                  <w:tcBorders>
                    <w:top w:val="nil"/>
                    <w:left w:val="nil"/>
                    <w:bottom w:val="nil"/>
                    <w:right w:val="nil"/>
                  </w:tcBorders>
                  <w:vAlign w:val="center"/>
                </w:tcPr>
                <w:p w14:paraId="373F94B6" w14:textId="77777777" w:rsidR="00A27215" w:rsidRPr="006C1E34" w:rsidRDefault="00A27215" w:rsidP="0041177B">
                  <w:pPr>
                    <w:rPr>
                      <w:color w:val="000000"/>
                      <w:sz w:val="20"/>
                      <w:szCs w:val="20"/>
                    </w:rPr>
                  </w:pPr>
                  <w:r w:rsidRPr="006C1E34">
                    <w:rPr>
                      <w:color w:val="000000"/>
                      <w:sz w:val="20"/>
                      <w:szCs w:val="20"/>
                    </w:rPr>
                    <w:t>0.1, 1.4</w:t>
                  </w:r>
                </w:p>
              </w:tc>
              <w:tc>
                <w:tcPr>
                  <w:tcW w:w="0" w:type="auto"/>
                  <w:vAlign w:val="center"/>
                </w:tcPr>
                <w:p w14:paraId="1D38E994" w14:textId="77777777" w:rsidR="00A27215" w:rsidRPr="006C1E34" w:rsidRDefault="00A27215" w:rsidP="0041177B">
                  <w:pPr>
                    <w:rPr>
                      <w:color w:val="000000"/>
                      <w:sz w:val="20"/>
                      <w:szCs w:val="20"/>
                    </w:rPr>
                  </w:pPr>
                  <w:r w:rsidRPr="006C1E34">
                    <w:rPr>
                      <w:color w:val="000000"/>
                      <w:sz w:val="20"/>
                      <w:szCs w:val="20"/>
                    </w:rPr>
                    <w:t>up</w:t>
                  </w:r>
                </w:p>
              </w:tc>
            </w:tr>
          </w:tbl>
          <w:p w14:paraId="73376F09" w14:textId="77777777" w:rsidR="00A27215" w:rsidRPr="00D37582" w:rsidRDefault="00A27215" w:rsidP="0041177B">
            <w:pPr>
              <w:jc w:val="center"/>
              <w:rPr>
                <w:rFonts w:eastAsia="Times New Roman" w:cs="Times New Roman"/>
                <w:b/>
                <w:bCs/>
                <w:color w:val="000000"/>
                <w:sz w:val="14"/>
                <w:szCs w:val="14"/>
                <w:u w:val="single"/>
                <w:lang w:eastAsia="en-GB"/>
              </w:rPr>
            </w:pPr>
          </w:p>
        </w:tc>
      </w:tr>
      <w:tr w:rsidR="00A27215" w:rsidRPr="00D37582" w14:paraId="673C10A5" w14:textId="77777777" w:rsidTr="0041177B">
        <w:trPr>
          <w:trHeight w:val="113"/>
        </w:trPr>
        <w:tc>
          <w:tcPr>
            <w:tcW w:w="9706" w:type="dxa"/>
            <w:vAlign w:val="center"/>
          </w:tcPr>
          <w:p w14:paraId="41BD1578" w14:textId="77777777" w:rsidR="00A27215" w:rsidRPr="00D37582" w:rsidRDefault="00A27215" w:rsidP="0041177B">
            <w:pPr>
              <w:pBdr>
                <w:bottom w:val="single" w:sz="4" w:space="1" w:color="auto"/>
              </w:pBdr>
              <w:rPr>
                <w:rFonts w:asciiTheme="minorHAnsi" w:hAnsiTheme="minorHAnsi"/>
                <w:bCs/>
                <w:sz w:val="18"/>
                <w:szCs w:val="16"/>
              </w:rPr>
            </w:pPr>
            <w:r w:rsidRPr="00D37582">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0DED64AE" w14:textId="77777777" w:rsidR="00A27215" w:rsidRPr="00D37582" w:rsidRDefault="00A27215" w:rsidP="0041177B">
            <w:pPr>
              <w:rPr>
                <w:rFonts w:asciiTheme="minorHAnsi" w:hAnsiTheme="minorHAnsi"/>
                <w:b/>
                <w:bCs/>
                <w:noProof/>
                <w:sz w:val="14"/>
                <w:szCs w:val="14"/>
                <w:u w:val="single"/>
              </w:rPr>
            </w:pPr>
          </w:p>
        </w:tc>
      </w:tr>
    </w:tbl>
    <w:p w14:paraId="065774F1" w14:textId="77777777" w:rsidR="00A27215" w:rsidRDefault="00A27215" w:rsidP="00A27215">
      <w:pPr>
        <w:spacing w:after="0" w:line="240" w:lineRule="auto"/>
        <w:sectPr w:rsidR="00A27215" w:rsidSect="002746C0">
          <w:pgSz w:w="11906" w:h="16838"/>
          <w:pgMar w:top="1440" w:right="1440" w:bottom="1440" w:left="1440" w:header="708" w:footer="708" w:gutter="0"/>
          <w:cols w:space="708"/>
          <w:docGrid w:linePitch="360"/>
        </w:sectPr>
      </w:pPr>
    </w:p>
    <w:p w14:paraId="642E03B6" w14:textId="77777777" w:rsidR="00A27215" w:rsidRDefault="00A27215" w:rsidP="00A27215">
      <w:pPr>
        <w:pStyle w:val="Heading2"/>
        <w:spacing w:before="0" w:after="0" w:line="240" w:lineRule="auto"/>
      </w:pPr>
      <w:bookmarkStart w:id="363" w:name="_Toc197557171"/>
      <w:bookmarkStart w:id="364" w:name="_Toc201512562"/>
      <w:r>
        <w:t>Survival</w:t>
      </w:r>
      <w:bookmarkEnd w:id="363"/>
      <w:bookmarkEnd w:id="364"/>
      <w:r>
        <w:t xml:space="preserve"> </w:t>
      </w:r>
    </w:p>
    <w:p w14:paraId="545145DE" w14:textId="660FD4BE" w:rsidR="00A27215" w:rsidRDefault="00A27215" w:rsidP="00A27215">
      <w:pPr>
        <w:spacing w:after="0" w:line="240" w:lineRule="auto"/>
        <w:rPr>
          <w:rFonts w:cstheme="minorHAnsi"/>
        </w:rPr>
      </w:pPr>
      <w:r w:rsidRPr="00447F66">
        <w:rPr>
          <w:rFonts w:cstheme="minorHAnsi"/>
        </w:rPr>
        <w:t>Overall</w:t>
      </w:r>
      <w:r>
        <w:rPr>
          <w:rFonts w:cstheme="minorHAnsi"/>
        </w:rPr>
        <w:t xml:space="preserve">, </w:t>
      </w:r>
      <w:r w:rsidRPr="00447F66">
        <w:rPr>
          <w:rFonts w:cstheme="minorHAnsi"/>
        </w:rPr>
        <w:t xml:space="preserve">5-year net survival for kidney cancer was 69% for cases diagnosed during 2019-2022 (Figure </w:t>
      </w:r>
      <w:r w:rsidR="00C87CE4">
        <w:rPr>
          <w:rFonts w:cstheme="minorHAnsi"/>
        </w:rPr>
        <w:t>19.6</w:t>
      </w:r>
      <w:r w:rsidRPr="00447F66">
        <w:rPr>
          <w:rFonts w:cstheme="minorHAnsi"/>
        </w:rPr>
        <w:t xml:space="preserve">). </w:t>
      </w:r>
      <w:r>
        <w:rPr>
          <w:rFonts w:cstheme="minorHAnsi"/>
        </w:rPr>
        <w:t>Five</w:t>
      </w:r>
      <w:r w:rsidRPr="00447F66">
        <w:rPr>
          <w:rFonts w:cstheme="minorHAnsi"/>
        </w:rPr>
        <w:t>-year net survival for 2019-202</w:t>
      </w:r>
      <w:r>
        <w:rPr>
          <w:rFonts w:cstheme="minorHAnsi"/>
        </w:rPr>
        <w:t>2</w:t>
      </w:r>
      <w:r w:rsidRPr="00447F66">
        <w:rPr>
          <w:rFonts w:cstheme="minorHAnsi"/>
        </w:rPr>
        <w:t xml:space="preserve"> was higher (71%) </w:t>
      </w:r>
      <w:r>
        <w:rPr>
          <w:rFonts w:cstheme="minorHAnsi"/>
        </w:rPr>
        <w:t xml:space="preserve">among females </w:t>
      </w:r>
      <w:r w:rsidRPr="00447F66">
        <w:rPr>
          <w:rFonts w:cstheme="minorHAnsi"/>
        </w:rPr>
        <w:t>than for males (68%). Survival improved steadily across periods in both sexes.</w:t>
      </w:r>
    </w:p>
    <w:p w14:paraId="4CF22CF0" w14:textId="77777777" w:rsidR="00A27215" w:rsidRDefault="00A27215" w:rsidP="00A27215">
      <w:pPr>
        <w:spacing w:after="0" w:line="240" w:lineRule="auto"/>
        <w:rPr>
          <w:rFonts w:cstheme="minorHAnsi"/>
        </w:rPr>
      </w:pPr>
    </w:p>
    <w:tbl>
      <w:tblPr>
        <w:tblStyle w:val="TableGrid"/>
        <w:tblW w:w="901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1"/>
        <w:gridCol w:w="3009"/>
        <w:gridCol w:w="3006"/>
      </w:tblGrid>
      <w:tr w:rsidR="00A27215" w:rsidRPr="004F3E88" w14:paraId="46F40EBC" w14:textId="77777777" w:rsidTr="0041177B">
        <w:trPr>
          <w:trHeight w:val="113"/>
        </w:trPr>
        <w:tc>
          <w:tcPr>
            <w:tcW w:w="9016" w:type="dxa"/>
            <w:gridSpan w:val="3"/>
            <w:shd w:val="clear" w:color="auto" w:fill="002060"/>
          </w:tcPr>
          <w:p w14:paraId="01B2E47C" w14:textId="309C35B2" w:rsidR="00A27215" w:rsidRPr="00C87CE4" w:rsidRDefault="00A27215" w:rsidP="0041177B">
            <w:pPr>
              <w:rPr>
                <w:rFonts w:asciiTheme="minorHAnsi" w:hAnsiTheme="minorHAnsi" w:cstheme="minorHAnsi"/>
                <w:b/>
                <w:bCs/>
              </w:rPr>
            </w:pPr>
            <w:r w:rsidRPr="00C87CE4">
              <w:rPr>
                <w:rFonts w:asciiTheme="minorHAnsi" w:hAnsiTheme="minorHAnsi" w:cstheme="minorHAnsi"/>
                <w:b/>
                <w:bCs/>
              </w:rPr>
              <w:t xml:space="preserve">Figure </w:t>
            </w:r>
            <w:r w:rsidR="00C87CE4" w:rsidRPr="00C87CE4">
              <w:rPr>
                <w:rFonts w:asciiTheme="minorHAnsi" w:hAnsiTheme="minorHAnsi" w:cstheme="minorHAnsi"/>
                <w:b/>
                <w:bCs/>
              </w:rPr>
              <w:t>19.6:</w:t>
            </w:r>
            <w:r w:rsidRPr="00C87CE4">
              <w:rPr>
                <w:rFonts w:asciiTheme="minorHAnsi" w:hAnsiTheme="minorHAnsi" w:cstheme="minorHAnsi"/>
                <w:b/>
                <w:bCs/>
              </w:rPr>
              <w:t xml:space="preserve"> Age-standardised 5-year net survival (%) for kidney cancer over six consecutive diagnosis periods</w:t>
            </w:r>
          </w:p>
        </w:tc>
      </w:tr>
      <w:tr w:rsidR="00A27215" w:rsidRPr="004F3E88" w14:paraId="23AFB2A3" w14:textId="77777777" w:rsidTr="0041177B">
        <w:trPr>
          <w:trHeight w:val="113"/>
        </w:trPr>
        <w:tc>
          <w:tcPr>
            <w:tcW w:w="2511" w:type="dxa"/>
            <w:shd w:val="clear" w:color="auto" w:fill="auto"/>
          </w:tcPr>
          <w:p w14:paraId="1BE62A27" w14:textId="77777777" w:rsidR="00A27215" w:rsidRPr="004F3E88" w:rsidRDefault="00A27215" w:rsidP="0041177B">
            <w:pPr>
              <w:jc w:val="center"/>
              <w:rPr>
                <w:rFonts w:asciiTheme="minorHAnsi" w:hAnsiTheme="minorHAnsi" w:cstheme="minorHAnsi"/>
                <w:color w:val="000000" w:themeColor="text1"/>
              </w:rPr>
            </w:pPr>
            <w:r w:rsidRPr="004F3E88">
              <w:rPr>
                <w:rFonts w:asciiTheme="minorHAnsi" w:hAnsiTheme="minorHAnsi" w:cstheme="minorHAnsi"/>
                <w:color w:val="000000" w:themeColor="text1"/>
              </w:rPr>
              <w:t>Total</w:t>
            </w:r>
          </w:p>
        </w:tc>
        <w:tc>
          <w:tcPr>
            <w:tcW w:w="3250" w:type="dxa"/>
            <w:shd w:val="clear" w:color="auto" w:fill="auto"/>
          </w:tcPr>
          <w:p w14:paraId="67EBDB34" w14:textId="77777777" w:rsidR="00A27215" w:rsidRPr="004F3E88" w:rsidRDefault="00A27215" w:rsidP="0041177B">
            <w:pPr>
              <w:jc w:val="center"/>
              <w:rPr>
                <w:rFonts w:asciiTheme="minorHAnsi" w:hAnsiTheme="minorHAnsi" w:cstheme="minorHAnsi"/>
                <w:color w:val="000000" w:themeColor="text1"/>
              </w:rPr>
            </w:pPr>
            <w:r w:rsidRPr="004F3E88">
              <w:rPr>
                <w:rFonts w:asciiTheme="minorHAnsi" w:hAnsiTheme="minorHAnsi" w:cstheme="minorHAnsi"/>
                <w:color w:val="000000" w:themeColor="text1"/>
              </w:rPr>
              <w:t>Males</w:t>
            </w:r>
          </w:p>
        </w:tc>
        <w:tc>
          <w:tcPr>
            <w:tcW w:w="3255" w:type="dxa"/>
          </w:tcPr>
          <w:p w14:paraId="5E454D34" w14:textId="77777777" w:rsidR="00A27215" w:rsidRPr="004F3E88" w:rsidRDefault="00A27215" w:rsidP="0041177B">
            <w:pPr>
              <w:jc w:val="center"/>
              <w:rPr>
                <w:rFonts w:asciiTheme="minorHAnsi" w:hAnsiTheme="minorHAnsi" w:cstheme="minorHAnsi"/>
                <w:color w:val="000000" w:themeColor="text1"/>
              </w:rPr>
            </w:pPr>
            <w:r w:rsidRPr="004F3E88">
              <w:rPr>
                <w:rFonts w:asciiTheme="minorHAnsi" w:hAnsiTheme="minorHAnsi" w:cstheme="minorHAnsi"/>
                <w:color w:val="000000" w:themeColor="text1"/>
              </w:rPr>
              <w:t>Females</w:t>
            </w:r>
          </w:p>
        </w:tc>
      </w:tr>
      <w:tr w:rsidR="00A27215" w:rsidRPr="004F3E88" w14:paraId="41550951" w14:textId="77777777" w:rsidTr="0041177B">
        <w:trPr>
          <w:trHeight w:val="113"/>
        </w:trPr>
        <w:tc>
          <w:tcPr>
            <w:tcW w:w="2511" w:type="dxa"/>
            <w:shd w:val="clear" w:color="auto" w:fill="auto"/>
          </w:tcPr>
          <w:p w14:paraId="2664DC87" w14:textId="77777777" w:rsidR="00A27215" w:rsidRPr="004F3E88" w:rsidRDefault="00A27215" w:rsidP="0041177B">
            <w:pPr>
              <w:rPr>
                <w:rFonts w:asciiTheme="minorHAnsi" w:eastAsia="Times New Roman" w:hAnsiTheme="minorHAnsi" w:cs="Times New Roman"/>
                <w:lang w:eastAsia="en-GB"/>
              </w:rPr>
            </w:pPr>
            <w:r w:rsidRPr="004F3E88">
              <w:rPr>
                <w:rFonts w:eastAsia="Times New Roman" w:cs="Times New Roman"/>
                <w:noProof/>
                <w:lang w:eastAsia="en-GB"/>
              </w:rPr>
              <w:drawing>
                <wp:inline distT="0" distB="0" distL="0" distR="0" wp14:anchorId="4180704A" wp14:editId="6F7014DE">
                  <wp:extent cx="1928146" cy="1143000"/>
                  <wp:effectExtent l="0" t="0" r="0" b="0"/>
                  <wp:docPr id="1873230137" name="Picture 19" descr="A graph with numbers and a number of y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230137" name="Picture 19" descr="A graph with numbers and a number of years&#10;&#10;AI-generated content may be incorrect."/>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961826" cy="1162965"/>
                          </a:xfrm>
                          <a:prstGeom prst="rect">
                            <a:avLst/>
                          </a:prstGeom>
                          <a:noFill/>
                          <a:ln>
                            <a:noFill/>
                          </a:ln>
                        </pic:spPr>
                      </pic:pic>
                    </a:graphicData>
                  </a:graphic>
                </wp:inline>
              </w:drawing>
            </w:r>
          </w:p>
        </w:tc>
        <w:tc>
          <w:tcPr>
            <w:tcW w:w="3250" w:type="dxa"/>
            <w:shd w:val="clear" w:color="auto" w:fill="auto"/>
          </w:tcPr>
          <w:p w14:paraId="066CDB32" w14:textId="77777777" w:rsidR="00A27215" w:rsidRPr="004F3E88" w:rsidRDefault="00A27215" w:rsidP="0041177B">
            <w:pPr>
              <w:rPr>
                <w:rFonts w:asciiTheme="minorHAnsi" w:hAnsiTheme="minorHAnsi" w:cstheme="minorHAnsi"/>
                <w:color w:val="000000" w:themeColor="text1"/>
                <w:lang w:val="en-GB"/>
              </w:rPr>
            </w:pPr>
            <w:r w:rsidRPr="004F3E88">
              <w:rPr>
                <w:rFonts w:eastAsia="Times New Roman" w:cs="Times New Roman"/>
                <w:noProof/>
                <w:lang w:eastAsia="en-GB"/>
              </w:rPr>
              <w:drawing>
                <wp:inline distT="0" distB="0" distL="0" distR="0" wp14:anchorId="52027F5E" wp14:editId="79E9AE86">
                  <wp:extent cx="1926457" cy="1133475"/>
                  <wp:effectExtent l="0" t="0" r="0" b="0"/>
                  <wp:docPr id="547141481" name="Picture 20" descr="A graph of numbers and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141481" name="Picture 20" descr="A graph of numbers and a number of numbers&#10;&#10;AI-generated content may be incorrect."/>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957216" cy="1151573"/>
                          </a:xfrm>
                          <a:prstGeom prst="rect">
                            <a:avLst/>
                          </a:prstGeom>
                          <a:noFill/>
                          <a:ln>
                            <a:noFill/>
                          </a:ln>
                        </pic:spPr>
                      </pic:pic>
                    </a:graphicData>
                  </a:graphic>
                </wp:inline>
              </w:drawing>
            </w:r>
          </w:p>
        </w:tc>
        <w:tc>
          <w:tcPr>
            <w:tcW w:w="3255" w:type="dxa"/>
          </w:tcPr>
          <w:p w14:paraId="1921D0D4" w14:textId="77777777" w:rsidR="00A27215" w:rsidRPr="004F3E88" w:rsidRDefault="00A27215" w:rsidP="0041177B">
            <w:pPr>
              <w:jc w:val="center"/>
              <w:rPr>
                <w:rFonts w:asciiTheme="minorHAnsi" w:hAnsiTheme="minorHAnsi" w:cstheme="minorHAnsi"/>
                <w:color w:val="000000" w:themeColor="text1"/>
              </w:rPr>
            </w:pPr>
            <w:r w:rsidRPr="004F3E88">
              <w:rPr>
                <w:rFonts w:eastAsia="Times New Roman" w:cs="Times New Roman"/>
                <w:noProof/>
                <w:lang w:eastAsia="en-GB"/>
              </w:rPr>
              <w:drawing>
                <wp:inline distT="0" distB="0" distL="0" distR="0" wp14:anchorId="72A6A921" wp14:editId="7F00D12B">
                  <wp:extent cx="1923855" cy="1153886"/>
                  <wp:effectExtent l="0" t="0" r="635" b="8255"/>
                  <wp:docPr id="744016652" name="Picture 16" descr="A graph with numbers and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016652" name="Picture 16" descr="A graph with numbers and a number of numbers&#10;&#10;AI-generated content may be incorrect."/>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945441" cy="1166833"/>
                          </a:xfrm>
                          <a:prstGeom prst="rect">
                            <a:avLst/>
                          </a:prstGeom>
                          <a:noFill/>
                          <a:ln>
                            <a:noFill/>
                          </a:ln>
                        </pic:spPr>
                      </pic:pic>
                    </a:graphicData>
                  </a:graphic>
                </wp:inline>
              </w:drawing>
            </w:r>
          </w:p>
        </w:tc>
      </w:tr>
    </w:tbl>
    <w:p w14:paraId="76533A05" w14:textId="77777777" w:rsidR="00A27215" w:rsidRPr="003B70A0" w:rsidRDefault="00A27215" w:rsidP="00A27215">
      <w:pPr>
        <w:spacing w:after="0" w:line="240" w:lineRule="auto"/>
      </w:pPr>
    </w:p>
    <w:p w14:paraId="71E5CA99" w14:textId="77777777" w:rsidR="00A27215" w:rsidRDefault="00A27215" w:rsidP="00A27215">
      <w:pPr>
        <w:pStyle w:val="Heading2"/>
        <w:spacing w:before="0" w:after="0" w:line="240" w:lineRule="auto"/>
      </w:pPr>
      <w:bookmarkStart w:id="365" w:name="_Toc197557172"/>
      <w:bookmarkStart w:id="366" w:name="_Toc201512563"/>
      <w:r>
        <w:t>Population Attributable Fraction</w:t>
      </w:r>
      <w:bookmarkEnd w:id="365"/>
      <w:bookmarkEnd w:id="366"/>
    </w:p>
    <w:p w14:paraId="179A484B" w14:textId="6D24B519" w:rsidR="00A27215" w:rsidRDefault="00A27215" w:rsidP="00A27215">
      <w:pPr>
        <w:spacing w:after="0" w:line="240" w:lineRule="auto"/>
        <w:rPr>
          <w:rFonts w:cstheme="minorHAnsi"/>
        </w:rPr>
      </w:pPr>
      <w:r w:rsidRPr="00447F66">
        <w:rPr>
          <w:rFonts w:cstheme="minorHAnsi"/>
        </w:rPr>
        <w:t>In 2022, 798 cases of kidney cancer were reported (</w:t>
      </w:r>
      <w:r w:rsidR="007D01A2">
        <w:rPr>
          <w:rFonts w:cstheme="minorHAnsi"/>
        </w:rPr>
        <w:t>498</w:t>
      </w:r>
      <w:r w:rsidR="007D01A2" w:rsidRPr="00447F66">
        <w:rPr>
          <w:rFonts w:cstheme="minorHAnsi"/>
        </w:rPr>
        <w:t xml:space="preserve"> </w:t>
      </w:r>
      <w:r w:rsidRPr="00447F66">
        <w:rPr>
          <w:rFonts w:cstheme="minorHAnsi"/>
        </w:rPr>
        <w:t xml:space="preserve">males, </w:t>
      </w:r>
      <w:r w:rsidR="007D01A2">
        <w:rPr>
          <w:rFonts w:cstheme="minorHAnsi"/>
        </w:rPr>
        <w:t>300</w:t>
      </w:r>
      <w:r w:rsidR="007D01A2" w:rsidRPr="00447F66">
        <w:rPr>
          <w:rFonts w:cstheme="minorHAnsi"/>
        </w:rPr>
        <w:t xml:space="preserve"> </w:t>
      </w:r>
      <w:r w:rsidRPr="00447F66">
        <w:rPr>
          <w:rFonts w:cstheme="minorHAnsi"/>
        </w:rPr>
        <w:t>females).</w:t>
      </w:r>
      <w:r w:rsidRPr="00BD2B9A">
        <w:rPr>
          <w:rFonts w:cstheme="minorHAnsi"/>
        </w:rPr>
        <w:t xml:space="preserve"> </w:t>
      </w:r>
      <w:r>
        <w:rPr>
          <w:rFonts w:cstheme="minorHAnsi"/>
        </w:rPr>
        <w:t xml:space="preserve">The estimated total number of kidney cancer cases attributable to smoking in Ireland in 2022 was 105 (PAF 13.2%). Table </w:t>
      </w:r>
      <w:r w:rsidR="00C87CE4">
        <w:rPr>
          <w:rFonts w:cstheme="minorHAnsi"/>
        </w:rPr>
        <w:t>19.7</w:t>
      </w:r>
      <w:r>
        <w:rPr>
          <w:rFonts w:cstheme="minorHAnsi"/>
        </w:rPr>
        <w:t xml:space="preserve"> presents the difference between male and female kidney cancer incidence related to smoking.</w:t>
      </w:r>
      <w:r>
        <w:t xml:space="preserve"> </w:t>
      </w:r>
      <w:r>
        <w:rPr>
          <w:rFonts w:cstheme="minorHAnsi"/>
        </w:rPr>
        <w:t>Males had a higher PAF than females, 13.8% vs 12.1%.</w:t>
      </w:r>
    </w:p>
    <w:p w14:paraId="14D430B4" w14:textId="77777777" w:rsidR="00A27215" w:rsidRDefault="00A27215" w:rsidP="00A27215">
      <w:pPr>
        <w:spacing w:after="0" w:line="240" w:lineRule="auto"/>
        <w:rPr>
          <w:rFonts w:cstheme="minorHAnsi"/>
        </w:rPr>
      </w:pPr>
    </w:p>
    <w:tbl>
      <w:tblPr>
        <w:tblStyle w:val="TableGrid"/>
        <w:tblW w:w="5000" w:type="pct"/>
        <w:tblLook w:val="04A0" w:firstRow="1" w:lastRow="0" w:firstColumn="1" w:lastColumn="0" w:noHBand="0" w:noVBand="1"/>
      </w:tblPr>
      <w:tblGrid>
        <w:gridCol w:w="2030"/>
        <w:gridCol w:w="2301"/>
        <w:gridCol w:w="2436"/>
        <w:gridCol w:w="2249"/>
      </w:tblGrid>
      <w:tr w:rsidR="00A27215" w14:paraId="2DA7E824" w14:textId="77777777" w:rsidTr="0041177B">
        <w:tc>
          <w:tcPr>
            <w:tcW w:w="5000" w:type="pct"/>
            <w:gridSpan w:val="4"/>
            <w:tcBorders>
              <w:top w:val="single" w:sz="4" w:space="0" w:color="auto"/>
              <w:left w:val="single" w:sz="4" w:space="0" w:color="auto"/>
              <w:bottom w:val="single" w:sz="4" w:space="0" w:color="auto"/>
              <w:right w:val="single" w:sz="4" w:space="0" w:color="auto"/>
            </w:tcBorders>
            <w:shd w:val="clear" w:color="auto" w:fill="002060"/>
            <w:hideMark/>
          </w:tcPr>
          <w:p w14:paraId="2B5D197F" w14:textId="5D7C5EBB" w:rsidR="00A27215" w:rsidRPr="00C87CE4" w:rsidRDefault="00A27215" w:rsidP="0041177B">
            <w:pPr>
              <w:rPr>
                <w:rFonts w:asciiTheme="minorHAnsi" w:hAnsiTheme="minorHAnsi" w:cstheme="minorHAnsi"/>
                <w:b/>
                <w:bCs/>
                <w:color w:val="FFFFFF" w:themeColor="background1"/>
              </w:rPr>
            </w:pPr>
            <w:r w:rsidRPr="00C87CE4">
              <w:rPr>
                <w:rFonts w:asciiTheme="minorHAnsi" w:hAnsiTheme="minorHAnsi" w:cstheme="minorHAnsi"/>
                <w:b/>
                <w:bCs/>
                <w:color w:val="FFFFFF" w:themeColor="background1"/>
              </w:rPr>
              <w:t xml:space="preserve">Table </w:t>
            </w:r>
            <w:r w:rsidR="00C87CE4" w:rsidRPr="00C87CE4">
              <w:rPr>
                <w:rFonts w:asciiTheme="minorHAnsi" w:hAnsiTheme="minorHAnsi" w:cstheme="minorHAnsi"/>
                <w:b/>
                <w:bCs/>
                <w:color w:val="FFFFFF" w:themeColor="background1"/>
              </w:rPr>
              <w:t>19.7</w:t>
            </w:r>
            <w:r w:rsidRPr="00C87CE4">
              <w:rPr>
                <w:rFonts w:asciiTheme="minorHAnsi" w:hAnsiTheme="minorHAnsi" w:cstheme="minorHAnsi"/>
                <w:b/>
                <w:bCs/>
                <w:color w:val="FFFFFF" w:themeColor="background1"/>
              </w:rPr>
              <w:t>: Population attributable fraction and attributable cases for kidney</w:t>
            </w:r>
            <w:r w:rsidRPr="00C87CE4">
              <w:rPr>
                <w:rFonts w:asciiTheme="minorHAnsi" w:hAnsiTheme="minorHAnsi" w:cstheme="minorHAnsi"/>
                <w:b/>
                <w:bCs/>
              </w:rPr>
              <w:t xml:space="preserve"> </w:t>
            </w:r>
            <w:r w:rsidRPr="00C87CE4">
              <w:rPr>
                <w:rFonts w:asciiTheme="minorHAnsi" w:hAnsiTheme="minorHAnsi" w:cstheme="minorHAnsi"/>
                <w:b/>
                <w:bCs/>
                <w:color w:val="FFFFFF" w:themeColor="background1"/>
              </w:rPr>
              <w:t>cancer in 2022</w:t>
            </w:r>
          </w:p>
        </w:tc>
      </w:tr>
      <w:tr w:rsidR="00A27215" w14:paraId="540F72F9" w14:textId="77777777" w:rsidTr="0041177B">
        <w:tc>
          <w:tcPr>
            <w:tcW w:w="1126" w:type="pct"/>
            <w:tcBorders>
              <w:top w:val="single" w:sz="4" w:space="0" w:color="auto"/>
              <w:left w:val="single" w:sz="4" w:space="0" w:color="auto"/>
              <w:bottom w:val="single" w:sz="4" w:space="0" w:color="auto"/>
              <w:right w:val="single" w:sz="4" w:space="0" w:color="auto"/>
            </w:tcBorders>
          </w:tcPr>
          <w:p w14:paraId="1D81801A" w14:textId="77777777" w:rsidR="00A27215" w:rsidRDefault="00A27215" w:rsidP="0041177B">
            <w:pPr>
              <w:rPr>
                <w:rFonts w:asciiTheme="minorHAnsi" w:hAnsiTheme="minorHAnsi" w:cstheme="minorHAnsi"/>
              </w:rPr>
            </w:pPr>
          </w:p>
        </w:tc>
        <w:tc>
          <w:tcPr>
            <w:tcW w:w="1276" w:type="pct"/>
            <w:tcBorders>
              <w:top w:val="single" w:sz="4" w:space="0" w:color="auto"/>
              <w:left w:val="single" w:sz="4" w:space="0" w:color="auto"/>
              <w:bottom w:val="single" w:sz="4" w:space="0" w:color="auto"/>
              <w:right w:val="single" w:sz="4" w:space="0" w:color="auto"/>
            </w:tcBorders>
            <w:hideMark/>
          </w:tcPr>
          <w:p w14:paraId="0C1C22D1" w14:textId="77777777" w:rsidR="00A27215" w:rsidRDefault="00A27215" w:rsidP="0041177B">
            <w:pPr>
              <w:jc w:val="center"/>
              <w:rPr>
                <w:rFonts w:asciiTheme="minorHAnsi" w:hAnsiTheme="minorHAnsi" w:cstheme="minorHAnsi"/>
              </w:rPr>
            </w:pPr>
            <w:r>
              <w:rPr>
                <w:rFonts w:asciiTheme="minorHAnsi" w:hAnsiTheme="minorHAnsi" w:cstheme="minorHAnsi"/>
              </w:rPr>
              <w:t>Total</w:t>
            </w:r>
          </w:p>
        </w:tc>
        <w:tc>
          <w:tcPr>
            <w:tcW w:w="1351" w:type="pct"/>
            <w:tcBorders>
              <w:top w:val="single" w:sz="4" w:space="0" w:color="auto"/>
              <w:left w:val="single" w:sz="4" w:space="0" w:color="auto"/>
              <w:bottom w:val="single" w:sz="4" w:space="0" w:color="auto"/>
              <w:right w:val="single" w:sz="4" w:space="0" w:color="auto"/>
            </w:tcBorders>
            <w:hideMark/>
          </w:tcPr>
          <w:p w14:paraId="2E705656" w14:textId="77777777" w:rsidR="00A27215" w:rsidRDefault="00A27215" w:rsidP="0041177B">
            <w:pPr>
              <w:jc w:val="center"/>
              <w:rPr>
                <w:rFonts w:asciiTheme="minorHAnsi" w:hAnsiTheme="minorHAnsi" w:cstheme="minorHAnsi"/>
              </w:rPr>
            </w:pPr>
            <w:r>
              <w:rPr>
                <w:rFonts w:asciiTheme="minorHAnsi" w:hAnsiTheme="minorHAnsi" w:cstheme="minorHAnsi"/>
              </w:rPr>
              <w:t>Males</w:t>
            </w:r>
          </w:p>
        </w:tc>
        <w:tc>
          <w:tcPr>
            <w:tcW w:w="1247" w:type="pct"/>
            <w:tcBorders>
              <w:top w:val="single" w:sz="4" w:space="0" w:color="auto"/>
              <w:left w:val="single" w:sz="4" w:space="0" w:color="auto"/>
              <w:bottom w:val="single" w:sz="4" w:space="0" w:color="auto"/>
              <w:right w:val="single" w:sz="4" w:space="0" w:color="auto"/>
            </w:tcBorders>
            <w:hideMark/>
          </w:tcPr>
          <w:p w14:paraId="26ACF3BD" w14:textId="77777777" w:rsidR="00A27215" w:rsidRDefault="00A27215" w:rsidP="0041177B">
            <w:pPr>
              <w:jc w:val="center"/>
              <w:rPr>
                <w:rFonts w:asciiTheme="minorHAnsi" w:hAnsiTheme="minorHAnsi" w:cstheme="minorHAnsi"/>
              </w:rPr>
            </w:pPr>
            <w:r>
              <w:rPr>
                <w:rFonts w:asciiTheme="minorHAnsi" w:hAnsiTheme="minorHAnsi" w:cstheme="minorHAnsi"/>
              </w:rPr>
              <w:t>Females</w:t>
            </w:r>
          </w:p>
        </w:tc>
      </w:tr>
      <w:tr w:rsidR="00A27215" w14:paraId="6B3CE1F0" w14:textId="77777777" w:rsidTr="0041177B">
        <w:tc>
          <w:tcPr>
            <w:tcW w:w="1126" w:type="pct"/>
            <w:tcBorders>
              <w:top w:val="single" w:sz="4" w:space="0" w:color="auto"/>
              <w:left w:val="single" w:sz="4" w:space="0" w:color="auto"/>
              <w:bottom w:val="single" w:sz="4" w:space="0" w:color="auto"/>
              <w:right w:val="single" w:sz="4" w:space="0" w:color="auto"/>
            </w:tcBorders>
            <w:hideMark/>
          </w:tcPr>
          <w:p w14:paraId="6FBAA813" w14:textId="77777777" w:rsidR="00A27215" w:rsidRPr="00D773E3" w:rsidRDefault="00A27215" w:rsidP="00ED4F7A">
            <w:pPr>
              <w:rPr>
                <w:rFonts w:asciiTheme="minorHAnsi" w:hAnsiTheme="minorHAnsi" w:cstheme="minorHAnsi"/>
              </w:rPr>
            </w:pPr>
            <w:r w:rsidRPr="00D773E3">
              <w:rPr>
                <w:rFonts w:asciiTheme="minorHAnsi" w:hAnsiTheme="minorHAnsi" w:cstheme="minorHAnsi"/>
              </w:rPr>
              <w:t>PAF (%)</w:t>
            </w:r>
          </w:p>
        </w:tc>
        <w:tc>
          <w:tcPr>
            <w:tcW w:w="1276" w:type="pct"/>
            <w:tcBorders>
              <w:top w:val="single" w:sz="4" w:space="0" w:color="auto"/>
              <w:left w:val="single" w:sz="4" w:space="0" w:color="auto"/>
              <w:bottom w:val="single" w:sz="4" w:space="0" w:color="auto"/>
              <w:right w:val="single" w:sz="4" w:space="0" w:color="auto"/>
            </w:tcBorders>
            <w:hideMark/>
          </w:tcPr>
          <w:p w14:paraId="66CED723" w14:textId="77777777" w:rsidR="00A27215" w:rsidRPr="00D773E3" w:rsidRDefault="00A27215" w:rsidP="00972239">
            <w:pPr>
              <w:jc w:val="center"/>
              <w:rPr>
                <w:rFonts w:asciiTheme="minorHAnsi" w:hAnsiTheme="minorHAnsi" w:cstheme="minorHAnsi"/>
              </w:rPr>
            </w:pPr>
            <w:r w:rsidRPr="00D773E3">
              <w:rPr>
                <w:rFonts w:asciiTheme="minorHAnsi" w:hAnsiTheme="minorHAnsi" w:cstheme="minorHAnsi"/>
              </w:rPr>
              <w:t>13.2</w:t>
            </w:r>
          </w:p>
        </w:tc>
        <w:tc>
          <w:tcPr>
            <w:tcW w:w="1351" w:type="pct"/>
            <w:tcBorders>
              <w:top w:val="single" w:sz="4" w:space="0" w:color="auto"/>
              <w:left w:val="single" w:sz="4" w:space="0" w:color="auto"/>
              <w:bottom w:val="single" w:sz="4" w:space="0" w:color="auto"/>
              <w:right w:val="single" w:sz="4" w:space="0" w:color="auto"/>
            </w:tcBorders>
            <w:hideMark/>
          </w:tcPr>
          <w:p w14:paraId="28204BD5" w14:textId="77777777" w:rsidR="00A27215" w:rsidRPr="00D773E3" w:rsidRDefault="00A27215" w:rsidP="00972239">
            <w:pPr>
              <w:jc w:val="center"/>
              <w:rPr>
                <w:rFonts w:asciiTheme="minorHAnsi" w:hAnsiTheme="minorHAnsi" w:cstheme="minorHAnsi"/>
              </w:rPr>
            </w:pPr>
            <w:r w:rsidRPr="00D773E3">
              <w:rPr>
                <w:rFonts w:asciiTheme="minorHAnsi" w:hAnsiTheme="minorHAnsi" w:cstheme="minorHAnsi"/>
              </w:rPr>
              <w:t>13.8</w:t>
            </w:r>
          </w:p>
        </w:tc>
        <w:tc>
          <w:tcPr>
            <w:tcW w:w="1247" w:type="pct"/>
            <w:tcBorders>
              <w:top w:val="single" w:sz="4" w:space="0" w:color="auto"/>
              <w:left w:val="single" w:sz="4" w:space="0" w:color="auto"/>
              <w:bottom w:val="single" w:sz="4" w:space="0" w:color="auto"/>
              <w:right w:val="single" w:sz="4" w:space="0" w:color="auto"/>
            </w:tcBorders>
            <w:hideMark/>
          </w:tcPr>
          <w:p w14:paraId="7A09F65A" w14:textId="77777777" w:rsidR="00A27215" w:rsidRPr="00D773E3" w:rsidRDefault="00A27215" w:rsidP="00972239">
            <w:pPr>
              <w:jc w:val="center"/>
              <w:rPr>
                <w:rFonts w:asciiTheme="minorHAnsi" w:hAnsiTheme="minorHAnsi" w:cstheme="minorHAnsi"/>
              </w:rPr>
            </w:pPr>
            <w:r w:rsidRPr="00D773E3">
              <w:rPr>
                <w:rFonts w:asciiTheme="minorHAnsi" w:hAnsiTheme="minorHAnsi" w:cstheme="minorHAnsi"/>
              </w:rPr>
              <w:t>12.1</w:t>
            </w:r>
          </w:p>
        </w:tc>
      </w:tr>
      <w:tr w:rsidR="00D773E3" w14:paraId="5A048221" w14:textId="77777777" w:rsidTr="0041177B">
        <w:tc>
          <w:tcPr>
            <w:tcW w:w="1126" w:type="pct"/>
            <w:tcBorders>
              <w:top w:val="single" w:sz="4" w:space="0" w:color="auto"/>
              <w:left w:val="single" w:sz="4" w:space="0" w:color="auto"/>
              <w:bottom w:val="single" w:sz="4" w:space="0" w:color="auto"/>
              <w:right w:val="single" w:sz="4" w:space="0" w:color="auto"/>
            </w:tcBorders>
          </w:tcPr>
          <w:p w14:paraId="73C56921" w14:textId="3E3F655B" w:rsidR="00D773E3" w:rsidRPr="006C1190" w:rsidRDefault="00D773E3" w:rsidP="00ED4F7A">
            <w:pPr>
              <w:rPr>
                <w:rFonts w:asciiTheme="minorHAnsi" w:hAnsiTheme="minorHAnsi" w:cstheme="minorHAnsi"/>
              </w:rPr>
            </w:pPr>
            <w:r w:rsidRPr="00972239">
              <w:rPr>
                <w:rFonts w:asciiTheme="minorHAnsi" w:hAnsiTheme="minorHAnsi" w:cstheme="minorHAnsi"/>
              </w:rPr>
              <w:t>Total cases</w:t>
            </w:r>
          </w:p>
        </w:tc>
        <w:tc>
          <w:tcPr>
            <w:tcW w:w="1276" w:type="pct"/>
            <w:tcBorders>
              <w:top w:val="single" w:sz="4" w:space="0" w:color="auto"/>
              <w:left w:val="single" w:sz="4" w:space="0" w:color="auto"/>
              <w:bottom w:val="single" w:sz="4" w:space="0" w:color="auto"/>
              <w:right w:val="single" w:sz="4" w:space="0" w:color="auto"/>
            </w:tcBorders>
          </w:tcPr>
          <w:p w14:paraId="775F177D" w14:textId="31347FB2" w:rsidR="00D773E3" w:rsidRPr="006C1190" w:rsidRDefault="00D773E3" w:rsidP="00972239">
            <w:pPr>
              <w:jc w:val="center"/>
              <w:rPr>
                <w:rFonts w:asciiTheme="minorHAnsi" w:hAnsiTheme="minorHAnsi" w:cstheme="minorHAnsi"/>
              </w:rPr>
            </w:pPr>
            <w:r w:rsidRPr="00972239">
              <w:rPr>
                <w:rFonts w:asciiTheme="minorHAnsi" w:hAnsiTheme="minorHAnsi" w:cstheme="minorHAnsi"/>
              </w:rPr>
              <w:t>798</w:t>
            </w:r>
          </w:p>
        </w:tc>
        <w:tc>
          <w:tcPr>
            <w:tcW w:w="1351" w:type="pct"/>
            <w:tcBorders>
              <w:top w:val="single" w:sz="4" w:space="0" w:color="auto"/>
              <w:left w:val="single" w:sz="4" w:space="0" w:color="auto"/>
              <w:bottom w:val="single" w:sz="4" w:space="0" w:color="auto"/>
              <w:right w:val="single" w:sz="4" w:space="0" w:color="auto"/>
            </w:tcBorders>
          </w:tcPr>
          <w:p w14:paraId="16150408" w14:textId="2C24A319" w:rsidR="00D773E3" w:rsidRPr="006C1190" w:rsidRDefault="007D01A2" w:rsidP="00972239">
            <w:pPr>
              <w:jc w:val="center"/>
              <w:rPr>
                <w:rFonts w:asciiTheme="minorHAnsi" w:hAnsiTheme="minorHAnsi" w:cstheme="minorHAnsi"/>
              </w:rPr>
            </w:pPr>
            <w:r>
              <w:rPr>
                <w:rFonts w:asciiTheme="minorHAnsi" w:hAnsiTheme="minorHAnsi" w:cstheme="minorHAnsi"/>
              </w:rPr>
              <w:t>498</w:t>
            </w:r>
          </w:p>
        </w:tc>
        <w:tc>
          <w:tcPr>
            <w:tcW w:w="1247" w:type="pct"/>
            <w:tcBorders>
              <w:top w:val="single" w:sz="4" w:space="0" w:color="auto"/>
              <w:left w:val="single" w:sz="4" w:space="0" w:color="auto"/>
              <w:bottom w:val="single" w:sz="4" w:space="0" w:color="auto"/>
              <w:right w:val="single" w:sz="4" w:space="0" w:color="auto"/>
            </w:tcBorders>
          </w:tcPr>
          <w:p w14:paraId="3F4876DB" w14:textId="54DF8F6E" w:rsidR="00D773E3" w:rsidRPr="006C1190" w:rsidRDefault="007D01A2" w:rsidP="00972239">
            <w:pPr>
              <w:jc w:val="center"/>
              <w:rPr>
                <w:rFonts w:asciiTheme="minorHAnsi" w:hAnsiTheme="minorHAnsi" w:cstheme="minorHAnsi"/>
              </w:rPr>
            </w:pPr>
            <w:r>
              <w:rPr>
                <w:rFonts w:asciiTheme="minorHAnsi" w:hAnsiTheme="minorHAnsi" w:cstheme="minorHAnsi"/>
              </w:rPr>
              <w:t>300</w:t>
            </w:r>
          </w:p>
        </w:tc>
      </w:tr>
      <w:tr w:rsidR="00A27215" w14:paraId="23413CB7" w14:textId="77777777" w:rsidTr="0041177B">
        <w:tc>
          <w:tcPr>
            <w:tcW w:w="1126" w:type="pct"/>
            <w:tcBorders>
              <w:top w:val="single" w:sz="4" w:space="0" w:color="auto"/>
              <w:left w:val="single" w:sz="4" w:space="0" w:color="auto"/>
              <w:bottom w:val="single" w:sz="4" w:space="0" w:color="auto"/>
              <w:right w:val="single" w:sz="4" w:space="0" w:color="auto"/>
            </w:tcBorders>
            <w:hideMark/>
          </w:tcPr>
          <w:p w14:paraId="19B4AF26" w14:textId="77777777" w:rsidR="00A27215" w:rsidRPr="00D773E3" w:rsidRDefault="00A27215" w:rsidP="00ED4F7A">
            <w:pPr>
              <w:rPr>
                <w:rFonts w:asciiTheme="minorHAnsi" w:hAnsiTheme="minorHAnsi" w:cstheme="minorHAnsi"/>
              </w:rPr>
            </w:pPr>
            <w:r w:rsidRPr="00D773E3">
              <w:rPr>
                <w:rFonts w:asciiTheme="minorHAnsi" w:hAnsiTheme="minorHAnsi" w:cstheme="minorHAnsi"/>
              </w:rPr>
              <w:t>Attributable cases</w:t>
            </w:r>
          </w:p>
        </w:tc>
        <w:tc>
          <w:tcPr>
            <w:tcW w:w="1276" w:type="pct"/>
            <w:tcBorders>
              <w:top w:val="single" w:sz="4" w:space="0" w:color="auto"/>
              <w:left w:val="single" w:sz="4" w:space="0" w:color="auto"/>
              <w:bottom w:val="single" w:sz="4" w:space="0" w:color="auto"/>
              <w:right w:val="single" w:sz="4" w:space="0" w:color="auto"/>
            </w:tcBorders>
            <w:hideMark/>
          </w:tcPr>
          <w:p w14:paraId="43AFFB21" w14:textId="77777777" w:rsidR="00A27215" w:rsidRPr="00D773E3" w:rsidRDefault="00A27215" w:rsidP="00972239">
            <w:pPr>
              <w:jc w:val="center"/>
              <w:rPr>
                <w:rFonts w:asciiTheme="minorHAnsi" w:hAnsiTheme="minorHAnsi" w:cstheme="minorHAnsi"/>
              </w:rPr>
            </w:pPr>
            <w:r w:rsidRPr="00D773E3">
              <w:rPr>
                <w:rFonts w:asciiTheme="minorHAnsi" w:hAnsiTheme="minorHAnsi" w:cstheme="minorHAnsi"/>
              </w:rPr>
              <w:t>105</w:t>
            </w:r>
          </w:p>
        </w:tc>
        <w:tc>
          <w:tcPr>
            <w:tcW w:w="1351" w:type="pct"/>
            <w:tcBorders>
              <w:top w:val="single" w:sz="4" w:space="0" w:color="auto"/>
              <w:left w:val="single" w:sz="4" w:space="0" w:color="auto"/>
              <w:bottom w:val="single" w:sz="4" w:space="0" w:color="auto"/>
              <w:right w:val="single" w:sz="4" w:space="0" w:color="auto"/>
            </w:tcBorders>
            <w:hideMark/>
          </w:tcPr>
          <w:p w14:paraId="5141EEEA" w14:textId="77777777" w:rsidR="00A27215" w:rsidRPr="00D773E3" w:rsidRDefault="00A27215" w:rsidP="00972239">
            <w:pPr>
              <w:jc w:val="center"/>
              <w:rPr>
                <w:rFonts w:asciiTheme="minorHAnsi" w:hAnsiTheme="minorHAnsi" w:cstheme="minorHAnsi"/>
              </w:rPr>
            </w:pPr>
            <w:r w:rsidRPr="00D773E3">
              <w:rPr>
                <w:rFonts w:asciiTheme="minorHAnsi" w:hAnsiTheme="minorHAnsi" w:cstheme="minorHAnsi"/>
              </w:rPr>
              <w:t>69</w:t>
            </w:r>
          </w:p>
        </w:tc>
        <w:tc>
          <w:tcPr>
            <w:tcW w:w="1247" w:type="pct"/>
            <w:tcBorders>
              <w:top w:val="single" w:sz="4" w:space="0" w:color="auto"/>
              <w:left w:val="single" w:sz="4" w:space="0" w:color="auto"/>
              <w:bottom w:val="single" w:sz="4" w:space="0" w:color="auto"/>
              <w:right w:val="single" w:sz="4" w:space="0" w:color="auto"/>
            </w:tcBorders>
            <w:hideMark/>
          </w:tcPr>
          <w:p w14:paraId="69775D40" w14:textId="77777777" w:rsidR="00A27215" w:rsidRPr="00D773E3" w:rsidRDefault="00A27215" w:rsidP="00972239">
            <w:pPr>
              <w:jc w:val="center"/>
              <w:rPr>
                <w:rFonts w:asciiTheme="minorHAnsi" w:hAnsiTheme="minorHAnsi" w:cstheme="minorHAnsi"/>
              </w:rPr>
            </w:pPr>
            <w:r w:rsidRPr="00D773E3">
              <w:rPr>
                <w:rFonts w:asciiTheme="minorHAnsi" w:hAnsiTheme="minorHAnsi" w:cstheme="minorHAnsi"/>
              </w:rPr>
              <w:t>36</w:t>
            </w:r>
          </w:p>
        </w:tc>
      </w:tr>
    </w:tbl>
    <w:p w14:paraId="18C2F181" w14:textId="77777777" w:rsidR="00A27215" w:rsidRPr="003B70A0" w:rsidRDefault="00A27215" w:rsidP="00A27215">
      <w:pPr>
        <w:spacing w:after="0" w:line="240" w:lineRule="auto"/>
        <w:sectPr w:rsidR="00A27215" w:rsidRPr="003B70A0" w:rsidSect="002746C0">
          <w:pgSz w:w="11906" w:h="16838"/>
          <w:pgMar w:top="1440" w:right="1440" w:bottom="1440" w:left="1440" w:header="708" w:footer="708" w:gutter="0"/>
          <w:cols w:space="708"/>
          <w:docGrid w:linePitch="360"/>
        </w:sectPr>
      </w:pPr>
    </w:p>
    <w:p w14:paraId="09B79E1C" w14:textId="77777777" w:rsidR="00A27215" w:rsidRDefault="00A27215" w:rsidP="008F109F">
      <w:pPr>
        <w:pStyle w:val="Heading1"/>
        <w:spacing w:before="0" w:after="0" w:line="240" w:lineRule="auto"/>
        <w:ind w:hanging="142"/>
      </w:pPr>
      <w:r>
        <w:t xml:space="preserve"> </w:t>
      </w:r>
      <w:bookmarkStart w:id="367" w:name="_Toc197557173"/>
      <w:bookmarkStart w:id="368" w:name="_Toc201512564"/>
      <w:r>
        <w:t xml:space="preserve">Bladder &amp; </w:t>
      </w:r>
      <w:r w:rsidRPr="00BE154B">
        <w:t>Non</w:t>
      </w:r>
      <w:r>
        <w:t>-M</w:t>
      </w:r>
      <w:r w:rsidRPr="00BE154B">
        <w:t xml:space="preserve">uscle </w:t>
      </w:r>
      <w:r>
        <w:t>I</w:t>
      </w:r>
      <w:r w:rsidRPr="00BE154B">
        <w:t xml:space="preserve">nvasive </w:t>
      </w:r>
      <w:r>
        <w:t>B</w:t>
      </w:r>
      <w:r w:rsidRPr="00BE154B">
        <w:t>ladder</w:t>
      </w:r>
      <w:r>
        <w:t xml:space="preserve"> C</w:t>
      </w:r>
      <w:r w:rsidRPr="00BE154B">
        <w:t xml:space="preserve">ancer </w:t>
      </w:r>
      <w:r>
        <w:t>(</w:t>
      </w:r>
      <w:r w:rsidRPr="002F383C">
        <w:t>C67,</w:t>
      </w:r>
      <w:r>
        <w:t xml:space="preserve"> </w:t>
      </w:r>
      <w:r w:rsidRPr="002F383C">
        <w:t>D090,</w:t>
      </w:r>
      <w:r>
        <w:t xml:space="preserve"> </w:t>
      </w:r>
      <w:r w:rsidRPr="002F383C">
        <w:t>D414</w:t>
      </w:r>
      <w:r>
        <w:t>)</w:t>
      </w:r>
      <w:bookmarkEnd w:id="367"/>
      <w:bookmarkEnd w:id="368"/>
    </w:p>
    <w:p w14:paraId="64394D25" w14:textId="77777777" w:rsidR="00A27215" w:rsidRDefault="00A27215" w:rsidP="00A27215">
      <w:pPr>
        <w:spacing w:after="0" w:line="240" w:lineRule="auto"/>
        <w:rPr>
          <w:rStyle w:val="IntenseEmphasis"/>
          <w:rFonts w:cstheme="minorHAnsi"/>
        </w:rPr>
      </w:pPr>
      <w:r w:rsidRPr="00D5410C">
        <w:rPr>
          <w:rStyle w:val="IntenseEmphasis"/>
          <w:rFonts w:cstheme="minorHAnsi"/>
        </w:rPr>
        <w:t>Key points</w:t>
      </w:r>
    </w:p>
    <w:p w14:paraId="05516E65" w14:textId="77777777" w:rsidR="00A27215" w:rsidRPr="00986741" w:rsidRDefault="00A27215" w:rsidP="00A27215">
      <w:pPr>
        <w:numPr>
          <w:ilvl w:val="1"/>
          <w:numId w:val="0"/>
        </w:numPr>
        <w:spacing w:after="0" w:line="240" w:lineRule="auto"/>
        <w:rPr>
          <w:rFonts w:eastAsiaTheme="majorEastAsia" w:cstheme="minorHAnsi"/>
          <w:i/>
          <w:iCs/>
          <w:color w:val="595959" w:themeColor="text1" w:themeTint="A6"/>
          <w:spacing w:val="15"/>
          <w:sz w:val="28"/>
          <w:szCs w:val="28"/>
        </w:rPr>
      </w:pPr>
      <w:r w:rsidRPr="00986741">
        <w:rPr>
          <w:rFonts w:eastAsiaTheme="majorEastAsia" w:cstheme="minorHAnsi"/>
          <w:i/>
          <w:iCs/>
          <w:color w:val="595959" w:themeColor="text1" w:themeTint="A6"/>
          <w:spacing w:val="15"/>
          <w:sz w:val="28"/>
          <w:szCs w:val="28"/>
        </w:rPr>
        <w:t>Incidence</w:t>
      </w:r>
    </w:p>
    <w:p w14:paraId="2A8423C7" w14:textId="294B6E48" w:rsidR="001515DC" w:rsidRPr="001515DC" w:rsidRDefault="001515DC">
      <w:pPr>
        <w:numPr>
          <w:ilvl w:val="0"/>
          <w:numId w:val="3"/>
        </w:numPr>
        <w:spacing w:after="0" w:line="240" w:lineRule="auto"/>
        <w:contextualSpacing/>
        <w:jc w:val="both"/>
        <w:rPr>
          <w:rStyle w:val="normaltextrun"/>
          <w:rFonts w:cstheme="minorHAnsi"/>
          <w:i/>
          <w:iCs/>
        </w:rPr>
      </w:pPr>
      <w:r w:rsidRPr="001515DC">
        <w:rPr>
          <w:rStyle w:val="normaltextrun"/>
          <w:rFonts w:ascii="Aptos" w:hAnsi="Aptos"/>
          <w:shd w:val="clear" w:color="auto" w:fill="FFFFFF"/>
        </w:rPr>
        <w:t>There was no evidence of a significant change in incidence rates in males or females</w:t>
      </w:r>
      <w:r w:rsidR="006E4134">
        <w:rPr>
          <w:rStyle w:val="normaltextrun"/>
          <w:rFonts w:ascii="Aptos" w:hAnsi="Aptos"/>
          <w:strike/>
          <w:shd w:val="clear" w:color="auto" w:fill="FFFFFF"/>
        </w:rPr>
        <w:t xml:space="preserve"> </w:t>
      </w:r>
      <w:r w:rsidRPr="001515DC">
        <w:rPr>
          <w:rStyle w:val="normaltextrun"/>
          <w:rFonts w:ascii="Aptos" w:hAnsi="Aptos"/>
          <w:shd w:val="clear" w:color="auto" w:fill="FFFFFF"/>
        </w:rPr>
        <w:t>from 1994-2022.</w:t>
      </w:r>
    </w:p>
    <w:p w14:paraId="722DA9E5" w14:textId="596587C5" w:rsidR="00A27215" w:rsidRPr="008426C7" w:rsidRDefault="001515DC">
      <w:pPr>
        <w:numPr>
          <w:ilvl w:val="0"/>
          <w:numId w:val="3"/>
        </w:numPr>
        <w:spacing w:after="0" w:line="240" w:lineRule="auto"/>
        <w:contextualSpacing/>
        <w:jc w:val="both"/>
        <w:rPr>
          <w:rFonts w:cstheme="minorHAnsi"/>
          <w:i/>
          <w:iCs/>
        </w:rPr>
      </w:pPr>
      <w:r>
        <w:rPr>
          <w:rFonts w:eastAsia="Times New Roman" w:cstheme="minorHAnsi"/>
          <w:lang w:eastAsia="en-IE"/>
        </w:rPr>
        <w:t xml:space="preserve">There </w:t>
      </w:r>
      <w:r w:rsidR="00A27215">
        <w:rPr>
          <w:rFonts w:eastAsia="Times New Roman" w:cstheme="minorHAnsi"/>
          <w:lang w:eastAsia="en-IE"/>
        </w:rPr>
        <w:t xml:space="preserve">was little evidence for significant variation </w:t>
      </w:r>
      <w:r>
        <w:rPr>
          <w:rFonts w:eastAsia="Times New Roman" w:cstheme="minorHAnsi"/>
          <w:lang w:eastAsia="en-IE"/>
        </w:rPr>
        <w:t xml:space="preserve">in incidence rates </w:t>
      </w:r>
      <w:r w:rsidR="00A27215">
        <w:rPr>
          <w:rFonts w:eastAsia="Times New Roman" w:cstheme="minorHAnsi"/>
          <w:lang w:eastAsia="en-IE"/>
        </w:rPr>
        <w:t>across population quintiles according to deprivation</w:t>
      </w:r>
      <w:r>
        <w:rPr>
          <w:rFonts w:eastAsia="Times New Roman" w:cstheme="minorHAnsi"/>
          <w:lang w:eastAsia="en-IE"/>
        </w:rPr>
        <w:t xml:space="preserve"> in the diagnosis period 2014-2018.</w:t>
      </w:r>
    </w:p>
    <w:p w14:paraId="5CDBAE9A" w14:textId="77777777" w:rsidR="00A27215" w:rsidRPr="00986741" w:rsidRDefault="00A27215" w:rsidP="00A27215">
      <w:pPr>
        <w:spacing w:after="0" w:line="240" w:lineRule="auto"/>
        <w:jc w:val="both"/>
        <w:rPr>
          <w:rFonts w:eastAsia="Times New Roman" w:cstheme="minorHAnsi"/>
          <w:i/>
          <w:iCs/>
          <w:color w:val="808080" w:themeColor="background1" w:themeShade="80"/>
        </w:rPr>
      </w:pPr>
      <w:r w:rsidRPr="00986741">
        <w:rPr>
          <w:rFonts w:cstheme="minorHAnsi"/>
          <w:i/>
          <w:iCs/>
          <w:color w:val="808080" w:themeColor="background1" w:themeShade="80"/>
        </w:rPr>
        <w:t>Mortality</w:t>
      </w:r>
    </w:p>
    <w:p w14:paraId="72C61FE3" w14:textId="3B0F5E92" w:rsidR="00A27215" w:rsidRPr="008426C7" w:rsidRDefault="00A27215">
      <w:pPr>
        <w:numPr>
          <w:ilvl w:val="0"/>
          <w:numId w:val="3"/>
        </w:numPr>
        <w:spacing w:after="0" w:line="240" w:lineRule="auto"/>
        <w:contextualSpacing/>
        <w:jc w:val="both"/>
        <w:rPr>
          <w:rFonts w:eastAsia="Calibri" w:cstheme="minorHAnsi"/>
          <w:color w:val="000000" w:themeColor="text1"/>
        </w:rPr>
      </w:pPr>
      <w:r w:rsidRPr="00986741">
        <w:t>Age-standardised mortality rates decreased from 1994-2022 in males but were sta</w:t>
      </w:r>
      <w:r w:rsidR="000C75C8">
        <w:t>ble</w:t>
      </w:r>
      <w:r w:rsidRPr="00986741">
        <w:t xml:space="preserve"> in females over the same period. </w:t>
      </w:r>
    </w:p>
    <w:p w14:paraId="35C22E6B" w14:textId="77777777" w:rsidR="00A27215" w:rsidRPr="00986741" w:rsidRDefault="00A27215" w:rsidP="00A27215">
      <w:pPr>
        <w:numPr>
          <w:ilvl w:val="1"/>
          <w:numId w:val="0"/>
        </w:numPr>
        <w:spacing w:after="0" w:line="240" w:lineRule="auto"/>
        <w:rPr>
          <w:rFonts w:eastAsiaTheme="majorEastAsia" w:cstheme="minorHAnsi"/>
          <w:i/>
          <w:iCs/>
          <w:color w:val="595959" w:themeColor="text1" w:themeTint="A6"/>
          <w:spacing w:val="15"/>
        </w:rPr>
      </w:pPr>
      <w:r w:rsidRPr="00986741">
        <w:rPr>
          <w:rFonts w:eastAsiaTheme="majorEastAsia" w:cstheme="minorHAnsi"/>
          <w:i/>
          <w:iCs/>
          <w:color w:val="595959" w:themeColor="text1" w:themeTint="A6"/>
          <w:spacing w:val="15"/>
        </w:rPr>
        <w:t>Survival</w:t>
      </w:r>
    </w:p>
    <w:p w14:paraId="757B8886" w14:textId="77777777" w:rsidR="00A27215" w:rsidRDefault="00A27215">
      <w:pPr>
        <w:numPr>
          <w:ilvl w:val="0"/>
          <w:numId w:val="4"/>
        </w:numPr>
        <w:spacing w:after="0" w:line="240" w:lineRule="auto"/>
        <w:contextualSpacing/>
        <w:rPr>
          <w:rFonts w:cstheme="minorHAnsi"/>
        </w:rPr>
      </w:pPr>
      <w:r w:rsidRPr="00986741">
        <w:rPr>
          <w:rFonts w:cstheme="minorHAnsi"/>
        </w:rPr>
        <w:t>5-year net survival was 75% for cases diagnosed during 2019-2022.</w:t>
      </w:r>
    </w:p>
    <w:p w14:paraId="1F316BBA" w14:textId="77777777" w:rsidR="00A27215" w:rsidRPr="00986741" w:rsidRDefault="00A27215" w:rsidP="00A27215">
      <w:pPr>
        <w:numPr>
          <w:ilvl w:val="1"/>
          <w:numId w:val="0"/>
        </w:numPr>
        <w:spacing w:after="0" w:line="240" w:lineRule="auto"/>
        <w:rPr>
          <w:rFonts w:cstheme="minorHAnsi"/>
          <w:i/>
          <w:iCs/>
        </w:rPr>
      </w:pPr>
      <w:r w:rsidRPr="00986741">
        <w:rPr>
          <w:rFonts w:eastAsiaTheme="majorEastAsia" w:cstheme="minorHAnsi"/>
          <w:i/>
          <w:iCs/>
          <w:color w:val="595959" w:themeColor="text1" w:themeTint="A6"/>
          <w:spacing w:val="15"/>
        </w:rPr>
        <w:t>Population attributable fraction</w:t>
      </w:r>
    </w:p>
    <w:p w14:paraId="45FE798A" w14:textId="77777777" w:rsidR="00A27215" w:rsidRPr="00986741" w:rsidRDefault="00A27215">
      <w:pPr>
        <w:numPr>
          <w:ilvl w:val="0"/>
          <w:numId w:val="2"/>
        </w:numPr>
        <w:spacing w:after="0" w:line="240" w:lineRule="auto"/>
        <w:contextualSpacing/>
        <w:rPr>
          <w:rFonts w:eastAsiaTheme="majorEastAsia" w:cstheme="minorHAnsi"/>
          <w:color w:val="0F4761" w:themeColor="accent1" w:themeShade="BF"/>
        </w:rPr>
      </w:pPr>
      <w:r w:rsidRPr="00986741">
        <w:rPr>
          <w:rFonts w:eastAsia="Calibri" w:cstheme="minorHAnsi"/>
          <w:color w:val="000000" w:themeColor="text1"/>
        </w:rPr>
        <w:t xml:space="preserve">In 2022 the estimated total number of cases of bladder cancer attributable to smoking in Ireland was </w:t>
      </w:r>
      <w:r>
        <w:rPr>
          <w:rFonts w:eastAsia="Calibri" w:cstheme="minorHAnsi"/>
          <w:color w:val="000000" w:themeColor="text1"/>
        </w:rPr>
        <w:t>456</w:t>
      </w:r>
      <w:r w:rsidRPr="00986741">
        <w:rPr>
          <w:rFonts w:eastAsia="Calibri" w:cstheme="minorHAnsi"/>
          <w:color w:val="000000" w:themeColor="text1"/>
        </w:rPr>
        <w:t xml:space="preserve"> (PAF </w:t>
      </w:r>
      <w:r>
        <w:rPr>
          <w:rFonts w:eastAsia="Calibri" w:cstheme="minorHAnsi"/>
          <w:color w:val="000000" w:themeColor="text1"/>
        </w:rPr>
        <w:t>47.5</w:t>
      </w:r>
      <w:r w:rsidRPr="00986741">
        <w:rPr>
          <w:rFonts w:eastAsia="Calibri" w:cstheme="minorHAnsi"/>
          <w:color w:val="000000" w:themeColor="text1"/>
        </w:rPr>
        <w:t xml:space="preserve">%). </w:t>
      </w:r>
    </w:p>
    <w:p w14:paraId="4E897B19" w14:textId="77777777" w:rsidR="00A27215" w:rsidRDefault="00A27215" w:rsidP="00A27215">
      <w:pPr>
        <w:spacing w:after="0" w:line="240" w:lineRule="auto"/>
        <w:sectPr w:rsidR="00A27215" w:rsidSect="002746C0">
          <w:pgSz w:w="11906" w:h="16838"/>
          <w:pgMar w:top="1440" w:right="1440" w:bottom="1440" w:left="1440" w:header="708" w:footer="708" w:gutter="0"/>
          <w:cols w:space="708"/>
          <w:docGrid w:linePitch="360"/>
        </w:sectPr>
      </w:pPr>
    </w:p>
    <w:p w14:paraId="0B44515E" w14:textId="77777777" w:rsidR="00A27215" w:rsidRDefault="00A27215" w:rsidP="00A27215">
      <w:pPr>
        <w:pStyle w:val="Heading2"/>
        <w:spacing w:before="0" w:after="0" w:line="240" w:lineRule="auto"/>
      </w:pPr>
      <w:bookmarkStart w:id="369" w:name="_Toc197557174"/>
      <w:bookmarkStart w:id="370" w:name="_Toc201512565"/>
      <w:r w:rsidRPr="00550C1F">
        <w:t>Incidence</w:t>
      </w:r>
      <w:bookmarkEnd w:id="369"/>
      <w:bookmarkEnd w:id="370"/>
    </w:p>
    <w:p w14:paraId="56F22A1C" w14:textId="52E77F80" w:rsidR="00A27215" w:rsidRDefault="00A27215" w:rsidP="00A27215">
      <w:pPr>
        <w:spacing w:after="0" w:line="240" w:lineRule="auto"/>
        <w:rPr>
          <w:rFonts w:cstheme="minorHAnsi"/>
        </w:rPr>
      </w:pPr>
      <w:r>
        <w:t>Between</w:t>
      </w:r>
      <w:r w:rsidRPr="00550C1F">
        <w:t xml:space="preserve"> 1994-2022, 19,524 cases of bladder cancer</w:t>
      </w:r>
      <w:r>
        <w:t xml:space="preserve"> and non-muscle invasive bladder cancer (NMIBC)</w:t>
      </w:r>
      <w:r w:rsidRPr="00550C1F">
        <w:t xml:space="preserve"> were recorded (14,102 males, 5,422 females). Median age at diagnosis was 72 years (</w:t>
      </w:r>
      <w:r>
        <w:t xml:space="preserve">IQR </w:t>
      </w:r>
      <w:r w:rsidRPr="00550C1F">
        <w:t>63-79) for males and 72 (62-80) for females.</w:t>
      </w:r>
      <w:r>
        <w:t xml:space="preserve"> </w:t>
      </w:r>
      <w:r w:rsidRPr="00550C1F">
        <w:rPr>
          <w:rFonts w:cstheme="minorHAnsi"/>
        </w:rPr>
        <w:t xml:space="preserve">On average </w:t>
      </w:r>
      <w:r w:rsidR="00972239">
        <w:rPr>
          <w:rFonts w:cstheme="minorHAnsi"/>
        </w:rPr>
        <w:t>during the period</w:t>
      </w:r>
      <w:r w:rsidRPr="00550C1F">
        <w:rPr>
          <w:rFonts w:cstheme="minorHAnsi"/>
        </w:rPr>
        <w:t xml:space="preserve"> 1994-2022 the age-standardised incidence rate of bladder cancer in 1994-2022 was 38.4 cases per 100,000 males and 11.2 cases per 100,000 females per year. Figure </w:t>
      </w:r>
      <w:r w:rsidR="00D21B05">
        <w:rPr>
          <w:rFonts w:cstheme="minorHAnsi"/>
        </w:rPr>
        <w:t>20.1</w:t>
      </w:r>
      <w:r w:rsidRPr="00550C1F">
        <w:rPr>
          <w:rFonts w:cstheme="minorHAnsi"/>
        </w:rPr>
        <w:t xml:space="preserve"> breaks this down further by sex and age</w:t>
      </w:r>
      <w:r w:rsidR="00366242">
        <w:rPr>
          <w:rFonts w:cstheme="minorHAnsi"/>
        </w:rPr>
        <w:t xml:space="preserve"> </w:t>
      </w:r>
      <w:r w:rsidRPr="00550C1F">
        <w:rPr>
          <w:rFonts w:cstheme="minorHAnsi"/>
        </w:rPr>
        <w:t>group.</w:t>
      </w:r>
    </w:p>
    <w:p w14:paraId="23465F65" w14:textId="77777777" w:rsidR="00A27215" w:rsidRPr="00F66AFF" w:rsidRDefault="00A27215" w:rsidP="00A27215">
      <w:pPr>
        <w:spacing w:after="0" w:line="240" w:lineRule="auto"/>
        <w:rPr>
          <w:b/>
          <w:bCs/>
          <w:kern w:val="0"/>
          <w:sz w:val="22"/>
          <w:szCs w:val="22"/>
          <w:bdr w:val="single" w:sz="4" w:space="0" w:color="auto"/>
          <w:lang w:val="en-IE"/>
          <w14:ligatures w14:val="none"/>
        </w:rPr>
      </w:pPr>
    </w:p>
    <w:tbl>
      <w:tblPr>
        <w:tblStyle w:val="TableGrid"/>
        <w:tblW w:w="9465" w:type="dxa"/>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3161"/>
        <w:gridCol w:w="3478"/>
      </w:tblGrid>
      <w:tr w:rsidR="00A27215" w:rsidRPr="00F66AFF" w14:paraId="22ACFADE" w14:textId="77777777" w:rsidTr="0041177B">
        <w:trPr>
          <w:trHeight w:val="113"/>
        </w:trPr>
        <w:tc>
          <w:tcPr>
            <w:tcW w:w="9465" w:type="dxa"/>
            <w:gridSpan w:val="3"/>
            <w:shd w:val="clear" w:color="auto" w:fill="002060"/>
          </w:tcPr>
          <w:p w14:paraId="5DC67CC2" w14:textId="77CAA2A1" w:rsidR="00A27215" w:rsidRPr="00F66AFF" w:rsidRDefault="00A27215" w:rsidP="0041177B">
            <w:pPr>
              <w:rPr>
                <w:rFonts w:asciiTheme="minorHAnsi" w:hAnsiTheme="minorHAnsi"/>
                <w:b/>
                <w:bCs/>
                <w:bdr w:val="single" w:sz="4" w:space="0" w:color="auto"/>
              </w:rPr>
            </w:pPr>
            <w:r w:rsidRPr="00F66AFF">
              <w:rPr>
                <w:rFonts w:asciiTheme="minorHAnsi" w:hAnsiTheme="minorHAnsi"/>
                <w:b/>
                <w:bCs/>
                <w:bdr w:val="single" w:sz="4" w:space="0" w:color="auto"/>
              </w:rPr>
              <w:t xml:space="preserve">Figure </w:t>
            </w:r>
            <w:r w:rsidR="008426C7">
              <w:rPr>
                <w:rFonts w:asciiTheme="minorHAnsi" w:hAnsiTheme="minorHAnsi"/>
                <w:b/>
                <w:bCs/>
                <w:bdr w:val="single" w:sz="4" w:space="0" w:color="auto"/>
              </w:rPr>
              <w:t>20.1:</w:t>
            </w:r>
            <w:r w:rsidRPr="00F66AFF">
              <w:rPr>
                <w:rFonts w:asciiTheme="minorHAnsi" w:hAnsiTheme="minorHAnsi"/>
                <w:b/>
                <w:bCs/>
                <w:bdr w:val="single" w:sz="4" w:space="0" w:color="auto"/>
              </w:rPr>
              <w:t xml:space="preserve">  Incidence rate (per 100,000) for bladder cancer &amp; NMIBC by age</w:t>
            </w:r>
            <w:r w:rsidR="00366242">
              <w:rPr>
                <w:rFonts w:asciiTheme="minorHAnsi" w:hAnsiTheme="minorHAnsi"/>
                <w:b/>
                <w:bCs/>
                <w:bdr w:val="single" w:sz="4" w:space="0" w:color="auto"/>
              </w:rPr>
              <w:t xml:space="preserve"> </w:t>
            </w:r>
            <w:r w:rsidRPr="00F66AFF">
              <w:rPr>
                <w:rFonts w:asciiTheme="minorHAnsi" w:hAnsiTheme="minorHAnsi"/>
                <w:b/>
                <w:bCs/>
                <w:bdr w:val="single" w:sz="4" w:space="0" w:color="auto"/>
              </w:rPr>
              <w:t>group,1994-2022</w:t>
            </w:r>
          </w:p>
        </w:tc>
      </w:tr>
      <w:tr w:rsidR="00A27215" w:rsidRPr="002262F2" w14:paraId="33703A60" w14:textId="77777777" w:rsidTr="0041177B">
        <w:trPr>
          <w:trHeight w:val="113"/>
        </w:trPr>
        <w:tc>
          <w:tcPr>
            <w:tcW w:w="2826" w:type="dxa"/>
            <w:shd w:val="clear" w:color="auto" w:fill="auto"/>
          </w:tcPr>
          <w:p w14:paraId="6120C8B3" w14:textId="77777777" w:rsidR="00A27215" w:rsidRPr="002262F2" w:rsidRDefault="00A27215" w:rsidP="0041177B">
            <w:pPr>
              <w:jc w:val="center"/>
              <w:rPr>
                <w:rFonts w:asciiTheme="minorHAnsi" w:hAnsiTheme="minorHAnsi" w:cstheme="minorHAnsi"/>
                <w:color w:val="000000" w:themeColor="text1"/>
              </w:rPr>
            </w:pPr>
            <w:r w:rsidRPr="002262F2">
              <w:rPr>
                <w:rFonts w:asciiTheme="minorHAnsi" w:hAnsiTheme="minorHAnsi" w:cstheme="minorHAnsi"/>
                <w:color w:val="000000" w:themeColor="text1"/>
              </w:rPr>
              <w:t>Total</w:t>
            </w:r>
          </w:p>
        </w:tc>
        <w:tc>
          <w:tcPr>
            <w:tcW w:w="3161" w:type="dxa"/>
            <w:shd w:val="clear" w:color="auto" w:fill="auto"/>
          </w:tcPr>
          <w:p w14:paraId="41C061C1" w14:textId="77777777" w:rsidR="00A27215" w:rsidRPr="002262F2" w:rsidRDefault="00A27215" w:rsidP="0041177B">
            <w:pPr>
              <w:jc w:val="center"/>
              <w:rPr>
                <w:rFonts w:asciiTheme="minorHAnsi" w:hAnsiTheme="minorHAnsi" w:cstheme="minorHAnsi"/>
                <w:color w:val="000000" w:themeColor="text1"/>
              </w:rPr>
            </w:pPr>
            <w:r>
              <w:rPr>
                <w:rFonts w:asciiTheme="minorHAnsi" w:hAnsiTheme="minorHAnsi" w:cstheme="minorHAnsi"/>
                <w:color w:val="000000" w:themeColor="text1"/>
              </w:rPr>
              <w:t>Male</w:t>
            </w:r>
          </w:p>
        </w:tc>
        <w:tc>
          <w:tcPr>
            <w:tcW w:w="3478" w:type="dxa"/>
          </w:tcPr>
          <w:p w14:paraId="0C730414" w14:textId="77777777" w:rsidR="00A27215" w:rsidRPr="002262F2" w:rsidRDefault="00A27215" w:rsidP="0041177B">
            <w:pPr>
              <w:jc w:val="center"/>
              <w:rPr>
                <w:rFonts w:cstheme="minorHAnsi"/>
                <w:color w:val="000000" w:themeColor="text1"/>
              </w:rPr>
            </w:pPr>
            <w:r>
              <w:rPr>
                <w:rFonts w:cstheme="minorHAnsi"/>
                <w:color w:val="000000" w:themeColor="text1"/>
              </w:rPr>
              <w:t>Females</w:t>
            </w:r>
          </w:p>
        </w:tc>
      </w:tr>
      <w:tr w:rsidR="00A27215" w:rsidRPr="002262F2" w14:paraId="0DD9AC71" w14:textId="77777777" w:rsidTr="0041177B">
        <w:trPr>
          <w:trHeight w:val="113"/>
        </w:trPr>
        <w:tc>
          <w:tcPr>
            <w:tcW w:w="2826" w:type="dxa"/>
            <w:shd w:val="clear" w:color="auto" w:fill="auto"/>
            <w:vAlign w:val="center"/>
          </w:tcPr>
          <w:p w14:paraId="737C36CF" w14:textId="77777777" w:rsidR="00A27215" w:rsidRPr="002262F2" w:rsidRDefault="00A27215" w:rsidP="0041177B">
            <w:pPr>
              <w:rPr>
                <w:rFonts w:asciiTheme="minorHAnsi" w:eastAsia="Times New Roman" w:hAnsiTheme="minorHAnsi" w:cs="Times New Roman"/>
                <w:lang w:eastAsia="en-GB"/>
              </w:rPr>
            </w:pPr>
            <w:r w:rsidRPr="002262F2">
              <w:rPr>
                <w:rFonts w:eastAsia="Times New Roman" w:cs="Times New Roman"/>
                <w:noProof/>
                <w:lang w:eastAsia="en-GB"/>
              </w:rPr>
              <w:drawing>
                <wp:inline distT="0" distB="0" distL="0" distR="0" wp14:anchorId="3D702F3A" wp14:editId="02FEEEB1">
                  <wp:extent cx="1481504" cy="1300595"/>
                  <wp:effectExtent l="0" t="0" r="4445" b="0"/>
                  <wp:docPr id="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267">
                            <a:extLst>
                              <a:ext uri="{96DAC541-7B7A-43D3-8B79-37D633B846F1}">
                                <asvg:svgBlip xmlns:asvg="http://schemas.microsoft.com/office/drawing/2016/SVG/main" r:embed="rId268"/>
                              </a:ext>
                            </a:extLst>
                          </a:blip>
                          <a:stretch>
                            <a:fillRect/>
                          </a:stretch>
                        </pic:blipFill>
                        <pic:spPr bwMode="auto">
                          <a:xfrm>
                            <a:off x="0" y="0"/>
                            <a:ext cx="1481504" cy="1300595"/>
                          </a:xfrm>
                          <a:prstGeom prst="rect">
                            <a:avLst/>
                          </a:prstGeom>
                        </pic:spPr>
                      </pic:pic>
                    </a:graphicData>
                  </a:graphic>
                </wp:inline>
              </w:drawing>
            </w:r>
          </w:p>
        </w:tc>
        <w:tc>
          <w:tcPr>
            <w:tcW w:w="3161" w:type="dxa"/>
            <w:shd w:val="clear" w:color="auto" w:fill="auto"/>
            <w:vAlign w:val="center"/>
          </w:tcPr>
          <w:p w14:paraId="7F4F9D67" w14:textId="77777777" w:rsidR="00A27215" w:rsidRPr="002262F2" w:rsidRDefault="00A27215" w:rsidP="0041177B">
            <w:pPr>
              <w:jc w:val="center"/>
              <w:rPr>
                <w:rFonts w:asciiTheme="minorHAnsi" w:hAnsiTheme="minorHAnsi" w:cstheme="minorHAnsi"/>
                <w:color w:val="000000" w:themeColor="text1"/>
                <w:lang w:val="en-GB"/>
              </w:rPr>
            </w:pPr>
            <w:r w:rsidRPr="002262F2">
              <w:rPr>
                <w:rFonts w:eastAsia="Times New Roman" w:cs="Times New Roman"/>
                <w:noProof/>
                <w:lang w:eastAsia="en-GB"/>
              </w:rPr>
              <w:drawing>
                <wp:inline distT="0" distB="0" distL="0" distR="0" wp14:anchorId="43191E68" wp14:editId="0386FCEF">
                  <wp:extent cx="1743075" cy="1320800"/>
                  <wp:effectExtent l="0" t="0" r="9525" b="0"/>
                  <wp:docPr id="169489307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4893071" name="Picture 13"/>
                          <pic:cNvPicPr>
                            <a:picLocks noChangeAspect="1" noChangeArrowheads="1"/>
                          </pic:cNvPicPr>
                        </pic:nvPicPr>
                        <pic:blipFill>
                          <a:blip r:embed="rId269">
                            <a:extLst>
                              <a:ext uri="{96DAC541-7B7A-43D3-8B79-37D633B846F1}">
                                <asvg:svgBlip xmlns:asvg="http://schemas.microsoft.com/office/drawing/2016/SVG/main" r:embed="rId270"/>
                              </a:ext>
                            </a:extLst>
                          </a:blip>
                          <a:stretch>
                            <a:fillRect/>
                          </a:stretch>
                        </pic:blipFill>
                        <pic:spPr bwMode="auto">
                          <a:xfrm>
                            <a:off x="0" y="0"/>
                            <a:ext cx="1743590" cy="1321190"/>
                          </a:xfrm>
                          <a:prstGeom prst="rect">
                            <a:avLst/>
                          </a:prstGeom>
                        </pic:spPr>
                      </pic:pic>
                    </a:graphicData>
                  </a:graphic>
                </wp:inline>
              </w:drawing>
            </w:r>
          </w:p>
        </w:tc>
        <w:tc>
          <w:tcPr>
            <w:tcW w:w="3478" w:type="dxa"/>
          </w:tcPr>
          <w:p w14:paraId="2C568283" w14:textId="77777777" w:rsidR="00A27215" w:rsidRPr="002262F2" w:rsidRDefault="00A27215" w:rsidP="0041177B">
            <w:pPr>
              <w:jc w:val="center"/>
              <w:rPr>
                <w:rFonts w:cstheme="minorHAnsi"/>
                <w:color w:val="000000" w:themeColor="text1"/>
              </w:rPr>
            </w:pPr>
            <w:r w:rsidRPr="002262F2">
              <w:rPr>
                <w:rFonts w:eastAsia="Times New Roman" w:cs="Times New Roman"/>
                <w:noProof/>
                <w:lang w:eastAsia="en-GB"/>
              </w:rPr>
              <w:drawing>
                <wp:inline distT="0" distB="0" distL="0" distR="0" wp14:anchorId="47D491D0" wp14:editId="20ED56AF">
                  <wp:extent cx="1959429" cy="1306285"/>
                  <wp:effectExtent l="0" t="0" r="3175" b="8255"/>
                  <wp:docPr id="1493672018" name="Picture 2" descr="A graph with numbers and a ba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3672018" name="Picture 2" descr="A graph with numbers and a bar&#10;&#10;AI-generated content may be incorrect."/>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968859" cy="1312572"/>
                          </a:xfrm>
                          <a:prstGeom prst="rect">
                            <a:avLst/>
                          </a:prstGeom>
                          <a:noFill/>
                          <a:ln>
                            <a:noFill/>
                          </a:ln>
                        </pic:spPr>
                      </pic:pic>
                    </a:graphicData>
                  </a:graphic>
                </wp:inline>
              </w:drawing>
            </w:r>
          </w:p>
        </w:tc>
      </w:tr>
    </w:tbl>
    <w:p w14:paraId="72B91E26" w14:textId="77777777" w:rsidR="001A3B02" w:rsidRPr="001A3B02" w:rsidRDefault="001A3B02" w:rsidP="001A3B02">
      <w:bookmarkStart w:id="371" w:name="_Toc197557175"/>
    </w:p>
    <w:p w14:paraId="42C6935D" w14:textId="77777777" w:rsidR="00A27215" w:rsidRPr="001817D2" w:rsidRDefault="00A27215" w:rsidP="00A27215">
      <w:pPr>
        <w:pStyle w:val="Heading3"/>
        <w:spacing w:before="0" w:after="0" w:line="240" w:lineRule="auto"/>
      </w:pPr>
      <w:bookmarkStart w:id="372" w:name="_Toc201512566"/>
      <w:r w:rsidRPr="001817D2">
        <w:t>Trends over</w:t>
      </w:r>
      <w:r>
        <w:t xml:space="preserve"> </w:t>
      </w:r>
      <w:r w:rsidRPr="001817D2">
        <w:t>time</w:t>
      </w:r>
      <w:bookmarkEnd w:id="371"/>
      <w:bookmarkEnd w:id="372"/>
    </w:p>
    <w:p w14:paraId="57101E7E" w14:textId="35BE2D2A" w:rsidR="00A27215" w:rsidRPr="00BE154B" w:rsidRDefault="00A27215" w:rsidP="00A27215">
      <w:pPr>
        <w:spacing w:after="0" w:line="240" w:lineRule="auto"/>
        <w:rPr>
          <w:rFonts w:cstheme="minorHAnsi"/>
        </w:rPr>
      </w:pPr>
      <w:r w:rsidRPr="00BE154B">
        <w:rPr>
          <w:rFonts w:cstheme="minorHAnsi"/>
        </w:rPr>
        <w:t xml:space="preserve">Figure </w:t>
      </w:r>
      <w:r w:rsidR="008426C7">
        <w:rPr>
          <w:rFonts w:cstheme="minorHAnsi"/>
        </w:rPr>
        <w:t xml:space="preserve">20.2 </w:t>
      </w:r>
      <w:r w:rsidRPr="00BE154B">
        <w:rPr>
          <w:rFonts w:cstheme="minorHAnsi"/>
        </w:rPr>
        <w:t xml:space="preserve">shows the incidence of bladder cancer and NMIBC from 1994 to 2022. </w:t>
      </w:r>
    </w:p>
    <w:p w14:paraId="206E9B19" w14:textId="7103772D" w:rsidR="00A27215" w:rsidRPr="0075645A" w:rsidRDefault="00A27215" w:rsidP="0075645A">
      <w:pPr>
        <w:pStyle w:val="xmsonormal"/>
        <w:shd w:val="clear" w:color="auto" w:fill="FFFFFF"/>
        <w:spacing w:before="0" w:beforeAutospacing="0" w:after="0" w:afterAutospacing="0"/>
        <w:rPr>
          <w:rFonts w:asciiTheme="minorHAnsi" w:eastAsiaTheme="minorHAnsi" w:hAnsiTheme="minorHAnsi" w:cstheme="minorHAnsi"/>
          <w:kern w:val="2"/>
          <w:lang w:eastAsia="en-US"/>
          <w14:ligatures w14:val="standardContextual"/>
        </w:rPr>
      </w:pPr>
      <w:r w:rsidRPr="008426C7">
        <w:rPr>
          <w:rFonts w:asciiTheme="minorHAnsi" w:eastAsiaTheme="minorHAnsi" w:hAnsiTheme="minorHAnsi" w:cstheme="minorHAnsi"/>
          <w:kern w:val="2"/>
          <w:lang w:eastAsia="en-US"/>
          <w14:ligatures w14:val="standardContextual"/>
        </w:rPr>
        <w:t>Incidence rates were sta</w:t>
      </w:r>
      <w:r w:rsidR="00972239">
        <w:rPr>
          <w:rFonts w:asciiTheme="minorHAnsi" w:eastAsiaTheme="minorHAnsi" w:hAnsiTheme="minorHAnsi" w:cstheme="minorHAnsi"/>
          <w:kern w:val="2"/>
          <w:lang w:eastAsia="en-US"/>
          <w14:ligatures w14:val="standardContextual"/>
        </w:rPr>
        <w:t>ble</w:t>
      </w:r>
      <w:r w:rsidRPr="008426C7">
        <w:rPr>
          <w:rFonts w:asciiTheme="minorHAnsi" w:eastAsiaTheme="minorHAnsi" w:hAnsiTheme="minorHAnsi" w:cstheme="minorHAnsi"/>
          <w:kern w:val="2"/>
          <w:lang w:eastAsia="en-US"/>
          <w14:ligatures w14:val="standardContextual"/>
        </w:rPr>
        <w:t xml:space="preserve"> </w:t>
      </w:r>
      <w:r w:rsidRPr="0075645A">
        <w:rPr>
          <w:rFonts w:asciiTheme="minorHAnsi" w:eastAsiaTheme="minorHAnsi" w:hAnsiTheme="minorHAnsi" w:cstheme="minorHAnsi"/>
          <w:kern w:val="2"/>
          <w:lang w:eastAsia="en-US"/>
          <w14:ligatures w14:val="standardContextual"/>
        </w:rPr>
        <w:t xml:space="preserve">from 1994 to 2022 in both males and females. </w:t>
      </w:r>
      <w:r w:rsidR="001515DC" w:rsidRPr="0075645A">
        <w:rPr>
          <w:rFonts w:asciiTheme="minorHAnsi" w:eastAsiaTheme="minorHAnsi" w:hAnsiTheme="minorHAnsi" w:cstheme="minorHAnsi"/>
          <w:kern w:val="2"/>
          <w:lang w:eastAsia="en-US"/>
          <w14:ligatures w14:val="standardContextual"/>
        </w:rPr>
        <w:t> </w:t>
      </w:r>
    </w:p>
    <w:p w14:paraId="4E40C0F5" w14:textId="77777777" w:rsidR="00A27215" w:rsidRDefault="00A27215" w:rsidP="00A27215">
      <w:pPr>
        <w:spacing w:after="0" w:line="240" w:lineRule="auto"/>
        <w:rPr>
          <w:rFonts w:cstheme="minorHAnsi"/>
        </w:rPr>
      </w:pPr>
    </w:p>
    <w:tbl>
      <w:tblPr>
        <w:tblStyle w:val="TableGrid"/>
        <w:tblW w:w="950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3"/>
      </w:tblGrid>
      <w:tr w:rsidR="00A27215" w:rsidRPr="002262F2" w14:paraId="5810CA06" w14:textId="77777777" w:rsidTr="0041177B">
        <w:trPr>
          <w:trHeight w:val="113"/>
        </w:trPr>
        <w:tc>
          <w:tcPr>
            <w:tcW w:w="9503" w:type="dxa"/>
            <w:shd w:val="clear" w:color="auto" w:fill="002060"/>
            <w:vAlign w:val="center"/>
          </w:tcPr>
          <w:p w14:paraId="25375DA8" w14:textId="36602EA3" w:rsidR="00A27215" w:rsidRPr="002262F2" w:rsidRDefault="00A27215" w:rsidP="0041177B">
            <w:pPr>
              <w:rPr>
                <w:rFonts w:asciiTheme="minorHAnsi" w:hAnsiTheme="minorHAnsi"/>
                <w:b/>
                <w:bCs/>
              </w:rPr>
            </w:pPr>
            <w:r w:rsidRPr="002262F2">
              <w:rPr>
                <w:rFonts w:asciiTheme="minorHAnsi" w:hAnsiTheme="minorHAnsi"/>
                <w:b/>
                <w:bCs/>
              </w:rPr>
              <w:t xml:space="preserve">Figure </w:t>
            </w:r>
            <w:r w:rsidR="008426C7">
              <w:rPr>
                <w:rFonts w:asciiTheme="minorHAnsi" w:hAnsiTheme="minorHAnsi"/>
                <w:b/>
                <w:bCs/>
              </w:rPr>
              <w:t xml:space="preserve">20.2: </w:t>
            </w:r>
            <w:r w:rsidRPr="002262F2">
              <w:rPr>
                <w:rFonts w:asciiTheme="minorHAnsi" w:hAnsiTheme="minorHAnsi"/>
                <w:b/>
                <w:bCs/>
              </w:rPr>
              <w:t>Age-</w:t>
            </w:r>
            <w:r w:rsidRPr="002262F2">
              <w:rPr>
                <w:rFonts w:asciiTheme="minorHAnsi" w:hAnsiTheme="minorHAnsi"/>
                <w:b/>
                <w:bCs/>
                <w:bdr w:val="single" w:sz="4" w:space="0" w:color="auto"/>
              </w:rPr>
              <w:t>standardised incidence rate 1994-2022, bladder cancer</w:t>
            </w:r>
            <w:r w:rsidR="00A83ACE">
              <w:rPr>
                <w:rFonts w:asciiTheme="minorHAnsi" w:hAnsiTheme="minorHAnsi"/>
                <w:b/>
                <w:bCs/>
                <w:bdr w:val="single" w:sz="4" w:space="0" w:color="auto"/>
              </w:rPr>
              <w:t xml:space="preserve"> </w:t>
            </w:r>
            <w:r w:rsidRPr="002262F2">
              <w:rPr>
                <w:rFonts w:asciiTheme="minorHAnsi" w:hAnsiTheme="minorHAnsi"/>
                <w:b/>
                <w:bCs/>
                <w:bdr w:val="single" w:sz="4" w:space="0" w:color="auto"/>
              </w:rPr>
              <w:t>&amp; NMIBC</w:t>
            </w:r>
          </w:p>
        </w:tc>
      </w:tr>
      <w:tr w:rsidR="00A27215" w:rsidRPr="002262F2" w14:paraId="3D6C227E" w14:textId="77777777" w:rsidTr="0041177B">
        <w:trPr>
          <w:trHeight w:val="113"/>
        </w:trPr>
        <w:tc>
          <w:tcPr>
            <w:tcW w:w="9503" w:type="dxa"/>
          </w:tcPr>
          <w:p w14:paraId="172339C6" w14:textId="662C3C4A" w:rsidR="00A27215" w:rsidRPr="002262F2" w:rsidRDefault="008426C7" w:rsidP="0041177B">
            <w:pPr>
              <w:jc w:val="center"/>
              <w:rPr>
                <w:rFonts w:asciiTheme="minorHAnsi" w:hAnsiTheme="minorHAnsi"/>
              </w:rPr>
            </w:pPr>
            <w:r>
              <w:rPr>
                <w:noProof/>
              </w:rPr>
              <w:drawing>
                <wp:inline distT="0" distB="0" distL="0" distR="0" wp14:anchorId="4D20F033" wp14:editId="1AA6135B">
                  <wp:extent cx="5290141" cy="2844000"/>
                  <wp:effectExtent l="0" t="0" r="6350" b="0"/>
                  <wp:docPr id="17751997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290141" cy="2844000"/>
                          </a:xfrm>
                          <a:prstGeom prst="rect">
                            <a:avLst/>
                          </a:prstGeom>
                          <a:noFill/>
                        </pic:spPr>
                      </pic:pic>
                    </a:graphicData>
                  </a:graphic>
                </wp:inline>
              </w:drawing>
            </w:r>
          </w:p>
        </w:tc>
      </w:tr>
      <w:tr w:rsidR="00A27215" w:rsidRPr="002262F2" w14:paraId="2ED7F320" w14:textId="77777777" w:rsidTr="0041177B">
        <w:trPr>
          <w:trHeight w:val="113"/>
        </w:trPr>
        <w:tc>
          <w:tcPr>
            <w:tcW w:w="9503" w:type="dxa"/>
          </w:tcPr>
          <w:tbl>
            <w:tblPr>
              <w:tblpPr w:leftFromText="180" w:rightFromText="180" w:vertAnchor="page" w:horzAnchor="margin" w:tblpXSpec="center" w:tblpY="1"/>
              <w:tblOverlap w:val="never"/>
              <w:tblW w:w="0" w:type="auto"/>
              <w:tblCellMar>
                <w:top w:w="15" w:type="dxa"/>
                <w:bottom w:w="15" w:type="dxa"/>
              </w:tblCellMar>
              <w:tblLook w:val="04A0" w:firstRow="1" w:lastRow="0" w:firstColumn="1" w:lastColumn="0" w:noHBand="0" w:noVBand="1"/>
            </w:tblPr>
            <w:tblGrid>
              <w:gridCol w:w="530"/>
              <w:gridCol w:w="1139"/>
              <w:gridCol w:w="771"/>
              <w:gridCol w:w="856"/>
              <w:gridCol w:w="706"/>
              <w:gridCol w:w="530"/>
              <w:gridCol w:w="1139"/>
              <w:gridCol w:w="771"/>
              <w:gridCol w:w="924"/>
              <w:gridCol w:w="706"/>
            </w:tblGrid>
            <w:tr w:rsidR="00A27215" w:rsidRPr="004A55FA" w14:paraId="1CFC4A91" w14:textId="77777777" w:rsidTr="0041177B">
              <w:trPr>
                <w:trHeight w:val="113"/>
              </w:trPr>
              <w:tc>
                <w:tcPr>
                  <w:tcW w:w="0" w:type="auto"/>
                  <w:noWrap/>
                  <w:vAlign w:val="center"/>
                  <w:hideMark/>
                </w:tcPr>
                <w:p w14:paraId="78741323" w14:textId="77777777" w:rsidR="00A27215" w:rsidRPr="004A55FA" w:rsidRDefault="00A27215" w:rsidP="0041177B">
                  <w:pPr>
                    <w:spacing w:after="0" w:line="240" w:lineRule="auto"/>
                    <w:jc w:val="center"/>
                    <w:rPr>
                      <w:rFonts w:eastAsia="Times New Roman" w:cs="Calibri"/>
                      <w:b/>
                      <w:bCs/>
                      <w:color w:val="000000"/>
                      <w:kern w:val="0"/>
                      <w:sz w:val="20"/>
                      <w:szCs w:val="20"/>
                      <w:u w:val="single"/>
                      <w:lang w:eastAsia="en-GB"/>
                      <w14:ligatures w14:val="none"/>
                    </w:rPr>
                  </w:pPr>
                  <w:r w:rsidRPr="004A55FA">
                    <w:rPr>
                      <w:rFonts w:eastAsia="Times New Roman" w:cs="Calibri"/>
                      <w:b/>
                      <w:bCs/>
                      <w:color w:val="000000"/>
                      <w:kern w:val="0"/>
                      <w:sz w:val="20"/>
                      <w:szCs w:val="20"/>
                      <w:u w:val="single"/>
                      <w:lang w:eastAsia="en-GB"/>
                      <w14:ligatures w14:val="none"/>
                    </w:rPr>
                    <w:t>sex</w:t>
                  </w:r>
                </w:p>
              </w:tc>
              <w:tc>
                <w:tcPr>
                  <w:tcW w:w="0" w:type="auto"/>
                  <w:noWrap/>
                  <w:vAlign w:val="center"/>
                  <w:hideMark/>
                </w:tcPr>
                <w:p w14:paraId="180F1DFA" w14:textId="77777777" w:rsidR="00A27215" w:rsidRPr="004A55FA" w:rsidRDefault="00A27215" w:rsidP="0041177B">
                  <w:pPr>
                    <w:spacing w:after="0" w:line="240" w:lineRule="auto"/>
                    <w:jc w:val="center"/>
                    <w:rPr>
                      <w:rFonts w:eastAsia="Times New Roman" w:cs="Calibri"/>
                      <w:b/>
                      <w:bCs/>
                      <w:color w:val="000000"/>
                      <w:kern w:val="0"/>
                      <w:sz w:val="20"/>
                      <w:szCs w:val="20"/>
                      <w:u w:val="single"/>
                      <w:lang w:eastAsia="en-GB"/>
                      <w14:ligatures w14:val="none"/>
                    </w:rPr>
                  </w:pPr>
                  <w:r w:rsidRPr="004A55FA">
                    <w:rPr>
                      <w:rFonts w:eastAsia="Times New Roman" w:cs="Calibri"/>
                      <w:b/>
                      <w:bCs/>
                      <w:color w:val="000000"/>
                      <w:kern w:val="0"/>
                      <w:sz w:val="20"/>
                      <w:szCs w:val="20"/>
                      <w:u w:val="single"/>
                      <w:lang w:eastAsia="en-GB"/>
                      <w14:ligatures w14:val="none"/>
                    </w:rPr>
                    <w:t>period</w:t>
                  </w:r>
                </w:p>
              </w:tc>
              <w:tc>
                <w:tcPr>
                  <w:tcW w:w="0" w:type="auto"/>
                  <w:noWrap/>
                  <w:vAlign w:val="center"/>
                  <w:hideMark/>
                </w:tcPr>
                <w:p w14:paraId="16FDC7D4" w14:textId="77777777" w:rsidR="00A27215" w:rsidRPr="004A55FA" w:rsidRDefault="00A27215" w:rsidP="0041177B">
                  <w:pPr>
                    <w:spacing w:after="0" w:line="240" w:lineRule="auto"/>
                    <w:jc w:val="center"/>
                    <w:rPr>
                      <w:rFonts w:eastAsia="Times New Roman" w:cs="Calibri"/>
                      <w:b/>
                      <w:bCs/>
                      <w:color w:val="000000"/>
                      <w:kern w:val="0"/>
                      <w:sz w:val="20"/>
                      <w:szCs w:val="20"/>
                      <w:u w:val="single"/>
                      <w:lang w:eastAsia="en-GB"/>
                      <w14:ligatures w14:val="none"/>
                    </w:rPr>
                  </w:pPr>
                  <w:r w:rsidRPr="004A55FA">
                    <w:rPr>
                      <w:rFonts w:eastAsia="Times New Roman" w:cs="Calibri"/>
                      <w:b/>
                      <w:bCs/>
                      <w:color w:val="000000"/>
                      <w:kern w:val="0"/>
                      <w:sz w:val="20"/>
                      <w:szCs w:val="20"/>
                      <w:u w:val="single"/>
                      <w:lang w:eastAsia="en-GB"/>
                      <w14:ligatures w14:val="none"/>
                    </w:rPr>
                    <w:t>APC%</w:t>
                  </w:r>
                </w:p>
              </w:tc>
              <w:tc>
                <w:tcPr>
                  <w:tcW w:w="0" w:type="auto"/>
                  <w:noWrap/>
                  <w:vAlign w:val="center"/>
                  <w:hideMark/>
                </w:tcPr>
                <w:p w14:paraId="20E7D8D9" w14:textId="77777777" w:rsidR="00A27215" w:rsidRPr="004A55FA" w:rsidRDefault="00A27215" w:rsidP="0041177B">
                  <w:pPr>
                    <w:spacing w:after="0" w:line="240" w:lineRule="auto"/>
                    <w:jc w:val="center"/>
                    <w:rPr>
                      <w:rFonts w:eastAsia="Times New Roman" w:cs="Calibri"/>
                      <w:b/>
                      <w:bCs/>
                      <w:color w:val="000000"/>
                      <w:kern w:val="0"/>
                      <w:sz w:val="20"/>
                      <w:szCs w:val="20"/>
                      <w:u w:val="single"/>
                      <w:lang w:eastAsia="en-GB"/>
                      <w14:ligatures w14:val="none"/>
                    </w:rPr>
                  </w:pPr>
                  <w:r w:rsidRPr="004A55FA">
                    <w:rPr>
                      <w:rFonts w:eastAsia="Times New Roman" w:cs="Calibri"/>
                      <w:b/>
                      <w:bCs/>
                      <w:color w:val="000000"/>
                      <w:kern w:val="0"/>
                      <w:sz w:val="20"/>
                      <w:szCs w:val="20"/>
                      <w:u w:val="single"/>
                      <w:lang w:eastAsia="en-GB"/>
                      <w14:ligatures w14:val="none"/>
                    </w:rPr>
                    <w:t>95%CI</w:t>
                  </w:r>
                </w:p>
              </w:tc>
              <w:tc>
                <w:tcPr>
                  <w:tcW w:w="0" w:type="auto"/>
                  <w:tcBorders>
                    <w:right w:val="single" w:sz="4" w:space="0" w:color="auto"/>
                  </w:tcBorders>
                  <w:noWrap/>
                  <w:vAlign w:val="center"/>
                  <w:hideMark/>
                </w:tcPr>
                <w:p w14:paraId="7976C596" w14:textId="77777777" w:rsidR="00A27215" w:rsidRPr="004A55FA" w:rsidRDefault="00A27215" w:rsidP="0041177B">
                  <w:pPr>
                    <w:spacing w:after="0" w:line="240" w:lineRule="auto"/>
                    <w:jc w:val="center"/>
                    <w:rPr>
                      <w:rFonts w:eastAsia="Times New Roman" w:cs="Calibri"/>
                      <w:b/>
                      <w:bCs/>
                      <w:color w:val="000000"/>
                      <w:kern w:val="0"/>
                      <w:sz w:val="20"/>
                      <w:szCs w:val="20"/>
                      <w:u w:val="single"/>
                      <w:lang w:eastAsia="en-GB"/>
                      <w14:ligatures w14:val="none"/>
                    </w:rPr>
                  </w:pPr>
                  <w:r w:rsidRPr="004A55FA">
                    <w:rPr>
                      <w:rFonts w:eastAsia="Times New Roman" w:cs="Calibri"/>
                      <w:b/>
                      <w:bCs/>
                      <w:color w:val="000000"/>
                      <w:kern w:val="0"/>
                      <w:sz w:val="20"/>
                      <w:szCs w:val="20"/>
                      <w:u w:val="single"/>
                      <w:lang w:eastAsia="en-GB"/>
                      <w14:ligatures w14:val="none"/>
                    </w:rPr>
                    <w:t>trend</w:t>
                  </w:r>
                </w:p>
              </w:tc>
              <w:tc>
                <w:tcPr>
                  <w:tcW w:w="0" w:type="auto"/>
                  <w:vAlign w:val="center"/>
                </w:tcPr>
                <w:p w14:paraId="5C86F3A4" w14:textId="77777777" w:rsidR="00A27215" w:rsidRPr="004A55FA" w:rsidRDefault="00A27215" w:rsidP="0041177B">
                  <w:pPr>
                    <w:spacing w:after="0" w:line="240" w:lineRule="auto"/>
                    <w:jc w:val="center"/>
                    <w:rPr>
                      <w:rFonts w:eastAsia="Times New Roman" w:cs="Calibri"/>
                      <w:b/>
                      <w:bCs/>
                      <w:color w:val="000000"/>
                      <w:kern w:val="0"/>
                      <w:sz w:val="20"/>
                      <w:szCs w:val="20"/>
                      <w:u w:val="single"/>
                      <w:lang w:eastAsia="en-GB"/>
                      <w14:ligatures w14:val="none"/>
                    </w:rPr>
                  </w:pPr>
                  <w:r w:rsidRPr="004A55FA">
                    <w:rPr>
                      <w:rFonts w:eastAsia="Times New Roman" w:cs="Calibri"/>
                      <w:b/>
                      <w:bCs/>
                      <w:color w:val="000000"/>
                      <w:kern w:val="0"/>
                      <w:sz w:val="20"/>
                      <w:szCs w:val="20"/>
                      <w:u w:val="single"/>
                      <w:lang w:eastAsia="en-GB"/>
                      <w14:ligatures w14:val="none"/>
                    </w:rPr>
                    <w:t>sex</w:t>
                  </w:r>
                </w:p>
              </w:tc>
              <w:tc>
                <w:tcPr>
                  <w:tcW w:w="0" w:type="auto"/>
                  <w:vAlign w:val="center"/>
                </w:tcPr>
                <w:p w14:paraId="403DC700" w14:textId="77777777" w:rsidR="00A27215" w:rsidRPr="004A55FA" w:rsidRDefault="00A27215" w:rsidP="0041177B">
                  <w:pPr>
                    <w:spacing w:after="0" w:line="240" w:lineRule="auto"/>
                    <w:jc w:val="center"/>
                    <w:rPr>
                      <w:rFonts w:eastAsia="Times New Roman" w:cs="Calibri"/>
                      <w:b/>
                      <w:bCs/>
                      <w:color w:val="000000"/>
                      <w:kern w:val="0"/>
                      <w:sz w:val="20"/>
                      <w:szCs w:val="20"/>
                      <w:u w:val="single"/>
                      <w:lang w:eastAsia="en-GB"/>
                      <w14:ligatures w14:val="none"/>
                    </w:rPr>
                  </w:pPr>
                  <w:r w:rsidRPr="004A55FA">
                    <w:rPr>
                      <w:rFonts w:eastAsia="Times New Roman" w:cs="Calibri"/>
                      <w:b/>
                      <w:bCs/>
                      <w:color w:val="000000"/>
                      <w:kern w:val="0"/>
                      <w:sz w:val="20"/>
                      <w:szCs w:val="20"/>
                      <w:u w:val="single"/>
                      <w:lang w:eastAsia="en-GB"/>
                      <w14:ligatures w14:val="none"/>
                    </w:rPr>
                    <w:t>period</w:t>
                  </w:r>
                </w:p>
              </w:tc>
              <w:tc>
                <w:tcPr>
                  <w:tcW w:w="0" w:type="auto"/>
                  <w:vAlign w:val="center"/>
                </w:tcPr>
                <w:p w14:paraId="1D081E79" w14:textId="77777777" w:rsidR="00A27215" w:rsidRPr="004A55FA" w:rsidRDefault="00A27215" w:rsidP="0041177B">
                  <w:pPr>
                    <w:spacing w:after="0" w:line="240" w:lineRule="auto"/>
                    <w:jc w:val="center"/>
                    <w:rPr>
                      <w:rFonts w:eastAsia="Times New Roman" w:cs="Calibri"/>
                      <w:b/>
                      <w:bCs/>
                      <w:color w:val="000000"/>
                      <w:kern w:val="0"/>
                      <w:sz w:val="20"/>
                      <w:szCs w:val="20"/>
                      <w:u w:val="single"/>
                      <w:lang w:eastAsia="en-GB"/>
                      <w14:ligatures w14:val="none"/>
                    </w:rPr>
                  </w:pPr>
                  <w:r w:rsidRPr="004A55FA">
                    <w:rPr>
                      <w:rFonts w:eastAsia="Times New Roman" w:cs="Calibri"/>
                      <w:b/>
                      <w:bCs/>
                      <w:color w:val="000000"/>
                      <w:kern w:val="0"/>
                      <w:sz w:val="20"/>
                      <w:szCs w:val="20"/>
                      <w:u w:val="single"/>
                      <w:lang w:eastAsia="en-GB"/>
                      <w14:ligatures w14:val="none"/>
                    </w:rPr>
                    <w:t>APC%</w:t>
                  </w:r>
                </w:p>
              </w:tc>
              <w:tc>
                <w:tcPr>
                  <w:tcW w:w="0" w:type="auto"/>
                  <w:vAlign w:val="center"/>
                </w:tcPr>
                <w:p w14:paraId="5B85C8C5" w14:textId="77777777" w:rsidR="00A27215" w:rsidRPr="004A55FA" w:rsidRDefault="00A27215" w:rsidP="0041177B">
                  <w:pPr>
                    <w:spacing w:after="0" w:line="240" w:lineRule="auto"/>
                    <w:jc w:val="center"/>
                    <w:rPr>
                      <w:rFonts w:eastAsia="Times New Roman" w:cs="Calibri"/>
                      <w:b/>
                      <w:bCs/>
                      <w:color w:val="000000"/>
                      <w:kern w:val="0"/>
                      <w:sz w:val="20"/>
                      <w:szCs w:val="20"/>
                      <w:u w:val="single"/>
                      <w:lang w:eastAsia="en-GB"/>
                      <w14:ligatures w14:val="none"/>
                    </w:rPr>
                  </w:pPr>
                  <w:r w:rsidRPr="004A55FA">
                    <w:rPr>
                      <w:rFonts w:eastAsia="Times New Roman" w:cs="Calibri"/>
                      <w:b/>
                      <w:bCs/>
                      <w:color w:val="000000"/>
                      <w:kern w:val="0"/>
                      <w:sz w:val="20"/>
                      <w:szCs w:val="20"/>
                      <w:u w:val="single"/>
                      <w:lang w:eastAsia="en-GB"/>
                      <w14:ligatures w14:val="none"/>
                    </w:rPr>
                    <w:t>95%CI</w:t>
                  </w:r>
                </w:p>
              </w:tc>
              <w:tc>
                <w:tcPr>
                  <w:tcW w:w="0" w:type="auto"/>
                  <w:tcBorders>
                    <w:right w:val="single" w:sz="4" w:space="0" w:color="auto"/>
                  </w:tcBorders>
                  <w:vAlign w:val="center"/>
                </w:tcPr>
                <w:p w14:paraId="36740BFA" w14:textId="77777777" w:rsidR="00A27215" w:rsidRPr="004A55FA" w:rsidRDefault="00A27215" w:rsidP="0041177B">
                  <w:pPr>
                    <w:spacing w:after="0" w:line="240" w:lineRule="auto"/>
                    <w:jc w:val="center"/>
                    <w:rPr>
                      <w:rFonts w:eastAsia="Times New Roman" w:cs="Calibri"/>
                      <w:b/>
                      <w:bCs/>
                      <w:color w:val="000000"/>
                      <w:kern w:val="0"/>
                      <w:sz w:val="20"/>
                      <w:szCs w:val="20"/>
                      <w:u w:val="single"/>
                      <w:lang w:eastAsia="en-GB"/>
                      <w14:ligatures w14:val="none"/>
                    </w:rPr>
                  </w:pPr>
                  <w:r w:rsidRPr="004A55FA">
                    <w:rPr>
                      <w:rFonts w:eastAsia="Times New Roman" w:cs="Calibri"/>
                      <w:b/>
                      <w:bCs/>
                      <w:color w:val="000000"/>
                      <w:kern w:val="0"/>
                      <w:sz w:val="20"/>
                      <w:szCs w:val="20"/>
                      <w:u w:val="single"/>
                      <w:lang w:eastAsia="en-GB"/>
                      <w14:ligatures w14:val="none"/>
                    </w:rPr>
                    <w:t>trend</w:t>
                  </w:r>
                </w:p>
              </w:tc>
            </w:tr>
            <w:tr w:rsidR="00A27215" w:rsidRPr="004A55FA" w14:paraId="3388B834" w14:textId="77777777" w:rsidTr="008426C7">
              <w:trPr>
                <w:trHeight w:val="137"/>
              </w:trPr>
              <w:tc>
                <w:tcPr>
                  <w:tcW w:w="0" w:type="auto"/>
                  <w:noWrap/>
                  <w:vAlign w:val="center"/>
                  <w:hideMark/>
                </w:tcPr>
                <w:p w14:paraId="15C560DD" w14:textId="77777777" w:rsidR="00A27215" w:rsidRPr="004A55FA" w:rsidRDefault="00A27215" w:rsidP="0041177B">
                  <w:pPr>
                    <w:spacing w:after="0" w:line="240" w:lineRule="auto"/>
                    <w:jc w:val="center"/>
                    <w:rPr>
                      <w:rFonts w:eastAsia="Times New Roman" w:cs="Calibri"/>
                      <w:color w:val="000000"/>
                      <w:kern w:val="0"/>
                      <w:sz w:val="20"/>
                      <w:szCs w:val="20"/>
                      <w:lang w:eastAsia="en-GB"/>
                      <w14:ligatures w14:val="none"/>
                    </w:rPr>
                  </w:pPr>
                  <w:r w:rsidRPr="004A55FA">
                    <w:rPr>
                      <w:rFonts w:eastAsia="Times New Roman" w:cs="Calibri"/>
                      <w:color w:val="000000"/>
                      <w:kern w:val="0"/>
                      <w:sz w:val="20"/>
                      <w:szCs w:val="20"/>
                      <w:lang w:eastAsia="en-GB"/>
                      <w14:ligatures w14:val="none"/>
                    </w:rPr>
                    <w:t>M</w:t>
                  </w:r>
                </w:p>
              </w:tc>
              <w:tc>
                <w:tcPr>
                  <w:tcW w:w="0" w:type="auto"/>
                  <w:noWrap/>
                  <w:vAlign w:val="center"/>
                  <w:hideMark/>
                </w:tcPr>
                <w:p w14:paraId="5021BD00" w14:textId="77777777" w:rsidR="00A27215" w:rsidRPr="004A55FA" w:rsidRDefault="00A27215" w:rsidP="0041177B">
                  <w:pPr>
                    <w:spacing w:after="0" w:line="240" w:lineRule="auto"/>
                    <w:jc w:val="center"/>
                    <w:rPr>
                      <w:rFonts w:eastAsia="Times New Roman" w:cs="Calibri"/>
                      <w:color w:val="000000"/>
                      <w:kern w:val="0"/>
                      <w:sz w:val="20"/>
                      <w:szCs w:val="20"/>
                      <w:lang w:eastAsia="en-GB"/>
                      <w14:ligatures w14:val="none"/>
                    </w:rPr>
                  </w:pPr>
                  <w:r w:rsidRPr="004A55FA">
                    <w:rPr>
                      <w:rFonts w:eastAsia="Times New Roman" w:cs="Calibri"/>
                      <w:color w:val="000000"/>
                      <w:kern w:val="0"/>
                      <w:sz w:val="20"/>
                      <w:szCs w:val="20"/>
                      <w:lang w:eastAsia="en-GB"/>
                      <w14:ligatures w14:val="none"/>
                    </w:rPr>
                    <w:t>1994-2022</w:t>
                  </w:r>
                </w:p>
              </w:tc>
              <w:tc>
                <w:tcPr>
                  <w:tcW w:w="0" w:type="auto"/>
                  <w:noWrap/>
                  <w:vAlign w:val="center"/>
                  <w:hideMark/>
                </w:tcPr>
                <w:p w14:paraId="395C841D" w14:textId="77777777" w:rsidR="00A27215" w:rsidRPr="004A55FA" w:rsidRDefault="00A27215" w:rsidP="0041177B">
                  <w:pPr>
                    <w:spacing w:after="0" w:line="240" w:lineRule="auto"/>
                    <w:jc w:val="center"/>
                    <w:rPr>
                      <w:rFonts w:eastAsia="Times New Roman" w:cs="Calibri"/>
                      <w:color w:val="000000"/>
                      <w:kern w:val="0"/>
                      <w:sz w:val="20"/>
                      <w:szCs w:val="20"/>
                      <w:lang w:eastAsia="en-GB"/>
                      <w14:ligatures w14:val="none"/>
                    </w:rPr>
                  </w:pPr>
                  <w:r w:rsidRPr="004A55FA">
                    <w:rPr>
                      <w:rFonts w:cs="Calibri"/>
                      <w:color w:val="000000"/>
                      <w:sz w:val="20"/>
                      <w:szCs w:val="20"/>
                    </w:rPr>
                    <w:t>0.2</w:t>
                  </w:r>
                </w:p>
              </w:tc>
              <w:tc>
                <w:tcPr>
                  <w:tcW w:w="0" w:type="auto"/>
                  <w:noWrap/>
                  <w:vAlign w:val="center"/>
                  <w:hideMark/>
                </w:tcPr>
                <w:p w14:paraId="2D452195" w14:textId="2266382D" w:rsidR="00A27215" w:rsidRPr="004A55FA" w:rsidRDefault="00A27215" w:rsidP="0041177B">
                  <w:pPr>
                    <w:spacing w:after="0" w:line="240" w:lineRule="auto"/>
                    <w:jc w:val="center"/>
                    <w:rPr>
                      <w:rFonts w:eastAsia="Times New Roman" w:cs="Calibri"/>
                      <w:color w:val="000000"/>
                      <w:kern w:val="0"/>
                      <w:sz w:val="20"/>
                      <w:szCs w:val="20"/>
                      <w:lang w:eastAsia="en-GB"/>
                      <w14:ligatures w14:val="none"/>
                    </w:rPr>
                  </w:pPr>
                  <w:r w:rsidRPr="004A55FA">
                    <w:rPr>
                      <w:rFonts w:cs="Calibri"/>
                      <w:color w:val="000000"/>
                      <w:sz w:val="20"/>
                      <w:szCs w:val="20"/>
                    </w:rPr>
                    <w:t>0.0,</w:t>
                  </w:r>
                  <w:r w:rsidR="00F42B48">
                    <w:rPr>
                      <w:rFonts w:cs="Calibri"/>
                      <w:color w:val="000000"/>
                      <w:sz w:val="20"/>
                      <w:szCs w:val="20"/>
                    </w:rPr>
                    <w:t xml:space="preserve"> </w:t>
                  </w:r>
                  <w:r w:rsidRPr="004A55FA">
                    <w:rPr>
                      <w:rFonts w:cs="Calibri"/>
                      <w:color w:val="000000"/>
                      <w:sz w:val="20"/>
                      <w:szCs w:val="20"/>
                    </w:rPr>
                    <w:t>0.4</w:t>
                  </w:r>
                </w:p>
              </w:tc>
              <w:tc>
                <w:tcPr>
                  <w:tcW w:w="0" w:type="auto"/>
                  <w:tcBorders>
                    <w:right w:val="single" w:sz="4" w:space="0" w:color="auto"/>
                  </w:tcBorders>
                  <w:noWrap/>
                  <w:vAlign w:val="center"/>
                  <w:hideMark/>
                </w:tcPr>
                <w:p w14:paraId="50260AD3" w14:textId="77777777" w:rsidR="00A27215" w:rsidRPr="004A55FA" w:rsidRDefault="00A27215" w:rsidP="0041177B">
                  <w:pPr>
                    <w:spacing w:after="0" w:line="240" w:lineRule="auto"/>
                    <w:jc w:val="center"/>
                    <w:rPr>
                      <w:rFonts w:eastAsia="Times New Roman" w:cs="Calibri"/>
                      <w:color w:val="000000"/>
                      <w:kern w:val="0"/>
                      <w:sz w:val="20"/>
                      <w:szCs w:val="20"/>
                      <w:lang w:eastAsia="en-GB"/>
                      <w14:ligatures w14:val="none"/>
                    </w:rPr>
                  </w:pPr>
                  <w:r w:rsidRPr="004A55FA">
                    <w:rPr>
                      <w:rFonts w:cs="Calibri"/>
                      <w:color w:val="000000"/>
                      <w:sz w:val="20"/>
                      <w:szCs w:val="20"/>
                    </w:rPr>
                    <w:t>flat</w:t>
                  </w:r>
                </w:p>
              </w:tc>
              <w:tc>
                <w:tcPr>
                  <w:tcW w:w="0" w:type="auto"/>
                  <w:tcBorders>
                    <w:left w:val="single" w:sz="4" w:space="0" w:color="auto"/>
                  </w:tcBorders>
                  <w:vAlign w:val="center"/>
                </w:tcPr>
                <w:p w14:paraId="5E7A153F" w14:textId="77777777" w:rsidR="00A27215" w:rsidRPr="004A55FA" w:rsidRDefault="00A27215" w:rsidP="0041177B">
                  <w:pPr>
                    <w:spacing w:after="0" w:line="240" w:lineRule="auto"/>
                    <w:jc w:val="center"/>
                    <w:rPr>
                      <w:rFonts w:cs="Calibri"/>
                      <w:color w:val="000000"/>
                      <w:sz w:val="20"/>
                      <w:szCs w:val="20"/>
                    </w:rPr>
                  </w:pPr>
                  <w:r w:rsidRPr="004A55FA">
                    <w:rPr>
                      <w:rFonts w:eastAsia="Times New Roman" w:cs="Calibri"/>
                      <w:color w:val="000000"/>
                      <w:kern w:val="0"/>
                      <w:sz w:val="20"/>
                      <w:szCs w:val="20"/>
                      <w:lang w:eastAsia="en-GB"/>
                      <w14:ligatures w14:val="none"/>
                    </w:rPr>
                    <w:t>F</w:t>
                  </w:r>
                </w:p>
              </w:tc>
              <w:tc>
                <w:tcPr>
                  <w:tcW w:w="0" w:type="auto"/>
                  <w:vAlign w:val="center"/>
                </w:tcPr>
                <w:p w14:paraId="0C8DEE80" w14:textId="77777777" w:rsidR="00A27215" w:rsidRPr="004A55FA" w:rsidRDefault="00A27215" w:rsidP="0041177B">
                  <w:pPr>
                    <w:spacing w:after="0" w:line="240" w:lineRule="auto"/>
                    <w:jc w:val="center"/>
                    <w:rPr>
                      <w:rFonts w:cs="Calibri"/>
                      <w:color w:val="000000"/>
                      <w:sz w:val="20"/>
                      <w:szCs w:val="20"/>
                    </w:rPr>
                  </w:pPr>
                  <w:r w:rsidRPr="004A55FA">
                    <w:rPr>
                      <w:rFonts w:eastAsia="Times New Roman" w:cs="Calibri"/>
                      <w:color w:val="000000"/>
                      <w:kern w:val="0"/>
                      <w:sz w:val="20"/>
                      <w:szCs w:val="20"/>
                      <w:lang w:eastAsia="en-GB"/>
                      <w14:ligatures w14:val="none"/>
                    </w:rPr>
                    <w:t>1994-2022</w:t>
                  </w:r>
                </w:p>
              </w:tc>
              <w:tc>
                <w:tcPr>
                  <w:tcW w:w="0" w:type="auto"/>
                  <w:vAlign w:val="center"/>
                </w:tcPr>
                <w:p w14:paraId="3C036B75" w14:textId="77777777" w:rsidR="00A27215" w:rsidRPr="004A55FA" w:rsidRDefault="00A27215" w:rsidP="0041177B">
                  <w:pPr>
                    <w:spacing w:after="0" w:line="240" w:lineRule="auto"/>
                    <w:jc w:val="center"/>
                    <w:rPr>
                      <w:rFonts w:cs="Calibri"/>
                      <w:color w:val="000000"/>
                      <w:sz w:val="20"/>
                      <w:szCs w:val="20"/>
                    </w:rPr>
                  </w:pPr>
                  <w:r w:rsidRPr="004A55FA">
                    <w:rPr>
                      <w:rFonts w:cs="Calibri"/>
                      <w:color w:val="000000"/>
                      <w:sz w:val="20"/>
                      <w:szCs w:val="20"/>
                    </w:rPr>
                    <w:t>0.3</w:t>
                  </w:r>
                </w:p>
              </w:tc>
              <w:tc>
                <w:tcPr>
                  <w:tcW w:w="0" w:type="auto"/>
                  <w:vAlign w:val="center"/>
                </w:tcPr>
                <w:p w14:paraId="6A3E41DD" w14:textId="50BC1CCC" w:rsidR="00A27215" w:rsidRPr="004A55FA" w:rsidRDefault="00A27215" w:rsidP="0041177B">
                  <w:pPr>
                    <w:spacing w:after="0" w:line="240" w:lineRule="auto"/>
                    <w:jc w:val="center"/>
                    <w:rPr>
                      <w:rFonts w:cs="Calibri"/>
                      <w:color w:val="000000"/>
                      <w:sz w:val="20"/>
                      <w:szCs w:val="20"/>
                    </w:rPr>
                  </w:pPr>
                  <w:r w:rsidRPr="004A55FA">
                    <w:rPr>
                      <w:rFonts w:cs="Calibri"/>
                      <w:color w:val="000000"/>
                      <w:sz w:val="20"/>
                      <w:szCs w:val="20"/>
                    </w:rPr>
                    <w:t>-0.1,</w:t>
                  </w:r>
                  <w:r w:rsidR="00F42B48">
                    <w:rPr>
                      <w:rFonts w:cs="Calibri"/>
                      <w:color w:val="000000"/>
                      <w:sz w:val="20"/>
                      <w:szCs w:val="20"/>
                    </w:rPr>
                    <w:t xml:space="preserve"> </w:t>
                  </w:r>
                  <w:r w:rsidRPr="004A55FA">
                    <w:rPr>
                      <w:rFonts w:cs="Calibri"/>
                      <w:color w:val="000000"/>
                      <w:sz w:val="20"/>
                      <w:szCs w:val="20"/>
                    </w:rPr>
                    <w:t>0.8</w:t>
                  </w:r>
                </w:p>
              </w:tc>
              <w:tc>
                <w:tcPr>
                  <w:tcW w:w="0" w:type="auto"/>
                  <w:vAlign w:val="center"/>
                </w:tcPr>
                <w:p w14:paraId="7171BDBC" w14:textId="77777777" w:rsidR="00A27215" w:rsidRPr="004A55FA" w:rsidRDefault="00A27215" w:rsidP="0041177B">
                  <w:pPr>
                    <w:spacing w:after="0" w:line="240" w:lineRule="auto"/>
                    <w:jc w:val="center"/>
                    <w:rPr>
                      <w:rFonts w:cs="Calibri"/>
                      <w:color w:val="000000"/>
                      <w:sz w:val="20"/>
                      <w:szCs w:val="20"/>
                    </w:rPr>
                  </w:pPr>
                  <w:r w:rsidRPr="004A55FA">
                    <w:rPr>
                      <w:rFonts w:cs="Calibri"/>
                      <w:color w:val="000000"/>
                      <w:sz w:val="20"/>
                      <w:szCs w:val="20"/>
                    </w:rPr>
                    <w:t>flat</w:t>
                  </w:r>
                </w:p>
              </w:tc>
            </w:tr>
          </w:tbl>
          <w:p w14:paraId="1F0F73BE" w14:textId="77777777" w:rsidR="00A27215" w:rsidRPr="002262F2" w:rsidRDefault="00A27215" w:rsidP="0041177B">
            <w:pPr>
              <w:jc w:val="center"/>
              <w:rPr>
                <w:rFonts w:eastAsia="Times New Roman" w:cs="Calibri"/>
                <w:b/>
                <w:bCs/>
                <w:color w:val="000000"/>
                <w:sz w:val="14"/>
                <w:szCs w:val="14"/>
                <w:u w:val="single"/>
                <w:lang w:eastAsia="en-GB"/>
              </w:rPr>
            </w:pPr>
          </w:p>
        </w:tc>
      </w:tr>
      <w:tr w:rsidR="00A27215" w:rsidRPr="002262F2" w14:paraId="18A36C17" w14:textId="77777777" w:rsidTr="0041177B">
        <w:trPr>
          <w:trHeight w:val="113"/>
        </w:trPr>
        <w:tc>
          <w:tcPr>
            <w:tcW w:w="9503" w:type="dxa"/>
            <w:vAlign w:val="center"/>
          </w:tcPr>
          <w:p w14:paraId="2D96E7D2" w14:textId="77777777" w:rsidR="00A27215" w:rsidRPr="006C1190" w:rsidRDefault="00A27215" w:rsidP="0041177B">
            <w:pPr>
              <w:pBdr>
                <w:bottom w:val="single" w:sz="4" w:space="1" w:color="auto"/>
              </w:pBdr>
              <w:rPr>
                <w:rFonts w:asciiTheme="minorHAnsi" w:hAnsiTheme="minorHAnsi"/>
                <w:bCs/>
                <w:sz w:val="17"/>
                <w:szCs w:val="17"/>
              </w:rPr>
            </w:pPr>
            <w:r w:rsidRPr="006C1190">
              <w:rPr>
                <w:bCs/>
                <w:sz w:val="17"/>
                <w:szCs w:val="17"/>
              </w:rPr>
              <w:t>APC%: average annual percentage change in rate over period and 95% confidence interval (95%CI) based on annual data points fitted with Joinpoint regression. Trend: ‘up’=significant increase, ‘down’=significant decrease, ‘flat’=no change (static), at the 95% level.</w:t>
            </w:r>
          </w:p>
          <w:p w14:paraId="11482AEC" w14:textId="77777777" w:rsidR="00A27215" w:rsidRPr="002262F2" w:rsidRDefault="00A27215" w:rsidP="0041177B">
            <w:pPr>
              <w:rPr>
                <w:rFonts w:asciiTheme="minorHAnsi" w:hAnsiTheme="minorHAnsi"/>
                <w:b/>
                <w:bCs/>
                <w:noProof/>
                <w:sz w:val="14"/>
                <w:szCs w:val="14"/>
                <w:u w:val="single"/>
              </w:rPr>
            </w:pPr>
          </w:p>
        </w:tc>
      </w:tr>
    </w:tbl>
    <w:p w14:paraId="5076655A" w14:textId="77777777" w:rsidR="00A27215" w:rsidRDefault="00A27215" w:rsidP="00A27215">
      <w:pPr>
        <w:spacing w:after="0" w:line="240" w:lineRule="auto"/>
        <w:rPr>
          <w:rFonts w:cstheme="minorHAnsi"/>
        </w:rPr>
        <w:sectPr w:rsidR="00A27215" w:rsidSect="002746C0">
          <w:pgSz w:w="11906" w:h="16838"/>
          <w:pgMar w:top="1440" w:right="1440" w:bottom="1440" w:left="1440" w:header="708" w:footer="708" w:gutter="0"/>
          <w:cols w:space="708"/>
          <w:docGrid w:linePitch="360"/>
        </w:sectPr>
      </w:pPr>
    </w:p>
    <w:p w14:paraId="691B13F8" w14:textId="77777777" w:rsidR="00A27215" w:rsidRPr="00F77F54" w:rsidRDefault="00A27215" w:rsidP="00A27215">
      <w:pPr>
        <w:pStyle w:val="Heading3"/>
        <w:spacing w:before="0" w:after="0" w:line="240" w:lineRule="auto"/>
      </w:pPr>
      <w:bookmarkStart w:id="373" w:name="_Toc197557176"/>
      <w:bookmarkStart w:id="374" w:name="_Toc201512567"/>
      <w:r w:rsidRPr="000518C3">
        <w:rPr>
          <w:rFonts w:cstheme="minorHAnsi"/>
          <w:color w:val="7F7F7F" w:themeColor="text1" w:themeTint="80"/>
        </w:rPr>
        <w:t>Va</w:t>
      </w:r>
      <w:r w:rsidRPr="00F77F54">
        <w:t>riation by deprivation quintile</w:t>
      </w:r>
      <w:bookmarkEnd w:id="373"/>
      <w:bookmarkEnd w:id="374"/>
      <w:r w:rsidRPr="00F77F54">
        <w:t xml:space="preserve"> </w:t>
      </w:r>
    </w:p>
    <w:p w14:paraId="4EDA0EF9" w14:textId="1B595B31" w:rsidR="00A27215" w:rsidRPr="00986741" w:rsidRDefault="00A27215" w:rsidP="00A27215">
      <w:pPr>
        <w:spacing w:after="0" w:line="240" w:lineRule="auto"/>
        <w:rPr>
          <w:rFonts w:cstheme="minorHAnsi"/>
          <w:i/>
          <w:iCs/>
        </w:rPr>
      </w:pPr>
      <w:r w:rsidRPr="00986741">
        <w:rPr>
          <w:rFonts w:cstheme="minorHAnsi"/>
          <w:color w:val="000000" w:themeColor="text1"/>
        </w:rPr>
        <w:t xml:space="preserve">Age-standardised incidence rates of </w:t>
      </w:r>
      <w:r w:rsidRPr="00986741">
        <w:rPr>
          <w:rFonts w:cstheme="minorHAnsi"/>
        </w:rPr>
        <w:t xml:space="preserve">bladder cancer and NMIBC </w:t>
      </w:r>
      <w:r w:rsidRPr="00986741">
        <w:rPr>
          <w:rFonts w:cstheme="minorHAnsi"/>
          <w:color w:val="000000" w:themeColor="text1"/>
        </w:rPr>
        <w:t xml:space="preserve">in 2014-2018 </w:t>
      </w:r>
      <w:r>
        <w:rPr>
          <w:rFonts w:cstheme="minorHAnsi"/>
          <w:color w:val="000000" w:themeColor="text1"/>
        </w:rPr>
        <w:t xml:space="preserve">are presented </w:t>
      </w:r>
      <w:r w:rsidRPr="00986741">
        <w:rPr>
          <w:rFonts w:cstheme="minorHAnsi"/>
          <w:color w:val="000000" w:themeColor="text1"/>
        </w:rPr>
        <w:t xml:space="preserve">from the least to the most deprived quintiles </w:t>
      </w:r>
      <w:r>
        <w:rPr>
          <w:rFonts w:cstheme="minorHAnsi"/>
          <w:color w:val="000000" w:themeColor="text1"/>
        </w:rPr>
        <w:t xml:space="preserve">in </w:t>
      </w:r>
      <w:r w:rsidRPr="00986741">
        <w:rPr>
          <w:rFonts w:cstheme="minorHAnsi"/>
          <w:color w:val="000000" w:themeColor="text1"/>
        </w:rPr>
        <w:t xml:space="preserve">Figure </w:t>
      </w:r>
      <w:r w:rsidR="00D21B05">
        <w:rPr>
          <w:rFonts w:cstheme="minorHAnsi"/>
          <w:color w:val="000000" w:themeColor="text1"/>
        </w:rPr>
        <w:t>20.3</w:t>
      </w:r>
      <w:r w:rsidRPr="00986741">
        <w:rPr>
          <w:rFonts w:cstheme="minorHAnsi"/>
          <w:color w:val="000000" w:themeColor="text1"/>
        </w:rPr>
        <w:t>.</w:t>
      </w:r>
      <w:r>
        <w:rPr>
          <w:rFonts w:cstheme="minorHAnsi"/>
          <w:color w:val="000000" w:themeColor="text1"/>
        </w:rPr>
        <w:t xml:space="preserve"> </w:t>
      </w:r>
      <w:r w:rsidRPr="00986741">
        <w:rPr>
          <w:rFonts w:eastAsia="Times New Roman" w:cstheme="minorHAnsi"/>
          <w:lang w:eastAsia="en-IE"/>
        </w:rPr>
        <w:t xml:space="preserve">Incidence rates in the diagnosis period 2014-2018 </w:t>
      </w:r>
      <w:r w:rsidR="00972239">
        <w:rPr>
          <w:rFonts w:eastAsia="Times New Roman" w:cstheme="minorHAnsi"/>
          <w:lang w:eastAsia="en-IE"/>
        </w:rPr>
        <w:t>were</w:t>
      </w:r>
      <w:r>
        <w:rPr>
          <w:rFonts w:eastAsia="Times New Roman" w:cstheme="minorHAnsi"/>
          <w:lang w:eastAsia="en-IE"/>
        </w:rPr>
        <w:t xml:space="preserve"> lower</w:t>
      </w:r>
      <w:r w:rsidRPr="00986741">
        <w:rPr>
          <w:rFonts w:eastAsia="Times New Roman" w:cstheme="minorHAnsi"/>
          <w:lang w:eastAsia="en-IE"/>
        </w:rPr>
        <w:t xml:space="preserve"> in</w:t>
      </w:r>
      <w:r w:rsidR="00972239">
        <w:rPr>
          <w:rFonts w:eastAsia="Times New Roman" w:cstheme="minorHAnsi"/>
          <w:lang w:eastAsia="en-IE"/>
        </w:rPr>
        <w:t xml:space="preserve"> the</w:t>
      </w:r>
      <w:r w:rsidRPr="00986741">
        <w:rPr>
          <w:rFonts w:eastAsia="Times New Roman" w:cstheme="minorHAnsi"/>
          <w:lang w:eastAsia="en-IE"/>
        </w:rPr>
        <w:t xml:space="preserve"> le</w:t>
      </w:r>
      <w:r w:rsidR="00972239">
        <w:rPr>
          <w:rFonts w:eastAsia="Times New Roman" w:cstheme="minorHAnsi"/>
          <w:lang w:eastAsia="en-IE"/>
        </w:rPr>
        <w:t>ast</w:t>
      </w:r>
      <w:r w:rsidRPr="00986741">
        <w:rPr>
          <w:rFonts w:eastAsia="Times New Roman" w:cstheme="minorHAnsi"/>
          <w:lang w:eastAsia="en-IE"/>
        </w:rPr>
        <w:t xml:space="preserve"> deprived population quintile</w:t>
      </w:r>
      <w:r w:rsidR="00972239">
        <w:rPr>
          <w:rFonts w:eastAsia="Times New Roman" w:cstheme="minorHAnsi"/>
          <w:lang w:eastAsia="en-IE"/>
        </w:rPr>
        <w:t xml:space="preserve"> </w:t>
      </w:r>
      <w:r>
        <w:rPr>
          <w:rFonts w:eastAsia="Times New Roman" w:cstheme="minorHAnsi"/>
          <w:lang w:eastAsia="en-IE"/>
        </w:rPr>
        <w:t xml:space="preserve">(24.8 cases per 100,000 for the least deprived quintile) and higher in the most deprived (27.5 cases per 100,000) </w:t>
      </w:r>
      <w:r w:rsidR="00972239">
        <w:rPr>
          <w:rFonts w:eastAsia="Times New Roman" w:cstheme="minorHAnsi"/>
          <w:lang w:eastAsia="en-IE"/>
        </w:rPr>
        <w:t>but</w:t>
      </w:r>
      <w:r>
        <w:rPr>
          <w:rFonts w:eastAsia="Times New Roman" w:cstheme="minorHAnsi"/>
          <w:lang w:eastAsia="en-IE"/>
        </w:rPr>
        <w:t xml:space="preserve"> </w:t>
      </w:r>
      <w:r w:rsidR="00ED4F7A">
        <w:rPr>
          <w:rFonts w:eastAsia="Times New Roman" w:cstheme="minorHAnsi"/>
          <w:lang w:eastAsia="en-IE"/>
        </w:rPr>
        <w:t>overall,</w:t>
      </w:r>
      <w:r>
        <w:rPr>
          <w:rFonts w:eastAsia="Times New Roman" w:cstheme="minorHAnsi"/>
          <w:lang w:eastAsia="en-IE"/>
        </w:rPr>
        <w:t xml:space="preserve"> there was little evidence of significant variation across quintiles.</w:t>
      </w:r>
    </w:p>
    <w:p w14:paraId="1E7D464B" w14:textId="77777777" w:rsidR="00A27215" w:rsidRDefault="00A27215" w:rsidP="00A27215">
      <w:pPr>
        <w:spacing w:after="0" w:line="240" w:lineRule="auto"/>
        <w:rPr>
          <w:rFonts w:cstheme="minorHAnsi"/>
          <w:color w:val="000000" w:themeColor="text1"/>
        </w:rPr>
      </w:pPr>
    </w:p>
    <w:tbl>
      <w:tblPr>
        <w:tblStyle w:val="TableGrid"/>
        <w:tblW w:w="9442" w:type="dxa"/>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7"/>
        <w:gridCol w:w="3156"/>
        <w:gridCol w:w="3149"/>
      </w:tblGrid>
      <w:tr w:rsidR="00A27215" w:rsidRPr="002262F2" w14:paraId="29593BCD" w14:textId="77777777" w:rsidTr="0041177B">
        <w:trPr>
          <w:trHeight w:val="113"/>
        </w:trPr>
        <w:tc>
          <w:tcPr>
            <w:tcW w:w="9442" w:type="dxa"/>
            <w:gridSpan w:val="3"/>
            <w:shd w:val="clear" w:color="auto" w:fill="002060"/>
          </w:tcPr>
          <w:p w14:paraId="46FE6AEF" w14:textId="5F3EA58D" w:rsidR="00A27215" w:rsidRPr="002262F2" w:rsidRDefault="00A27215" w:rsidP="0041177B">
            <w:pPr>
              <w:rPr>
                <w:rFonts w:cstheme="minorHAnsi"/>
                <w:color w:val="FFFFFF" w:themeColor="background1"/>
              </w:rPr>
            </w:pPr>
            <w:r w:rsidRPr="00F66AFF">
              <w:rPr>
                <w:rFonts w:asciiTheme="minorHAnsi" w:hAnsiTheme="minorHAnsi"/>
                <w:b/>
                <w:bCs/>
                <w:bdr w:val="single" w:sz="4" w:space="0" w:color="auto"/>
              </w:rPr>
              <w:t xml:space="preserve">Figure </w:t>
            </w:r>
            <w:r w:rsidR="00C81210">
              <w:rPr>
                <w:rFonts w:asciiTheme="minorHAnsi" w:hAnsiTheme="minorHAnsi"/>
                <w:b/>
                <w:bCs/>
                <w:bdr w:val="single" w:sz="4" w:space="0" w:color="auto"/>
              </w:rPr>
              <w:t>20.3:</w:t>
            </w:r>
            <w:r w:rsidRPr="00F66AFF">
              <w:rPr>
                <w:rFonts w:asciiTheme="minorHAnsi" w:hAnsiTheme="minorHAnsi"/>
                <w:b/>
                <w:bCs/>
                <w:bdr w:val="single" w:sz="4" w:space="0" w:color="auto"/>
              </w:rPr>
              <w:t xml:space="preserve"> Incidence rate (per 100,000) for bladder cancer &amp; NMIBC by deprivation quintile, 2014-2018</w:t>
            </w:r>
          </w:p>
        </w:tc>
      </w:tr>
      <w:tr w:rsidR="00A27215" w:rsidRPr="002B5032" w14:paraId="58441C06" w14:textId="77777777" w:rsidTr="0041177B">
        <w:trPr>
          <w:trHeight w:val="113"/>
        </w:trPr>
        <w:tc>
          <w:tcPr>
            <w:tcW w:w="2996" w:type="dxa"/>
            <w:shd w:val="clear" w:color="auto" w:fill="auto"/>
          </w:tcPr>
          <w:p w14:paraId="5F57ED4E" w14:textId="77777777" w:rsidR="00A27215" w:rsidRPr="002B5032" w:rsidRDefault="00A27215" w:rsidP="0041177B">
            <w:pPr>
              <w:jc w:val="center"/>
              <w:rPr>
                <w:rFonts w:asciiTheme="minorHAnsi" w:hAnsiTheme="minorHAnsi" w:cstheme="minorHAnsi"/>
                <w:color w:val="000000" w:themeColor="text1"/>
              </w:rPr>
            </w:pPr>
            <w:r w:rsidRPr="002B5032">
              <w:rPr>
                <w:rFonts w:asciiTheme="minorHAnsi" w:hAnsiTheme="minorHAnsi" w:cstheme="minorHAnsi"/>
                <w:color w:val="000000" w:themeColor="text1"/>
              </w:rPr>
              <w:t>Total</w:t>
            </w:r>
          </w:p>
        </w:tc>
        <w:tc>
          <w:tcPr>
            <w:tcW w:w="3244" w:type="dxa"/>
            <w:shd w:val="clear" w:color="auto" w:fill="auto"/>
          </w:tcPr>
          <w:p w14:paraId="4B37AE44" w14:textId="77777777" w:rsidR="00A27215" w:rsidRPr="002B5032" w:rsidRDefault="00A27215" w:rsidP="0041177B">
            <w:pPr>
              <w:jc w:val="center"/>
              <w:rPr>
                <w:rFonts w:asciiTheme="minorHAnsi" w:hAnsiTheme="minorHAnsi" w:cstheme="minorHAnsi"/>
                <w:color w:val="000000" w:themeColor="text1"/>
              </w:rPr>
            </w:pPr>
            <w:r w:rsidRPr="002B5032">
              <w:rPr>
                <w:rFonts w:asciiTheme="minorHAnsi" w:hAnsiTheme="minorHAnsi" w:cstheme="minorHAnsi"/>
                <w:color w:val="000000" w:themeColor="text1"/>
              </w:rPr>
              <w:t>Males</w:t>
            </w:r>
          </w:p>
        </w:tc>
        <w:tc>
          <w:tcPr>
            <w:tcW w:w="3202" w:type="dxa"/>
          </w:tcPr>
          <w:p w14:paraId="322533E1" w14:textId="77777777" w:rsidR="00A27215" w:rsidRPr="002B5032" w:rsidRDefault="00A27215" w:rsidP="0041177B">
            <w:pPr>
              <w:jc w:val="center"/>
              <w:rPr>
                <w:rFonts w:asciiTheme="minorHAnsi" w:hAnsiTheme="minorHAnsi" w:cstheme="minorHAnsi"/>
                <w:color w:val="000000" w:themeColor="text1"/>
              </w:rPr>
            </w:pPr>
            <w:r w:rsidRPr="002B5032">
              <w:rPr>
                <w:rFonts w:asciiTheme="minorHAnsi" w:hAnsiTheme="minorHAnsi" w:cstheme="minorHAnsi"/>
                <w:color w:val="000000" w:themeColor="text1"/>
              </w:rPr>
              <w:t>Females</w:t>
            </w:r>
          </w:p>
        </w:tc>
      </w:tr>
      <w:tr w:rsidR="00A27215" w:rsidRPr="002262F2" w14:paraId="03369EA7" w14:textId="77777777" w:rsidTr="0041177B">
        <w:trPr>
          <w:trHeight w:val="113"/>
        </w:trPr>
        <w:tc>
          <w:tcPr>
            <w:tcW w:w="2996" w:type="dxa"/>
            <w:shd w:val="clear" w:color="auto" w:fill="auto"/>
          </w:tcPr>
          <w:p w14:paraId="47F3F17D" w14:textId="77777777" w:rsidR="00A27215" w:rsidRPr="002262F2" w:rsidRDefault="00A27215" w:rsidP="0041177B">
            <w:pPr>
              <w:rPr>
                <w:rFonts w:asciiTheme="minorHAnsi" w:eastAsia="Times New Roman" w:hAnsiTheme="minorHAnsi" w:cs="Times New Roman"/>
                <w:lang w:eastAsia="en-GB"/>
              </w:rPr>
            </w:pPr>
            <w:r w:rsidRPr="002262F2">
              <w:rPr>
                <w:rFonts w:eastAsia="Times New Roman" w:cs="Times New Roman"/>
                <w:noProof/>
                <w:lang w:eastAsia="en-GB"/>
              </w:rPr>
              <w:drawing>
                <wp:inline distT="0" distB="0" distL="0" distR="0" wp14:anchorId="3E66FD70" wp14:editId="4C233431">
                  <wp:extent cx="1855112" cy="1440000"/>
                  <wp:effectExtent l="0" t="0" r="0" b="8255"/>
                  <wp:docPr id="558145364" name="Picture 4" descr="A graph with numbers and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145364" name="Picture 4" descr="A graph with numbers and a number&#10;&#10;AI-generated content may be incorrect."/>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855112" cy="1440000"/>
                          </a:xfrm>
                          <a:prstGeom prst="rect">
                            <a:avLst/>
                          </a:prstGeom>
                          <a:noFill/>
                        </pic:spPr>
                      </pic:pic>
                    </a:graphicData>
                  </a:graphic>
                </wp:inline>
              </w:drawing>
            </w:r>
          </w:p>
        </w:tc>
        <w:tc>
          <w:tcPr>
            <w:tcW w:w="3244" w:type="dxa"/>
            <w:shd w:val="clear" w:color="auto" w:fill="auto"/>
          </w:tcPr>
          <w:p w14:paraId="7484240B" w14:textId="77777777" w:rsidR="00A27215" w:rsidRPr="002262F2" w:rsidRDefault="00A27215" w:rsidP="0041177B">
            <w:pPr>
              <w:rPr>
                <w:rFonts w:asciiTheme="minorHAnsi" w:hAnsiTheme="minorHAnsi" w:cstheme="minorHAnsi"/>
                <w:color w:val="000000" w:themeColor="text1"/>
                <w:lang w:val="en-GB"/>
              </w:rPr>
            </w:pPr>
            <w:r w:rsidRPr="002262F2">
              <w:rPr>
                <w:rFonts w:eastAsia="Times New Roman" w:cs="Times New Roman"/>
                <w:noProof/>
                <w:lang w:eastAsia="en-GB"/>
              </w:rPr>
              <w:drawing>
                <wp:inline distT="0" distB="0" distL="0" distR="0" wp14:anchorId="24EFD338" wp14:editId="7D96139D">
                  <wp:extent cx="1855113" cy="1440000"/>
                  <wp:effectExtent l="0" t="0" r="0" b="8255"/>
                  <wp:docPr id="1125228661" name="Picture 2" descr="A graph with blue rectangular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228661" name="Picture 2" descr="A graph with blue rectangular bars&#10;&#10;AI-generated content may be incorrect."/>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855113" cy="1440000"/>
                          </a:xfrm>
                          <a:prstGeom prst="rect">
                            <a:avLst/>
                          </a:prstGeom>
                          <a:noFill/>
                        </pic:spPr>
                      </pic:pic>
                    </a:graphicData>
                  </a:graphic>
                </wp:inline>
              </w:drawing>
            </w:r>
          </w:p>
        </w:tc>
        <w:tc>
          <w:tcPr>
            <w:tcW w:w="3202" w:type="dxa"/>
          </w:tcPr>
          <w:p w14:paraId="0C67BFD2" w14:textId="77777777" w:rsidR="00A27215" w:rsidRPr="002262F2" w:rsidRDefault="00A27215" w:rsidP="0041177B">
            <w:pPr>
              <w:jc w:val="center"/>
              <w:rPr>
                <w:rFonts w:cstheme="minorHAnsi"/>
                <w:color w:val="000000" w:themeColor="text1"/>
              </w:rPr>
            </w:pPr>
            <w:r w:rsidRPr="002262F2">
              <w:rPr>
                <w:rFonts w:eastAsia="Times New Roman" w:cs="Times New Roman"/>
                <w:noProof/>
                <w:lang w:eastAsia="en-GB"/>
              </w:rPr>
              <w:drawing>
                <wp:inline distT="0" distB="0" distL="0" distR="0" wp14:anchorId="1095417B" wp14:editId="017B69BF">
                  <wp:extent cx="1856014" cy="1440701"/>
                  <wp:effectExtent l="0" t="0" r="0" b="7620"/>
                  <wp:docPr id="836168211" name="Picture 6"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68211" name="Picture 6" descr="A graph with numbers and lines&#10;&#10;AI-generated content may be incorrect."/>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870648" cy="1452060"/>
                          </a:xfrm>
                          <a:prstGeom prst="rect">
                            <a:avLst/>
                          </a:prstGeom>
                          <a:noFill/>
                        </pic:spPr>
                      </pic:pic>
                    </a:graphicData>
                  </a:graphic>
                </wp:inline>
              </w:drawing>
            </w:r>
          </w:p>
        </w:tc>
      </w:tr>
    </w:tbl>
    <w:p w14:paraId="61712B75" w14:textId="77777777" w:rsidR="00A27215" w:rsidRPr="000518C3" w:rsidRDefault="00A27215" w:rsidP="00A27215">
      <w:pPr>
        <w:spacing w:after="0" w:line="240" w:lineRule="auto"/>
        <w:rPr>
          <w:rFonts w:cstheme="minorHAnsi"/>
          <w:color w:val="000000" w:themeColor="text1"/>
        </w:rPr>
      </w:pPr>
    </w:p>
    <w:p w14:paraId="4D9D0996" w14:textId="77777777" w:rsidR="00A27215" w:rsidRDefault="00A27215" w:rsidP="00A27215">
      <w:pPr>
        <w:pStyle w:val="Heading2"/>
        <w:spacing w:before="0" w:after="0" w:line="240" w:lineRule="auto"/>
      </w:pPr>
      <w:bookmarkStart w:id="375" w:name="_Toc197557177"/>
      <w:bookmarkStart w:id="376" w:name="_Toc201512568"/>
      <w:r>
        <w:t>Mortality</w:t>
      </w:r>
      <w:bookmarkEnd w:id="375"/>
      <w:bookmarkEnd w:id="376"/>
    </w:p>
    <w:p w14:paraId="1C85A76C" w14:textId="46ADA95D" w:rsidR="00A27215" w:rsidRDefault="00A27215" w:rsidP="00A27215">
      <w:pPr>
        <w:spacing w:after="0" w:line="240" w:lineRule="auto"/>
      </w:pPr>
      <w:r w:rsidRPr="00550C1F">
        <w:t xml:space="preserve">Age-standardised mortality rates for bladder cancer </w:t>
      </w:r>
      <w:r w:rsidR="006E131C">
        <w:t>during the period</w:t>
      </w:r>
      <w:r w:rsidRPr="00550C1F">
        <w:t xml:space="preserve"> 1994-2022 were 12.4 deaths per 100,000 males and 4.2</w:t>
      </w:r>
      <w:r>
        <w:t xml:space="preserve"> </w:t>
      </w:r>
      <w:r w:rsidRPr="00550C1F">
        <w:t>deaths per 100,000 females per year</w:t>
      </w:r>
      <w:r>
        <w:t xml:space="preserve">. </w:t>
      </w:r>
      <w:r w:rsidRPr="00550C1F">
        <w:t xml:space="preserve">Figure </w:t>
      </w:r>
      <w:r w:rsidR="00D21B05">
        <w:t>20.4</w:t>
      </w:r>
      <w:r w:rsidRPr="00550C1F">
        <w:t xml:space="preserve"> breaks this down further by sex and </w:t>
      </w:r>
      <w:r w:rsidR="00366242">
        <w:t>age group</w:t>
      </w:r>
      <w:r w:rsidRPr="00550C1F">
        <w:t xml:space="preserve">. Mortality rates were higher among older </w:t>
      </w:r>
      <w:r w:rsidR="00366242">
        <w:t>age group</w:t>
      </w:r>
      <w:r w:rsidRPr="00550C1F">
        <w:t xml:space="preserve">s and among males </w:t>
      </w:r>
      <w:r w:rsidR="006E131C">
        <w:t>compared to</w:t>
      </w:r>
      <w:r w:rsidRPr="00550C1F">
        <w:t xml:space="preserve"> females</w:t>
      </w:r>
      <w:r>
        <w:t>.</w:t>
      </w:r>
    </w:p>
    <w:p w14:paraId="4E748B3D" w14:textId="77777777" w:rsidR="00A27215" w:rsidRDefault="00A27215" w:rsidP="00A27215">
      <w:pPr>
        <w:spacing w:after="0" w:line="240" w:lineRule="auto"/>
      </w:pPr>
    </w:p>
    <w:tbl>
      <w:tblPr>
        <w:tblStyle w:val="TableGrid"/>
        <w:tblW w:w="9452" w:type="dxa"/>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3"/>
        <w:gridCol w:w="3069"/>
        <w:gridCol w:w="3330"/>
      </w:tblGrid>
      <w:tr w:rsidR="00A27215" w:rsidRPr="00DA74F4" w14:paraId="0DAD8862" w14:textId="77777777" w:rsidTr="0041177B">
        <w:trPr>
          <w:trHeight w:val="113"/>
        </w:trPr>
        <w:tc>
          <w:tcPr>
            <w:tcW w:w="9452" w:type="dxa"/>
            <w:gridSpan w:val="3"/>
            <w:shd w:val="clear" w:color="auto" w:fill="002060"/>
          </w:tcPr>
          <w:p w14:paraId="680E750E" w14:textId="693A1363" w:rsidR="00A27215" w:rsidRPr="00DA74F4" w:rsidRDefault="00A27215" w:rsidP="0041177B">
            <w:pPr>
              <w:rPr>
                <w:rFonts w:asciiTheme="minorHAnsi" w:hAnsiTheme="minorHAnsi" w:cstheme="minorHAnsi"/>
                <w:color w:val="FFFFFF" w:themeColor="background1"/>
              </w:rPr>
            </w:pPr>
            <w:r w:rsidRPr="00F66AFF">
              <w:rPr>
                <w:rFonts w:asciiTheme="minorHAnsi" w:hAnsiTheme="minorHAnsi"/>
                <w:b/>
                <w:bCs/>
                <w:bdr w:val="single" w:sz="4" w:space="0" w:color="auto"/>
              </w:rPr>
              <w:t xml:space="preserve">Figure </w:t>
            </w:r>
            <w:r w:rsidR="00C81210">
              <w:rPr>
                <w:rFonts w:asciiTheme="minorHAnsi" w:hAnsiTheme="minorHAnsi"/>
                <w:b/>
                <w:bCs/>
                <w:bdr w:val="single" w:sz="4" w:space="0" w:color="auto"/>
              </w:rPr>
              <w:t>20.4:</w:t>
            </w:r>
            <w:r w:rsidRPr="00F66AFF">
              <w:rPr>
                <w:rFonts w:asciiTheme="minorHAnsi" w:hAnsiTheme="minorHAnsi"/>
                <w:b/>
                <w:bCs/>
                <w:bdr w:val="single" w:sz="4" w:space="0" w:color="auto"/>
              </w:rPr>
              <w:t xml:space="preserve"> Mortality rate (per 100,000) for bladder cancer by </w:t>
            </w:r>
            <w:r w:rsidR="00366242">
              <w:rPr>
                <w:rFonts w:asciiTheme="minorHAnsi" w:hAnsiTheme="minorHAnsi"/>
                <w:b/>
                <w:bCs/>
                <w:bdr w:val="single" w:sz="4" w:space="0" w:color="auto"/>
              </w:rPr>
              <w:t>age group</w:t>
            </w:r>
            <w:r w:rsidRPr="00F66AFF">
              <w:rPr>
                <w:rFonts w:asciiTheme="minorHAnsi" w:hAnsiTheme="minorHAnsi"/>
                <w:b/>
                <w:bCs/>
                <w:bdr w:val="single" w:sz="4" w:space="0" w:color="auto"/>
              </w:rPr>
              <w:t>, 1994-2022</w:t>
            </w:r>
          </w:p>
        </w:tc>
      </w:tr>
      <w:tr w:rsidR="00A27215" w:rsidRPr="00DA74F4" w14:paraId="5239F9EC" w14:textId="77777777" w:rsidTr="0041177B">
        <w:trPr>
          <w:trHeight w:val="113"/>
        </w:trPr>
        <w:tc>
          <w:tcPr>
            <w:tcW w:w="2992" w:type="dxa"/>
            <w:shd w:val="clear" w:color="auto" w:fill="auto"/>
          </w:tcPr>
          <w:p w14:paraId="5555D976" w14:textId="77777777" w:rsidR="00A27215" w:rsidRPr="00DA74F4" w:rsidRDefault="00A27215" w:rsidP="0041177B">
            <w:pPr>
              <w:jc w:val="center"/>
              <w:rPr>
                <w:rFonts w:asciiTheme="minorHAnsi" w:hAnsiTheme="minorHAnsi" w:cstheme="minorHAnsi"/>
                <w:color w:val="000000" w:themeColor="text1"/>
              </w:rPr>
            </w:pPr>
            <w:r w:rsidRPr="00DA74F4">
              <w:rPr>
                <w:rFonts w:asciiTheme="minorHAnsi" w:hAnsiTheme="minorHAnsi" w:cstheme="minorHAnsi"/>
                <w:color w:val="000000" w:themeColor="text1"/>
              </w:rPr>
              <w:t>Total</w:t>
            </w:r>
          </w:p>
        </w:tc>
        <w:tc>
          <w:tcPr>
            <w:tcW w:w="3143" w:type="dxa"/>
            <w:shd w:val="clear" w:color="auto" w:fill="auto"/>
          </w:tcPr>
          <w:p w14:paraId="5984771B" w14:textId="77777777" w:rsidR="00A27215" w:rsidRPr="00DA74F4" w:rsidRDefault="00A27215" w:rsidP="0041177B">
            <w:pPr>
              <w:jc w:val="center"/>
              <w:rPr>
                <w:rFonts w:asciiTheme="minorHAnsi" w:hAnsiTheme="minorHAnsi" w:cstheme="minorHAnsi"/>
                <w:color w:val="000000" w:themeColor="text1"/>
              </w:rPr>
            </w:pPr>
            <w:r>
              <w:rPr>
                <w:rFonts w:asciiTheme="minorHAnsi" w:hAnsiTheme="minorHAnsi" w:cstheme="minorHAnsi"/>
                <w:color w:val="000000" w:themeColor="text1"/>
              </w:rPr>
              <w:t>Males</w:t>
            </w:r>
          </w:p>
        </w:tc>
        <w:tc>
          <w:tcPr>
            <w:tcW w:w="3317" w:type="dxa"/>
          </w:tcPr>
          <w:p w14:paraId="49DA2E96" w14:textId="77777777" w:rsidR="00A27215" w:rsidRPr="00DA74F4" w:rsidRDefault="00A27215" w:rsidP="0041177B">
            <w:pPr>
              <w:jc w:val="center"/>
              <w:rPr>
                <w:rFonts w:asciiTheme="minorHAnsi" w:hAnsiTheme="minorHAnsi" w:cstheme="minorHAnsi"/>
                <w:color w:val="000000" w:themeColor="text1"/>
              </w:rPr>
            </w:pPr>
            <w:r>
              <w:rPr>
                <w:rFonts w:asciiTheme="minorHAnsi" w:hAnsiTheme="minorHAnsi" w:cstheme="minorHAnsi"/>
                <w:color w:val="000000" w:themeColor="text1"/>
              </w:rPr>
              <w:t>Females</w:t>
            </w:r>
          </w:p>
        </w:tc>
      </w:tr>
      <w:tr w:rsidR="00A27215" w:rsidRPr="00DA74F4" w14:paraId="5D66B348" w14:textId="77777777" w:rsidTr="0041177B">
        <w:trPr>
          <w:trHeight w:val="113"/>
        </w:trPr>
        <w:tc>
          <w:tcPr>
            <w:tcW w:w="2992" w:type="dxa"/>
            <w:shd w:val="clear" w:color="auto" w:fill="auto"/>
          </w:tcPr>
          <w:p w14:paraId="1535ACE0" w14:textId="77777777" w:rsidR="00A27215" w:rsidRPr="00DA74F4" w:rsidRDefault="00A27215" w:rsidP="0041177B">
            <w:pPr>
              <w:rPr>
                <w:rFonts w:asciiTheme="minorHAnsi" w:eastAsia="Times New Roman" w:hAnsiTheme="minorHAnsi" w:cs="Times New Roman"/>
                <w:lang w:eastAsia="en-GB"/>
              </w:rPr>
            </w:pPr>
            <w:r w:rsidRPr="00DA74F4">
              <w:rPr>
                <w:rFonts w:eastAsia="Times New Roman" w:cs="Times New Roman"/>
                <w:noProof/>
                <w:lang w:eastAsia="en-GB"/>
              </w:rPr>
              <w:drawing>
                <wp:inline distT="0" distB="0" distL="0" distR="0" wp14:anchorId="495C1C69" wp14:editId="4999A342">
                  <wp:extent cx="1857096" cy="1630322"/>
                  <wp:effectExtent l="0" t="0" r="0" b="8255"/>
                  <wp:docPr id="19268850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688507" name="Picture 4"/>
                          <pic:cNvPicPr>
                            <a:picLocks noChangeAspect="1" noChangeArrowheads="1"/>
                          </pic:cNvPicPr>
                        </pic:nvPicPr>
                        <pic:blipFill>
                          <a:blip r:embed="rId276">
                            <a:extLst>
                              <a:ext uri="{96DAC541-7B7A-43D3-8B79-37D633B846F1}">
                                <asvg:svgBlip xmlns:asvg="http://schemas.microsoft.com/office/drawing/2016/SVG/main" r:embed="rId277"/>
                              </a:ext>
                            </a:extLst>
                          </a:blip>
                          <a:stretch>
                            <a:fillRect/>
                          </a:stretch>
                        </pic:blipFill>
                        <pic:spPr bwMode="auto">
                          <a:xfrm>
                            <a:off x="0" y="0"/>
                            <a:ext cx="1857096" cy="1630322"/>
                          </a:xfrm>
                          <a:prstGeom prst="rect">
                            <a:avLst/>
                          </a:prstGeom>
                        </pic:spPr>
                      </pic:pic>
                    </a:graphicData>
                  </a:graphic>
                </wp:inline>
              </w:drawing>
            </w:r>
          </w:p>
        </w:tc>
        <w:tc>
          <w:tcPr>
            <w:tcW w:w="3143" w:type="dxa"/>
            <w:shd w:val="clear" w:color="auto" w:fill="auto"/>
          </w:tcPr>
          <w:p w14:paraId="4735D48F" w14:textId="77777777" w:rsidR="00A27215" w:rsidRPr="00DA74F4" w:rsidRDefault="00A27215" w:rsidP="0041177B">
            <w:pPr>
              <w:rPr>
                <w:rFonts w:asciiTheme="minorHAnsi" w:hAnsiTheme="minorHAnsi" w:cstheme="minorHAnsi"/>
                <w:color w:val="000000" w:themeColor="text1"/>
                <w:lang w:val="en-GB"/>
              </w:rPr>
            </w:pPr>
            <w:r w:rsidRPr="00DA74F4">
              <w:rPr>
                <w:rFonts w:eastAsia="Times New Roman" w:cs="Times New Roman"/>
                <w:noProof/>
                <w:lang w:eastAsia="en-GB"/>
              </w:rPr>
              <w:drawing>
                <wp:inline distT="0" distB="0" distL="0" distR="0" wp14:anchorId="32B61AF1" wp14:editId="7BB7A846">
                  <wp:extent cx="1858239" cy="1631326"/>
                  <wp:effectExtent l="0" t="0" r="8890" b="6985"/>
                  <wp:docPr id="148896243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8962430" name="Picture 2"/>
                          <pic:cNvPicPr>
                            <a:picLocks noChangeAspect="1" noChangeArrowheads="1"/>
                          </pic:cNvPicPr>
                        </pic:nvPicPr>
                        <pic:blipFill>
                          <a:blip r:embed="rId278">
                            <a:extLst>
                              <a:ext uri="{96DAC541-7B7A-43D3-8B79-37D633B846F1}">
                                <asvg:svgBlip xmlns:asvg="http://schemas.microsoft.com/office/drawing/2016/SVG/main" r:embed="rId279"/>
                              </a:ext>
                            </a:extLst>
                          </a:blip>
                          <a:stretch>
                            <a:fillRect/>
                          </a:stretch>
                        </pic:blipFill>
                        <pic:spPr bwMode="auto">
                          <a:xfrm>
                            <a:off x="0" y="0"/>
                            <a:ext cx="1858239" cy="1631326"/>
                          </a:xfrm>
                          <a:prstGeom prst="rect">
                            <a:avLst/>
                          </a:prstGeom>
                        </pic:spPr>
                      </pic:pic>
                    </a:graphicData>
                  </a:graphic>
                </wp:inline>
              </w:drawing>
            </w:r>
          </w:p>
        </w:tc>
        <w:tc>
          <w:tcPr>
            <w:tcW w:w="3317" w:type="dxa"/>
          </w:tcPr>
          <w:p w14:paraId="77283ADA" w14:textId="77777777" w:rsidR="00A27215" w:rsidRPr="00DA74F4" w:rsidRDefault="00A27215" w:rsidP="0041177B">
            <w:pPr>
              <w:jc w:val="center"/>
              <w:rPr>
                <w:rFonts w:asciiTheme="minorHAnsi" w:hAnsiTheme="minorHAnsi" w:cstheme="minorHAnsi"/>
                <w:color w:val="000000" w:themeColor="text1"/>
              </w:rPr>
            </w:pPr>
            <w:r w:rsidRPr="00DA74F4">
              <w:rPr>
                <w:rFonts w:eastAsia="Times New Roman" w:cs="Times New Roman"/>
                <w:noProof/>
                <w:lang w:eastAsia="en-GB"/>
              </w:rPr>
              <w:drawing>
                <wp:inline distT="0" distB="0" distL="0" distR="0" wp14:anchorId="66C209C2" wp14:editId="2C60B40F">
                  <wp:extent cx="2035538" cy="1621790"/>
                  <wp:effectExtent l="0" t="0" r="3175" b="0"/>
                  <wp:docPr id="1667968013" name="Picture 3" descr="A graph with numbers and a bar char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7968013" name="Picture 3" descr="A graph with numbers and a bar chart&#10;&#10;AI-generated content may be incorrect."/>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052066" cy="1634958"/>
                          </a:xfrm>
                          <a:prstGeom prst="rect">
                            <a:avLst/>
                          </a:prstGeom>
                          <a:noFill/>
                          <a:ln>
                            <a:noFill/>
                          </a:ln>
                        </pic:spPr>
                      </pic:pic>
                    </a:graphicData>
                  </a:graphic>
                </wp:inline>
              </w:drawing>
            </w:r>
          </w:p>
        </w:tc>
      </w:tr>
    </w:tbl>
    <w:p w14:paraId="47F8B52F" w14:textId="77777777" w:rsidR="00A27215" w:rsidRDefault="00A27215" w:rsidP="00A27215">
      <w:pPr>
        <w:spacing w:after="0" w:line="240" w:lineRule="auto"/>
        <w:sectPr w:rsidR="00A27215" w:rsidSect="002746C0">
          <w:pgSz w:w="11906" w:h="16838"/>
          <w:pgMar w:top="1440" w:right="1440" w:bottom="1440" w:left="1440" w:header="708" w:footer="708" w:gutter="0"/>
          <w:cols w:space="708"/>
          <w:docGrid w:linePitch="360"/>
        </w:sectPr>
      </w:pPr>
    </w:p>
    <w:p w14:paraId="2B4BB8B9" w14:textId="77777777" w:rsidR="00A27215" w:rsidRPr="00E85A89" w:rsidRDefault="00A27215" w:rsidP="00A27215">
      <w:pPr>
        <w:pStyle w:val="Heading3"/>
        <w:spacing w:before="0" w:after="0" w:line="240" w:lineRule="auto"/>
      </w:pPr>
      <w:bookmarkStart w:id="377" w:name="_Toc197557178"/>
      <w:bookmarkStart w:id="378" w:name="_Toc201512569"/>
      <w:r w:rsidRPr="00E85A89">
        <w:t>Trends over time</w:t>
      </w:r>
      <w:bookmarkEnd w:id="377"/>
      <w:bookmarkEnd w:id="378"/>
    </w:p>
    <w:p w14:paraId="12FA5339" w14:textId="19B52DEB" w:rsidR="00A27215" w:rsidRDefault="00A27215" w:rsidP="00A27215">
      <w:pPr>
        <w:spacing w:after="0" w:line="240" w:lineRule="auto"/>
      </w:pPr>
      <w:r w:rsidRPr="00550C1F">
        <w:t xml:space="preserve">Figure </w:t>
      </w:r>
      <w:r w:rsidR="00D21B05">
        <w:t>20.5</w:t>
      </w:r>
      <w:r w:rsidRPr="00550C1F">
        <w:t xml:space="preserve"> shows </w:t>
      </w:r>
      <w:r>
        <w:t>age-standardised mortality rates for</w:t>
      </w:r>
      <w:r w:rsidRPr="00550C1F">
        <w:t xml:space="preserve"> bladder cancer from 1994 to 2022</w:t>
      </w:r>
      <w:r>
        <w:t xml:space="preserve"> for males and females</w:t>
      </w:r>
      <w:r w:rsidRPr="00550C1F">
        <w:t>. In males there was a decline in mortality rates (APC) from 1994 to 2022 (-1.0% per year (95%CI –1.4;</w:t>
      </w:r>
      <w:r>
        <w:t xml:space="preserve"> </w:t>
      </w:r>
      <w:r w:rsidRPr="00550C1F">
        <w:t xml:space="preserve">-0.5)). Among females there was no </w:t>
      </w:r>
      <w:r w:rsidR="006E131C">
        <w:t xml:space="preserve">significant </w:t>
      </w:r>
      <w:r w:rsidRPr="00550C1F">
        <w:t>change in mortality over time.</w:t>
      </w:r>
    </w:p>
    <w:p w14:paraId="28576629" w14:textId="77777777" w:rsidR="00A27215" w:rsidRPr="00E85A89" w:rsidRDefault="00A27215" w:rsidP="00A27215">
      <w:pPr>
        <w:spacing w:after="0" w:line="240" w:lineRule="auto"/>
      </w:pPr>
    </w:p>
    <w:tbl>
      <w:tblPr>
        <w:tblStyle w:val="TableGrid"/>
        <w:tblW w:w="971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5"/>
      </w:tblGrid>
      <w:tr w:rsidR="00A27215" w:rsidRPr="00857637" w14:paraId="0ACB125C" w14:textId="77777777" w:rsidTr="0041177B">
        <w:trPr>
          <w:trHeight w:val="113"/>
        </w:trPr>
        <w:tc>
          <w:tcPr>
            <w:tcW w:w="9715" w:type="dxa"/>
            <w:shd w:val="clear" w:color="auto" w:fill="002060"/>
            <w:vAlign w:val="center"/>
          </w:tcPr>
          <w:p w14:paraId="3BF6EC11" w14:textId="6439E14A" w:rsidR="00A27215" w:rsidRPr="00857637" w:rsidRDefault="00A27215" w:rsidP="0041177B">
            <w:pPr>
              <w:rPr>
                <w:rFonts w:asciiTheme="minorHAnsi" w:hAnsiTheme="minorHAnsi"/>
                <w:b/>
                <w:bCs/>
              </w:rPr>
            </w:pPr>
            <w:r w:rsidRPr="00F66AFF">
              <w:rPr>
                <w:rFonts w:asciiTheme="minorHAnsi" w:hAnsiTheme="minorHAnsi"/>
                <w:b/>
                <w:bCs/>
                <w:bdr w:val="single" w:sz="4" w:space="0" w:color="auto"/>
              </w:rPr>
              <w:t xml:space="preserve">Figure </w:t>
            </w:r>
            <w:r w:rsidR="00C81210">
              <w:rPr>
                <w:rFonts w:asciiTheme="minorHAnsi" w:hAnsiTheme="minorHAnsi"/>
                <w:b/>
                <w:bCs/>
                <w:bdr w:val="single" w:sz="4" w:space="0" w:color="auto"/>
              </w:rPr>
              <w:t>20.5:</w:t>
            </w:r>
            <w:r w:rsidRPr="00F66AFF">
              <w:rPr>
                <w:rFonts w:asciiTheme="minorHAnsi" w:hAnsiTheme="minorHAnsi"/>
                <w:b/>
                <w:bCs/>
                <w:bdr w:val="single" w:sz="4" w:space="0" w:color="auto"/>
              </w:rPr>
              <w:t xml:space="preserve">  Age-</w:t>
            </w:r>
            <w:r w:rsidRPr="00857637">
              <w:rPr>
                <w:rFonts w:asciiTheme="minorHAnsi" w:hAnsiTheme="minorHAnsi"/>
                <w:b/>
                <w:bCs/>
                <w:bdr w:val="single" w:sz="4" w:space="0" w:color="auto"/>
              </w:rPr>
              <w:t>standardised mortality rate 1994-2022, bladder cancer</w:t>
            </w:r>
          </w:p>
        </w:tc>
      </w:tr>
      <w:tr w:rsidR="00A27215" w:rsidRPr="00857637" w14:paraId="34EEC2DE" w14:textId="77777777" w:rsidTr="0041177B">
        <w:trPr>
          <w:trHeight w:val="113"/>
        </w:trPr>
        <w:tc>
          <w:tcPr>
            <w:tcW w:w="9715" w:type="dxa"/>
            <w:vAlign w:val="center"/>
          </w:tcPr>
          <w:p w14:paraId="2B8C0028" w14:textId="77777777" w:rsidR="00A27215" w:rsidRPr="00857637" w:rsidRDefault="00A27215" w:rsidP="0041177B">
            <w:pPr>
              <w:jc w:val="center"/>
              <w:rPr>
                <w:rFonts w:asciiTheme="minorHAnsi" w:hAnsiTheme="minorHAnsi"/>
              </w:rPr>
            </w:pPr>
            <w:r w:rsidRPr="00857637">
              <w:rPr>
                <w:rFonts w:eastAsia="Times New Roman" w:cs="Times New Roman"/>
                <w:noProof/>
                <w:lang w:eastAsia="en-GB"/>
              </w:rPr>
              <w:drawing>
                <wp:inline distT="0" distB="0" distL="0" distR="0" wp14:anchorId="5D7E46DD" wp14:editId="50718465">
                  <wp:extent cx="5882400" cy="3082891"/>
                  <wp:effectExtent l="0" t="0" r="4445" b="3810"/>
                  <wp:docPr id="74525579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255797" name="Picture 24"/>
                          <pic:cNvPicPr>
                            <a:picLocks noChangeAspect="1" noChangeArrowheads="1"/>
                          </pic:cNvPicPr>
                        </pic:nvPicPr>
                        <pic:blipFill>
                          <a:blip r:embed="rId281">
                            <a:extLst>
                              <a:ext uri="{96DAC541-7B7A-43D3-8B79-37D633B846F1}">
                                <asvg:svgBlip xmlns:asvg="http://schemas.microsoft.com/office/drawing/2016/SVG/main" r:embed="rId282"/>
                              </a:ext>
                            </a:extLst>
                          </a:blip>
                          <a:stretch>
                            <a:fillRect/>
                          </a:stretch>
                        </pic:blipFill>
                        <pic:spPr bwMode="auto">
                          <a:xfrm>
                            <a:off x="0" y="0"/>
                            <a:ext cx="5882400" cy="3082891"/>
                          </a:xfrm>
                          <a:prstGeom prst="rect">
                            <a:avLst/>
                          </a:prstGeom>
                        </pic:spPr>
                      </pic:pic>
                    </a:graphicData>
                  </a:graphic>
                </wp:inline>
              </w:drawing>
            </w:r>
          </w:p>
        </w:tc>
      </w:tr>
      <w:tr w:rsidR="00A27215" w:rsidRPr="00857637" w14:paraId="633DA3A3" w14:textId="77777777" w:rsidTr="0041177B">
        <w:trPr>
          <w:trHeight w:val="113"/>
        </w:trPr>
        <w:tc>
          <w:tcPr>
            <w:tcW w:w="9715" w:type="dxa"/>
            <w:vAlign w:val="center"/>
          </w:tcPr>
          <w:tbl>
            <w:tblPr>
              <w:tblpPr w:leftFromText="180" w:rightFromText="180" w:vertAnchor="page" w:horzAnchor="page" w:tblpX="1078" w:tblpY="1"/>
              <w:tblOverlap w:val="never"/>
              <w:tblW w:w="0" w:type="auto"/>
              <w:tblCellMar>
                <w:top w:w="15" w:type="dxa"/>
                <w:bottom w:w="15" w:type="dxa"/>
              </w:tblCellMar>
              <w:tblLook w:val="04A0" w:firstRow="1" w:lastRow="0" w:firstColumn="1" w:lastColumn="0" w:noHBand="0" w:noVBand="1"/>
            </w:tblPr>
            <w:tblGrid>
              <w:gridCol w:w="530"/>
              <w:gridCol w:w="1139"/>
              <w:gridCol w:w="771"/>
              <w:gridCol w:w="977"/>
              <w:gridCol w:w="706"/>
              <w:gridCol w:w="530"/>
              <w:gridCol w:w="1139"/>
              <w:gridCol w:w="771"/>
              <w:gridCol w:w="909"/>
              <w:gridCol w:w="706"/>
            </w:tblGrid>
            <w:tr w:rsidR="00A27215" w:rsidRPr="004A55FA" w14:paraId="22314C07" w14:textId="77777777" w:rsidTr="0041177B">
              <w:trPr>
                <w:trHeight w:val="113"/>
              </w:trPr>
              <w:tc>
                <w:tcPr>
                  <w:tcW w:w="0" w:type="auto"/>
                  <w:tcBorders>
                    <w:top w:val="nil"/>
                    <w:left w:val="nil"/>
                    <w:bottom w:val="nil"/>
                    <w:right w:val="nil"/>
                  </w:tcBorders>
                  <w:noWrap/>
                  <w:vAlign w:val="center"/>
                  <w:hideMark/>
                </w:tcPr>
                <w:p w14:paraId="46B68B4D" w14:textId="77777777" w:rsidR="00A27215" w:rsidRPr="004A55FA"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4A55FA">
                    <w:rPr>
                      <w:rFonts w:eastAsia="Times New Roman" w:cs="Times New Roman"/>
                      <w:b/>
                      <w:bCs/>
                      <w:color w:val="000000"/>
                      <w:kern w:val="0"/>
                      <w:sz w:val="20"/>
                      <w:szCs w:val="20"/>
                      <w:u w:val="single"/>
                      <w:lang w:eastAsia="en-GB"/>
                      <w14:ligatures w14:val="none"/>
                    </w:rPr>
                    <w:t>sex</w:t>
                  </w:r>
                </w:p>
              </w:tc>
              <w:tc>
                <w:tcPr>
                  <w:tcW w:w="0" w:type="auto"/>
                  <w:tcBorders>
                    <w:top w:val="nil"/>
                    <w:left w:val="nil"/>
                    <w:bottom w:val="nil"/>
                    <w:right w:val="nil"/>
                  </w:tcBorders>
                  <w:noWrap/>
                  <w:vAlign w:val="center"/>
                  <w:hideMark/>
                </w:tcPr>
                <w:p w14:paraId="640ADBD7" w14:textId="77777777" w:rsidR="00A27215" w:rsidRPr="004A55FA"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4A55FA">
                    <w:rPr>
                      <w:rFonts w:eastAsia="Times New Roman" w:cs="Times New Roman"/>
                      <w:b/>
                      <w:bCs/>
                      <w:color w:val="000000"/>
                      <w:kern w:val="0"/>
                      <w:sz w:val="20"/>
                      <w:szCs w:val="20"/>
                      <w:u w:val="single"/>
                      <w:lang w:eastAsia="en-GB"/>
                      <w14:ligatures w14:val="none"/>
                    </w:rPr>
                    <w:t>period</w:t>
                  </w:r>
                </w:p>
              </w:tc>
              <w:tc>
                <w:tcPr>
                  <w:tcW w:w="0" w:type="auto"/>
                  <w:tcBorders>
                    <w:top w:val="nil"/>
                    <w:left w:val="nil"/>
                    <w:bottom w:val="nil"/>
                    <w:right w:val="nil"/>
                  </w:tcBorders>
                  <w:noWrap/>
                  <w:vAlign w:val="center"/>
                  <w:hideMark/>
                </w:tcPr>
                <w:p w14:paraId="0FA0C344" w14:textId="77777777" w:rsidR="00A27215" w:rsidRPr="004A55FA"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4A55FA">
                    <w:rPr>
                      <w:rFonts w:eastAsia="Times New Roman" w:cs="Times New Roman"/>
                      <w:b/>
                      <w:bCs/>
                      <w:color w:val="000000"/>
                      <w:kern w:val="0"/>
                      <w:sz w:val="20"/>
                      <w:szCs w:val="20"/>
                      <w:u w:val="single"/>
                      <w:lang w:eastAsia="en-GB"/>
                      <w14:ligatures w14:val="none"/>
                    </w:rPr>
                    <w:t>APC%</w:t>
                  </w:r>
                </w:p>
              </w:tc>
              <w:tc>
                <w:tcPr>
                  <w:tcW w:w="0" w:type="auto"/>
                  <w:tcBorders>
                    <w:top w:val="nil"/>
                    <w:left w:val="nil"/>
                    <w:bottom w:val="nil"/>
                    <w:right w:val="nil"/>
                  </w:tcBorders>
                  <w:noWrap/>
                  <w:vAlign w:val="center"/>
                  <w:hideMark/>
                </w:tcPr>
                <w:p w14:paraId="256FBA5B" w14:textId="77777777" w:rsidR="00A27215" w:rsidRPr="004A55FA"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4A55FA">
                    <w:rPr>
                      <w:rFonts w:eastAsia="Times New Roman" w:cs="Times New Roman"/>
                      <w:b/>
                      <w:bCs/>
                      <w:color w:val="000000"/>
                      <w:kern w:val="0"/>
                      <w:sz w:val="20"/>
                      <w:szCs w:val="20"/>
                      <w:u w:val="single"/>
                      <w:lang w:eastAsia="en-GB"/>
                      <w14:ligatures w14:val="none"/>
                    </w:rPr>
                    <w:t>95%CI</w:t>
                  </w:r>
                </w:p>
              </w:tc>
              <w:tc>
                <w:tcPr>
                  <w:tcW w:w="0" w:type="auto"/>
                  <w:tcBorders>
                    <w:top w:val="nil"/>
                    <w:left w:val="nil"/>
                    <w:bottom w:val="nil"/>
                    <w:right w:val="single" w:sz="4" w:space="0" w:color="auto"/>
                  </w:tcBorders>
                  <w:noWrap/>
                  <w:vAlign w:val="center"/>
                  <w:hideMark/>
                </w:tcPr>
                <w:p w14:paraId="4A4D06CE" w14:textId="77777777" w:rsidR="00A27215" w:rsidRPr="004A55FA"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4A55FA">
                    <w:rPr>
                      <w:rFonts w:eastAsia="Times New Roman" w:cs="Times New Roman"/>
                      <w:b/>
                      <w:bCs/>
                      <w:color w:val="000000"/>
                      <w:kern w:val="0"/>
                      <w:sz w:val="20"/>
                      <w:szCs w:val="20"/>
                      <w:u w:val="single"/>
                      <w:lang w:eastAsia="en-GB"/>
                      <w14:ligatures w14:val="none"/>
                    </w:rPr>
                    <w:t>trend</w:t>
                  </w:r>
                </w:p>
              </w:tc>
              <w:tc>
                <w:tcPr>
                  <w:tcW w:w="0" w:type="auto"/>
                  <w:tcBorders>
                    <w:top w:val="nil"/>
                    <w:left w:val="nil"/>
                    <w:bottom w:val="nil"/>
                    <w:right w:val="nil"/>
                  </w:tcBorders>
                  <w:vAlign w:val="center"/>
                </w:tcPr>
                <w:p w14:paraId="080AED33" w14:textId="77777777" w:rsidR="00A27215" w:rsidRPr="004A55FA"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4A55FA">
                    <w:rPr>
                      <w:rFonts w:eastAsia="Times New Roman" w:cs="Times New Roman"/>
                      <w:b/>
                      <w:bCs/>
                      <w:color w:val="000000"/>
                      <w:kern w:val="0"/>
                      <w:sz w:val="20"/>
                      <w:szCs w:val="20"/>
                      <w:u w:val="single"/>
                      <w:lang w:eastAsia="en-GB"/>
                      <w14:ligatures w14:val="none"/>
                    </w:rPr>
                    <w:t>sex</w:t>
                  </w:r>
                </w:p>
              </w:tc>
              <w:tc>
                <w:tcPr>
                  <w:tcW w:w="0" w:type="auto"/>
                  <w:tcBorders>
                    <w:top w:val="nil"/>
                    <w:left w:val="nil"/>
                    <w:bottom w:val="nil"/>
                    <w:right w:val="nil"/>
                  </w:tcBorders>
                  <w:vAlign w:val="center"/>
                </w:tcPr>
                <w:p w14:paraId="263A6145" w14:textId="77777777" w:rsidR="00A27215" w:rsidRPr="004A55FA"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4A55FA">
                    <w:rPr>
                      <w:rFonts w:eastAsia="Times New Roman" w:cs="Times New Roman"/>
                      <w:b/>
                      <w:bCs/>
                      <w:color w:val="000000"/>
                      <w:kern w:val="0"/>
                      <w:sz w:val="20"/>
                      <w:szCs w:val="20"/>
                      <w:u w:val="single"/>
                      <w:lang w:eastAsia="en-GB"/>
                      <w14:ligatures w14:val="none"/>
                    </w:rPr>
                    <w:t>period</w:t>
                  </w:r>
                </w:p>
              </w:tc>
              <w:tc>
                <w:tcPr>
                  <w:tcW w:w="0" w:type="auto"/>
                  <w:tcBorders>
                    <w:top w:val="nil"/>
                    <w:left w:val="nil"/>
                    <w:bottom w:val="nil"/>
                    <w:right w:val="nil"/>
                  </w:tcBorders>
                  <w:vAlign w:val="center"/>
                </w:tcPr>
                <w:p w14:paraId="28B26032" w14:textId="77777777" w:rsidR="00A27215" w:rsidRPr="004A55FA"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4A55FA">
                    <w:rPr>
                      <w:rFonts w:eastAsia="Times New Roman" w:cs="Times New Roman"/>
                      <w:b/>
                      <w:bCs/>
                      <w:color w:val="000000"/>
                      <w:kern w:val="0"/>
                      <w:sz w:val="20"/>
                      <w:szCs w:val="20"/>
                      <w:u w:val="single"/>
                      <w:lang w:eastAsia="en-GB"/>
                      <w14:ligatures w14:val="none"/>
                    </w:rPr>
                    <w:t>APC%</w:t>
                  </w:r>
                </w:p>
              </w:tc>
              <w:tc>
                <w:tcPr>
                  <w:tcW w:w="0" w:type="auto"/>
                  <w:tcBorders>
                    <w:top w:val="nil"/>
                    <w:left w:val="nil"/>
                    <w:bottom w:val="nil"/>
                    <w:right w:val="nil"/>
                  </w:tcBorders>
                  <w:vAlign w:val="center"/>
                </w:tcPr>
                <w:p w14:paraId="5E21269E" w14:textId="77777777" w:rsidR="00A27215" w:rsidRPr="004A55FA"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4A55FA">
                    <w:rPr>
                      <w:rFonts w:eastAsia="Times New Roman" w:cs="Times New Roman"/>
                      <w:b/>
                      <w:bCs/>
                      <w:color w:val="000000"/>
                      <w:kern w:val="0"/>
                      <w:sz w:val="20"/>
                      <w:szCs w:val="20"/>
                      <w:u w:val="single"/>
                      <w:lang w:eastAsia="en-GB"/>
                      <w14:ligatures w14:val="none"/>
                    </w:rPr>
                    <w:t>95%CI</w:t>
                  </w:r>
                </w:p>
              </w:tc>
              <w:tc>
                <w:tcPr>
                  <w:tcW w:w="0" w:type="auto"/>
                  <w:tcBorders>
                    <w:top w:val="nil"/>
                    <w:left w:val="nil"/>
                    <w:bottom w:val="nil"/>
                    <w:right w:val="single" w:sz="4" w:space="0" w:color="auto"/>
                  </w:tcBorders>
                  <w:vAlign w:val="center"/>
                </w:tcPr>
                <w:p w14:paraId="38D36E0A" w14:textId="77777777" w:rsidR="00A27215" w:rsidRPr="004A55FA"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4A55FA">
                    <w:rPr>
                      <w:rFonts w:eastAsia="Times New Roman" w:cs="Times New Roman"/>
                      <w:b/>
                      <w:bCs/>
                      <w:color w:val="000000"/>
                      <w:kern w:val="0"/>
                      <w:sz w:val="20"/>
                      <w:szCs w:val="20"/>
                      <w:u w:val="single"/>
                      <w:lang w:eastAsia="en-GB"/>
                      <w14:ligatures w14:val="none"/>
                    </w:rPr>
                    <w:t>trend</w:t>
                  </w:r>
                </w:p>
              </w:tc>
            </w:tr>
            <w:tr w:rsidR="00A27215" w:rsidRPr="004A55FA" w14:paraId="699EAF54" w14:textId="77777777" w:rsidTr="0041177B">
              <w:trPr>
                <w:trHeight w:val="113"/>
              </w:trPr>
              <w:tc>
                <w:tcPr>
                  <w:tcW w:w="0" w:type="auto"/>
                  <w:tcBorders>
                    <w:top w:val="nil"/>
                    <w:left w:val="nil"/>
                    <w:bottom w:val="nil"/>
                    <w:right w:val="nil"/>
                  </w:tcBorders>
                  <w:noWrap/>
                  <w:vAlign w:val="center"/>
                  <w:hideMark/>
                </w:tcPr>
                <w:p w14:paraId="583E6C94" w14:textId="77777777" w:rsidR="00A27215" w:rsidRPr="004A55FA" w:rsidRDefault="00A27215" w:rsidP="0041177B">
                  <w:pPr>
                    <w:spacing w:after="0" w:line="240" w:lineRule="auto"/>
                    <w:jc w:val="center"/>
                    <w:rPr>
                      <w:rFonts w:eastAsia="Times New Roman" w:cs="Times New Roman"/>
                      <w:color w:val="000000"/>
                      <w:kern w:val="0"/>
                      <w:sz w:val="20"/>
                      <w:szCs w:val="20"/>
                      <w:lang w:eastAsia="en-GB"/>
                      <w14:ligatures w14:val="none"/>
                    </w:rPr>
                  </w:pPr>
                  <w:r w:rsidRPr="004A55FA">
                    <w:rPr>
                      <w:rFonts w:eastAsia="Times New Roman" w:cs="Times New Roman"/>
                      <w:color w:val="000000"/>
                      <w:kern w:val="0"/>
                      <w:sz w:val="20"/>
                      <w:szCs w:val="20"/>
                      <w:lang w:eastAsia="en-GB"/>
                      <w14:ligatures w14:val="none"/>
                    </w:rPr>
                    <w:t>M</w:t>
                  </w:r>
                </w:p>
              </w:tc>
              <w:tc>
                <w:tcPr>
                  <w:tcW w:w="0" w:type="auto"/>
                  <w:tcBorders>
                    <w:top w:val="nil"/>
                    <w:left w:val="nil"/>
                    <w:bottom w:val="nil"/>
                    <w:right w:val="nil"/>
                  </w:tcBorders>
                  <w:noWrap/>
                  <w:vAlign w:val="center"/>
                  <w:hideMark/>
                </w:tcPr>
                <w:p w14:paraId="6DD840E8" w14:textId="77777777" w:rsidR="00A27215" w:rsidRPr="004A55FA" w:rsidRDefault="00A27215" w:rsidP="0041177B">
                  <w:pPr>
                    <w:spacing w:after="0" w:line="240" w:lineRule="auto"/>
                    <w:jc w:val="center"/>
                    <w:rPr>
                      <w:rFonts w:eastAsia="Times New Roman" w:cs="Times New Roman"/>
                      <w:color w:val="000000"/>
                      <w:kern w:val="0"/>
                      <w:sz w:val="20"/>
                      <w:szCs w:val="20"/>
                      <w:lang w:eastAsia="en-GB"/>
                      <w14:ligatures w14:val="none"/>
                    </w:rPr>
                  </w:pPr>
                  <w:r w:rsidRPr="004A55FA">
                    <w:rPr>
                      <w:rFonts w:eastAsia="Times New Roman" w:cs="Times New Roman"/>
                      <w:color w:val="000000"/>
                      <w:kern w:val="0"/>
                      <w:sz w:val="20"/>
                      <w:szCs w:val="20"/>
                      <w:lang w:eastAsia="en-GB"/>
                      <w14:ligatures w14:val="none"/>
                    </w:rPr>
                    <w:t>1994-2022</w:t>
                  </w:r>
                </w:p>
              </w:tc>
              <w:tc>
                <w:tcPr>
                  <w:tcW w:w="0" w:type="auto"/>
                  <w:tcBorders>
                    <w:top w:val="nil"/>
                    <w:left w:val="nil"/>
                    <w:bottom w:val="nil"/>
                    <w:right w:val="nil"/>
                  </w:tcBorders>
                  <w:noWrap/>
                  <w:vAlign w:val="center"/>
                  <w:hideMark/>
                </w:tcPr>
                <w:p w14:paraId="1C3EE7A4" w14:textId="77777777" w:rsidR="00A27215" w:rsidRPr="004A55FA" w:rsidRDefault="00A27215" w:rsidP="0041177B">
                  <w:pPr>
                    <w:spacing w:after="0" w:line="240" w:lineRule="auto"/>
                    <w:jc w:val="center"/>
                    <w:rPr>
                      <w:rFonts w:eastAsia="Times New Roman" w:cs="Times New Roman"/>
                      <w:color w:val="000000"/>
                      <w:kern w:val="0"/>
                      <w:sz w:val="20"/>
                      <w:szCs w:val="20"/>
                      <w:lang w:eastAsia="en-GB"/>
                      <w14:ligatures w14:val="none"/>
                    </w:rPr>
                  </w:pPr>
                  <w:r w:rsidRPr="004A55FA">
                    <w:rPr>
                      <w:color w:val="000000"/>
                      <w:sz w:val="20"/>
                      <w:szCs w:val="20"/>
                    </w:rPr>
                    <w:t>-1.0</w:t>
                  </w:r>
                </w:p>
              </w:tc>
              <w:tc>
                <w:tcPr>
                  <w:tcW w:w="0" w:type="auto"/>
                  <w:tcBorders>
                    <w:top w:val="nil"/>
                    <w:left w:val="nil"/>
                    <w:bottom w:val="nil"/>
                    <w:right w:val="nil"/>
                  </w:tcBorders>
                  <w:noWrap/>
                  <w:vAlign w:val="center"/>
                  <w:hideMark/>
                </w:tcPr>
                <w:p w14:paraId="34492CA9" w14:textId="77777777" w:rsidR="00A27215" w:rsidRPr="004A55FA" w:rsidRDefault="00A27215" w:rsidP="0041177B">
                  <w:pPr>
                    <w:spacing w:after="0" w:line="240" w:lineRule="auto"/>
                    <w:jc w:val="center"/>
                    <w:rPr>
                      <w:rFonts w:eastAsia="Times New Roman" w:cs="Times New Roman"/>
                      <w:color w:val="000000"/>
                      <w:kern w:val="0"/>
                      <w:sz w:val="20"/>
                      <w:szCs w:val="20"/>
                      <w:lang w:eastAsia="en-GB"/>
                      <w14:ligatures w14:val="none"/>
                    </w:rPr>
                  </w:pPr>
                  <w:r w:rsidRPr="004A55FA">
                    <w:rPr>
                      <w:color w:val="000000"/>
                      <w:sz w:val="20"/>
                      <w:szCs w:val="20"/>
                    </w:rPr>
                    <w:t>-1.4, -0.5</w:t>
                  </w:r>
                </w:p>
              </w:tc>
              <w:tc>
                <w:tcPr>
                  <w:tcW w:w="0" w:type="auto"/>
                  <w:tcBorders>
                    <w:top w:val="nil"/>
                    <w:left w:val="nil"/>
                    <w:bottom w:val="nil"/>
                    <w:right w:val="single" w:sz="4" w:space="0" w:color="auto"/>
                  </w:tcBorders>
                  <w:noWrap/>
                  <w:vAlign w:val="center"/>
                  <w:hideMark/>
                </w:tcPr>
                <w:p w14:paraId="76431E11" w14:textId="77777777" w:rsidR="00A27215" w:rsidRPr="004A55FA" w:rsidRDefault="00A27215" w:rsidP="0041177B">
                  <w:pPr>
                    <w:spacing w:after="0" w:line="240" w:lineRule="auto"/>
                    <w:jc w:val="center"/>
                    <w:rPr>
                      <w:rFonts w:eastAsia="Times New Roman" w:cs="Times New Roman"/>
                      <w:color w:val="000000"/>
                      <w:kern w:val="0"/>
                      <w:sz w:val="20"/>
                      <w:szCs w:val="20"/>
                      <w:lang w:eastAsia="en-GB"/>
                      <w14:ligatures w14:val="none"/>
                    </w:rPr>
                  </w:pPr>
                  <w:r w:rsidRPr="004A55FA">
                    <w:rPr>
                      <w:color w:val="000000"/>
                      <w:sz w:val="20"/>
                      <w:szCs w:val="20"/>
                    </w:rPr>
                    <w:t>down</w:t>
                  </w:r>
                </w:p>
              </w:tc>
              <w:tc>
                <w:tcPr>
                  <w:tcW w:w="0" w:type="auto"/>
                  <w:tcBorders>
                    <w:top w:val="nil"/>
                    <w:left w:val="single" w:sz="4" w:space="0" w:color="auto"/>
                    <w:bottom w:val="nil"/>
                    <w:right w:val="nil"/>
                  </w:tcBorders>
                  <w:vAlign w:val="center"/>
                </w:tcPr>
                <w:p w14:paraId="07E567BE" w14:textId="77777777" w:rsidR="00A27215" w:rsidRPr="004A55FA" w:rsidRDefault="00A27215" w:rsidP="0041177B">
                  <w:pPr>
                    <w:spacing w:after="0" w:line="240" w:lineRule="auto"/>
                    <w:jc w:val="center"/>
                    <w:rPr>
                      <w:color w:val="000000"/>
                      <w:sz w:val="20"/>
                      <w:szCs w:val="20"/>
                    </w:rPr>
                  </w:pPr>
                  <w:r w:rsidRPr="004A55FA">
                    <w:rPr>
                      <w:rFonts w:eastAsia="Times New Roman" w:cs="Times New Roman"/>
                      <w:color w:val="000000"/>
                      <w:kern w:val="0"/>
                      <w:sz w:val="20"/>
                      <w:szCs w:val="20"/>
                      <w:lang w:eastAsia="en-GB"/>
                      <w14:ligatures w14:val="none"/>
                    </w:rPr>
                    <w:t>F</w:t>
                  </w:r>
                </w:p>
              </w:tc>
              <w:tc>
                <w:tcPr>
                  <w:tcW w:w="0" w:type="auto"/>
                  <w:tcBorders>
                    <w:top w:val="nil"/>
                    <w:left w:val="nil"/>
                    <w:bottom w:val="nil"/>
                    <w:right w:val="nil"/>
                  </w:tcBorders>
                  <w:vAlign w:val="center"/>
                </w:tcPr>
                <w:p w14:paraId="06C9975A" w14:textId="77777777" w:rsidR="00A27215" w:rsidRPr="004A55FA" w:rsidRDefault="00A27215" w:rsidP="0041177B">
                  <w:pPr>
                    <w:spacing w:after="0" w:line="240" w:lineRule="auto"/>
                    <w:jc w:val="center"/>
                    <w:rPr>
                      <w:color w:val="000000"/>
                      <w:sz w:val="20"/>
                      <w:szCs w:val="20"/>
                    </w:rPr>
                  </w:pPr>
                  <w:r w:rsidRPr="004A55FA">
                    <w:rPr>
                      <w:rFonts w:eastAsia="Times New Roman" w:cs="Times New Roman"/>
                      <w:color w:val="000000"/>
                      <w:kern w:val="0"/>
                      <w:sz w:val="20"/>
                      <w:szCs w:val="20"/>
                      <w:lang w:eastAsia="en-GB"/>
                      <w14:ligatures w14:val="none"/>
                    </w:rPr>
                    <w:t>1994-2022</w:t>
                  </w:r>
                </w:p>
              </w:tc>
              <w:tc>
                <w:tcPr>
                  <w:tcW w:w="0" w:type="auto"/>
                  <w:tcBorders>
                    <w:top w:val="nil"/>
                    <w:left w:val="nil"/>
                    <w:bottom w:val="nil"/>
                    <w:right w:val="nil"/>
                  </w:tcBorders>
                  <w:vAlign w:val="center"/>
                </w:tcPr>
                <w:p w14:paraId="7EC01B6D" w14:textId="77777777" w:rsidR="00A27215" w:rsidRPr="004A55FA" w:rsidRDefault="00A27215" w:rsidP="0041177B">
                  <w:pPr>
                    <w:spacing w:after="0" w:line="240" w:lineRule="auto"/>
                    <w:jc w:val="center"/>
                    <w:rPr>
                      <w:color w:val="000000"/>
                      <w:sz w:val="20"/>
                      <w:szCs w:val="20"/>
                    </w:rPr>
                  </w:pPr>
                  <w:r w:rsidRPr="004A55FA">
                    <w:rPr>
                      <w:color w:val="000000"/>
                      <w:sz w:val="20"/>
                      <w:szCs w:val="20"/>
                    </w:rPr>
                    <w:t>-0.5</w:t>
                  </w:r>
                </w:p>
              </w:tc>
              <w:tc>
                <w:tcPr>
                  <w:tcW w:w="0" w:type="auto"/>
                  <w:tcBorders>
                    <w:top w:val="nil"/>
                    <w:left w:val="nil"/>
                    <w:bottom w:val="nil"/>
                    <w:right w:val="nil"/>
                  </w:tcBorders>
                  <w:vAlign w:val="center"/>
                </w:tcPr>
                <w:p w14:paraId="2AE92C98" w14:textId="77777777" w:rsidR="00A27215" w:rsidRPr="004A55FA" w:rsidRDefault="00A27215" w:rsidP="0041177B">
                  <w:pPr>
                    <w:spacing w:after="0" w:line="240" w:lineRule="auto"/>
                    <w:jc w:val="center"/>
                    <w:rPr>
                      <w:color w:val="000000"/>
                      <w:sz w:val="20"/>
                      <w:szCs w:val="20"/>
                    </w:rPr>
                  </w:pPr>
                  <w:r w:rsidRPr="004A55FA">
                    <w:rPr>
                      <w:color w:val="000000"/>
                      <w:sz w:val="20"/>
                      <w:szCs w:val="20"/>
                    </w:rPr>
                    <w:t>-1.2, 0.2</w:t>
                  </w:r>
                </w:p>
              </w:tc>
              <w:tc>
                <w:tcPr>
                  <w:tcW w:w="0" w:type="auto"/>
                  <w:tcBorders>
                    <w:top w:val="nil"/>
                    <w:left w:val="nil"/>
                    <w:bottom w:val="nil"/>
                    <w:right w:val="nil"/>
                  </w:tcBorders>
                  <w:vAlign w:val="center"/>
                </w:tcPr>
                <w:p w14:paraId="4E6090C5" w14:textId="77777777" w:rsidR="00A27215" w:rsidRPr="004A55FA" w:rsidRDefault="00A27215" w:rsidP="0041177B">
                  <w:pPr>
                    <w:spacing w:after="0" w:line="240" w:lineRule="auto"/>
                    <w:jc w:val="center"/>
                    <w:rPr>
                      <w:color w:val="000000"/>
                      <w:sz w:val="20"/>
                      <w:szCs w:val="20"/>
                    </w:rPr>
                  </w:pPr>
                  <w:r w:rsidRPr="004A55FA">
                    <w:rPr>
                      <w:color w:val="000000"/>
                      <w:sz w:val="20"/>
                      <w:szCs w:val="20"/>
                    </w:rPr>
                    <w:t>flat</w:t>
                  </w:r>
                </w:p>
              </w:tc>
            </w:tr>
          </w:tbl>
          <w:p w14:paraId="07B91A96" w14:textId="77777777" w:rsidR="00A27215" w:rsidRPr="00857637" w:rsidRDefault="00A27215" w:rsidP="0041177B">
            <w:pPr>
              <w:jc w:val="center"/>
              <w:rPr>
                <w:rFonts w:eastAsia="Times New Roman" w:cs="Times New Roman"/>
                <w:noProof/>
                <w:lang w:eastAsia="en-GB"/>
              </w:rPr>
            </w:pPr>
          </w:p>
        </w:tc>
      </w:tr>
      <w:tr w:rsidR="00A27215" w:rsidRPr="00857637" w14:paraId="065E7562" w14:textId="77777777" w:rsidTr="0041177B">
        <w:trPr>
          <w:trHeight w:val="113"/>
        </w:trPr>
        <w:tc>
          <w:tcPr>
            <w:tcW w:w="9715" w:type="dxa"/>
            <w:vAlign w:val="center"/>
          </w:tcPr>
          <w:p w14:paraId="4EBB986E" w14:textId="77777777" w:rsidR="00A27215" w:rsidRPr="002262F2" w:rsidRDefault="00A27215" w:rsidP="0041177B">
            <w:pPr>
              <w:pBdr>
                <w:bottom w:val="single" w:sz="4" w:space="1" w:color="auto"/>
              </w:pBdr>
              <w:rPr>
                <w:rFonts w:asciiTheme="minorHAnsi" w:hAnsiTheme="minorHAnsi"/>
                <w:bCs/>
                <w:sz w:val="18"/>
                <w:szCs w:val="16"/>
              </w:rPr>
            </w:pPr>
            <w:r w:rsidRPr="002262F2">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0DD3833D" w14:textId="77777777" w:rsidR="00A27215" w:rsidRPr="00857637" w:rsidRDefault="00A27215" w:rsidP="0041177B">
            <w:pPr>
              <w:jc w:val="center"/>
              <w:rPr>
                <w:rFonts w:eastAsia="Times New Roman" w:cs="Times New Roman"/>
                <w:b/>
                <w:bCs/>
                <w:color w:val="000000"/>
                <w:sz w:val="14"/>
                <w:szCs w:val="14"/>
                <w:u w:val="single"/>
                <w:lang w:eastAsia="en-GB"/>
              </w:rPr>
            </w:pPr>
          </w:p>
        </w:tc>
      </w:tr>
    </w:tbl>
    <w:p w14:paraId="70C9E93F" w14:textId="77777777" w:rsidR="00A27215" w:rsidRDefault="00A27215" w:rsidP="00A27215">
      <w:pPr>
        <w:pStyle w:val="Heading2"/>
        <w:spacing w:before="0" w:after="0" w:line="240" w:lineRule="auto"/>
        <w:sectPr w:rsidR="00A27215" w:rsidSect="002746C0">
          <w:pgSz w:w="11906" w:h="16838"/>
          <w:pgMar w:top="1440" w:right="1440" w:bottom="1440" w:left="1440" w:header="708" w:footer="708" w:gutter="0"/>
          <w:cols w:space="708"/>
          <w:docGrid w:linePitch="360"/>
        </w:sectPr>
      </w:pPr>
      <w:bookmarkStart w:id="379" w:name="_Toc197557179"/>
    </w:p>
    <w:p w14:paraId="0D05FC04" w14:textId="77777777" w:rsidR="00A27215" w:rsidRDefault="00A27215" w:rsidP="00A27215">
      <w:pPr>
        <w:pStyle w:val="Heading2"/>
        <w:spacing w:before="0" w:after="0" w:line="240" w:lineRule="auto"/>
      </w:pPr>
      <w:bookmarkStart w:id="380" w:name="_Toc201512570"/>
      <w:r>
        <w:t>Survival</w:t>
      </w:r>
      <w:bookmarkEnd w:id="380"/>
      <w:r>
        <w:t xml:space="preserve"> </w:t>
      </w:r>
      <w:bookmarkEnd w:id="379"/>
    </w:p>
    <w:p w14:paraId="39A1EF1C" w14:textId="0065F90D" w:rsidR="00A27215" w:rsidRPr="000C58A6" w:rsidRDefault="00A27215" w:rsidP="00A27215">
      <w:pPr>
        <w:spacing w:after="0" w:line="240" w:lineRule="auto"/>
        <w:rPr>
          <w:rFonts w:cstheme="minorHAnsi"/>
        </w:rPr>
      </w:pPr>
      <w:r w:rsidRPr="00550C1F">
        <w:rPr>
          <w:rFonts w:cstheme="minorHAnsi"/>
        </w:rPr>
        <w:t xml:space="preserve">For bladder cancer &amp; NMIBC in Ireland overall 5-year net survival was 75% for cases diagnosed during 2019-2022 (Figure </w:t>
      </w:r>
      <w:r w:rsidR="00D21B05">
        <w:rPr>
          <w:rFonts w:cstheme="minorHAnsi"/>
        </w:rPr>
        <w:t>20.6</w:t>
      </w:r>
      <w:r w:rsidRPr="00550C1F">
        <w:rPr>
          <w:rFonts w:cstheme="minorHAnsi"/>
        </w:rPr>
        <w:t xml:space="preserve">). </w:t>
      </w:r>
      <w:r w:rsidR="007535AF">
        <w:rPr>
          <w:rFonts w:cstheme="minorHAnsi"/>
        </w:rPr>
        <w:t>Five</w:t>
      </w:r>
      <w:r w:rsidRPr="00550C1F">
        <w:rPr>
          <w:rFonts w:cstheme="minorHAnsi"/>
        </w:rPr>
        <w:t xml:space="preserve">-year net survival for 2019-2023 was higher for males (77%) than for females (70%) with survival estimates tending to improve across time periods although the estimate </w:t>
      </w:r>
      <w:r w:rsidR="006E131C">
        <w:rPr>
          <w:rFonts w:cstheme="minorHAnsi"/>
        </w:rPr>
        <w:t xml:space="preserve">for </w:t>
      </w:r>
      <w:r w:rsidRPr="00550C1F">
        <w:rPr>
          <w:rFonts w:cstheme="minorHAnsi"/>
        </w:rPr>
        <w:t>2019-2022 was slightly lower than that for the 2014-2018 period.</w:t>
      </w:r>
      <w:r>
        <w:rPr>
          <w:rFonts w:cstheme="minorHAnsi"/>
        </w:rPr>
        <w:t xml:space="preserve">  </w:t>
      </w:r>
    </w:p>
    <w:p w14:paraId="145ECDDB" w14:textId="77777777" w:rsidR="00A27215" w:rsidRDefault="00A27215" w:rsidP="00A27215">
      <w:pPr>
        <w:spacing w:after="0" w:line="240" w:lineRule="auto"/>
        <w:ind w:firstLine="720"/>
      </w:pPr>
    </w:p>
    <w:tbl>
      <w:tblPr>
        <w:tblStyle w:val="TableGrid"/>
        <w:tblW w:w="964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2950"/>
        <w:gridCol w:w="3504"/>
      </w:tblGrid>
      <w:tr w:rsidR="00A27215" w:rsidRPr="00857637" w14:paraId="2C372445" w14:textId="77777777" w:rsidTr="0041177B">
        <w:trPr>
          <w:trHeight w:val="113"/>
        </w:trPr>
        <w:tc>
          <w:tcPr>
            <w:tcW w:w="9640" w:type="dxa"/>
            <w:gridSpan w:val="3"/>
            <w:shd w:val="clear" w:color="auto" w:fill="002060"/>
          </w:tcPr>
          <w:p w14:paraId="140C0561" w14:textId="30753DCE" w:rsidR="00A27215" w:rsidRPr="00857637" w:rsidRDefault="00A27215" w:rsidP="0041177B">
            <w:pPr>
              <w:rPr>
                <w:rFonts w:asciiTheme="minorHAnsi" w:hAnsiTheme="minorHAnsi" w:cstheme="minorHAnsi"/>
              </w:rPr>
            </w:pPr>
            <w:r w:rsidRPr="00F66AFF">
              <w:rPr>
                <w:rFonts w:asciiTheme="minorHAnsi" w:hAnsiTheme="minorHAnsi"/>
                <w:b/>
                <w:bCs/>
                <w:bdr w:val="single" w:sz="4" w:space="0" w:color="auto"/>
              </w:rPr>
              <w:t xml:space="preserve">Figure </w:t>
            </w:r>
            <w:r w:rsidR="00C81210">
              <w:rPr>
                <w:rFonts w:asciiTheme="minorHAnsi" w:hAnsiTheme="minorHAnsi"/>
                <w:b/>
                <w:bCs/>
                <w:bdr w:val="single" w:sz="4" w:space="0" w:color="auto"/>
              </w:rPr>
              <w:t>20.6:</w:t>
            </w:r>
            <w:r w:rsidRPr="00F66AFF">
              <w:rPr>
                <w:rFonts w:asciiTheme="minorHAnsi" w:hAnsiTheme="minorHAnsi"/>
                <w:b/>
                <w:bCs/>
                <w:bdr w:val="single" w:sz="4" w:space="0" w:color="auto"/>
              </w:rPr>
              <w:t xml:space="preserve"> Age-standardised 5-year net survival (%) for bladder cancer &amp; NMIBC over six consecutive diagnosis periods</w:t>
            </w:r>
          </w:p>
        </w:tc>
      </w:tr>
      <w:tr w:rsidR="00A27215" w:rsidRPr="00857637" w14:paraId="65485C2A" w14:textId="77777777" w:rsidTr="0041177B">
        <w:trPr>
          <w:trHeight w:val="113"/>
        </w:trPr>
        <w:tc>
          <w:tcPr>
            <w:tcW w:w="3148" w:type="dxa"/>
            <w:shd w:val="clear" w:color="auto" w:fill="auto"/>
          </w:tcPr>
          <w:p w14:paraId="5A773039" w14:textId="77777777" w:rsidR="00A27215" w:rsidRPr="00857637" w:rsidRDefault="00A27215" w:rsidP="0041177B">
            <w:pPr>
              <w:jc w:val="center"/>
              <w:rPr>
                <w:rFonts w:asciiTheme="minorHAnsi" w:hAnsiTheme="minorHAnsi" w:cstheme="minorHAnsi"/>
                <w:color w:val="000000" w:themeColor="text1"/>
              </w:rPr>
            </w:pPr>
            <w:r w:rsidRPr="00857637">
              <w:rPr>
                <w:rFonts w:asciiTheme="minorHAnsi" w:hAnsiTheme="minorHAnsi" w:cstheme="minorHAnsi"/>
                <w:color w:val="000000" w:themeColor="text1"/>
              </w:rPr>
              <w:t>Total</w:t>
            </w:r>
          </w:p>
        </w:tc>
        <w:tc>
          <w:tcPr>
            <w:tcW w:w="2915" w:type="dxa"/>
            <w:shd w:val="clear" w:color="auto" w:fill="auto"/>
          </w:tcPr>
          <w:p w14:paraId="2981EDA6" w14:textId="77777777" w:rsidR="00A27215" w:rsidRPr="00857637" w:rsidRDefault="00A27215" w:rsidP="0041177B">
            <w:pPr>
              <w:jc w:val="center"/>
              <w:rPr>
                <w:rFonts w:asciiTheme="minorHAnsi" w:hAnsiTheme="minorHAnsi" w:cstheme="minorHAnsi"/>
                <w:color w:val="000000" w:themeColor="text1"/>
              </w:rPr>
            </w:pPr>
            <w:r>
              <w:rPr>
                <w:rFonts w:asciiTheme="minorHAnsi" w:hAnsiTheme="minorHAnsi" w:cstheme="minorHAnsi"/>
                <w:color w:val="000000" w:themeColor="text1"/>
              </w:rPr>
              <w:t>Males</w:t>
            </w:r>
          </w:p>
        </w:tc>
        <w:tc>
          <w:tcPr>
            <w:tcW w:w="3577" w:type="dxa"/>
          </w:tcPr>
          <w:p w14:paraId="7886C534" w14:textId="77777777" w:rsidR="00A27215" w:rsidRPr="00857637" w:rsidRDefault="00A27215" w:rsidP="0041177B">
            <w:pPr>
              <w:jc w:val="center"/>
              <w:rPr>
                <w:rFonts w:asciiTheme="minorHAnsi" w:hAnsiTheme="minorHAnsi" w:cstheme="minorHAnsi"/>
                <w:color w:val="000000" w:themeColor="text1"/>
              </w:rPr>
            </w:pPr>
            <w:r>
              <w:rPr>
                <w:rFonts w:asciiTheme="minorHAnsi" w:hAnsiTheme="minorHAnsi" w:cstheme="minorHAnsi"/>
                <w:color w:val="000000" w:themeColor="text1"/>
              </w:rPr>
              <w:t>Females</w:t>
            </w:r>
          </w:p>
        </w:tc>
      </w:tr>
      <w:tr w:rsidR="00A27215" w:rsidRPr="00857637" w14:paraId="4315FDA9" w14:textId="77777777" w:rsidTr="0041177B">
        <w:trPr>
          <w:trHeight w:val="113"/>
        </w:trPr>
        <w:tc>
          <w:tcPr>
            <w:tcW w:w="3148" w:type="dxa"/>
            <w:tcBorders>
              <w:bottom w:val="single" w:sz="4" w:space="0" w:color="auto"/>
            </w:tcBorders>
            <w:shd w:val="clear" w:color="auto" w:fill="auto"/>
          </w:tcPr>
          <w:p w14:paraId="2404B643" w14:textId="77777777" w:rsidR="00A27215" w:rsidRPr="00857637" w:rsidRDefault="00A27215" w:rsidP="0041177B">
            <w:pPr>
              <w:rPr>
                <w:rFonts w:asciiTheme="minorHAnsi" w:eastAsia="Times New Roman" w:hAnsiTheme="minorHAnsi" w:cs="Times New Roman"/>
                <w:lang w:eastAsia="en-GB"/>
              </w:rPr>
            </w:pPr>
            <w:r w:rsidRPr="00857637">
              <w:rPr>
                <w:rFonts w:eastAsia="Times New Roman" w:cs="Times New Roman"/>
                <w:noProof/>
                <w:lang w:eastAsia="en-GB"/>
              </w:rPr>
              <w:drawing>
                <wp:inline distT="0" distB="0" distL="0" distR="0" wp14:anchorId="2DF0F70D" wp14:editId="14E85BA6">
                  <wp:extent cx="1877785" cy="1404000"/>
                  <wp:effectExtent l="0" t="0" r="8255" b="5715"/>
                  <wp:docPr id="1296023652" name="Picture 23" descr="A graph with numbers and a number of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6023652" name="Picture 23" descr="A graph with numbers and a number of numbers&#10;&#10;AI-generated content may be incorrect."/>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877785" cy="1404000"/>
                          </a:xfrm>
                          <a:prstGeom prst="rect">
                            <a:avLst/>
                          </a:prstGeom>
                          <a:noFill/>
                          <a:ln>
                            <a:noFill/>
                          </a:ln>
                        </pic:spPr>
                      </pic:pic>
                    </a:graphicData>
                  </a:graphic>
                </wp:inline>
              </w:drawing>
            </w:r>
          </w:p>
        </w:tc>
        <w:tc>
          <w:tcPr>
            <w:tcW w:w="2915" w:type="dxa"/>
            <w:tcBorders>
              <w:bottom w:val="single" w:sz="4" w:space="0" w:color="auto"/>
            </w:tcBorders>
            <w:shd w:val="clear" w:color="auto" w:fill="auto"/>
          </w:tcPr>
          <w:p w14:paraId="63D0FD9B" w14:textId="77777777" w:rsidR="00A27215" w:rsidRPr="00857637" w:rsidRDefault="00A27215" w:rsidP="0041177B">
            <w:pPr>
              <w:rPr>
                <w:rFonts w:asciiTheme="minorHAnsi" w:hAnsiTheme="minorHAnsi" w:cstheme="minorHAnsi"/>
                <w:color w:val="000000" w:themeColor="text1"/>
                <w:lang w:val="en-GB"/>
              </w:rPr>
            </w:pPr>
            <w:r w:rsidRPr="00857637">
              <w:rPr>
                <w:rFonts w:eastAsia="Times New Roman" w:cs="Times New Roman"/>
                <w:noProof/>
                <w:lang w:eastAsia="en-GB"/>
              </w:rPr>
              <w:drawing>
                <wp:inline distT="0" distB="0" distL="0" distR="0" wp14:anchorId="60FBCC24" wp14:editId="3110ABA0">
                  <wp:extent cx="1736271" cy="1404000"/>
                  <wp:effectExtent l="0" t="0" r="0" b="5715"/>
                  <wp:docPr id="1380502053" name="Picture 21" descr="A graph with numbers and a number of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0502053" name="Picture 21" descr="A graph with numbers and a number of numbers&#10;&#10;AI-generated content may be incorrect."/>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736271" cy="1404000"/>
                          </a:xfrm>
                          <a:prstGeom prst="rect">
                            <a:avLst/>
                          </a:prstGeom>
                          <a:noFill/>
                          <a:ln>
                            <a:noFill/>
                          </a:ln>
                        </pic:spPr>
                      </pic:pic>
                    </a:graphicData>
                  </a:graphic>
                </wp:inline>
              </w:drawing>
            </w:r>
          </w:p>
        </w:tc>
        <w:tc>
          <w:tcPr>
            <w:tcW w:w="3577" w:type="dxa"/>
            <w:tcBorders>
              <w:bottom w:val="single" w:sz="4" w:space="0" w:color="auto"/>
            </w:tcBorders>
          </w:tcPr>
          <w:p w14:paraId="639E1845" w14:textId="77777777" w:rsidR="00A27215" w:rsidRPr="00857637" w:rsidRDefault="00A27215" w:rsidP="0041177B">
            <w:pPr>
              <w:jc w:val="center"/>
              <w:rPr>
                <w:rFonts w:asciiTheme="minorHAnsi" w:hAnsiTheme="minorHAnsi" w:cstheme="minorHAnsi"/>
                <w:color w:val="000000" w:themeColor="text1"/>
              </w:rPr>
            </w:pPr>
            <w:r w:rsidRPr="00857637">
              <w:rPr>
                <w:rFonts w:eastAsia="Times New Roman" w:cs="Times New Roman"/>
                <w:noProof/>
                <w:lang w:eastAsia="en-GB"/>
              </w:rPr>
              <w:drawing>
                <wp:inline distT="0" distB="0" distL="0" distR="0" wp14:anchorId="687896D4" wp14:editId="6794D511">
                  <wp:extent cx="2041071" cy="1404000"/>
                  <wp:effectExtent l="0" t="0" r="0" b="5715"/>
                  <wp:docPr id="24" name="Picture 22" descr="A graph with numbers and a number of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2" descr="A graph with numbers and a number of numbers&#10;&#10;AI-generated content may be incorrect."/>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041071" cy="1404000"/>
                          </a:xfrm>
                          <a:prstGeom prst="rect">
                            <a:avLst/>
                          </a:prstGeom>
                          <a:noFill/>
                          <a:ln>
                            <a:noFill/>
                          </a:ln>
                        </pic:spPr>
                      </pic:pic>
                    </a:graphicData>
                  </a:graphic>
                </wp:inline>
              </w:drawing>
            </w:r>
          </w:p>
        </w:tc>
      </w:tr>
    </w:tbl>
    <w:p w14:paraId="3DB11A21" w14:textId="77777777" w:rsidR="001A3B02" w:rsidRPr="001A3B02" w:rsidRDefault="001A3B02" w:rsidP="001A3B02">
      <w:bookmarkStart w:id="381" w:name="_Toc197557180"/>
    </w:p>
    <w:p w14:paraId="4E4446BE" w14:textId="77777777" w:rsidR="00A27215" w:rsidRDefault="00A27215" w:rsidP="00A27215">
      <w:pPr>
        <w:pStyle w:val="Heading2"/>
        <w:spacing w:before="0" w:after="0" w:line="240" w:lineRule="auto"/>
      </w:pPr>
      <w:bookmarkStart w:id="382" w:name="_Toc201512571"/>
      <w:r>
        <w:t>Population Attributable Fraction</w:t>
      </w:r>
      <w:bookmarkEnd w:id="381"/>
      <w:bookmarkEnd w:id="382"/>
    </w:p>
    <w:p w14:paraId="2C5AD04D" w14:textId="492CF0B0" w:rsidR="00A27215" w:rsidRDefault="00A27215" w:rsidP="00A27215">
      <w:pPr>
        <w:spacing w:after="0" w:line="240" w:lineRule="auto"/>
        <w:rPr>
          <w:rFonts w:cstheme="minorHAnsi"/>
        </w:rPr>
      </w:pPr>
      <w:r w:rsidRPr="00550C1F">
        <w:rPr>
          <w:rFonts w:cstheme="minorHAnsi"/>
        </w:rPr>
        <w:t>In 2022, 962 cases of bladder</w:t>
      </w:r>
      <w:r w:rsidR="00D61CD3">
        <w:rPr>
          <w:rFonts w:cstheme="minorHAnsi"/>
        </w:rPr>
        <w:t xml:space="preserve"> </w:t>
      </w:r>
      <w:r w:rsidRPr="00550C1F">
        <w:rPr>
          <w:rFonts w:cstheme="minorHAnsi"/>
        </w:rPr>
        <w:t xml:space="preserve">cancer </w:t>
      </w:r>
      <w:r w:rsidR="00D61CD3" w:rsidRPr="00D61CD3">
        <w:rPr>
          <w:rFonts w:cstheme="minorHAnsi"/>
        </w:rPr>
        <w:t xml:space="preserve">&amp; NMIBC </w:t>
      </w:r>
      <w:r w:rsidRPr="00550C1F">
        <w:rPr>
          <w:rFonts w:cstheme="minorHAnsi"/>
        </w:rPr>
        <w:t>were reported (714 males, 248 females).</w:t>
      </w:r>
      <w:r>
        <w:rPr>
          <w:rFonts w:cstheme="minorHAnsi"/>
        </w:rPr>
        <w:t xml:space="preserve"> The estimated total number of bladder cancer </w:t>
      </w:r>
      <w:r w:rsidR="00D61CD3" w:rsidRPr="00D61CD3">
        <w:rPr>
          <w:rFonts w:cstheme="minorHAnsi"/>
        </w:rPr>
        <w:t xml:space="preserve">&amp; NMIBC </w:t>
      </w:r>
      <w:r>
        <w:rPr>
          <w:rFonts w:cstheme="minorHAnsi"/>
        </w:rPr>
        <w:t xml:space="preserve">cases attributable to smoking in Ireland in 2022 was 456 (PAF 47.5%). Table </w:t>
      </w:r>
      <w:r w:rsidR="00D21B05">
        <w:rPr>
          <w:rFonts w:cstheme="minorHAnsi"/>
        </w:rPr>
        <w:t>20.1</w:t>
      </w:r>
      <w:r>
        <w:rPr>
          <w:rFonts w:cstheme="minorHAnsi"/>
        </w:rPr>
        <w:t xml:space="preserve"> presents the difference between male and female bladder cancer </w:t>
      </w:r>
      <w:r w:rsidR="00D61CD3" w:rsidRPr="00D61CD3">
        <w:rPr>
          <w:rFonts w:cstheme="minorHAnsi"/>
        </w:rPr>
        <w:t xml:space="preserve">&amp; NMIBC </w:t>
      </w:r>
      <w:r>
        <w:rPr>
          <w:rFonts w:cstheme="minorHAnsi"/>
        </w:rPr>
        <w:t>incidence related to smoking.</w:t>
      </w:r>
      <w:r>
        <w:t xml:space="preserve"> </w:t>
      </w:r>
      <w:r>
        <w:rPr>
          <w:rFonts w:cstheme="minorHAnsi"/>
        </w:rPr>
        <w:t>Males had a higher PAF than females, 48.0% vs 45.9%.</w:t>
      </w:r>
    </w:p>
    <w:p w14:paraId="32F5D551" w14:textId="77777777" w:rsidR="00A27215" w:rsidRDefault="00A27215" w:rsidP="00A27215">
      <w:pPr>
        <w:spacing w:after="0" w:line="240" w:lineRule="auto"/>
        <w:rPr>
          <w:rFonts w:cstheme="minorHAnsi"/>
        </w:rPr>
      </w:pPr>
    </w:p>
    <w:tbl>
      <w:tblPr>
        <w:tblStyle w:val="TableGrid"/>
        <w:tblW w:w="5346" w:type="pct"/>
        <w:tblInd w:w="-431" w:type="dxa"/>
        <w:tblLook w:val="04A0" w:firstRow="1" w:lastRow="0" w:firstColumn="1" w:lastColumn="0" w:noHBand="0" w:noVBand="1"/>
      </w:tblPr>
      <w:tblGrid>
        <w:gridCol w:w="2462"/>
        <w:gridCol w:w="2300"/>
        <w:gridCol w:w="2435"/>
        <w:gridCol w:w="2443"/>
      </w:tblGrid>
      <w:tr w:rsidR="00A27215" w14:paraId="142F31B0" w14:textId="77777777">
        <w:tc>
          <w:tcPr>
            <w:tcW w:w="5000" w:type="pct"/>
            <w:gridSpan w:val="4"/>
            <w:tcBorders>
              <w:top w:val="single" w:sz="4" w:space="0" w:color="auto"/>
              <w:left w:val="single" w:sz="4" w:space="0" w:color="auto"/>
              <w:bottom w:val="single" w:sz="4" w:space="0" w:color="auto"/>
              <w:right w:val="single" w:sz="4" w:space="0" w:color="auto"/>
            </w:tcBorders>
            <w:shd w:val="clear" w:color="auto" w:fill="002060"/>
            <w:hideMark/>
          </w:tcPr>
          <w:p w14:paraId="1C0558DF" w14:textId="5C1A7B88" w:rsidR="00A27215" w:rsidRPr="00D21B05" w:rsidRDefault="00A27215" w:rsidP="0041177B">
            <w:pPr>
              <w:rPr>
                <w:rFonts w:asciiTheme="minorHAnsi" w:hAnsiTheme="minorHAnsi" w:cstheme="minorHAnsi"/>
                <w:b/>
                <w:bCs/>
                <w:color w:val="FFFFFF" w:themeColor="background1"/>
              </w:rPr>
            </w:pPr>
            <w:r w:rsidRPr="00D21B05">
              <w:rPr>
                <w:rFonts w:asciiTheme="minorHAnsi" w:hAnsiTheme="minorHAnsi" w:cstheme="minorHAnsi"/>
                <w:b/>
                <w:bCs/>
                <w:color w:val="FFFFFF" w:themeColor="background1"/>
              </w:rPr>
              <w:t xml:space="preserve">Table </w:t>
            </w:r>
            <w:r w:rsidR="00C81210" w:rsidRPr="00D21B05">
              <w:rPr>
                <w:rFonts w:asciiTheme="minorHAnsi" w:hAnsiTheme="minorHAnsi" w:cstheme="minorHAnsi"/>
                <w:b/>
                <w:bCs/>
                <w:color w:val="FFFFFF" w:themeColor="background1"/>
              </w:rPr>
              <w:t>20.1</w:t>
            </w:r>
            <w:r w:rsidRPr="00D21B05">
              <w:rPr>
                <w:rFonts w:asciiTheme="minorHAnsi" w:hAnsiTheme="minorHAnsi" w:cstheme="minorHAnsi"/>
                <w:b/>
                <w:bCs/>
                <w:color w:val="FFFFFF" w:themeColor="background1"/>
              </w:rPr>
              <w:t>: Population attributable fraction and attributable cases for bladder</w:t>
            </w:r>
            <w:r w:rsidRPr="00D21B05">
              <w:rPr>
                <w:rFonts w:asciiTheme="minorHAnsi" w:hAnsiTheme="minorHAnsi" w:cstheme="minorHAnsi"/>
                <w:b/>
                <w:bCs/>
              </w:rPr>
              <w:t xml:space="preserve"> </w:t>
            </w:r>
            <w:r w:rsidRPr="00D21B05">
              <w:rPr>
                <w:rFonts w:asciiTheme="minorHAnsi" w:hAnsiTheme="minorHAnsi" w:cstheme="minorHAnsi"/>
                <w:b/>
                <w:bCs/>
                <w:color w:val="FFFFFF" w:themeColor="background1"/>
              </w:rPr>
              <w:t>cancer</w:t>
            </w:r>
            <w:r w:rsidR="00FC4902">
              <w:rPr>
                <w:rFonts w:asciiTheme="minorHAnsi" w:hAnsiTheme="minorHAnsi" w:cstheme="minorHAnsi"/>
                <w:b/>
                <w:bCs/>
                <w:color w:val="FFFFFF" w:themeColor="background1"/>
              </w:rPr>
              <w:t xml:space="preserve"> </w:t>
            </w:r>
            <w:r w:rsidR="00FC4902" w:rsidRPr="00FC4902">
              <w:rPr>
                <w:rFonts w:asciiTheme="minorHAnsi" w:hAnsiTheme="minorHAnsi" w:cstheme="minorHAnsi"/>
                <w:b/>
                <w:bCs/>
                <w:color w:val="FFFFFF" w:themeColor="background1"/>
              </w:rPr>
              <w:t xml:space="preserve">&amp; </w:t>
            </w:r>
            <w:r w:rsidR="00B46098" w:rsidRPr="00FC4902">
              <w:rPr>
                <w:rFonts w:asciiTheme="minorHAnsi" w:hAnsiTheme="minorHAnsi" w:cstheme="minorHAnsi"/>
                <w:b/>
                <w:bCs/>
                <w:color w:val="FFFFFF" w:themeColor="background1"/>
              </w:rPr>
              <w:t>NMIBC</w:t>
            </w:r>
            <w:r w:rsidRPr="00D21B05">
              <w:rPr>
                <w:rFonts w:asciiTheme="minorHAnsi" w:hAnsiTheme="minorHAnsi" w:cstheme="minorHAnsi"/>
                <w:b/>
                <w:bCs/>
                <w:color w:val="FFFFFF" w:themeColor="background1"/>
              </w:rPr>
              <w:t xml:space="preserve"> in 2022</w:t>
            </w:r>
          </w:p>
        </w:tc>
      </w:tr>
      <w:tr w:rsidR="00A27215" w14:paraId="506E71C4" w14:textId="77777777" w:rsidTr="006C1190">
        <w:tc>
          <w:tcPr>
            <w:tcW w:w="1277" w:type="pct"/>
            <w:tcBorders>
              <w:top w:val="single" w:sz="4" w:space="0" w:color="auto"/>
              <w:left w:val="single" w:sz="4" w:space="0" w:color="auto"/>
              <w:bottom w:val="single" w:sz="4" w:space="0" w:color="auto"/>
              <w:right w:val="single" w:sz="4" w:space="0" w:color="auto"/>
            </w:tcBorders>
          </w:tcPr>
          <w:p w14:paraId="7191FC22" w14:textId="77777777" w:rsidR="00A27215" w:rsidRDefault="00A27215" w:rsidP="006E131C">
            <w:pPr>
              <w:jc w:val="center"/>
              <w:rPr>
                <w:rFonts w:asciiTheme="minorHAnsi" w:hAnsiTheme="minorHAnsi" w:cstheme="minorHAnsi"/>
              </w:rPr>
            </w:pPr>
          </w:p>
        </w:tc>
        <w:tc>
          <w:tcPr>
            <w:tcW w:w="1193" w:type="pct"/>
            <w:tcBorders>
              <w:top w:val="single" w:sz="4" w:space="0" w:color="auto"/>
              <w:left w:val="single" w:sz="4" w:space="0" w:color="auto"/>
              <w:bottom w:val="single" w:sz="4" w:space="0" w:color="auto"/>
              <w:right w:val="single" w:sz="4" w:space="0" w:color="auto"/>
            </w:tcBorders>
            <w:hideMark/>
          </w:tcPr>
          <w:p w14:paraId="0882A455" w14:textId="77777777" w:rsidR="00A27215" w:rsidRDefault="00A27215" w:rsidP="006E131C">
            <w:pPr>
              <w:jc w:val="center"/>
              <w:rPr>
                <w:rFonts w:asciiTheme="minorHAnsi" w:hAnsiTheme="minorHAnsi" w:cstheme="minorHAnsi"/>
              </w:rPr>
            </w:pPr>
            <w:r>
              <w:rPr>
                <w:rFonts w:asciiTheme="minorHAnsi" w:hAnsiTheme="minorHAnsi" w:cstheme="minorHAnsi"/>
              </w:rPr>
              <w:t>Total</w:t>
            </w:r>
          </w:p>
        </w:tc>
        <w:tc>
          <w:tcPr>
            <w:tcW w:w="1263" w:type="pct"/>
            <w:tcBorders>
              <w:top w:val="single" w:sz="4" w:space="0" w:color="auto"/>
              <w:left w:val="single" w:sz="4" w:space="0" w:color="auto"/>
              <w:bottom w:val="single" w:sz="4" w:space="0" w:color="auto"/>
              <w:right w:val="single" w:sz="4" w:space="0" w:color="auto"/>
            </w:tcBorders>
            <w:hideMark/>
          </w:tcPr>
          <w:p w14:paraId="16E70DA6" w14:textId="77777777" w:rsidR="00A27215" w:rsidRDefault="00A27215" w:rsidP="006E131C">
            <w:pPr>
              <w:jc w:val="center"/>
              <w:rPr>
                <w:rFonts w:asciiTheme="minorHAnsi" w:hAnsiTheme="minorHAnsi" w:cstheme="minorHAnsi"/>
              </w:rPr>
            </w:pPr>
            <w:r>
              <w:rPr>
                <w:rFonts w:asciiTheme="minorHAnsi" w:hAnsiTheme="minorHAnsi" w:cstheme="minorHAnsi"/>
              </w:rPr>
              <w:t>Males</w:t>
            </w:r>
          </w:p>
        </w:tc>
        <w:tc>
          <w:tcPr>
            <w:tcW w:w="1267" w:type="pct"/>
            <w:tcBorders>
              <w:top w:val="single" w:sz="4" w:space="0" w:color="auto"/>
              <w:left w:val="single" w:sz="4" w:space="0" w:color="auto"/>
              <w:bottom w:val="single" w:sz="4" w:space="0" w:color="auto"/>
              <w:right w:val="single" w:sz="4" w:space="0" w:color="auto"/>
            </w:tcBorders>
            <w:hideMark/>
          </w:tcPr>
          <w:p w14:paraId="390358B2" w14:textId="77777777" w:rsidR="00A27215" w:rsidRDefault="00A27215" w:rsidP="006E131C">
            <w:pPr>
              <w:jc w:val="center"/>
              <w:rPr>
                <w:rFonts w:asciiTheme="minorHAnsi" w:hAnsiTheme="minorHAnsi" w:cstheme="minorHAnsi"/>
              </w:rPr>
            </w:pPr>
            <w:r>
              <w:rPr>
                <w:rFonts w:asciiTheme="minorHAnsi" w:hAnsiTheme="minorHAnsi" w:cstheme="minorHAnsi"/>
              </w:rPr>
              <w:t>Females</w:t>
            </w:r>
          </w:p>
        </w:tc>
      </w:tr>
      <w:tr w:rsidR="00A27215" w14:paraId="21536056" w14:textId="77777777" w:rsidTr="006C1190">
        <w:tc>
          <w:tcPr>
            <w:tcW w:w="1277" w:type="pct"/>
            <w:tcBorders>
              <w:top w:val="single" w:sz="4" w:space="0" w:color="auto"/>
              <w:left w:val="single" w:sz="4" w:space="0" w:color="auto"/>
              <w:bottom w:val="single" w:sz="4" w:space="0" w:color="auto"/>
              <w:right w:val="single" w:sz="4" w:space="0" w:color="auto"/>
            </w:tcBorders>
            <w:hideMark/>
          </w:tcPr>
          <w:p w14:paraId="380F4285" w14:textId="77777777" w:rsidR="00A27215" w:rsidRPr="00171417" w:rsidRDefault="00A27215" w:rsidP="00ED4F7A">
            <w:pPr>
              <w:rPr>
                <w:rFonts w:asciiTheme="minorHAnsi" w:hAnsiTheme="minorHAnsi" w:cstheme="minorHAnsi"/>
              </w:rPr>
            </w:pPr>
            <w:r w:rsidRPr="00171417">
              <w:rPr>
                <w:rFonts w:asciiTheme="minorHAnsi" w:hAnsiTheme="minorHAnsi" w:cstheme="minorHAnsi"/>
              </w:rPr>
              <w:t>PAF (%)</w:t>
            </w:r>
          </w:p>
        </w:tc>
        <w:tc>
          <w:tcPr>
            <w:tcW w:w="1193" w:type="pct"/>
            <w:tcBorders>
              <w:top w:val="single" w:sz="4" w:space="0" w:color="auto"/>
              <w:left w:val="single" w:sz="4" w:space="0" w:color="auto"/>
              <w:bottom w:val="single" w:sz="4" w:space="0" w:color="auto"/>
              <w:right w:val="single" w:sz="4" w:space="0" w:color="auto"/>
            </w:tcBorders>
            <w:hideMark/>
          </w:tcPr>
          <w:p w14:paraId="3C77CBBF" w14:textId="77777777" w:rsidR="00A27215" w:rsidRPr="00171417" w:rsidRDefault="00A27215" w:rsidP="006E131C">
            <w:pPr>
              <w:jc w:val="center"/>
              <w:rPr>
                <w:rFonts w:asciiTheme="minorHAnsi" w:hAnsiTheme="minorHAnsi" w:cstheme="minorHAnsi"/>
              </w:rPr>
            </w:pPr>
            <w:r w:rsidRPr="00171417">
              <w:rPr>
                <w:rFonts w:asciiTheme="minorHAnsi" w:hAnsiTheme="minorHAnsi" w:cstheme="minorHAnsi"/>
              </w:rPr>
              <w:t>47.5</w:t>
            </w:r>
          </w:p>
        </w:tc>
        <w:tc>
          <w:tcPr>
            <w:tcW w:w="1263" w:type="pct"/>
            <w:tcBorders>
              <w:top w:val="single" w:sz="4" w:space="0" w:color="auto"/>
              <w:left w:val="single" w:sz="4" w:space="0" w:color="auto"/>
              <w:bottom w:val="single" w:sz="4" w:space="0" w:color="auto"/>
              <w:right w:val="single" w:sz="4" w:space="0" w:color="auto"/>
            </w:tcBorders>
            <w:hideMark/>
          </w:tcPr>
          <w:p w14:paraId="5AD039A6" w14:textId="77777777" w:rsidR="00A27215" w:rsidRPr="00171417" w:rsidRDefault="00A27215" w:rsidP="006E131C">
            <w:pPr>
              <w:jc w:val="center"/>
              <w:rPr>
                <w:rFonts w:asciiTheme="minorHAnsi" w:hAnsiTheme="minorHAnsi" w:cstheme="minorHAnsi"/>
              </w:rPr>
            </w:pPr>
            <w:r w:rsidRPr="00171417">
              <w:rPr>
                <w:rFonts w:asciiTheme="minorHAnsi" w:hAnsiTheme="minorHAnsi" w:cstheme="minorHAnsi"/>
              </w:rPr>
              <w:t>48.0</w:t>
            </w:r>
          </w:p>
        </w:tc>
        <w:tc>
          <w:tcPr>
            <w:tcW w:w="1267" w:type="pct"/>
            <w:tcBorders>
              <w:top w:val="single" w:sz="4" w:space="0" w:color="auto"/>
              <w:left w:val="single" w:sz="4" w:space="0" w:color="auto"/>
              <w:bottom w:val="single" w:sz="4" w:space="0" w:color="auto"/>
              <w:right w:val="single" w:sz="4" w:space="0" w:color="auto"/>
            </w:tcBorders>
            <w:hideMark/>
          </w:tcPr>
          <w:p w14:paraId="0140784A" w14:textId="77777777" w:rsidR="00A27215" w:rsidRPr="00171417" w:rsidRDefault="00A27215" w:rsidP="006E131C">
            <w:pPr>
              <w:jc w:val="center"/>
              <w:rPr>
                <w:rFonts w:asciiTheme="minorHAnsi" w:hAnsiTheme="minorHAnsi" w:cstheme="minorHAnsi"/>
              </w:rPr>
            </w:pPr>
            <w:r w:rsidRPr="00171417">
              <w:rPr>
                <w:rFonts w:asciiTheme="minorHAnsi" w:hAnsiTheme="minorHAnsi" w:cstheme="minorHAnsi"/>
              </w:rPr>
              <w:t>45.9</w:t>
            </w:r>
          </w:p>
        </w:tc>
      </w:tr>
      <w:tr w:rsidR="00171417" w14:paraId="5E693DC9" w14:textId="77777777" w:rsidTr="006C1190">
        <w:tc>
          <w:tcPr>
            <w:tcW w:w="1277" w:type="pct"/>
            <w:tcBorders>
              <w:top w:val="single" w:sz="4" w:space="0" w:color="auto"/>
              <w:left w:val="single" w:sz="4" w:space="0" w:color="auto"/>
              <w:bottom w:val="single" w:sz="4" w:space="0" w:color="auto"/>
              <w:right w:val="single" w:sz="4" w:space="0" w:color="auto"/>
            </w:tcBorders>
          </w:tcPr>
          <w:p w14:paraId="1F34AEAF" w14:textId="203C9B3B" w:rsidR="00171417" w:rsidRPr="006C1190" w:rsidRDefault="00171417" w:rsidP="00ED4F7A">
            <w:pPr>
              <w:rPr>
                <w:rFonts w:asciiTheme="minorHAnsi" w:hAnsiTheme="minorHAnsi" w:cstheme="minorHAnsi"/>
              </w:rPr>
            </w:pPr>
            <w:r w:rsidRPr="006E131C">
              <w:rPr>
                <w:rFonts w:asciiTheme="minorHAnsi" w:hAnsiTheme="minorHAnsi" w:cstheme="minorHAnsi"/>
              </w:rPr>
              <w:t>Total cases</w:t>
            </w:r>
          </w:p>
        </w:tc>
        <w:tc>
          <w:tcPr>
            <w:tcW w:w="1193" w:type="pct"/>
            <w:tcBorders>
              <w:top w:val="single" w:sz="4" w:space="0" w:color="auto"/>
              <w:left w:val="single" w:sz="4" w:space="0" w:color="auto"/>
              <w:bottom w:val="single" w:sz="4" w:space="0" w:color="auto"/>
              <w:right w:val="single" w:sz="4" w:space="0" w:color="auto"/>
            </w:tcBorders>
          </w:tcPr>
          <w:p w14:paraId="431E212D" w14:textId="08D0154F" w:rsidR="00171417" w:rsidRPr="006C1190" w:rsidRDefault="00171417" w:rsidP="006E131C">
            <w:pPr>
              <w:jc w:val="center"/>
              <w:rPr>
                <w:rFonts w:asciiTheme="minorHAnsi" w:hAnsiTheme="minorHAnsi" w:cstheme="minorHAnsi"/>
              </w:rPr>
            </w:pPr>
            <w:r w:rsidRPr="006E131C">
              <w:rPr>
                <w:rFonts w:asciiTheme="minorHAnsi" w:hAnsiTheme="minorHAnsi" w:cstheme="minorHAnsi"/>
              </w:rPr>
              <w:t>962</w:t>
            </w:r>
          </w:p>
        </w:tc>
        <w:tc>
          <w:tcPr>
            <w:tcW w:w="1263" w:type="pct"/>
            <w:tcBorders>
              <w:top w:val="single" w:sz="4" w:space="0" w:color="auto"/>
              <w:left w:val="single" w:sz="4" w:space="0" w:color="auto"/>
              <w:bottom w:val="single" w:sz="4" w:space="0" w:color="auto"/>
              <w:right w:val="single" w:sz="4" w:space="0" w:color="auto"/>
            </w:tcBorders>
          </w:tcPr>
          <w:p w14:paraId="75EB9EA0" w14:textId="54FF9552" w:rsidR="00171417" w:rsidRPr="006C1190" w:rsidRDefault="00171417" w:rsidP="006E131C">
            <w:pPr>
              <w:jc w:val="center"/>
              <w:rPr>
                <w:rFonts w:asciiTheme="minorHAnsi" w:hAnsiTheme="minorHAnsi" w:cstheme="minorHAnsi"/>
              </w:rPr>
            </w:pPr>
            <w:r w:rsidRPr="006E131C">
              <w:rPr>
                <w:rFonts w:asciiTheme="minorHAnsi" w:hAnsiTheme="minorHAnsi" w:cstheme="minorHAnsi"/>
              </w:rPr>
              <w:t>714</w:t>
            </w:r>
          </w:p>
        </w:tc>
        <w:tc>
          <w:tcPr>
            <w:tcW w:w="1267" w:type="pct"/>
            <w:tcBorders>
              <w:top w:val="single" w:sz="4" w:space="0" w:color="auto"/>
              <w:left w:val="single" w:sz="4" w:space="0" w:color="auto"/>
              <w:bottom w:val="single" w:sz="4" w:space="0" w:color="auto"/>
              <w:right w:val="single" w:sz="4" w:space="0" w:color="auto"/>
            </w:tcBorders>
          </w:tcPr>
          <w:p w14:paraId="6B3153D0" w14:textId="676597DF" w:rsidR="00171417" w:rsidRPr="006C1190" w:rsidRDefault="00171417" w:rsidP="006E131C">
            <w:pPr>
              <w:jc w:val="center"/>
              <w:rPr>
                <w:rFonts w:asciiTheme="minorHAnsi" w:hAnsiTheme="minorHAnsi" w:cstheme="minorHAnsi"/>
              </w:rPr>
            </w:pPr>
            <w:r w:rsidRPr="006E131C">
              <w:rPr>
                <w:rFonts w:asciiTheme="minorHAnsi" w:hAnsiTheme="minorHAnsi" w:cstheme="minorHAnsi"/>
              </w:rPr>
              <w:t>248</w:t>
            </w:r>
          </w:p>
        </w:tc>
      </w:tr>
      <w:tr w:rsidR="00A27215" w14:paraId="41CA9CD4" w14:textId="77777777" w:rsidTr="006C1190">
        <w:tc>
          <w:tcPr>
            <w:tcW w:w="1277" w:type="pct"/>
            <w:tcBorders>
              <w:top w:val="single" w:sz="4" w:space="0" w:color="auto"/>
              <w:left w:val="single" w:sz="4" w:space="0" w:color="auto"/>
              <w:bottom w:val="single" w:sz="4" w:space="0" w:color="auto"/>
              <w:right w:val="single" w:sz="4" w:space="0" w:color="auto"/>
            </w:tcBorders>
            <w:hideMark/>
          </w:tcPr>
          <w:p w14:paraId="16A39897" w14:textId="77777777" w:rsidR="00A27215" w:rsidRPr="00171417" w:rsidRDefault="00A27215" w:rsidP="00ED4F7A">
            <w:pPr>
              <w:rPr>
                <w:rFonts w:asciiTheme="minorHAnsi" w:hAnsiTheme="minorHAnsi" w:cstheme="minorHAnsi"/>
              </w:rPr>
            </w:pPr>
            <w:r w:rsidRPr="00171417">
              <w:rPr>
                <w:rFonts w:asciiTheme="minorHAnsi" w:hAnsiTheme="minorHAnsi" w:cstheme="minorHAnsi"/>
              </w:rPr>
              <w:t>Attributable cases</w:t>
            </w:r>
          </w:p>
        </w:tc>
        <w:tc>
          <w:tcPr>
            <w:tcW w:w="1193" w:type="pct"/>
            <w:tcBorders>
              <w:top w:val="single" w:sz="4" w:space="0" w:color="auto"/>
              <w:left w:val="single" w:sz="4" w:space="0" w:color="auto"/>
              <w:bottom w:val="single" w:sz="4" w:space="0" w:color="auto"/>
              <w:right w:val="single" w:sz="4" w:space="0" w:color="auto"/>
            </w:tcBorders>
            <w:hideMark/>
          </w:tcPr>
          <w:p w14:paraId="1D219390" w14:textId="77777777" w:rsidR="00A27215" w:rsidRPr="00171417" w:rsidRDefault="00A27215" w:rsidP="006E131C">
            <w:pPr>
              <w:jc w:val="center"/>
              <w:rPr>
                <w:rFonts w:asciiTheme="minorHAnsi" w:hAnsiTheme="minorHAnsi" w:cstheme="minorHAnsi"/>
              </w:rPr>
            </w:pPr>
            <w:r w:rsidRPr="00171417">
              <w:rPr>
                <w:rFonts w:asciiTheme="minorHAnsi" w:hAnsiTheme="minorHAnsi" w:cstheme="minorHAnsi"/>
              </w:rPr>
              <w:t>456</w:t>
            </w:r>
          </w:p>
        </w:tc>
        <w:tc>
          <w:tcPr>
            <w:tcW w:w="1263" w:type="pct"/>
            <w:tcBorders>
              <w:top w:val="single" w:sz="4" w:space="0" w:color="auto"/>
              <w:left w:val="single" w:sz="4" w:space="0" w:color="auto"/>
              <w:bottom w:val="single" w:sz="4" w:space="0" w:color="auto"/>
              <w:right w:val="single" w:sz="4" w:space="0" w:color="auto"/>
            </w:tcBorders>
            <w:hideMark/>
          </w:tcPr>
          <w:p w14:paraId="2C26CE13" w14:textId="77777777" w:rsidR="00A27215" w:rsidRPr="00171417" w:rsidRDefault="00A27215" w:rsidP="006E131C">
            <w:pPr>
              <w:jc w:val="center"/>
              <w:rPr>
                <w:rFonts w:asciiTheme="minorHAnsi" w:hAnsiTheme="minorHAnsi" w:cstheme="minorHAnsi"/>
              </w:rPr>
            </w:pPr>
            <w:r w:rsidRPr="00171417">
              <w:rPr>
                <w:rFonts w:asciiTheme="minorHAnsi" w:hAnsiTheme="minorHAnsi" w:cstheme="minorHAnsi"/>
              </w:rPr>
              <w:t>343</w:t>
            </w:r>
          </w:p>
        </w:tc>
        <w:tc>
          <w:tcPr>
            <w:tcW w:w="1267" w:type="pct"/>
            <w:tcBorders>
              <w:top w:val="single" w:sz="4" w:space="0" w:color="auto"/>
              <w:left w:val="single" w:sz="4" w:space="0" w:color="auto"/>
              <w:bottom w:val="single" w:sz="4" w:space="0" w:color="auto"/>
              <w:right w:val="single" w:sz="4" w:space="0" w:color="auto"/>
            </w:tcBorders>
            <w:hideMark/>
          </w:tcPr>
          <w:p w14:paraId="67BC670F" w14:textId="77777777" w:rsidR="00A27215" w:rsidRPr="00171417" w:rsidRDefault="00A27215" w:rsidP="006E131C">
            <w:pPr>
              <w:jc w:val="center"/>
              <w:rPr>
                <w:rFonts w:asciiTheme="minorHAnsi" w:hAnsiTheme="minorHAnsi" w:cstheme="minorHAnsi"/>
              </w:rPr>
            </w:pPr>
            <w:r w:rsidRPr="00171417">
              <w:rPr>
                <w:rFonts w:asciiTheme="minorHAnsi" w:hAnsiTheme="minorHAnsi" w:cstheme="minorHAnsi"/>
              </w:rPr>
              <w:t>114</w:t>
            </w:r>
          </w:p>
        </w:tc>
      </w:tr>
    </w:tbl>
    <w:p w14:paraId="14EF423E" w14:textId="77777777" w:rsidR="00A27215" w:rsidRPr="003B70A0" w:rsidRDefault="00A27215" w:rsidP="00A27215">
      <w:pPr>
        <w:spacing w:after="0" w:line="240" w:lineRule="auto"/>
        <w:sectPr w:rsidR="00A27215" w:rsidRPr="003B70A0" w:rsidSect="002746C0">
          <w:pgSz w:w="11906" w:h="16838"/>
          <w:pgMar w:top="1440" w:right="1440" w:bottom="1440" w:left="1440" w:header="708" w:footer="708" w:gutter="0"/>
          <w:cols w:space="708"/>
          <w:docGrid w:linePitch="360"/>
        </w:sectPr>
      </w:pPr>
    </w:p>
    <w:p w14:paraId="39CCF41B" w14:textId="77777777" w:rsidR="00A27215" w:rsidRDefault="00A27215" w:rsidP="00A27215">
      <w:pPr>
        <w:pStyle w:val="Heading1"/>
        <w:spacing w:before="0" w:after="0" w:line="240" w:lineRule="auto"/>
      </w:pPr>
      <w:r>
        <w:t xml:space="preserve"> </w:t>
      </w:r>
      <w:bookmarkStart w:id="383" w:name="_Toc197557181"/>
      <w:bookmarkStart w:id="384" w:name="_Toc201512572"/>
      <w:r>
        <w:t>Acute myeloid leukaemia C92.0, C92.4-C92.6, C92.8, C93.0, C94.0, C94.2</w:t>
      </w:r>
      <w:bookmarkEnd w:id="383"/>
      <w:bookmarkEnd w:id="384"/>
    </w:p>
    <w:p w14:paraId="06BD7067" w14:textId="77777777" w:rsidR="00A27215" w:rsidRPr="007111E7" w:rsidRDefault="00A27215" w:rsidP="00A27215"/>
    <w:p w14:paraId="2C8DC290" w14:textId="77777777" w:rsidR="00A27215" w:rsidRDefault="00A27215" w:rsidP="00A27215">
      <w:pPr>
        <w:numPr>
          <w:ilvl w:val="1"/>
          <w:numId w:val="0"/>
        </w:numPr>
        <w:spacing w:after="0" w:line="240" w:lineRule="auto"/>
        <w:rPr>
          <w:rFonts w:eastAsiaTheme="majorEastAsia" w:cstheme="minorHAnsi"/>
          <w:i/>
          <w:iCs/>
          <w:color w:val="0F4761" w:themeColor="accent1" w:themeShade="BF"/>
          <w:spacing w:val="15"/>
          <w:sz w:val="28"/>
          <w:szCs w:val="28"/>
        </w:rPr>
      </w:pPr>
      <w:r w:rsidRPr="004F2329">
        <w:rPr>
          <w:rFonts w:eastAsiaTheme="majorEastAsia" w:cstheme="minorHAnsi"/>
          <w:i/>
          <w:iCs/>
          <w:color w:val="0F4761" w:themeColor="accent1" w:themeShade="BF"/>
          <w:spacing w:val="15"/>
          <w:sz w:val="28"/>
          <w:szCs w:val="28"/>
        </w:rPr>
        <w:t xml:space="preserve">Key points </w:t>
      </w:r>
    </w:p>
    <w:p w14:paraId="556DC90E" w14:textId="77777777" w:rsidR="00A27215" w:rsidRPr="004F2329" w:rsidRDefault="00A27215" w:rsidP="00A27215">
      <w:pPr>
        <w:numPr>
          <w:ilvl w:val="1"/>
          <w:numId w:val="0"/>
        </w:numPr>
        <w:spacing w:after="0" w:line="240" w:lineRule="auto"/>
        <w:rPr>
          <w:rFonts w:eastAsiaTheme="majorEastAsia" w:cstheme="minorHAnsi"/>
          <w:i/>
          <w:iCs/>
          <w:color w:val="595959" w:themeColor="text1" w:themeTint="A6"/>
          <w:spacing w:val="15"/>
          <w:sz w:val="28"/>
          <w:szCs w:val="28"/>
        </w:rPr>
      </w:pPr>
      <w:r w:rsidRPr="004F2329">
        <w:rPr>
          <w:rFonts w:eastAsiaTheme="majorEastAsia" w:cstheme="minorHAnsi"/>
          <w:i/>
          <w:iCs/>
          <w:color w:val="595959" w:themeColor="text1" w:themeTint="A6"/>
          <w:spacing w:val="15"/>
          <w:sz w:val="28"/>
          <w:szCs w:val="28"/>
        </w:rPr>
        <w:t>Incidence</w:t>
      </w:r>
    </w:p>
    <w:p w14:paraId="6FC70782" w14:textId="27250021" w:rsidR="00A27215" w:rsidRPr="004F2329" w:rsidRDefault="00A27215">
      <w:pPr>
        <w:numPr>
          <w:ilvl w:val="0"/>
          <w:numId w:val="3"/>
        </w:numPr>
        <w:spacing w:after="0" w:line="240" w:lineRule="auto"/>
        <w:contextualSpacing/>
        <w:rPr>
          <w:rFonts w:cstheme="minorHAnsi"/>
        </w:rPr>
      </w:pPr>
      <w:r w:rsidRPr="004F2329">
        <w:rPr>
          <w:rFonts w:cstheme="minorHAnsi"/>
        </w:rPr>
        <w:t xml:space="preserve">Incidence rates increased among males but were </w:t>
      </w:r>
      <w:r w:rsidR="00C033E5" w:rsidRPr="004F2329">
        <w:rPr>
          <w:rFonts w:cstheme="minorHAnsi"/>
        </w:rPr>
        <w:t>sta</w:t>
      </w:r>
      <w:r w:rsidR="00C033E5">
        <w:rPr>
          <w:rFonts w:cstheme="minorHAnsi"/>
        </w:rPr>
        <w:t>ble</w:t>
      </w:r>
      <w:r w:rsidR="00C033E5" w:rsidRPr="004F2329">
        <w:rPr>
          <w:rFonts w:cstheme="minorHAnsi"/>
        </w:rPr>
        <w:t xml:space="preserve"> </w:t>
      </w:r>
      <w:r w:rsidRPr="004F2329">
        <w:rPr>
          <w:rFonts w:cstheme="minorHAnsi"/>
        </w:rPr>
        <w:t xml:space="preserve">in females from 1994-2022. </w:t>
      </w:r>
    </w:p>
    <w:p w14:paraId="4177F5DF" w14:textId="77777777" w:rsidR="00A27215" w:rsidRPr="00137C46" w:rsidRDefault="00A27215">
      <w:pPr>
        <w:numPr>
          <w:ilvl w:val="0"/>
          <w:numId w:val="3"/>
        </w:numPr>
        <w:spacing w:after="0" w:line="240" w:lineRule="auto"/>
        <w:contextualSpacing/>
        <w:jc w:val="both"/>
        <w:rPr>
          <w:rFonts w:cstheme="minorHAnsi"/>
          <w:i/>
          <w:iCs/>
        </w:rPr>
      </w:pPr>
      <w:r w:rsidRPr="004F2329">
        <w:rPr>
          <w:rFonts w:eastAsia="Times New Roman" w:cstheme="minorHAnsi"/>
          <w:lang w:eastAsia="en-IE"/>
        </w:rPr>
        <w:t xml:space="preserve">Incidence rates in the diagnosis period 2014-2018 were lowest in the </w:t>
      </w:r>
      <w:r>
        <w:rPr>
          <w:rFonts w:eastAsia="Times New Roman" w:cstheme="minorHAnsi"/>
          <w:lang w:eastAsia="en-IE"/>
        </w:rPr>
        <w:t xml:space="preserve">intermediate </w:t>
      </w:r>
      <w:r w:rsidRPr="004F2329">
        <w:rPr>
          <w:rFonts w:eastAsia="Times New Roman" w:cstheme="minorHAnsi"/>
          <w:lang w:eastAsia="en-IE"/>
        </w:rPr>
        <w:t>population quintile</w:t>
      </w:r>
      <w:r>
        <w:rPr>
          <w:rFonts w:eastAsia="Times New Roman" w:cstheme="minorHAnsi"/>
          <w:lang w:eastAsia="en-IE"/>
        </w:rPr>
        <w:t xml:space="preserve"> of deprivation.</w:t>
      </w:r>
    </w:p>
    <w:p w14:paraId="3220385D" w14:textId="77777777" w:rsidR="00A27215" w:rsidRPr="004F2329" w:rsidRDefault="00A27215" w:rsidP="00A27215">
      <w:pPr>
        <w:spacing w:after="0" w:line="240" w:lineRule="auto"/>
        <w:jc w:val="both"/>
        <w:rPr>
          <w:rFonts w:eastAsia="Times New Roman" w:cstheme="minorHAnsi"/>
          <w:i/>
          <w:iCs/>
          <w:color w:val="808080" w:themeColor="background1" w:themeShade="80"/>
        </w:rPr>
      </w:pPr>
      <w:r w:rsidRPr="004F2329">
        <w:rPr>
          <w:rFonts w:cstheme="minorHAnsi"/>
          <w:i/>
          <w:iCs/>
          <w:color w:val="808080" w:themeColor="background1" w:themeShade="80"/>
        </w:rPr>
        <w:t>Mortality</w:t>
      </w:r>
    </w:p>
    <w:p w14:paraId="70F140D7" w14:textId="77777777" w:rsidR="006E131C" w:rsidRPr="006E131C" w:rsidRDefault="006E131C" w:rsidP="006E131C">
      <w:pPr>
        <w:pStyle w:val="ListParagraph"/>
        <w:numPr>
          <w:ilvl w:val="0"/>
          <w:numId w:val="45"/>
        </w:numPr>
        <w:spacing w:after="0" w:line="240" w:lineRule="auto"/>
        <w:rPr>
          <w:rFonts w:cstheme="minorHAnsi"/>
        </w:rPr>
      </w:pPr>
      <w:r w:rsidRPr="006E131C">
        <w:rPr>
          <w:rFonts w:cstheme="minorHAnsi"/>
        </w:rPr>
        <w:t>It was not possible to generate data on mortality rates nor trends over time for AML. AML is defined by its morphology type i.e. it is a subset of ICD10 C92. The CSO does not quote mortality figures for AML as a single entity.</w:t>
      </w:r>
    </w:p>
    <w:p w14:paraId="5AE0E2B8" w14:textId="77777777" w:rsidR="00A27215" w:rsidRPr="004F2329" w:rsidRDefault="00A27215" w:rsidP="00A27215">
      <w:pPr>
        <w:numPr>
          <w:ilvl w:val="1"/>
          <w:numId w:val="0"/>
        </w:numPr>
        <w:spacing w:after="0" w:line="240" w:lineRule="auto"/>
        <w:rPr>
          <w:rFonts w:eastAsiaTheme="majorEastAsia" w:cstheme="minorHAnsi"/>
          <w:i/>
          <w:iCs/>
          <w:color w:val="595959" w:themeColor="text1" w:themeTint="A6"/>
          <w:spacing w:val="15"/>
        </w:rPr>
      </w:pPr>
      <w:r w:rsidRPr="004F2329">
        <w:rPr>
          <w:rFonts w:eastAsiaTheme="majorEastAsia" w:cstheme="minorHAnsi"/>
          <w:i/>
          <w:iCs/>
          <w:color w:val="595959" w:themeColor="text1" w:themeTint="A6"/>
          <w:spacing w:val="15"/>
        </w:rPr>
        <w:t>Survival</w:t>
      </w:r>
    </w:p>
    <w:p w14:paraId="0066845D" w14:textId="77777777" w:rsidR="00A27215" w:rsidRDefault="00A27215">
      <w:pPr>
        <w:numPr>
          <w:ilvl w:val="0"/>
          <w:numId w:val="4"/>
        </w:numPr>
        <w:spacing w:after="0" w:line="240" w:lineRule="auto"/>
        <w:contextualSpacing/>
        <w:rPr>
          <w:rFonts w:cstheme="minorHAnsi"/>
        </w:rPr>
      </w:pPr>
      <w:r w:rsidRPr="004F2329">
        <w:rPr>
          <w:rFonts w:cstheme="minorHAnsi"/>
        </w:rPr>
        <w:t>5-year net survival was 32% for cases diagnosed during 2019-2022.</w:t>
      </w:r>
    </w:p>
    <w:p w14:paraId="77F09D41" w14:textId="77777777" w:rsidR="00A27215" w:rsidRPr="004F2329" w:rsidRDefault="00A27215" w:rsidP="00A27215">
      <w:pPr>
        <w:numPr>
          <w:ilvl w:val="1"/>
          <w:numId w:val="0"/>
        </w:numPr>
        <w:spacing w:after="0" w:line="240" w:lineRule="auto"/>
        <w:rPr>
          <w:rFonts w:cstheme="minorHAnsi"/>
          <w:i/>
          <w:iCs/>
        </w:rPr>
      </w:pPr>
      <w:r w:rsidRPr="004F2329">
        <w:rPr>
          <w:rFonts w:eastAsiaTheme="majorEastAsia" w:cstheme="minorHAnsi"/>
          <w:i/>
          <w:iCs/>
          <w:color w:val="595959" w:themeColor="text1" w:themeTint="A6"/>
          <w:spacing w:val="15"/>
        </w:rPr>
        <w:t>Population attributable fraction</w:t>
      </w:r>
    </w:p>
    <w:p w14:paraId="64CDACAA" w14:textId="77777777" w:rsidR="00A27215" w:rsidRPr="004F2329" w:rsidRDefault="00A27215">
      <w:pPr>
        <w:numPr>
          <w:ilvl w:val="0"/>
          <w:numId w:val="2"/>
        </w:numPr>
        <w:spacing w:after="0" w:line="240" w:lineRule="auto"/>
        <w:contextualSpacing/>
        <w:rPr>
          <w:rFonts w:eastAsiaTheme="majorEastAsia" w:cstheme="minorHAnsi"/>
          <w:color w:val="0F4761" w:themeColor="accent1" w:themeShade="BF"/>
        </w:rPr>
      </w:pPr>
      <w:r w:rsidRPr="004F2329">
        <w:rPr>
          <w:rFonts w:eastAsia="Calibri" w:cstheme="minorHAnsi"/>
          <w:color w:val="000000" w:themeColor="text1"/>
        </w:rPr>
        <w:t xml:space="preserve">In 2022 the estimated total number of cases of AML attributable to smoking in Ireland was </w:t>
      </w:r>
      <w:r>
        <w:rPr>
          <w:rFonts w:eastAsia="Calibri" w:cstheme="minorHAnsi"/>
          <w:color w:val="000000" w:themeColor="text1"/>
        </w:rPr>
        <w:t>29</w:t>
      </w:r>
      <w:r w:rsidRPr="004F2329">
        <w:rPr>
          <w:rFonts w:eastAsia="Calibri" w:cstheme="minorHAnsi"/>
          <w:color w:val="000000" w:themeColor="text1"/>
        </w:rPr>
        <w:t xml:space="preserve"> (PAF </w:t>
      </w:r>
      <w:r>
        <w:rPr>
          <w:rFonts w:eastAsia="Calibri" w:cstheme="minorHAnsi"/>
          <w:color w:val="000000" w:themeColor="text1"/>
        </w:rPr>
        <w:t>20.7</w:t>
      </w:r>
      <w:r w:rsidRPr="004F2329">
        <w:rPr>
          <w:rFonts w:eastAsia="Calibri" w:cstheme="minorHAnsi"/>
          <w:color w:val="000000" w:themeColor="text1"/>
        </w:rPr>
        <w:t xml:space="preserve">%). </w:t>
      </w:r>
    </w:p>
    <w:p w14:paraId="4165ED1E" w14:textId="77777777" w:rsidR="00A27215" w:rsidRDefault="00A27215" w:rsidP="00A27215">
      <w:pPr>
        <w:spacing w:after="0" w:line="240" w:lineRule="auto"/>
        <w:sectPr w:rsidR="00A27215" w:rsidSect="002746C0">
          <w:pgSz w:w="11906" w:h="16838"/>
          <w:pgMar w:top="1440" w:right="1440" w:bottom="1440" w:left="1440" w:header="708" w:footer="708" w:gutter="0"/>
          <w:cols w:space="708"/>
          <w:docGrid w:linePitch="360"/>
        </w:sectPr>
      </w:pPr>
    </w:p>
    <w:p w14:paraId="7E467F4C" w14:textId="77777777" w:rsidR="00A27215" w:rsidRDefault="00A27215" w:rsidP="00A27215">
      <w:pPr>
        <w:pStyle w:val="Heading2"/>
        <w:spacing w:before="0" w:after="0" w:line="240" w:lineRule="auto"/>
      </w:pPr>
      <w:bookmarkStart w:id="385" w:name="_Toc197557182"/>
      <w:bookmarkStart w:id="386" w:name="_Toc201512573"/>
      <w:r>
        <w:t>Incidence</w:t>
      </w:r>
      <w:bookmarkEnd w:id="385"/>
      <w:bookmarkEnd w:id="386"/>
    </w:p>
    <w:p w14:paraId="718E79EC" w14:textId="338C19B7" w:rsidR="00A27215" w:rsidRDefault="00A27215" w:rsidP="00A27215">
      <w:pPr>
        <w:spacing w:after="0" w:line="240" w:lineRule="auto"/>
        <w:rPr>
          <w:rFonts w:cstheme="minorHAnsi"/>
        </w:rPr>
      </w:pPr>
      <w:r w:rsidRPr="00BE154B">
        <w:t xml:space="preserve">From 1994-2022, 3,181 cases of </w:t>
      </w:r>
      <w:r>
        <w:t>acute myeloid leukaemia (</w:t>
      </w:r>
      <w:r w:rsidRPr="00BE154B">
        <w:t>AML</w:t>
      </w:r>
      <w:r>
        <w:t>)</w:t>
      </w:r>
      <w:r w:rsidRPr="00BE154B">
        <w:t xml:space="preserve"> were recorded (1,768 males, 1,413 females). Median age at diagnosis was 66 years (</w:t>
      </w:r>
      <w:r w:rsidR="00E97121">
        <w:t xml:space="preserve">IQR: </w:t>
      </w:r>
      <w:r w:rsidRPr="00BE154B">
        <w:t>51-76) for males and 63 (</w:t>
      </w:r>
      <w:r w:rsidR="00E97121">
        <w:t xml:space="preserve">IQR: </w:t>
      </w:r>
      <w:r w:rsidRPr="00BE154B">
        <w:t>43-76) for females.</w:t>
      </w:r>
      <w:r>
        <w:t xml:space="preserve"> </w:t>
      </w:r>
      <w:r w:rsidRPr="00BE154B">
        <w:rPr>
          <w:rFonts w:cstheme="minorHAnsi"/>
        </w:rPr>
        <w:t xml:space="preserve">On average </w:t>
      </w:r>
      <w:r w:rsidR="006E131C">
        <w:rPr>
          <w:rFonts w:cstheme="minorHAnsi"/>
        </w:rPr>
        <w:t xml:space="preserve">during the period </w:t>
      </w:r>
      <w:r w:rsidRPr="00BE154B">
        <w:rPr>
          <w:rFonts w:cstheme="minorHAnsi"/>
        </w:rPr>
        <w:t>1994-2022 the age-standardised incidence rate of AML in 1994-2022 was 4.2 cases per 100,000 males and 2.8 cases per 100,000 females per year</w:t>
      </w:r>
      <w:r>
        <w:rPr>
          <w:rFonts w:cstheme="minorHAnsi"/>
        </w:rPr>
        <w:t xml:space="preserve">. </w:t>
      </w:r>
      <w:r w:rsidRPr="00BE154B">
        <w:rPr>
          <w:rFonts w:cstheme="minorHAnsi"/>
        </w:rPr>
        <w:t xml:space="preserve">Figure </w:t>
      </w:r>
      <w:r w:rsidR="00E97121">
        <w:rPr>
          <w:rFonts w:cstheme="minorHAnsi"/>
        </w:rPr>
        <w:t>21.1</w:t>
      </w:r>
      <w:r w:rsidRPr="00BE154B">
        <w:rPr>
          <w:rFonts w:cstheme="minorHAnsi"/>
        </w:rPr>
        <w:t xml:space="preserve"> breaks this down further by sex and age group.</w:t>
      </w:r>
    </w:p>
    <w:p w14:paraId="01E8418F" w14:textId="77777777" w:rsidR="00A27215" w:rsidRDefault="00A27215" w:rsidP="00A27215">
      <w:pPr>
        <w:spacing w:after="0" w:line="240" w:lineRule="auto"/>
      </w:pPr>
    </w:p>
    <w:tbl>
      <w:tblPr>
        <w:tblStyle w:val="TableGrid"/>
        <w:tblW w:w="9924" w:type="dxa"/>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8"/>
        <w:gridCol w:w="3070"/>
        <w:gridCol w:w="3536"/>
      </w:tblGrid>
      <w:tr w:rsidR="00A27215" w:rsidRPr="00E175B3" w14:paraId="7BBBC48C" w14:textId="77777777" w:rsidTr="0041177B">
        <w:trPr>
          <w:trHeight w:val="113"/>
        </w:trPr>
        <w:tc>
          <w:tcPr>
            <w:tcW w:w="9924" w:type="dxa"/>
            <w:gridSpan w:val="3"/>
            <w:shd w:val="clear" w:color="auto" w:fill="002060"/>
          </w:tcPr>
          <w:p w14:paraId="4627B0F0" w14:textId="0FC0FEA3" w:rsidR="00A27215" w:rsidRPr="00E97121" w:rsidRDefault="00A27215" w:rsidP="0041177B">
            <w:pPr>
              <w:rPr>
                <w:rFonts w:asciiTheme="minorHAnsi" w:hAnsiTheme="minorHAnsi" w:cstheme="minorHAnsi"/>
                <w:b/>
                <w:bCs/>
                <w:color w:val="FFFFFF" w:themeColor="background1"/>
              </w:rPr>
            </w:pPr>
            <w:r w:rsidRPr="00E97121">
              <w:rPr>
                <w:rFonts w:asciiTheme="minorHAnsi" w:hAnsiTheme="minorHAnsi" w:cstheme="minorHAnsi"/>
                <w:b/>
                <w:bCs/>
                <w:color w:val="FFFFFF" w:themeColor="background1"/>
              </w:rPr>
              <w:t xml:space="preserve">Figure </w:t>
            </w:r>
            <w:r w:rsidR="00E97121" w:rsidRPr="00E97121">
              <w:rPr>
                <w:rFonts w:asciiTheme="minorHAnsi" w:hAnsiTheme="minorHAnsi" w:cstheme="minorHAnsi"/>
                <w:b/>
                <w:bCs/>
                <w:color w:val="FFFFFF" w:themeColor="background1"/>
              </w:rPr>
              <w:t>21.1</w:t>
            </w:r>
            <w:r w:rsidR="00E97121">
              <w:rPr>
                <w:rFonts w:asciiTheme="minorHAnsi" w:hAnsiTheme="minorHAnsi" w:cstheme="minorHAnsi"/>
                <w:b/>
                <w:bCs/>
                <w:color w:val="FFFFFF" w:themeColor="background1"/>
              </w:rPr>
              <w:t xml:space="preserve">: </w:t>
            </w:r>
            <w:r w:rsidRPr="00E97121">
              <w:rPr>
                <w:rFonts w:asciiTheme="minorHAnsi" w:hAnsiTheme="minorHAnsi" w:cstheme="minorHAnsi"/>
                <w:b/>
                <w:bCs/>
                <w:color w:val="FFFFFF" w:themeColor="background1"/>
              </w:rPr>
              <w:t xml:space="preserve">Incidence rate (per 100,000) for Acute Myeloid Leukaemia by </w:t>
            </w:r>
            <w:r w:rsidR="00366242">
              <w:rPr>
                <w:rFonts w:asciiTheme="minorHAnsi" w:hAnsiTheme="minorHAnsi" w:cstheme="minorHAnsi"/>
                <w:b/>
                <w:bCs/>
                <w:color w:val="FFFFFF" w:themeColor="background1"/>
              </w:rPr>
              <w:t>age group</w:t>
            </w:r>
            <w:r w:rsidRPr="00E97121">
              <w:rPr>
                <w:rFonts w:asciiTheme="minorHAnsi" w:hAnsiTheme="minorHAnsi" w:cstheme="minorHAnsi"/>
                <w:b/>
                <w:bCs/>
                <w:color w:val="FFFFFF" w:themeColor="background1"/>
              </w:rPr>
              <w:t>,1994-2022</w:t>
            </w:r>
          </w:p>
        </w:tc>
      </w:tr>
      <w:tr w:rsidR="00A27215" w:rsidRPr="00E175B3" w14:paraId="27B54EE1" w14:textId="77777777" w:rsidTr="0041177B">
        <w:trPr>
          <w:trHeight w:val="113"/>
        </w:trPr>
        <w:tc>
          <w:tcPr>
            <w:tcW w:w="3222" w:type="dxa"/>
            <w:shd w:val="clear" w:color="auto" w:fill="auto"/>
          </w:tcPr>
          <w:p w14:paraId="6D702C23" w14:textId="77777777" w:rsidR="00A27215" w:rsidRPr="00E175B3" w:rsidRDefault="00A27215" w:rsidP="0041177B">
            <w:pPr>
              <w:jc w:val="center"/>
              <w:rPr>
                <w:rFonts w:asciiTheme="minorHAnsi" w:hAnsiTheme="minorHAnsi" w:cstheme="minorHAnsi"/>
                <w:color w:val="000000" w:themeColor="text1"/>
              </w:rPr>
            </w:pPr>
            <w:r w:rsidRPr="00E175B3">
              <w:rPr>
                <w:rFonts w:asciiTheme="minorHAnsi" w:hAnsiTheme="minorHAnsi" w:cstheme="minorHAnsi"/>
                <w:color w:val="000000" w:themeColor="text1"/>
              </w:rPr>
              <w:t>Total</w:t>
            </w:r>
          </w:p>
        </w:tc>
        <w:tc>
          <w:tcPr>
            <w:tcW w:w="2982" w:type="dxa"/>
            <w:shd w:val="clear" w:color="auto" w:fill="auto"/>
          </w:tcPr>
          <w:p w14:paraId="035A2F88" w14:textId="77777777" w:rsidR="00A27215" w:rsidRPr="00E175B3" w:rsidRDefault="00A27215" w:rsidP="0041177B">
            <w:pPr>
              <w:jc w:val="center"/>
              <w:rPr>
                <w:rFonts w:asciiTheme="minorHAnsi" w:hAnsiTheme="minorHAnsi" w:cstheme="minorHAnsi"/>
                <w:color w:val="000000" w:themeColor="text1"/>
              </w:rPr>
            </w:pPr>
            <w:r w:rsidRPr="00E175B3">
              <w:rPr>
                <w:rFonts w:asciiTheme="minorHAnsi" w:hAnsiTheme="minorHAnsi" w:cstheme="minorHAnsi"/>
                <w:color w:val="000000" w:themeColor="text1"/>
              </w:rPr>
              <w:t>Males</w:t>
            </w:r>
          </w:p>
        </w:tc>
        <w:tc>
          <w:tcPr>
            <w:tcW w:w="3720" w:type="dxa"/>
          </w:tcPr>
          <w:p w14:paraId="35DE2EC7" w14:textId="77777777" w:rsidR="00A27215" w:rsidRPr="00E175B3" w:rsidRDefault="00A27215" w:rsidP="0041177B">
            <w:pPr>
              <w:jc w:val="center"/>
              <w:rPr>
                <w:rFonts w:asciiTheme="minorHAnsi" w:hAnsiTheme="minorHAnsi" w:cstheme="minorHAnsi"/>
                <w:color w:val="000000" w:themeColor="text1"/>
              </w:rPr>
            </w:pPr>
            <w:r w:rsidRPr="00E175B3">
              <w:rPr>
                <w:rFonts w:asciiTheme="minorHAnsi" w:hAnsiTheme="minorHAnsi" w:cstheme="minorHAnsi"/>
                <w:color w:val="000000" w:themeColor="text1"/>
              </w:rPr>
              <w:t>Females</w:t>
            </w:r>
          </w:p>
        </w:tc>
      </w:tr>
      <w:tr w:rsidR="00A27215" w:rsidRPr="00E175B3" w14:paraId="63ACE49F" w14:textId="77777777" w:rsidTr="0041177B">
        <w:trPr>
          <w:trHeight w:val="113"/>
        </w:trPr>
        <w:tc>
          <w:tcPr>
            <w:tcW w:w="3222" w:type="dxa"/>
            <w:shd w:val="clear" w:color="auto" w:fill="auto"/>
          </w:tcPr>
          <w:p w14:paraId="719FC542" w14:textId="77777777" w:rsidR="00A27215" w:rsidRPr="00E175B3" w:rsidRDefault="00A27215" w:rsidP="0041177B">
            <w:pPr>
              <w:rPr>
                <w:rFonts w:asciiTheme="minorHAnsi" w:eastAsia="Times New Roman" w:hAnsiTheme="minorHAnsi" w:cs="Times New Roman"/>
                <w:lang w:eastAsia="en-GB"/>
              </w:rPr>
            </w:pPr>
            <w:r w:rsidRPr="00E175B3">
              <w:rPr>
                <w:rFonts w:eastAsia="Times New Roman" w:cs="Times New Roman"/>
                <w:noProof/>
                <w:lang w:eastAsia="en-GB"/>
              </w:rPr>
              <w:drawing>
                <wp:inline distT="0" distB="0" distL="0" distR="0" wp14:anchorId="167E52F8" wp14:editId="53BED301">
                  <wp:extent cx="1970314" cy="1540329"/>
                  <wp:effectExtent l="0" t="0" r="0" b="3175"/>
                  <wp:docPr id="404778649" name="Picture 9" descr="A graph with numbers and a ba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778649" name="Picture 9" descr="A graph with numbers and a bar&#10;&#10;AI-generated content may be incorrect."/>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992701" cy="1557830"/>
                          </a:xfrm>
                          <a:prstGeom prst="rect">
                            <a:avLst/>
                          </a:prstGeom>
                          <a:noFill/>
                          <a:ln>
                            <a:noFill/>
                          </a:ln>
                        </pic:spPr>
                      </pic:pic>
                    </a:graphicData>
                  </a:graphic>
                </wp:inline>
              </w:drawing>
            </w:r>
          </w:p>
        </w:tc>
        <w:tc>
          <w:tcPr>
            <w:tcW w:w="2982" w:type="dxa"/>
            <w:shd w:val="clear" w:color="auto" w:fill="auto"/>
          </w:tcPr>
          <w:p w14:paraId="195F65AC" w14:textId="77777777" w:rsidR="00A27215" w:rsidRPr="00E175B3" w:rsidRDefault="00A27215" w:rsidP="0041177B">
            <w:pPr>
              <w:rPr>
                <w:rFonts w:asciiTheme="minorHAnsi" w:hAnsiTheme="minorHAnsi" w:cstheme="minorHAnsi"/>
                <w:color w:val="000000" w:themeColor="text1"/>
                <w:lang w:val="en-GB"/>
              </w:rPr>
            </w:pPr>
            <w:r w:rsidRPr="00E175B3">
              <w:rPr>
                <w:rFonts w:eastAsia="Times New Roman" w:cs="Times New Roman"/>
                <w:noProof/>
                <w:lang w:eastAsia="en-GB"/>
              </w:rPr>
              <w:drawing>
                <wp:inline distT="0" distB="0" distL="0" distR="0" wp14:anchorId="7C5EE25D" wp14:editId="5AB1A16E">
                  <wp:extent cx="1812471" cy="1539875"/>
                  <wp:effectExtent l="0" t="0" r="0" b="3175"/>
                  <wp:docPr id="666999025" name="Picture 11" descr="A graph with numbers and a bar char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6999025" name="Picture 11" descr="A graph with numbers and a bar chart&#10;&#10;AI-generated content may be incorrect."/>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826283" cy="1551610"/>
                          </a:xfrm>
                          <a:prstGeom prst="rect">
                            <a:avLst/>
                          </a:prstGeom>
                          <a:noFill/>
                          <a:ln>
                            <a:noFill/>
                          </a:ln>
                        </pic:spPr>
                      </pic:pic>
                    </a:graphicData>
                  </a:graphic>
                </wp:inline>
              </w:drawing>
            </w:r>
          </w:p>
        </w:tc>
        <w:tc>
          <w:tcPr>
            <w:tcW w:w="3720" w:type="dxa"/>
          </w:tcPr>
          <w:p w14:paraId="7BCC3226" w14:textId="77777777" w:rsidR="00A27215" w:rsidRPr="00E175B3" w:rsidRDefault="00A27215" w:rsidP="0041177B">
            <w:pPr>
              <w:jc w:val="center"/>
              <w:rPr>
                <w:rFonts w:asciiTheme="minorHAnsi" w:hAnsiTheme="minorHAnsi" w:cstheme="minorHAnsi"/>
                <w:color w:val="000000" w:themeColor="text1"/>
              </w:rPr>
            </w:pPr>
            <w:r w:rsidRPr="00E175B3">
              <w:rPr>
                <w:rFonts w:eastAsia="Times New Roman" w:cs="Times New Roman"/>
                <w:noProof/>
                <w:lang w:eastAsia="en-GB"/>
              </w:rPr>
              <w:drawing>
                <wp:inline distT="0" distB="0" distL="0" distR="0" wp14:anchorId="43FA4A3A" wp14:editId="6B8AF185">
                  <wp:extent cx="1986642" cy="1539875"/>
                  <wp:effectExtent l="0" t="0" r="0" b="3175"/>
                  <wp:docPr id="1515105803" name="Picture 10" descr="A graph with numbers and a bar char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5105803" name="Picture 10" descr="A graph with numbers and a bar chart&#10;&#10;AI-generated content may be incorrect."/>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04001" cy="1553330"/>
                          </a:xfrm>
                          <a:prstGeom prst="rect">
                            <a:avLst/>
                          </a:prstGeom>
                          <a:noFill/>
                          <a:ln>
                            <a:noFill/>
                          </a:ln>
                        </pic:spPr>
                      </pic:pic>
                    </a:graphicData>
                  </a:graphic>
                </wp:inline>
              </w:drawing>
            </w:r>
          </w:p>
        </w:tc>
      </w:tr>
    </w:tbl>
    <w:p w14:paraId="7ACB9BAC" w14:textId="77777777" w:rsidR="001A3B02" w:rsidRPr="001A3B02" w:rsidRDefault="001A3B02" w:rsidP="001A3B02">
      <w:bookmarkStart w:id="387" w:name="_Toc197557183"/>
    </w:p>
    <w:p w14:paraId="7020159C" w14:textId="77777777" w:rsidR="00A27215" w:rsidRPr="001817D2" w:rsidRDefault="00A27215" w:rsidP="00A27215">
      <w:pPr>
        <w:pStyle w:val="Heading3"/>
        <w:spacing w:before="0" w:after="0" w:line="240" w:lineRule="auto"/>
      </w:pPr>
      <w:bookmarkStart w:id="388" w:name="_Toc201512574"/>
      <w:r w:rsidRPr="001817D2">
        <w:t>Trends over</w:t>
      </w:r>
      <w:r>
        <w:t xml:space="preserve"> </w:t>
      </w:r>
      <w:r w:rsidRPr="001817D2">
        <w:t>time</w:t>
      </w:r>
      <w:bookmarkEnd w:id="387"/>
      <w:bookmarkEnd w:id="388"/>
    </w:p>
    <w:p w14:paraId="19E9F2E4" w14:textId="2454C1EC" w:rsidR="00A27215" w:rsidRDefault="00A27215" w:rsidP="00A27215">
      <w:pPr>
        <w:spacing w:after="0" w:line="240" w:lineRule="auto"/>
        <w:rPr>
          <w:rFonts w:cstheme="minorHAnsi"/>
        </w:rPr>
      </w:pPr>
      <w:r w:rsidRPr="00BE154B">
        <w:rPr>
          <w:rFonts w:cstheme="minorHAnsi"/>
        </w:rPr>
        <w:t xml:space="preserve">Figure </w:t>
      </w:r>
      <w:r w:rsidR="00E97121">
        <w:rPr>
          <w:rFonts w:cstheme="minorHAnsi"/>
        </w:rPr>
        <w:t>21.2</w:t>
      </w:r>
      <w:r w:rsidRPr="00BE154B">
        <w:rPr>
          <w:rFonts w:cstheme="minorHAnsi"/>
        </w:rPr>
        <w:t xml:space="preserve"> shows the incidence of AML cancer from 1994 to 2022. Incidence increased for males from 1994 to 2022 (0.7 % increase per year (95%CI 0.2; 1.3)). Among females</w:t>
      </w:r>
      <w:r>
        <w:rPr>
          <w:rFonts w:cstheme="minorHAnsi"/>
        </w:rPr>
        <w:t>,</w:t>
      </w:r>
      <w:r w:rsidRPr="00BE154B">
        <w:rPr>
          <w:rFonts w:cstheme="minorHAnsi"/>
        </w:rPr>
        <w:t xml:space="preserve"> incidence rates remained</w:t>
      </w:r>
      <w:r>
        <w:rPr>
          <w:rFonts w:cstheme="minorHAnsi"/>
        </w:rPr>
        <w:t xml:space="preserve"> static.</w:t>
      </w:r>
    </w:p>
    <w:p w14:paraId="3F17D9FD" w14:textId="77777777" w:rsidR="00A27215" w:rsidRDefault="00A27215" w:rsidP="00A27215">
      <w:pPr>
        <w:spacing w:after="0" w:line="240" w:lineRule="auto"/>
        <w:rPr>
          <w:rFonts w:cstheme="minorHAnsi"/>
        </w:rPr>
      </w:pPr>
    </w:p>
    <w:tbl>
      <w:tblPr>
        <w:tblStyle w:val="TableGrid"/>
        <w:tblW w:w="986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8"/>
      </w:tblGrid>
      <w:tr w:rsidR="00A27215" w:rsidRPr="002B5032" w14:paraId="0F7E0651" w14:textId="77777777" w:rsidTr="0041177B">
        <w:trPr>
          <w:trHeight w:val="113"/>
        </w:trPr>
        <w:tc>
          <w:tcPr>
            <w:tcW w:w="9868" w:type="dxa"/>
            <w:shd w:val="clear" w:color="auto" w:fill="002060"/>
            <w:vAlign w:val="center"/>
          </w:tcPr>
          <w:p w14:paraId="11128B7D" w14:textId="5AD82F8B" w:rsidR="00A27215" w:rsidRPr="00E97121" w:rsidRDefault="00A27215" w:rsidP="0041177B">
            <w:pPr>
              <w:rPr>
                <w:rFonts w:asciiTheme="minorHAnsi" w:hAnsiTheme="minorHAnsi"/>
                <w:b/>
                <w:bCs/>
              </w:rPr>
            </w:pPr>
            <w:r w:rsidRPr="00E97121">
              <w:rPr>
                <w:rFonts w:asciiTheme="minorHAnsi" w:hAnsiTheme="minorHAnsi"/>
                <w:b/>
                <w:bCs/>
              </w:rPr>
              <w:t xml:space="preserve">Figure </w:t>
            </w:r>
            <w:r w:rsidR="00E97121" w:rsidRPr="00E97121">
              <w:rPr>
                <w:rFonts w:asciiTheme="minorHAnsi" w:hAnsiTheme="minorHAnsi"/>
                <w:b/>
                <w:bCs/>
              </w:rPr>
              <w:t xml:space="preserve">21.2: </w:t>
            </w:r>
            <w:r w:rsidRPr="00E97121">
              <w:rPr>
                <w:rFonts w:asciiTheme="minorHAnsi" w:hAnsiTheme="minorHAnsi"/>
                <w:b/>
                <w:bCs/>
              </w:rPr>
              <w:t>Age-</w:t>
            </w:r>
            <w:r w:rsidRPr="00E97121">
              <w:rPr>
                <w:rFonts w:asciiTheme="minorHAnsi" w:hAnsiTheme="minorHAnsi"/>
                <w:b/>
                <w:bCs/>
                <w:bdr w:val="single" w:sz="4" w:space="0" w:color="auto"/>
              </w:rPr>
              <w:t xml:space="preserve">standardised incidence rate 1994-2022, </w:t>
            </w:r>
            <w:r w:rsidRPr="00E97121">
              <w:rPr>
                <w:rFonts w:asciiTheme="minorHAnsi" w:hAnsiTheme="minorHAnsi" w:cstheme="minorHAnsi"/>
                <w:b/>
                <w:bCs/>
                <w:color w:val="FFFFFF" w:themeColor="background1"/>
              </w:rPr>
              <w:t>Acute Myeloid Leukaemia</w:t>
            </w:r>
          </w:p>
        </w:tc>
      </w:tr>
      <w:tr w:rsidR="00A27215" w:rsidRPr="00E175B3" w14:paraId="515CC376" w14:textId="77777777" w:rsidTr="0041177B">
        <w:trPr>
          <w:trHeight w:val="113"/>
        </w:trPr>
        <w:tc>
          <w:tcPr>
            <w:tcW w:w="9868" w:type="dxa"/>
            <w:vAlign w:val="center"/>
          </w:tcPr>
          <w:p w14:paraId="70C504F9" w14:textId="77777777" w:rsidR="00A27215" w:rsidRPr="00E175B3" w:rsidRDefault="00A27215" w:rsidP="0041177B">
            <w:pPr>
              <w:jc w:val="center"/>
              <w:rPr>
                <w:rFonts w:asciiTheme="minorHAnsi" w:hAnsiTheme="minorHAnsi"/>
              </w:rPr>
            </w:pPr>
            <w:r>
              <w:rPr>
                <w:noProof/>
              </w:rPr>
              <w:drawing>
                <wp:inline distT="0" distB="0" distL="0" distR="0" wp14:anchorId="0354506E" wp14:editId="4C605F1F">
                  <wp:extent cx="5883275" cy="2755900"/>
                  <wp:effectExtent l="0" t="0" r="3175" b="6350"/>
                  <wp:docPr id="403561377" name="Picture 3" descr="A graph with blue and orang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61377" name="Picture 3" descr="A graph with blue and orange dots&#10;&#10;AI-generated content may be incorrect."/>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883275" cy="2755900"/>
                          </a:xfrm>
                          <a:prstGeom prst="rect">
                            <a:avLst/>
                          </a:prstGeom>
                          <a:noFill/>
                        </pic:spPr>
                      </pic:pic>
                    </a:graphicData>
                  </a:graphic>
                </wp:inline>
              </w:drawing>
            </w:r>
          </w:p>
        </w:tc>
      </w:tr>
      <w:tr w:rsidR="00A27215" w:rsidRPr="00E175B3" w14:paraId="674B2331" w14:textId="77777777" w:rsidTr="0041177B">
        <w:trPr>
          <w:trHeight w:val="113"/>
        </w:trPr>
        <w:tc>
          <w:tcPr>
            <w:tcW w:w="9868" w:type="dxa"/>
            <w:vAlign w:val="center"/>
          </w:tcPr>
          <w:tbl>
            <w:tblPr>
              <w:tblpPr w:leftFromText="180" w:rightFromText="180" w:vertAnchor="page" w:horzAnchor="margin" w:tblpXSpec="center" w:tblpY="1"/>
              <w:tblOverlap w:val="never"/>
              <w:tblW w:w="0" w:type="auto"/>
              <w:tblCellMar>
                <w:top w:w="15" w:type="dxa"/>
                <w:bottom w:w="15" w:type="dxa"/>
              </w:tblCellMar>
              <w:tblLook w:val="04A0" w:firstRow="1" w:lastRow="0" w:firstColumn="1" w:lastColumn="0" w:noHBand="0" w:noVBand="1"/>
            </w:tblPr>
            <w:tblGrid>
              <w:gridCol w:w="530"/>
              <w:gridCol w:w="1139"/>
              <w:gridCol w:w="771"/>
              <w:gridCol w:w="856"/>
              <w:gridCol w:w="706"/>
              <w:gridCol w:w="530"/>
              <w:gridCol w:w="1139"/>
              <w:gridCol w:w="771"/>
              <w:gridCol w:w="924"/>
              <w:gridCol w:w="706"/>
            </w:tblGrid>
            <w:tr w:rsidR="00A27215" w:rsidRPr="004437DD" w14:paraId="79139A80" w14:textId="77777777" w:rsidTr="0041177B">
              <w:trPr>
                <w:trHeight w:val="113"/>
              </w:trPr>
              <w:tc>
                <w:tcPr>
                  <w:tcW w:w="0" w:type="auto"/>
                  <w:tcBorders>
                    <w:top w:val="nil"/>
                    <w:left w:val="nil"/>
                    <w:bottom w:val="nil"/>
                    <w:right w:val="nil"/>
                  </w:tcBorders>
                  <w:noWrap/>
                  <w:vAlign w:val="center"/>
                  <w:hideMark/>
                </w:tcPr>
                <w:p w14:paraId="6EC35B35" w14:textId="77777777" w:rsidR="00A27215" w:rsidRPr="004437DD"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4437DD">
                    <w:rPr>
                      <w:rFonts w:eastAsia="Times New Roman" w:cs="Times New Roman"/>
                      <w:b/>
                      <w:bCs/>
                      <w:color w:val="000000"/>
                      <w:kern w:val="0"/>
                      <w:sz w:val="20"/>
                      <w:szCs w:val="20"/>
                      <w:u w:val="single"/>
                      <w:lang w:eastAsia="en-GB"/>
                      <w14:ligatures w14:val="none"/>
                    </w:rPr>
                    <w:t>sex</w:t>
                  </w:r>
                </w:p>
              </w:tc>
              <w:tc>
                <w:tcPr>
                  <w:tcW w:w="0" w:type="auto"/>
                  <w:tcBorders>
                    <w:top w:val="nil"/>
                    <w:left w:val="nil"/>
                    <w:bottom w:val="nil"/>
                    <w:right w:val="nil"/>
                  </w:tcBorders>
                  <w:noWrap/>
                  <w:vAlign w:val="center"/>
                  <w:hideMark/>
                </w:tcPr>
                <w:p w14:paraId="578EFC2F" w14:textId="77777777" w:rsidR="00A27215" w:rsidRPr="004437DD"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4437DD">
                    <w:rPr>
                      <w:rFonts w:eastAsia="Times New Roman" w:cs="Times New Roman"/>
                      <w:b/>
                      <w:bCs/>
                      <w:color w:val="000000"/>
                      <w:kern w:val="0"/>
                      <w:sz w:val="20"/>
                      <w:szCs w:val="20"/>
                      <w:u w:val="single"/>
                      <w:lang w:eastAsia="en-GB"/>
                      <w14:ligatures w14:val="none"/>
                    </w:rPr>
                    <w:t>period</w:t>
                  </w:r>
                </w:p>
              </w:tc>
              <w:tc>
                <w:tcPr>
                  <w:tcW w:w="0" w:type="auto"/>
                  <w:tcBorders>
                    <w:top w:val="nil"/>
                    <w:left w:val="nil"/>
                    <w:bottom w:val="nil"/>
                    <w:right w:val="nil"/>
                  </w:tcBorders>
                  <w:noWrap/>
                  <w:vAlign w:val="center"/>
                  <w:hideMark/>
                </w:tcPr>
                <w:p w14:paraId="236D81B3" w14:textId="77777777" w:rsidR="00A27215" w:rsidRPr="004437DD"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4437DD">
                    <w:rPr>
                      <w:rFonts w:eastAsia="Times New Roman" w:cs="Times New Roman"/>
                      <w:b/>
                      <w:bCs/>
                      <w:color w:val="000000"/>
                      <w:kern w:val="0"/>
                      <w:sz w:val="20"/>
                      <w:szCs w:val="20"/>
                      <w:u w:val="single"/>
                      <w:lang w:eastAsia="en-GB"/>
                      <w14:ligatures w14:val="none"/>
                    </w:rPr>
                    <w:t>APC%</w:t>
                  </w:r>
                </w:p>
              </w:tc>
              <w:tc>
                <w:tcPr>
                  <w:tcW w:w="0" w:type="auto"/>
                  <w:tcBorders>
                    <w:top w:val="nil"/>
                    <w:left w:val="nil"/>
                    <w:bottom w:val="nil"/>
                    <w:right w:val="nil"/>
                  </w:tcBorders>
                  <w:noWrap/>
                  <w:vAlign w:val="center"/>
                  <w:hideMark/>
                </w:tcPr>
                <w:p w14:paraId="3B1575B6" w14:textId="77777777" w:rsidR="00A27215" w:rsidRPr="004437DD"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4437DD">
                    <w:rPr>
                      <w:rFonts w:eastAsia="Times New Roman" w:cs="Times New Roman"/>
                      <w:b/>
                      <w:bCs/>
                      <w:color w:val="000000"/>
                      <w:kern w:val="0"/>
                      <w:sz w:val="20"/>
                      <w:szCs w:val="20"/>
                      <w:u w:val="single"/>
                      <w:lang w:eastAsia="en-GB"/>
                      <w14:ligatures w14:val="none"/>
                    </w:rPr>
                    <w:t>95%CI</w:t>
                  </w:r>
                </w:p>
              </w:tc>
              <w:tc>
                <w:tcPr>
                  <w:tcW w:w="0" w:type="auto"/>
                  <w:tcBorders>
                    <w:top w:val="nil"/>
                    <w:left w:val="nil"/>
                    <w:bottom w:val="nil"/>
                    <w:right w:val="single" w:sz="4" w:space="0" w:color="auto"/>
                  </w:tcBorders>
                  <w:noWrap/>
                  <w:vAlign w:val="center"/>
                  <w:hideMark/>
                </w:tcPr>
                <w:p w14:paraId="41519E1C" w14:textId="77777777" w:rsidR="00A27215" w:rsidRPr="004437DD"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4437DD">
                    <w:rPr>
                      <w:rFonts w:eastAsia="Times New Roman" w:cs="Times New Roman"/>
                      <w:b/>
                      <w:bCs/>
                      <w:color w:val="000000"/>
                      <w:kern w:val="0"/>
                      <w:sz w:val="20"/>
                      <w:szCs w:val="20"/>
                      <w:u w:val="single"/>
                      <w:lang w:eastAsia="en-GB"/>
                      <w14:ligatures w14:val="none"/>
                    </w:rPr>
                    <w:t>trend</w:t>
                  </w:r>
                </w:p>
              </w:tc>
              <w:tc>
                <w:tcPr>
                  <w:tcW w:w="0" w:type="auto"/>
                  <w:tcBorders>
                    <w:top w:val="nil"/>
                    <w:left w:val="nil"/>
                    <w:bottom w:val="nil"/>
                    <w:right w:val="nil"/>
                  </w:tcBorders>
                  <w:vAlign w:val="center"/>
                </w:tcPr>
                <w:p w14:paraId="732B6D96" w14:textId="77777777" w:rsidR="00A27215" w:rsidRPr="004437DD"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4437DD">
                    <w:rPr>
                      <w:rFonts w:eastAsia="Times New Roman" w:cs="Times New Roman"/>
                      <w:b/>
                      <w:bCs/>
                      <w:color w:val="000000"/>
                      <w:kern w:val="0"/>
                      <w:sz w:val="20"/>
                      <w:szCs w:val="20"/>
                      <w:u w:val="single"/>
                      <w:lang w:eastAsia="en-GB"/>
                      <w14:ligatures w14:val="none"/>
                    </w:rPr>
                    <w:t>sex</w:t>
                  </w:r>
                </w:p>
              </w:tc>
              <w:tc>
                <w:tcPr>
                  <w:tcW w:w="0" w:type="auto"/>
                  <w:tcBorders>
                    <w:top w:val="nil"/>
                    <w:left w:val="nil"/>
                    <w:bottom w:val="nil"/>
                    <w:right w:val="nil"/>
                  </w:tcBorders>
                  <w:vAlign w:val="center"/>
                </w:tcPr>
                <w:p w14:paraId="64181664" w14:textId="77777777" w:rsidR="00A27215" w:rsidRPr="004437DD"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4437DD">
                    <w:rPr>
                      <w:rFonts w:eastAsia="Times New Roman" w:cs="Times New Roman"/>
                      <w:b/>
                      <w:bCs/>
                      <w:color w:val="000000"/>
                      <w:kern w:val="0"/>
                      <w:sz w:val="20"/>
                      <w:szCs w:val="20"/>
                      <w:u w:val="single"/>
                      <w:lang w:eastAsia="en-GB"/>
                      <w14:ligatures w14:val="none"/>
                    </w:rPr>
                    <w:t>period</w:t>
                  </w:r>
                </w:p>
              </w:tc>
              <w:tc>
                <w:tcPr>
                  <w:tcW w:w="0" w:type="auto"/>
                  <w:tcBorders>
                    <w:top w:val="nil"/>
                    <w:left w:val="nil"/>
                    <w:bottom w:val="nil"/>
                    <w:right w:val="nil"/>
                  </w:tcBorders>
                  <w:vAlign w:val="center"/>
                </w:tcPr>
                <w:p w14:paraId="0B1FE0C2" w14:textId="77777777" w:rsidR="00A27215" w:rsidRPr="004437DD"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4437DD">
                    <w:rPr>
                      <w:rFonts w:eastAsia="Times New Roman" w:cs="Times New Roman"/>
                      <w:b/>
                      <w:bCs/>
                      <w:color w:val="000000"/>
                      <w:kern w:val="0"/>
                      <w:sz w:val="20"/>
                      <w:szCs w:val="20"/>
                      <w:u w:val="single"/>
                      <w:lang w:eastAsia="en-GB"/>
                      <w14:ligatures w14:val="none"/>
                    </w:rPr>
                    <w:t>APC%</w:t>
                  </w:r>
                </w:p>
              </w:tc>
              <w:tc>
                <w:tcPr>
                  <w:tcW w:w="0" w:type="auto"/>
                  <w:tcBorders>
                    <w:top w:val="nil"/>
                    <w:left w:val="nil"/>
                    <w:bottom w:val="nil"/>
                    <w:right w:val="nil"/>
                  </w:tcBorders>
                  <w:vAlign w:val="center"/>
                </w:tcPr>
                <w:p w14:paraId="60FE3191" w14:textId="77777777" w:rsidR="00A27215" w:rsidRPr="004437DD"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4437DD">
                    <w:rPr>
                      <w:rFonts w:eastAsia="Times New Roman" w:cs="Times New Roman"/>
                      <w:b/>
                      <w:bCs/>
                      <w:color w:val="000000"/>
                      <w:kern w:val="0"/>
                      <w:sz w:val="20"/>
                      <w:szCs w:val="20"/>
                      <w:u w:val="single"/>
                      <w:lang w:eastAsia="en-GB"/>
                      <w14:ligatures w14:val="none"/>
                    </w:rPr>
                    <w:t>95%CI</w:t>
                  </w:r>
                </w:p>
              </w:tc>
              <w:tc>
                <w:tcPr>
                  <w:tcW w:w="0" w:type="auto"/>
                  <w:tcBorders>
                    <w:top w:val="nil"/>
                    <w:left w:val="nil"/>
                    <w:bottom w:val="nil"/>
                  </w:tcBorders>
                  <w:vAlign w:val="center"/>
                </w:tcPr>
                <w:p w14:paraId="12C05F45" w14:textId="77777777" w:rsidR="00A27215" w:rsidRPr="004437DD"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4437DD">
                    <w:rPr>
                      <w:rFonts w:eastAsia="Times New Roman" w:cs="Times New Roman"/>
                      <w:b/>
                      <w:bCs/>
                      <w:color w:val="000000"/>
                      <w:kern w:val="0"/>
                      <w:sz w:val="20"/>
                      <w:szCs w:val="20"/>
                      <w:u w:val="single"/>
                      <w:lang w:eastAsia="en-GB"/>
                      <w14:ligatures w14:val="none"/>
                    </w:rPr>
                    <w:t>trend</w:t>
                  </w:r>
                </w:p>
              </w:tc>
            </w:tr>
            <w:tr w:rsidR="00A27215" w:rsidRPr="004437DD" w14:paraId="37F59B1D" w14:textId="77777777" w:rsidTr="0041177B">
              <w:trPr>
                <w:trHeight w:val="113"/>
              </w:trPr>
              <w:tc>
                <w:tcPr>
                  <w:tcW w:w="0" w:type="auto"/>
                  <w:tcBorders>
                    <w:top w:val="nil"/>
                    <w:left w:val="nil"/>
                    <w:bottom w:val="nil"/>
                    <w:right w:val="nil"/>
                  </w:tcBorders>
                  <w:noWrap/>
                  <w:vAlign w:val="center"/>
                  <w:hideMark/>
                </w:tcPr>
                <w:p w14:paraId="001B28CC" w14:textId="77777777" w:rsidR="00A27215" w:rsidRPr="004437DD" w:rsidRDefault="00A27215" w:rsidP="0041177B">
                  <w:pPr>
                    <w:spacing w:after="0" w:line="240" w:lineRule="auto"/>
                    <w:jc w:val="center"/>
                    <w:rPr>
                      <w:rFonts w:eastAsia="Times New Roman" w:cs="Times New Roman"/>
                      <w:color w:val="000000"/>
                      <w:kern w:val="0"/>
                      <w:sz w:val="20"/>
                      <w:szCs w:val="20"/>
                      <w:lang w:eastAsia="en-GB"/>
                      <w14:ligatures w14:val="none"/>
                    </w:rPr>
                  </w:pPr>
                  <w:r w:rsidRPr="004437DD">
                    <w:rPr>
                      <w:rFonts w:eastAsia="Times New Roman" w:cs="Times New Roman"/>
                      <w:color w:val="000000"/>
                      <w:kern w:val="0"/>
                      <w:sz w:val="20"/>
                      <w:szCs w:val="20"/>
                      <w:lang w:eastAsia="en-GB"/>
                      <w14:ligatures w14:val="none"/>
                    </w:rPr>
                    <w:t>M</w:t>
                  </w:r>
                </w:p>
              </w:tc>
              <w:tc>
                <w:tcPr>
                  <w:tcW w:w="0" w:type="auto"/>
                  <w:tcBorders>
                    <w:top w:val="nil"/>
                    <w:left w:val="nil"/>
                    <w:bottom w:val="nil"/>
                    <w:right w:val="nil"/>
                  </w:tcBorders>
                  <w:noWrap/>
                  <w:vAlign w:val="center"/>
                  <w:hideMark/>
                </w:tcPr>
                <w:p w14:paraId="2CF8DD2C" w14:textId="77777777" w:rsidR="00A27215" w:rsidRPr="004437DD" w:rsidRDefault="00A27215" w:rsidP="0041177B">
                  <w:pPr>
                    <w:spacing w:after="0" w:line="240" w:lineRule="auto"/>
                    <w:jc w:val="center"/>
                    <w:rPr>
                      <w:rFonts w:eastAsia="Times New Roman" w:cs="Times New Roman"/>
                      <w:color w:val="000000"/>
                      <w:kern w:val="0"/>
                      <w:sz w:val="20"/>
                      <w:szCs w:val="20"/>
                      <w:lang w:eastAsia="en-GB"/>
                      <w14:ligatures w14:val="none"/>
                    </w:rPr>
                  </w:pPr>
                  <w:r w:rsidRPr="004437DD">
                    <w:rPr>
                      <w:rFonts w:eastAsia="Times New Roman" w:cs="Times New Roman"/>
                      <w:color w:val="000000"/>
                      <w:kern w:val="0"/>
                      <w:sz w:val="20"/>
                      <w:szCs w:val="20"/>
                      <w:lang w:eastAsia="en-GB"/>
                      <w14:ligatures w14:val="none"/>
                    </w:rPr>
                    <w:t>1994-2022</w:t>
                  </w:r>
                </w:p>
              </w:tc>
              <w:tc>
                <w:tcPr>
                  <w:tcW w:w="0" w:type="auto"/>
                  <w:tcBorders>
                    <w:top w:val="nil"/>
                    <w:left w:val="nil"/>
                    <w:bottom w:val="nil"/>
                    <w:right w:val="nil"/>
                  </w:tcBorders>
                  <w:noWrap/>
                  <w:vAlign w:val="center"/>
                  <w:hideMark/>
                </w:tcPr>
                <w:p w14:paraId="6249AA44" w14:textId="77777777" w:rsidR="00A27215" w:rsidRPr="004437DD" w:rsidRDefault="00A27215" w:rsidP="0041177B">
                  <w:pPr>
                    <w:spacing w:after="0" w:line="240" w:lineRule="auto"/>
                    <w:jc w:val="center"/>
                    <w:rPr>
                      <w:rFonts w:eastAsia="Times New Roman" w:cs="Times New Roman"/>
                      <w:color w:val="000000"/>
                      <w:kern w:val="0"/>
                      <w:sz w:val="20"/>
                      <w:szCs w:val="20"/>
                      <w:lang w:eastAsia="en-GB"/>
                      <w14:ligatures w14:val="none"/>
                    </w:rPr>
                  </w:pPr>
                  <w:r w:rsidRPr="004437DD">
                    <w:rPr>
                      <w:color w:val="000000"/>
                      <w:sz w:val="20"/>
                      <w:szCs w:val="20"/>
                    </w:rPr>
                    <w:t>0.7</w:t>
                  </w:r>
                </w:p>
              </w:tc>
              <w:tc>
                <w:tcPr>
                  <w:tcW w:w="0" w:type="auto"/>
                  <w:tcBorders>
                    <w:top w:val="nil"/>
                    <w:left w:val="nil"/>
                    <w:bottom w:val="nil"/>
                    <w:right w:val="nil"/>
                  </w:tcBorders>
                  <w:noWrap/>
                  <w:vAlign w:val="center"/>
                  <w:hideMark/>
                </w:tcPr>
                <w:p w14:paraId="3F15CD4B" w14:textId="77777777" w:rsidR="00A27215" w:rsidRPr="004437DD" w:rsidRDefault="00A27215" w:rsidP="0041177B">
                  <w:pPr>
                    <w:spacing w:after="0" w:line="240" w:lineRule="auto"/>
                    <w:jc w:val="center"/>
                    <w:rPr>
                      <w:rFonts w:eastAsia="Times New Roman" w:cs="Times New Roman"/>
                      <w:color w:val="000000"/>
                      <w:kern w:val="0"/>
                      <w:sz w:val="20"/>
                      <w:szCs w:val="20"/>
                      <w:lang w:eastAsia="en-GB"/>
                      <w14:ligatures w14:val="none"/>
                    </w:rPr>
                  </w:pPr>
                  <w:r w:rsidRPr="004437DD">
                    <w:rPr>
                      <w:color w:val="000000"/>
                      <w:sz w:val="20"/>
                      <w:szCs w:val="20"/>
                    </w:rPr>
                    <w:t>0.2, 1.3</w:t>
                  </w:r>
                </w:p>
              </w:tc>
              <w:tc>
                <w:tcPr>
                  <w:tcW w:w="0" w:type="auto"/>
                  <w:tcBorders>
                    <w:top w:val="nil"/>
                    <w:left w:val="nil"/>
                    <w:bottom w:val="nil"/>
                    <w:right w:val="single" w:sz="4" w:space="0" w:color="auto"/>
                  </w:tcBorders>
                  <w:noWrap/>
                  <w:vAlign w:val="center"/>
                  <w:hideMark/>
                </w:tcPr>
                <w:p w14:paraId="427180E0" w14:textId="77777777" w:rsidR="00A27215" w:rsidRPr="004437DD" w:rsidRDefault="00A27215" w:rsidP="0041177B">
                  <w:pPr>
                    <w:spacing w:after="0" w:line="240" w:lineRule="auto"/>
                    <w:jc w:val="center"/>
                    <w:rPr>
                      <w:rFonts w:eastAsia="Times New Roman" w:cs="Times New Roman"/>
                      <w:color w:val="000000"/>
                      <w:kern w:val="0"/>
                      <w:sz w:val="20"/>
                      <w:szCs w:val="20"/>
                      <w:lang w:eastAsia="en-GB"/>
                      <w14:ligatures w14:val="none"/>
                    </w:rPr>
                  </w:pPr>
                  <w:r w:rsidRPr="004437DD">
                    <w:rPr>
                      <w:color w:val="000000"/>
                      <w:sz w:val="20"/>
                      <w:szCs w:val="20"/>
                    </w:rPr>
                    <w:t>up</w:t>
                  </w:r>
                </w:p>
              </w:tc>
              <w:tc>
                <w:tcPr>
                  <w:tcW w:w="0" w:type="auto"/>
                  <w:tcBorders>
                    <w:top w:val="nil"/>
                    <w:left w:val="single" w:sz="4" w:space="0" w:color="auto"/>
                    <w:bottom w:val="nil"/>
                    <w:right w:val="nil"/>
                  </w:tcBorders>
                  <w:vAlign w:val="center"/>
                </w:tcPr>
                <w:p w14:paraId="1769E7EC" w14:textId="77777777" w:rsidR="00A27215" w:rsidRPr="004437DD" w:rsidRDefault="00A27215" w:rsidP="0041177B">
                  <w:pPr>
                    <w:spacing w:after="0" w:line="240" w:lineRule="auto"/>
                    <w:jc w:val="center"/>
                    <w:rPr>
                      <w:color w:val="000000"/>
                      <w:sz w:val="20"/>
                      <w:szCs w:val="20"/>
                    </w:rPr>
                  </w:pPr>
                  <w:r w:rsidRPr="004437DD">
                    <w:rPr>
                      <w:rFonts w:eastAsia="Times New Roman" w:cs="Times New Roman"/>
                      <w:color w:val="000000"/>
                      <w:kern w:val="0"/>
                      <w:sz w:val="20"/>
                      <w:szCs w:val="20"/>
                      <w:lang w:eastAsia="en-GB"/>
                      <w14:ligatures w14:val="none"/>
                    </w:rPr>
                    <w:t>F</w:t>
                  </w:r>
                </w:p>
              </w:tc>
              <w:tc>
                <w:tcPr>
                  <w:tcW w:w="0" w:type="auto"/>
                  <w:tcBorders>
                    <w:top w:val="nil"/>
                    <w:left w:val="nil"/>
                    <w:bottom w:val="nil"/>
                    <w:right w:val="nil"/>
                  </w:tcBorders>
                  <w:vAlign w:val="center"/>
                </w:tcPr>
                <w:p w14:paraId="54F2F457" w14:textId="77777777" w:rsidR="00A27215" w:rsidRPr="004437DD" w:rsidRDefault="00A27215" w:rsidP="0041177B">
                  <w:pPr>
                    <w:spacing w:after="0" w:line="240" w:lineRule="auto"/>
                    <w:jc w:val="center"/>
                    <w:rPr>
                      <w:color w:val="000000"/>
                      <w:sz w:val="20"/>
                      <w:szCs w:val="20"/>
                    </w:rPr>
                  </w:pPr>
                  <w:r w:rsidRPr="004437DD">
                    <w:rPr>
                      <w:rFonts w:eastAsia="Times New Roman" w:cs="Times New Roman"/>
                      <w:color w:val="000000"/>
                      <w:kern w:val="0"/>
                      <w:sz w:val="20"/>
                      <w:szCs w:val="20"/>
                      <w:lang w:eastAsia="en-GB"/>
                      <w14:ligatures w14:val="none"/>
                    </w:rPr>
                    <w:t>1994-2022</w:t>
                  </w:r>
                </w:p>
              </w:tc>
              <w:tc>
                <w:tcPr>
                  <w:tcW w:w="0" w:type="auto"/>
                  <w:tcBorders>
                    <w:top w:val="nil"/>
                    <w:left w:val="nil"/>
                    <w:bottom w:val="nil"/>
                    <w:right w:val="nil"/>
                  </w:tcBorders>
                  <w:vAlign w:val="center"/>
                </w:tcPr>
                <w:p w14:paraId="0794A2DF" w14:textId="77777777" w:rsidR="00A27215" w:rsidRPr="004437DD" w:rsidRDefault="00A27215" w:rsidP="0041177B">
                  <w:pPr>
                    <w:spacing w:after="0" w:line="240" w:lineRule="auto"/>
                    <w:jc w:val="center"/>
                    <w:rPr>
                      <w:color w:val="000000"/>
                      <w:sz w:val="20"/>
                      <w:szCs w:val="20"/>
                    </w:rPr>
                  </w:pPr>
                  <w:r w:rsidRPr="004437DD">
                    <w:rPr>
                      <w:color w:val="000000"/>
                      <w:sz w:val="20"/>
                      <w:szCs w:val="20"/>
                    </w:rPr>
                    <w:t>0.4</w:t>
                  </w:r>
                </w:p>
              </w:tc>
              <w:tc>
                <w:tcPr>
                  <w:tcW w:w="0" w:type="auto"/>
                  <w:tcBorders>
                    <w:top w:val="nil"/>
                    <w:left w:val="nil"/>
                    <w:bottom w:val="nil"/>
                    <w:right w:val="nil"/>
                  </w:tcBorders>
                  <w:vAlign w:val="center"/>
                </w:tcPr>
                <w:p w14:paraId="6C3902C0" w14:textId="77777777" w:rsidR="00A27215" w:rsidRPr="004437DD" w:rsidRDefault="00A27215" w:rsidP="0041177B">
                  <w:pPr>
                    <w:spacing w:after="0" w:line="240" w:lineRule="auto"/>
                    <w:jc w:val="center"/>
                    <w:rPr>
                      <w:color w:val="000000"/>
                      <w:sz w:val="20"/>
                      <w:szCs w:val="20"/>
                    </w:rPr>
                  </w:pPr>
                  <w:r w:rsidRPr="004437DD">
                    <w:rPr>
                      <w:color w:val="000000"/>
                      <w:sz w:val="20"/>
                      <w:szCs w:val="20"/>
                    </w:rPr>
                    <w:t>-0.5, 1.2</w:t>
                  </w:r>
                </w:p>
              </w:tc>
              <w:tc>
                <w:tcPr>
                  <w:tcW w:w="0" w:type="auto"/>
                  <w:tcBorders>
                    <w:top w:val="nil"/>
                    <w:left w:val="nil"/>
                    <w:bottom w:val="nil"/>
                    <w:right w:val="nil"/>
                  </w:tcBorders>
                  <w:vAlign w:val="center"/>
                </w:tcPr>
                <w:p w14:paraId="622B735D" w14:textId="77777777" w:rsidR="00A27215" w:rsidRPr="004437DD" w:rsidRDefault="00A27215" w:rsidP="0041177B">
                  <w:pPr>
                    <w:spacing w:after="0" w:line="240" w:lineRule="auto"/>
                    <w:jc w:val="center"/>
                    <w:rPr>
                      <w:color w:val="000000"/>
                      <w:sz w:val="20"/>
                      <w:szCs w:val="20"/>
                    </w:rPr>
                  </w:pPr>
                  <w:r w:rsidRPr="004437DD">
                    <w:rPr>
                      <w:color w:val="000000"/>
                      <w:sz w:val="20"/>
                      <w:szCs w:val="20"/>
                    </w:rPr>
                    <w:t>flat</w:t>
                  </w:r>
                </w:p>
              </w:tc>
            </w:tr>
          </w:tbl>
          <w:p w14:paraId="644C89B0" w14:textId="77777777" w:rsidR="00A27215" w:rsidRPr="00E175B3" w:rsidRDefault="00A27215" w:rsidP="0041177B">
            <w:pPr>
              <w:jc w:val="center"/>
              <w:rPr>
                <w:rFonts w:eastAsia="Times New Roman" w:cs="Times New Roman"/>
                <w:b/>
                <w:bCs/>
                <w:color w:val="000000"/>
                <w:sz w:val="14"/>
                <w:szCs w:val="14"/>
                <w:u w:val="single"/>
                <w:lang w:eastAsia="en-GB"/>
              </w:rPr>
            </w:pPr>
          </w:p>
        </w:tc>
      </w:tr>
      <w:tr w:rsidR="00A27215" w:rsidRPr="00E175B3" w14:paraId="0694F009" w14:textId="77777777" w:rsidTr="0041177B">
        <w:trPr>
          <w:trHeight w:val="113"/>
        </w:trPr>
        <w:tc>
          <w:tcPr>
            <w:tcW w:w="9868" w:type="dxa"/>
            <w:vAlign w:val="center"/>
          </w:tcPr>
          <w:p w14:paraId="4891EB1D" w14:textId="77777777" w:rsidR="00A27215" w:rsidRPr="002262F2" w:rsidRDefault="00A27215" w:rsidP="0041177B">
            <w:pPr>
              <w:pBdr>
                <w:bottom w:val="single" w:sz="4" w:space="1" w:color="auto"/>
              </w:pBdr>
              <w:rPr>
                <w:rFonts w:asciiTheme="minorHAnsi" w:hAnsiTheme="minorHAnsi"/>
                <w:bCs/>
                <w:sz w:val="18"/>
                <w:szCs w:val="16"/>
              </w:rPr>
            </w:pPr>
            <w:r w:rsidRPr="002262F2">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20F588FC" w14:textId="77777777" w:rsidR="00A27215" w:rsidRPr="00E175B3" w:rsidRDefault="00A27215" w:rsidP="0041177B">
            <w:pPr>
              <w:jc w:val="center"/>
              <w:rPr>
                <w:rFonts w:eastAsia="Times New Roman" w:cs="Times New Roman"/>
                <w:b/>
                <w:bCs/>
                <w:color w:val="000000"/>
                <w:sz w:val="14"/>
                <w:szCs w:val="14"/>
                <w:u w:val="single"/>
                <w:lang w:eastAsia="en-GB"/>
              </w:rPr>
            </w:pPr>
          </w:p>
        </w:tc>
      </w:tr>
    </w:tbl>
    <w:p w14:paraId="4D638A3C" w14:textId="77777777" w:rsidR="00E97121" w:rsidRDefault="00E97121" w:rsidP="00A27215">
      <w:pPr>
        <w:pStyle w:val="Heading3"/>
        <w:spacing w:before="0" w:after="0" w:line="240" w:lineRule="auto"/>
        <w:rPr>
          <w:rFonts w:cstheme="minorHAnsi"/>
          <w:color w:val="7F7F7F" w:themeColor="text1" w:themeTint="80"/>
        </w:rPr>
        <w:sectPr w:rsidR="00E97121" w:rsidSect="002746C0">
          <w:pgSz w:w="11906" w:h="16838"/>
          <w:pgMar w:top="1440" w:right="1440" w:bottom="1440" w:left="1440" w:header="708" w:footer="708" w:gutter="0"/>
          <w:cols w:space="708"/>
          <w:docGrid w:linePitch="360"/>
        </w:sectPr>
      </w:pPr>
      <w:bookmarkStart w:id="389" w:name="_Toc197557184"/>
    </w:p>
    <w:p w14:paraId="1AC93D7F" w14:textId="77777777" w:rsidR="00A27215" w:rsidRPr="00F77F54" w:rsidRDefault="00A27215" w:rsidP="00A27215">
      <w:pPr>
        <w:pStyle w:val="Heading3"/>
        <w:spacing w:before="0" w:after="0" w:line="240" w:lineRule="auto"/>
      </w:pPr>
      <w:bookmarkStart w:id="390" w:name="_Toc201512575"/>
      <w:r w:rsidRPr="000518C3">
        <w:rPr>
          <w:rFonts w:cstheme="minorHAnsi"/>
          <w:color w:val="7F7F7F" w:themeColor="text1" w:themeTint="80"/>
        </w:rPr>
        <w:t>Va</w:t>
      </w:r>
      <w:r w:rsidRPr="00F77F54">
        <w:t>riation by deprivation quintile</w:t>
      </w:r>
      <w:bookmarkEnd w:id="389"/>
      <w:bookmarkEnd w:id="390"/>
      <w:r w:rsidRPr="00F77F54">
        <w:t xml:space="preserve"> </w:t>
      </w:r>
    </w:p>
    <w:p w14:paraId="3548FBC4" w14:textId="3857E765" w:rsidR="00A27215" w:rsidRPr="000518C3" w:rsidRDefault="00A27215" w:rsidP="00A27215">
      <w:pPr>
        <w:spacing w:after="0" w:line="240" w:lineRule="auto"/>
        <w:rPr>
          <w:rFonts w:cstheme="minorHAnsi"/>
          <w:color w:val="000000" w:themeColor="text1"/>
        </w:rPr>
      </w:pPr>
      <w:r w:rsidRPr="000518C3">
        <w:rPr>
          <w:rFonts w:cstheme="minorHAnsi"/>
          <w:color w:val="000000" w:themeColor="text1"/>
        </w:rPr>
        <w:t xml:space="preserve">Age-standardised incidence rates of </w:t>
      </w:r>
      <w:r>
        <w:rPr>
          <w:rFonts w:cstheme="minorHAnsi"/>
        </w:rPr>
        <w:t>AML</w:t>
      </w:r>
      <w:r w:rsidRPr="000518C3">
        <w:rPr>
          <w:rFonts w:cstheme="minorHAnsi"/>
        </w:rPr>
        <w:t xml:space="preserve"> </w:t>
      </w:r>
      <w:r w:rsidRPr="000518C3">
        <w:rPr>
          <w:rFonts w:cstheme="minorHAnsi"/>
          <w:color w:val="000000" w:themeColor="text1"/>
        </w:rPr>
        <w:t xml:space="preserve">in 2014-2018 </w:t>
      </w:r>
      <w:r>
        <w:rPr>
          <w:rFonts w:cstheme="minorHAnsi"/>
          <w:color w:val="000000" w:themeColor="text1"/>
        </w:rPr>
        <w:t xml:space="preserve">were 4.1 </w:t>
      </w:r>
      <w:r w:rsidRPr="000518C3">
        <w:rPr>
          <w:rFonts w:cstheme="minorHAnsi"/>
          <w:color w:val="000000" w:themeColor="text1"/>
        </w:rPr>
        <w:t>per 100,000</w:t>
      </w:r>
      <w:r>
        <w:rPr>
          <w:rFonts w:cstheme="minorHAnsi"/>
          <w:color w:val="000000" w:themeColor="text1"/>
        </w:rPr>
        <w:t xml:space="preserve"> in the least deprived quintile and 3.9 in the most deprived quintile with the lowest prevalence in the intermediate quintile (2.9 per 100,000). Overall incidence rates were similar across quintiles with similar patterns evident among males and females </w:t>
      </w:r>
      <w:r w:rsidRPr="000518C3">
        <w:rPr>
          <w:rFonts w:cstheme="minorHAnsi"/>
          <w:color w:val="000000" w:themeColor="text1"/>
        </w:rPr>
        <w:t xml:space="preserve">(Figure </w:t>
      </w:r>
      <w:r w:rsidR="00E97121">
        <w:rPr>
          <w:rFonts w:cstheme="minorHAnsi"/>
          <w:color w:val="000000" w:themeColor="text1"/>
        </w:rPr>
        <w:t>21.3</w:t>
      </w:r>
      <w:r w:rsidRPr="000518C3">
        <w:rPr>
          <w:rFonts w:cstheme="minorHAnsi"/>
          <w:color w:val="000000" w:themeColor="text1"/>
        </w:rPr>
        <w:t>).</w:t>
      </w:r>
    </w:p>
    <w:p w14:paraId="4BEF64BF" w14:textId="77777777" w:rsidR="00A27215" w:rsidRPr="001F254D" w:rsidRDefault="00A27215" w:rsidP="00A27215">
      <w:pPr>
        <w:spacing w:after="0" w:line="240" w:lineRule="auto"/>
      </w:pPr>
    </w:p>
    <w:tbl>
      <w:tblPr>
        <w:tblStyle w:val="TableGrid"/>
        <w:tblW w:w="9924" w:type="dxa"/>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0"/>
        <w:gridCol w:w="3259"/>
        <w:gridCol w:w="3535"/>
      </w:tblGrid>
      <w:tr w:rsidR="00A27215" w:rsidRPr="001F254D" w14:paraId="17B82953" w14:textId="77777777" w:rsidTr="0041177B">
        <w:trPr>
          <w:trHeight w:val="113"/>
        </w:trPr>
        <w:tc>
          <w:tcPr>
            <w:tcW w:w="9924" w:type="dxa"/>
            <w:gridSpan w:val="3"/>
            <w:shd w:val="clear" w:color="auto" w:fill="002060"/>
          </w:tcPr>
          <w:p w14:paraId="39F8C55C" w14:textId="690EBF32" w:rsidR="00A27215" w:rsidRPr="00E97121" w:rsidRDefault="00A27215" w:rsidP="0041177B">
            <w:pPr>
              <w:rPr>
                <w:rFonts w:asciiTheme="minorHAnsi" w:hAnsiTheme="minorHAnsi" w:cstheme="minorHAnsi"/>
                <w:b/>
                <w:bCs/>
                <w:color w:val="FFFFFF" w:themeColor="background1"/>
              </w:rPr>
            </w:pPr>
            <w:r w:rsidRPr="00E97121">
              <w:rPr>
                <w:rFonts w:asciiTheme="minorHAnsi" w:hAnsiTheme="minorHAnsi" w:cstheme="minorHAnsi"/>
                <w:b/>
                <w:bCs/>
                <w:color w:val="FFFFFF" w:themeColor="background1"/>
              </w:rPr>
              <w:t>Figure</w:t>
            </w:r>
            <w:r w:rsidR="00E97121" w:rsidRPr="00E97121">
              <w:rPr>
                <w:rFonts w:asciiTheme="minorHAnsi" w:hAnsiTheme="minorHAnsi" w:cstheme="minorHAnsi"/>
                <w:b/>
                <w:bCs/>
                <w:color w:val="FFFFFF" w:themeColor="background1"/>
              </w:rPr>
              <w:t xml:space="preserve"> 21.3:</w:t>
            </w:r>
            <w:r w:rsidRPr="00E97121">
              <w:rPr>
                <w:rFonts w:asciiTheme="minorHAnsi" w:hAnsiTheme="minorHAnsi" w:cstheme="minorHAnsi"/>
                <w:b/>
                <w:bCs/>
                <w:color w:val="FFFFFF" w:themeColor="background1"/>
              </w:rPr>
              <w:t xml:space="preserve"> Incidence rate (per 100,000) for Acute Myeloid Leukaemia by deprivation quintile, 2014-2018</w:t>
            </w:r>
          </w:p>
        </w:tc>
      </w:tr>
      <w:tr w:rsidR="00A27215" w:rsidRPr="001F254D" w14:paraId="44E31A86" w14:textId="77777777" w:rsidTr="0041177B">
        <w:trPr>
          <w:trHeight w:val="113"/>
        </w:trPr>
        <w:tc>
          <w:tcPr>
            <w:tcW w:w="2872" w:type="dxa"/>
            <w:shd w:val="clear" w:color="auto" w:fill="auto"/>
          </w:tcPr>
          <w:p w14:paraId="0F1612E6" w14:textId="77777777" w:rsidR="00A27215" w:rsidRPr="001F254D" w:rsidRDefault="00A27215" w:rsidP="0041177B">
            <w:pPr>
              <w:jc w:val="center"/>
              <w:rPr>
                <w:rFonts w:asciiTheme="minorHAnsi" w:hAnsiTheme="minorHAnsi" w:cstheme="minorHAnsi"/>
                <w:color w:val="000000" w:themeColor="text1"/>
              </w:rPr>
            </w:pPr>
            <w:r w:rsidRPr="001F254D">
              <w:rPr>
                <w:rFonts w:asciiTheme="minorHAnsi" w:hAnsiTheme="minorHAnsi" w:cstheme="minorHAnsi"/>
                <w:color w:val="000000" w:themeColor="text1"/>
              </w:rPr>
              <w:t>Total</w:t>
            </w:r>
          </w:p>
        </w:tc>
        <w:tc>
          <w:tcPr>
            <w:tcW w:w="3323" w:type="dxa"/>
            <w:shd w:val="clear" w:color="auto" w:fill="auto"/>
          </w:tcPr>
          <w:p w14:paraId="5CDFA871" w14:textId="77777777" w:rsidR="00A27215" w:rsidRPr="001F254D" w:rsidRDefault="00A27215" w:rsidP="0041177B">
            <w:pPr>
              <w:jc w:val="center"/>
              <w:rPr>
                <w:rFonts w:asciiTheme="minorHAnsi" w:hAnsiTheme="minorHAnsi" w:cstheme="minorHAnsi"/>
                <w:color w:val="000000" w:themeColor="text1"/>
              </w:rPr>
            </w:pPr>
            <w:r w:rsidRPr="001F254D">
              <w:rPr>
                <w:rFonts w:asciiTheme="minorHAnsi" w:hAnsiTheme="minorHAnsi" w:cstheme="minorHAnsi"/>
                <w:color w:val="000000" w:themeColor="text1"/>
              </w:rPr>
              <w:t>Males</w:t>
            </w:r>
          </w:p>
        </w:tc>
        <w:tc>
          <w:tcPr>
            <w:tcW w:w="3729" w:type="dxa"/>
          </w:tcPr>
          <w:p w14:paraId="0B4DDB4F" w14:textId="77777777" w:rsidR="00A27215" w:rsidRPr="001F254D" w:rsidRDefault="00A27215" w:rsidP="0041177B">
            <w:pPr>
              <w:jc w:val="center"/>
              <w:rPr>
                <w:rFonts w:asciiTheme="minorHAnsi" w:hAnsiTheme="minorHAnsi" w:cstheme="minorHAnsi"/>
                <w:color w:val="000000" w:themeColor="text1"/>
              </w:rPr>
            </w:pPr>
            <w:r w:rsidRPr="001F254D">
              <w:rPr>
                <w:rFonts w:asciiTheme="minorHAnsi" w:hAnsiTheme="minorHAnsi" w:cstheme="minorHAnsi"/>
                <w:color w:val="000000" w:themeColor="text1"/>
              </w:rPr>
              <w:t>Females</w:t>
            </w:r>
          </w:p>
        </w:tc>
      </w:tr>
      <w:tr w:rsidR="00A27215" w:rsidRPr="001F254D" w14:paraId="284C1C15" w14:textId="77777777" w:rsidTr="0041177B">
        <w:trPr>
          <w:trHeight w:val="113"/>
        </w:trPr>
        <w:tc>
          <w:tcPr>
            <w:tcW w:w="2872" w:type="dxa"/>
            <w:shd w:val="clear" w:color="auto" w:fill="auto"/>
          </w:tcPr>
          <w:p w14:paraId="577D62B1" w14:textId="77777777" w:rsidR="00A27215" w:rsidRPr="001F254D" w:rsidRDefault="00A27215" w:rsidP="0041177B">
            <w:pPr>
              <w:rPr>
                <w:rFonts w:asciiTheme="minorHAnsi" w:eastAsia="Times New Roman" w:hAnsiTheme="minorHAnsi" w:cs="Times New Roman"/>
                <w:lang w:eastAsia="en-GB"/>
              </w:rPr>
            </w:pPr>
            <w:r w:rsidRPr="001F254D">
              <w:rPr>
                <w:rFonts w:eastAsia="Times New Roman" w:cs="Times New Roman"/>
                <w:noProof/>
                <w:lang w:eastAsia="en-GB"/>
              </w:rPr>
              <w:drawing>
                <wp:inline distT="0" distB="0" distL="0" distR="0" wp14:anchorId="58786064" wp14:editId="282E0001">
                  <wp:extent cx="1850475" cy="1436400"/>
                  <wp:effectExtent l="0" t="0" r="0" b="0"/>
                  <wp:docPr id="840234848" name="Picture 7" descr="A graph with numbers and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34848" name="Picture 7" descr="A graph with numbers and a number&#10;&#10;AI-generated content may be incorrect."/>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850475" cy="1436400"/>
                          </a:xfrm>
                          <a:prstGeom prst="rect">
                            <a:avLst/>
                          </a:prstGeom>
                          <a:noFill/>
                        </pic:spPr>
                      </pic:pic>
                    </a:graphicData>
                  </a:graphic>
                </wp:inline>
              </w:drawing>
            </w:r>
          </w:p>
        </w:tc>
        <w:tc>
          <w:tcPr>
            <w:tcW w:w="3323" w:type="dxa"/>
            <w:shd w:val="clear" w:color="auto" w:fill="auto"/>
          </w:tcPr>
          <w:p w14:paraId="003FFC3E" w14:textId="77777777" w:rsidR="00A27215" w:rsidRPr="001F254D" w:rsidRDefault="00A27215" w:rsidP="0041177B">
            <w:pPr>
              <w:rPr>
                <w:rFonts w:asciiTheme="minorHAnsi" w:hAnsiTheme="minorHAnsi" w:cstheme="minorHAnsi"/>
                <w:color w:val="000000" w:themeColor="text1"/>
                <w:lang w:val="en-GB"/>
              </w:rPr>
            </w:pPr>
            <w:r w:rsidRPr="001F254D">
              <w:rPr>
                <w:rFonts w:eastAsia="Times New Roman" w:cs="Times New Roman"/>
                <w:noProof/>
                <w:lang w:eastAsia="en-GB"/>
              </w:rPr>
              <w:drawing>
                <wp:inline distT="0" distB="0" distL="0" distR="0" wp14:anchorId="0E5C9E82" wp14:editId="63E26D37">
                  <wp:extent cx="1846854" cy="1436400"/>
                  <wp:effectExtent l="0" t="0" r="1270" b="0"/>
                  <wp:docPr id="2014617562" name="Picture 3" descr="A graph with blue rectangl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617562" name="Picture 3" descr="A graph with blue rectangles and black text&#10;&#10;AI-generated content may be incorrect."/>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846854" cy="1436400"/>
                          </a:xfrm>
                          <a:prstGeom prst="rect">
                            <a:avLst/>
                          </a:prstGeom>
                          <a:noFill/>
                        </pic:spPr>
                      </pic:pic>
                    </a:graphicData>
                  </a:graphic>
                </wp:inline>
              </w:drawing>
            </w:r>
          </w:p>
        </w:tc>
        <w:tc>
          <w:tcPr>
            <w:tcW w:w="3729" w:type="dxa"/>
          </w:tcPr>
          <w:p w14:paraId="31BC8521" w14:textId="77777777" w:rsidR="00A27215" w:rsidRPr="001F254D" w:rsidRDefault="00A27215" w:rsidP="0041177B">
            <w:pPr>
              <w:jc w:val="center"/>
              <w:rPr>
                <w:rFonts w:asciiTheme="minorHAnsi" w:hAnsiTheme="minorHAnsi" w:cstheme="minorHAnsi"/>
                <w:color w:val="000000" w:themeColor="text1"/>
              </w:rPr>
            </w:pPr>
            <w:r w:rsidRPr="001F254D">
              <w:rPr>
                <w:rFonts w:eastAsia="Times New Roman" w:cs="Times New Roman"/>
                <w:noProof/>
                <w:lang w:eastAsia="en-GB"/>
              </w:rPr>
              <w:drawing>
                <wp:inline distT="0" distB="0" distL="0" distR="0" wp14:anchorId="4691A8FC" wp14:editId="00630FBB">
                  <wp:extent cx="1850476" cy="1436400"/>
                  <wp:effectExtent l="0" t="0" r="0" b="0"/>
                  <wp:docPr id="62998118" name="Picture 9" descr="A graph of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98118" name="Picture 9" descr="A graph of numbers and a bar chart&#10;&#10;AI-generated content may be incorrect."/>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850476" cy="1436400"/>
                          </a:xfrm>
                          <a:prstGeom prst="rect">
                            <a:avLst/>
                          </a:prstGeom>
                          <a:noFill/>
                        </pic:spPr>
                      </pic:pic>
                    </a:graphicData>
                  </a:graphic>
                </wp:inline>
              </w:drawing>
            </w:r>
          </w:p>
        </w:tc>
      </w:tr>
    </w:tbl>
    <w:p w14:paraId="0ADE125F" w14:textId="77777777" w:rsidR="001A3B02" w:rsidRPr="001A3B02" w:rsidRDefault="001A3B02" w:rsidP="001A3B02"/>
    <w:p w14:paraId="04737798" w14:textId="77777777" w:rsidR="00A27215" w:rsidRDefault="00A27215" w:rsidP="00A27215">
      <w:pPr>
        <w:pStyle w:val="Heading2"/>
        <w:spacing w:before="0" w:after="0" w:line="240" w:lineRule="auto"/>
      </w:pPr>
      <w:bookmarkStart w:id="391" w:name="_Toc197557185"/>
      <w:bookmarkStart w:id="392" w:name="_Toc201512576"/>
      <w:r>
        <w:t>Mortality</w:t>
      </w:r>
      <w:bookmarkEnd w:id="391"/>
      <w:bookmarkEnd w:id="392"/>
    </w:p>
    <w:p w14:paraId="5CBFB4B8" w14:textId="77777777" w:rsidR="00A27215" w:rsidRPr="00581DE6" w:rsidRDefault="00A27215" w:rsidP="00A27215">
      <w:pPr>
        <w:spacing w:after="0" w:line="240" w:lineRule="auto"/>
        <w:rPr>
          <w:rFonts w:cstheme="minorHAnsi"/>
        </w:rPr>
      </w:pPr>
      <w:r>
        <w:t>I</w:t>
      </w:r>
      <w:r w:rsidRPr="00C23F48">
        <w:t xml:space="preserve">t was not possible to generate </w:t>
      </w:r>
      <w:r>
        <w:t xml:space="preserve">data on mortality rates nor </w:t>
      </w:r>
      <w:r w:rsidRPr="00C23F48">
        <w:t>trend</w:t>
      </w:r>
      <w:r>
        <w:t xml:space="preserve">s over time </w:t>
      </w:r>
      <w:r w:rsidRPr="00C23F48">
        <w:t xml:space="preserve">for </w:t>
      </w:r>
      <w:r>
        <w:t>AML</w:t>
      </w:r>
      <w:r w:rsidRPr="00C23F48">
        <w:t>.</w:t>
      </w:r>
      <w:r>
        <w:t xml:space="preserve"> </w:t>
      </w:r>
      <w:r w:rsidRPr="00581DE6">
        <w:rPr>
          <w:rFonts w:cstheme="minorHAnsi"/>
        </w:rPr>
        <w:t>AML is defined by its morphology type i.e. it is a subset of ICD10 C92. The CSO does not quote mortality figures for AML as a single entity.</w:t>
      </w:r>
    </w:p>
    <w:p w14:paraId="4184E104" w14:textId="77777777" w:rsidR="00A27215" w:rsidRPr="00C23F48" w:rsidRDefault="00A27215" w:rsidP="00A27215">
      <w:pPr>
        <w:spacing w:after="0" w:line="240" w:lineRule="auto"/>
      </w:pPr>
    </w:p>
    <w:p w14:paraId="21B93F0E" w14:textId="77777777" w:rsidR="00A27215" w:rsidRPr="00BE154B" w:rsidRDefault="00A27215" w:rsidP="00A27215">
      <w:pPr>
        <w:pStyle w:val="Heading2"/>
        <w:spacing w:before="0" w:after="0" w:line="240" w:lineRule="auto"/>
      </w:pPr>
      <w:bookmarkStart w:id="393" w:name="_Toc201512577"/>
      <w:bookmarkStart w:id="394" w:name="_Toc197557186"/>
      <w:r w:rsidRPr="00BE154B">
        <w:t>Survival</w:t>
      </w:r>
      <w:bookmarkEnd w:id="393"/>
      <w:r w:rsidRPr="00BE154B">
        <w:t xml:space="preserve"> </w:t>
      </w:r>
      <w:bookmarkEnd w:id="394"/>
    </w:p>
    <w:p w14:paraId="5AB4C570" w14:textId="0896E01F" w:rsidR="00A27215" w:rsidRPr="000C58A6" w:rsidRDefault="00A27215" w:rsidP="00A27215">
      <w:pPr>
        <w:spacing w:after="0" w:line="240" w:lineRule="auto"/>
        <w:rPr>
          <w:rFonts w:cstheme="minorHAnsi"/>
        </w:rPr>
      </w:pPr>
      <w:r w:rsidRPr="00BE154B">
        <w:rPr>
          <w:rFonts w:cstheme="minorHAnsi"/>
        </w:rPr>
        <w:t xml:space="preserve">For AML cancer in Ireland overall 5-year net survival was 32% for cases diagnosed during 2019-2022 (Figure </w:t>
      </w:r>
      <w:r w:rsidR="00E97121">
        <w:rPr>
          <w:rFonts w:cstheme="minorHAnsi"/>
        </w:rPr>
        <w:t>21.4</w:t>
      </w:r>
      <w:r w:rsidRPr="00BE154B">
        <w:rPr>
          <w:rFonts w:cstheme="minorHAnsi"/>
        </w:rPr>
        <w:t xml:space="preserve">). This estimate was five percentage points higher than the survival rates seen in 2014-2018 period. 5-year net survival for 2019-2023 was higher for females (37%) than for males (28%). </w:t>
      </w:r>
    </w:p>
    <w:p w14:paraId="64075338" w14:textId="77777777" w:rsidR="00A27215" w:rsidRDefault="00A27215" w:rsidP="00A27215">
      <w:pPr>
        <w:spacing w:after="0" w:line="240" w:lineRule="auto"/>
      </w:pPr>
    </w:p>
    <w:tbl>
      <w:tblPr>
        <w:tblStyle w:val="TableGrid"/>
        <w:tblW w:w="9924" w:type="dxa"/>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8"/>
        <w:gridCol w:w="3198"/>
        <w:gridCol w:w="3528"/>
      </w:tblGrid>
      <w:tr w:rsidR="00A27215" w:rsidRPr="00A21BCE" w14:paraId="7B98A49E" w14:textId="77777777" w:rsidTr="0041177B">
        <w:trPr>
          <w:trHeight w:val="113"/>
        </w:trPr>
        <w:tc>
          <w:tcPr>
            <w:tcW w:w="9924" w:type="dxa"/>
            <w:gridSpan w:val="3"/>
            <w:shd w:val="clear" w:color="auto" w:fill="002060"/>
          </w:tcPr>
          <w:p w14:paraId="08107D04" w14:textId="4C38ADB8" w:rsidR="00A27215" w:rsidRPr="00E97121" w:rsidRDefault="00A27215" w:rsidP="0041177B">
            <w:pPr>
              <w:rPr>
                <w:rFonts w:asciiTheme="minorHAnsi" w:hAnsiTheme="minorHAnsi" w:cstheme="minorHAnsi"/>
                <w:b/>
                <w:bCs/>
              </w:rPr>
            </w:pPr>
            <w:r w:rsidRPr="00E97121">
              <w:rPr>
                <w:rFonts w:asciiTheme="minorHAnsi" w:hAnsiTheme="minorHAnsi" w:cstheme="minorHAnsi"/>
                <w:b/>
                <w:bCs/>
                <w:sz w:val="24"/>
                <w:szCs w:val="24"/>
              </w:rPr>
              <w:t xml:space="preserve">Figure </w:t>
            </w:r>
            <w:r w:rsidR="00E97121" w:rsidRPr="00E97121">
              <w:rPr>
                <w:rFonts w:asciiTheme="minorHAnsi" w:hAnsiTheme="minorHAnsi" w:cstheme="minorHAnsi"/>
                <w:b/>
                <w:bCs/>
                <w:sz w:val="24"/>
                <w:szCs w:val="24"/>
              </w:rPr>
              <w:t xml:space="preserve">21.4: </w:t>
            </w:r>
            <w:r w:rsidRPr="00E97121">
              <w:rPr>
                <w:rFonts w:asciiTheme="minorHAnsi" w:hAnsiTheme="minorHAnsi" w:cstheme="minorHAnsi"/>
                <w:b/>
                <w:bCs/>
                <w:sz w:val="24"/>
                <w:szCs w:val="24"/>
              </w:rPr>
              <w:t xml:space="preserve">Age-standardised 5-year net survival (%) for </w:t>
            </w:r>
            <w:r w:rsidRPr="00E97121">
              <w:rPr>
                <w:rFonts w:asciiTheme="minorHAnsi" w:hAnsiTheme="minorHAnsi" w:cstheme="minorHAnsi"/>
                <w:b/>
                <w:bCs/>
                <w:color w:val="FFFFFF" w:themeColor="background1"/>
              </w:rPr>
              <w:t xml:space="preserve">Acute Myeloid Leukaemia </w:t>
            </w:r>
            <w:r w:rsidRPr="00E97121">
              <w:rPr>
                <w:rFonts w:asciiTheme="minorHAnsi" w:hAnsiTheme="minorHAnsi" w:cstheme="minorHAnsi"/>
                <w:b/>
                <w:bCs/>
                <w:sz w:val="24"/>
                <w:szCs w:val="24"/>
              </w:rPr>
              <w:t>over six consecutive diagnosis periods</w:t>
            </w:r>
          </w:p>
        </w:tc>
      </w:tr>
      <w:tr w:rsidR="00A27215" w:rsidRPr="00A21BCE" w14:paraId="7117ABA7" w14:textId="77777777" w:rsidTr="0041177B">
        <w:trPr>
          <w:trHeight w:val="113"/>
        </w:trPr>
        <w:tc>
          <w:tcPr>
            <w:tcW w:w="3150" w:type="dxa"/>
            <w:shd w:val="clear" w:color="auto" w:fill="auto"/>
          </w:tcPr>
          <w:p w14:paraId="29F03B02" w14:textId="77777777" w:rsidR="00A27215" w:rsidRPr="00A21BCE" w:rsidRDefault="00A27215" w:rsidP="0041177B">
            <w:pPr>
              <w:jc w:val="center"/>
              <w:rPr>
                <w:rFonts w:asciiTheme="minorHAnsi" w:hAnsiTheme="minorHAnsi" w:cstheme="minorHAnsi"/>
                <w:color w:val="000000" w:themeColor="text1"/>
              </w:rPr>
            </w:pPr>
            <w:r w:rsidRPr="00A21BCE">
              <w:rPr>
                <w:rFonts w:asciiTheme="minorHAnsi" w:hAnsiTheme="minorHAnsi" w:cstheme="minorHAnsi"/>
                <w:color w:val="000000" w:themeColor="text1"/>
              </w:rPr>
              <w:t>Total</w:t>
            </w:r>
          </w:p>
        </w:tc>
        <w:tc>
          <w:tcPr>
            <w:tcW w:w="3151" w:type="dxa"/>
            <w:shd w:val="clear" w:color="auto" w:fill="auto"/>
          </w:tcPr>
          <w:p w14:paraId="00148E14" w14:textId="77777777" w:rsidR="00A27215" w:rsidRPr="00A21BCE" w:rsidRDefault="00A27215" w:rsidP="0041177B">
            <w:pPr>
              <w:jc w:val="center"/>
              <w:rPr>
                <w:rFonts w:asciiTheme="minorHAnsi" w:hAnsiTheme="minorHAnsi" w:cstheme="minorHAnsi"/>
                <w:color w:val="000000" w:themeColor="text1"/>
              </w:rPr>
            </w:pPr>
            <w:r>
              <w:rPr>
                <w:rFonts w:asciiTheme="minorHAnsi" w:hAnsiTheme="minorHAnsi" w:cstheme="minorHAnsi"/>
                <w:color w:val="000000" w:themeColor="text1"/>
              </w:rPr>
              <w:t>Males</w:t>
            </w:r>
          </w:p>
        </w:tc>
        <w:tc>
          <w:tcPr>
            <w:tcW w:w="3623" w:type="dxa"/>
          </w:tcPr>
          <w:p w14:paraId="2F9B3A48" w14:textId="77777777" w:rsidR="00A27215" w:rsidRPr="00A21BCE" w:rsidRDefault="00A27215" w:rsidP="0041177B">
            <w:pPr>
              <w:jc w:val="center"/>
              <w:rPr>
                <w:rFonts w:asciiTheme="minorHAnsi" w:hAnsiTheme="minorHAnsi" w:cstheme="minorHAnsi"/>
                <w:color w:val="000000" w:themeColor="text1"/>
              </w:rPr>
            </w:pPr>
            <w:r>
              <w:rPr>
                <w:rFonts w:asciiTheme="minorHAnsi" w:hAnsiTheme="minorHAnsi" w:cstheme="minorHAnsi"/>
                <w:color w:val="000000" w:themeColor="text1"/>
              </w:rPr>
              <w:t>Females</w:t>
            </w:r>
          </w:p>
        </w:tc>
      </w:tr>
      <w:tr w:rsidR="00A27215" w:rsidRPr="00A21BCE" w14:paraId="48633CCB" w14:textId="77777777" w:rsidTr="0041177B">
        <w:trPr>
          <w:trHeight w:val="113"/>
        </w:trPr>
        <w:tc>
          <w:tcPr>
            <w:tcW w:w="3150" w:type="dxa"/>
            <w:shd w:val="clear" w:color="auto" w:fill="auto"/>
          </w:tcPr>
          <w:p w14:paraId="342128CB" w14:textId="77777777" w:rsidR="00A27215" w:rsidRPr="00A21BCE" w:rsidRDefault="00A27215" w:rsidP="0041177B">
            <w:pPr>
              <w:rPr>
                <w:rFonts w:asciiTheme="minorHAnsi" w:eastAsia="Times New Roman" w:hAnsiTheme="minorHAnsi" w:cs="Times New Roman"/>
                <w:lang w:eastAsia="en-GB"/>
              </w:rPr>
            </w:pPr>
            <w:r w:rsidRPr="00A21BCE">
              <w:rPr>
                <w:rFonts w:eastAsia="Times New Roman" w:cs="Times New Roman"/>
                <w:noProof/>
                <w:lang w:eastAsia="en-GB"/>
              </w:rPr>
              <w:drawing>
                <wp:inline distT="0" distB="0" distL="0" distR="0" wp14:anchorId="48D87CA5" wp14:editId="260C4BBF">
                  <wp:extent cx="1893600" cy="1422000"/>
                  <wp:effectExtent l="0" t="0" r="0" b="6985"/>
                  <wp:docPr id="28" name="Picture 26" descr="A graph with numbers and a number of yea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6" descr="A graph with numbers and a number of years&#10;&#10;AI-generated content may be incorrect."/>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893600" cy="1422000"/>
                          </a:xfrm>
                          <a:prstGeom prst="rect">
                            <a:avLst/>
                          </a:prstGeom>
                          <a:noFill/>
                          <a:ln>
                            <a:noFill/>
                          </a:ln>
                        </pic:spPr>
                      </pic:pic>
                    </a:graphicData>
                  </a:graphic>
                </wp:inline>
              </w:drawing>
            </w:r>
          </w:p>
        </w:tc>
        <w:tc>
          <w:tcPr>
            <w:tcW w:w="3151" w:type="dxa"/>
            <w:shd w:val="clear" w:color="auto" w:fill="auto"/>
          </w:tcPr>
          <w:p w14:paraId="7726C8C9" w14:textId="77777777" w:rsidR="00A27215" w:rsidRPr="00A21BCE" w:rsidRDefault="00A27215" w:rsidP="0041177B">
            <w:pPr>
              <w:rPr>
                <w:rFonts w:asciiTheme="minorHAnsi" w:hAnsiTheme="minorHAnsi" w:cstheme="minorHAnsi"/>
                <w:color w:val="000000" w:themeColor="text1"/>
                <w:lang w:val="en-GB"/>
              </w:rPr>
            </w:pPr>
            <w:r w:rsidRPr="00A21BCE">
              <w:rPr>
                <w:rFonts w:eastAsia="Times New Roman" w:cs="Times New Roman"/>
                <w:noProof/>
                <w:lang w:eastAsia="en-GB"/>
              </w:rPr>
              <w:drawing>
                <wp:inline distT="0" distB="0" distL="0" distR="0" wp14:anchorId="16FD1840" wp14:editId="40C2B454">
                  <wp:extent cx="1893600" cy="1422000"/>
                  <wp:effectExtent l="0" t="0" r="0" b="6985"/>
                  <wp:docPr id="1174672628" name="Picture 25" descr="A graph with numbers and a number of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4672628" name="Picture 25" descr="A graph with numbers and a number of numbers&#10;&#10;AI-generated content may be incorrect."/>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893600" cy="1422000"/>
                          </a:xfrm>
                          <a:prstGeom prst="rect">
                            <a:avLst/>
                          </a:prstGeom>
                          <a:noFill/>
                          <a:ln>
                            <a:noFill/>
                          </a:ln>
                        </pic:spPr>
                      </pic:pic>
                    </a:graphicData>
                  </a:graphic>
                </wp:inline>
              </w:drawing>
            </w:r>
          </w:p>
        </w:tc>
        <w:tc>
          <w:tcPr>
            <w:tcW w:w="3623" w:type="dxa"/>
          </w:tcPr>
          <w:p w14:paraId="25F1CD71" w14:textId="77777777" w:rsidR="00A27215" w:rsidRPr="00A21BCE" w:rsidRDefault="00A27215" w:rsidP="0041177B">
            <w:pPr>
              <w:jc w:val="center"/>
              <w:rPr>
                <w:rFonts w:asciiTheme="minorHAnsi" w:hAnsiTheme="minorHAnsi" w:cstheme="minorHAnsi"/>
                <w:color w:val="000000" w:themeColor="text1"/>
              </w:rPr>
            </w:pPr>
            <w:r w:rsidRPr="00A21BCE">
              <w:rPr>
                <w:rFonts w:eastAsia="Times New Roman" w:cs="Times New Roman"/>
                <w:noProof/>
                <w:lang w:eastAsia="en-GB"/>
              </w:rPr>
              <w:drawing>
                <wp:inline distT="0" distB="0" distL="0" distR="0" wp14:anchorId="136DAB8F" wp14:editId="088CE179">
                  <wp:extent cx="1894115" cy="1422000"/>
                  <wp:effectExtent l="0" t="0" r="0" b="6985"/>
                  <wp:docPr id="26" name="Picture 24" descr="A graph with numbers and a number of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4" descr="A graph with numbers and a number of numbers&#10;&#10;AI-generated content may be incorrect."/>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894115" cy="1422000"/>
                          </a:xfrm>
                          <a:prstGeom prst="rect">
                            <a:avLst/>
                          </a:prstGeom>
                          <a:noFill/>
                          <a:ln>
                            <a:noFill/>
                          </a:ln>
                        </pic:spPr>
                      </pic:pic>
                    </a:graphicData>
                  </a:graphic>
                </wp:inline>
              </w:drawing>
            </w:r>
          </w:p>
        </w:tc>
      </w:tr>
    </w:tbl>
    <w:p w14:paraId="2220224C" w14:textId="77777777" w:rsidR="00A27215" w:rsidRDefault="00A27215" w:rsidP="00A27215">
      <w:pPr>
        <w:spacing w:after="0" w:line="240" w:lineRule="auto"/>
        <w:sectPr w:rsidR="00A27215" w:rsidSect="002746C0">
          <w:pgSz w:w="11906" w:h="16838"/>
          <w:pgMar w:top="1440" w:right="1440" w:bottom="1440" w:left="1440" w:header="708" w:footer="708" w:gutter="0"/>
          <w:cols w:space="708"/>
          <w:docGrid w:linePitch="360"/>
        </w:sectPr>
      </w:pPr>
    </w:p>
    <w:p w14:paraId="45D07C53" w14:textId="77777777" w:rsidR="00A27215" w:rsidRDefault="00A27215" w:rsidP="00A27215">
      <w:pPr>
        <w:pStyle w:val="Heading2"/>
        <w:spacing w:before="0" w:after="0" w:line="240" w:lineRule="auto"/>
      </w:pPr>
      <w:bookmarkStart w:id="395" w:name="_Toc197557187"/>
      <w:bookmarkStart w:id="396" w:name="_Toc201512578"/>
      <w:r>
        <w:t>Population Attributable Fraction</w:t>
      </w:r>
      <w:bookmarkEnd w:id="395"/>
      <w:bookmarkEnd w:id="396"/>
    </w:p>
    <w:p w14:paraId="6A3E5743" w14:textId="50A408D9" w:rsidR="00A27215" w:rsidRDefault="00A27215" w:rsidP="00A27215">
      <w:pPr>
        <w:spacing w:after="0" w:line="240" w:lineRule="auto"/>
        <w:rPr>
          <w:rFonts w:cstheme="minorHAnsi"/>
        </w:rPr>
      </w:pPr>
      <w:r w:rsidRPr="007A2F1B">
        <w:rPr>
          <w:rFonts w:cstheme="minorHAnsi"/>
        </w:rPr>
        <w:t>In 2022, 140 cases of AML were reported (83 males, 57 females).</w:t>
      </w:r>
      <w:r>
        <w:rPr>
          <w:rFonts w:cstheme="minorHAnsi"/>
        </w:rPr>
        <w:t xml:space="preserve"> The estimated total number of AML cases attributable to smoking in Ireland in 2022 was 29 (PAF 20.7%). Table </w:t>
      </w:r>
      <w:r w:rsidR="00137C46">
        <w:rPr>
          <w:rFonts w:cstheme="minorHAnsi"/>
        </w:rPr>
        <w:t>20.1</w:t>
      </w:r>
      <w:r>
        <w:rPr>
          <w:rFonts w:cstheme="minorHAnsi"/>
        </w:rPr>
        <w:t xml:space="preserve"> presents the difference between male and female AML incidence related to smoking.</w:t>
      </w:r>
      <w:r>
        <w:t xml:space="preserve"> </w:t>
      </w:r>
      <w:r>
        <w:rPr>
          <w:rFonts w:cstheme="minorHAnsi"/>
        </w:rPr>
        <w:t>Males had a higher PAF than females, 21.8% vs 19.2%.</w:t>
      </w:r>
    </w:p>
    <w:p w14:paraId="74A6A0BE" w14:textId="77777777" w:rsidR="00A27215" w:rsidRDefault="00A27215" w:rsidP="00A27215">
      <w:pPr>
        <w:spacing w:after="0" w:line="240" w:lineRule="auto"/>
        <w:rPr>
          <w:rFonts w:cstheme="minorHAnsi"/>
        </w:rPr>
      </w:pPr>
    </w:p>
    <w:tbl>
      <w:tblPr>
        <w:tblStyle w:val="TableGrid"/>
        <w:tblW w:w="5396" w:type="pct"/>
        <w:tblInd w:w="-714" w:type="dxa"/>
        <w:tblLook w:val="04A0" w:firstRow="1" w:lastRow="0" w:firstColumn="1" w:lastColumn="0" w:noHBand="0" w:noVBand="1"/>
      </w:tblPr>
      <w:tblGrid>
        <w:gridCol w:w="2744"/>
        <w:gridCol w:w="2300"/>
        <w:gridCol w:w="2436"/>
        <w:gridCol w:w="2250"/>
      </w:tblGrid>
      <w:tr w:rsidR="00A27215" w14:paraId="1CFEAD29" w14:textId="77777777">
        <w:tc>
          <w:tcPr>
            <w:tcW w:w="5000" w:type="pct"/>
            <w:gridSpan w:val="4"/>
            <w:tcBorders>
              <w:top w:val="single" w:sz="4" w:space="0" w:color="auto"/>
              <w:left w:val="single" w:sz="4" w:space="0" w:color="auto"/>
              <w:bottom w:val="single" w:sz="4" w:space="0" w:color="auto"/>
              <w:right w:val="single" w:sz="4" w:space="0" w:color="auto"/>
            </w:tcBorders>
            <w:shd w:val="clear" w:color="auto" w:fill="002060"/>
            <w:hideMark/>
          </w:tcPr>
          <w:p w14:paraId="37719F72" w14:textId="00361C02" w:rsidR="00A27215" w:rsidRPr="00137C46" w:rsidRDefault="00A27215" w:rsidP="0041177B">
            <w:pPr>
              <w:rPr>
                <w:rFonts w:asciiTheme="minorHAnsi" w:hAnsiTheme="minorHAnsi" w:cstheme="minorHAnsi"/>
                <w:b/>
                <w:bCs/>
                <w:color w:val="FFFFFF" w:themeColor="background1"/>
              </w:rPr>
            </w:pPr>
            <w:r w:rsidRPr="00137C46">
              <w:rPr>
                <w:rFonts w:asciiTheme="minorHAnsi" w:hAnsiTheme="minorHAnsi" w:cstheme="minorHAnsi"/>
                <w:b/>
                <w:bCs/>
                <w:color w:val="FFFFFF" w:themeColor="background1"/>
              </w:rPr>
              <w:t xml:space="preserve">Table </w:t>
            </w:r>
            <w:r w:rsidR="00137C46">
              <w:rPr>
                <w:rFonts w:asciiTheme="minorHAnsi" w:hAnsiTheme="minorHAnsi" w:cstheme="minorHAnsi"/>
                <w:b/>
                <w:bCs/>
                <w:color w:val="FFFFFF" w:themeColor="background1"/>
              </w:rPr>
              <w:t>2</w:t>
            </w:r>
            <w:r w:rsidR="00E97121">
              <w:rPr>
                <w:rFonts w:asciiTheme="minorHAnsi" w:hAnsiTheme="minorHAnsi" w:cstheme="minorHAnsi"/>
                <w:b/>
                <w:bCs/>
                <w:color w:val="FFFFFF" w:themeColor="background1"/>
              </w:rPr>
              <w:t>1</w:t>
            </w:r>
            <w:r w:rsidR="00137C46">
              <w:rPr>
                <w:rFonts w:asciiTheme="minorHAnsi" w:hAnsiTheme="minorHAnsi" w:cstheme="minorHAnsi"/>
                <w:b/>
                <w:bCs/>
                <w:color w:val="FFFFFF" w:themeColor="background1"/>
              </w:rPr>
              <w:t>.1</w:t>
            </w:r>
            <w:r w:rsidRPr="00137C46">
              <w:rPr>
                <w:rFonts w:asciiTheme="minorHAnsi" w:hAnsiTheme="minorHAnsi" w:cstheme="minorHAnsi"/>
                <w:b/>
                <w:bCs/>
                <w:color w:val="FFFFFF" w:themeColor="background1"/>
              </w:rPr>
              <w:t>: Population attributable fraction and attributable cases for AML in 2022</w:t>
            </w:r>
          </w:p>
        </w:tc>
      </w:tr>
      <w:tr w:rsidR="00A27215" w14:paraId="1C595B70" w14:textId="77777777">
        <w:tc>
          <w:tcPr>
            <w:tcW w:w="1410" w:type="pct"/>
            <w:tcBorders>
              <w:top w:val="single" w:sz="4" w:space="0" w:color="auto"/>
              <w:left w:val="single" w:sz="4" w:space="0" w:color="auto"/>
              <w:bottom w:val="single" w:sz="4" w:space="0" w:color="auto"/>
              <w:right w:val="single" w:sz="4" w:space="0" w:color="auto"/>
            </w:tcBorders>
          </w:tcPr>
          <w:p w14:paraId="7145C214" w14:textId="77777777" w:rsidR="00A27215" w:rsidRDefault="00A27215" w:rsidP="0041177B">
            <w:pPr>
              <w:rPr>
                <w:rFonts w:asciiTheme="minorHAnsi" w:hAnsiTheme="minorHAnsi" w:cstheme="minorHAnsi"/>
              </w:rPr>
            </w:pPr>
          </w:p>
        </w:tc>
        <w:tc>
          <w:tcPr>
            <w:tcW w:w="1182" w:type="pct"/>
            <w:tcBorders>
              <w:top w:val="single" w:sz="4" w:space="0" w:color="auto"/>
              <w:left w:val="single" w:sz="4" w:space="0" w:color="auto"/>
              <w:bottom w:val="single" w:sz="4" w:space="0" w:color="auto"/>
              <w:right w:val="single" w:sz="4" w:space="0" w:color="auto"/>
            </w:tcBorders>
            <w:hideMark/>
          </w:tcPr>
          <w:p w14:paraId="1C335E59" w14:textId="77777777" w:rsidR="00A27215" w:rsidRDefault="00A27215" w:rsidP="0041177B">
            <w:pPr>
              <w:jc w:val="center"/>
              <w:rPr>
                <w:rFonts w:asciiTheme="minorHAnsi" w:hAnsiTheme="minorHAnsi" w:cstheme="minorHAnsi"/>
              </w:rPr>
            </w:pPr>
            <w:r>
              <w:rPr>
                <w:rFonts w:asciiTheme="minorHAnsi" w:hAnsiTheme="minorHAnsi" w:cstheme="minorHAnsi"/>
              </w:rPr>
              <w:t>Total</w:t>
            </w:r>
          </w:p>
        </w:tc>
        <w:tc>
          <w:tcPr>
            <w:tcW w:w="1252" w:type="pct"/>
            <w:tcBorders>
              <w:top w:val="single" w:sz="4" w:space="0" w:color="auto"/>
              <w:left w:val="single" w:sz="4" w:space="0" w:color="auto"/>
              <w:bottom w:val="single" w:sz="4" w:space="0" w:color="auto"/>
              <w:right w:val="single" w:sz="4" w:space="0" w:color="auto"/>
            </w:tcBorders>
            <w:hideMark/>
          </w:tcPr>
          <w:p w14:paraId="79B73127" w14:textId="77777777" w:rsidR="00A27215" w:rsidRDefault="00A27215" w:rsidP="0041177B">
            <w:pPr>
              <w:jc w:val="center"/>
              <w:rPr>
                <w:rFonts w:asciiTheme="minorHAnsi" w:hAnsiTheme="minorHAnsi" w:cstheme="minorHAnsi"/>
              </w:rPr>
            </w:pPr>
            <w:r>
              <w:rPr>
                <w:rFonts w:asciiTheme="minorHAnsi" w:hAnsiTheme="minorHAnsi" w:cstheme="minorHAnsi"/>
              </w:rPr>
              <w:t>Males</w:t>
            </w:r>
          </w:p>
        </w:tc>
        <w:tc>
          <w:tcPr>
            <w:tcW w:w="1156" w:type="pct"/>
            <w:tcBorders>
              <w:top w:val="single" w:sz="4" w:space="0" w:color="auto"/>
              <w:left w:val="single" w:sz="4" w:space="0" w:color="auto"/>
              <w:bottom w:val="single" w:sz="4" w:space="0" w:color="auto"/>
              <w:right w:val="single" w:sz="4" w:space="0" w:color="auto"/>
            </w:tcBorders>
            <w:hideMark/>
          </w:tcPr>
          <w:p w14:paraId="03E5A78C" w14:textId="77777777" w:rsidR="00A27215" w:rsidRDefault="00A27215" w:rsidP="0041177B">
            <w:pPr>
              <w:jc w:val="center"/>
              <w:rPr>
                <w:rFonts w:asciiTheme="minorHAnsi" w:hAnsiTheme="minorHAnsi" w:cstheme="minorHAnsi"/>
              </w:rPr>
            </w:pPr>
            <w:r>
              <w:rPr>
                <w:rFonts w:asciiTheme="minorHAnsi" w:hAnsiTheme="minorHAnsi" w:cstheme="minorHAnsi"/>
              </w:rPr>
              <w:t>Females</w:t>
            </w:r>
          </w:p>
        </w:tc>
      </w:tr>
      <w:tr w:rsidR="00A27215" w14:paraId="33522301" w14:textId="77777777">
        <w:tc>
          <w:tcPr>
            <w:tcW w:w="1410" w:type="pct"/>
            <w:tcBorders>
              <w:top w:val="single" w:sz="4" w:space="0" w:color="auto"/>
              <w:left w:val="single" w:sz="4" w:space="0" w:color="auto"/>
              <w:bottom w:val="single" w:sz="4" w:space="0" w:color="auto"/>
              <w:right w:val="single" w:sz="4" w:space="0" w:color="auto"/>
            </w:tcBorders>
            <w:hideMark/>
          </w:tcPr>
          <w:p w14:paraId="2B15864B" w14:textId="77777777" w:rsidR="00A27215" w:rsidRPr="00440B8E" w:rsidRDefault="00A27215" w:rsidP="0041177B">
            <w:pPr>
              <w:rPr>
                <w:rFonts w:asciiTheme="minorHAnsi" w:hAnsiTheme="minorHAnsi" w:cstheme="minorHAnsi"/>
              </w:rPr>
            </w:pPr>
            <w:r w:rsidRPr="00440B8E">
              <w:rPr>
                <w:rFonts w:asciiTheme="minorHAnsi" w:hAnsiTheme="minorHAnsi" w:cstheme="minorHAnsi"/>
              </w:rPr>
              <w:t>PAF (%)</w:t>
            </w:r>
          </w:p>
        </w:tc>
        <w:tc>
          <w:tcPr>
            <w:tcW w:w="1182" w:type="pct"/>
            <w:tcBorders>
              <w:top w:val="single" w:sz="4" w:space="0" w:color="auto"/>
              <w:left w:val="single" w:sz="4" w:space="0" w:color="auto"/>
              <w:bottom w:val="single" w:sz="4" w:space="0" w:color="auto"/>
              <w:right w:val="single" w:sz="4" w:space="0" w:color="auto"/>
            </w:tcBorders>
            <w:hideMark/>
          </w:tcPr>
          <w:p w14:paraId="73CDC455" w14:textId="77777777" w:rsidR="00A27215" w:rsidRPr="00440B8E" w:rsidRDefault="00A27215" w:rsidP="0041177B">
            <w:pPr>
              <w:jc w:val="center"/>
              <w:rPr>
                <w:rFonts w:asciiTheme="minorHAnsi" w:hAnsiTheme="minorHAnsi" w:cstheme="minorHAnsi"/>
              </w:rPr>
            </w:pPr>
            <w:r w:rsidRPr="00440B8E">
              <w:rPr>
                <w:rFonts w:asciiTheme="minorHAnsi" w:hAnsiTheme="minorHAnsi" w:cstheme="minorHAnsi"/>
              </w:rPr>
              <w:t>20.7</w:t>
            </w:r>
          </w:p>
        </w:tc>
        <w:tc>
          <w:tcPr>
            <w:tcW w:w="1252" w:type="pct"/>
            <w:tcBorders>
              <w:top w:val="single" w:sz="4" w:space="0" w:color="auto"/>
              <w:left w:val="single" w:sz="4" w:space="0" w:color="auto"/>
              <w:bottom w:val="single" w:sz="4" w:space="0" w:color="auto"/>
              <w:right w:val="single" w:sz="4" w:space="0" w:color="auto"/>
            </w:tcBorders>
            <w:hideMark/>
          </w:tcPr>
          <w:p w14:paraId="37F1EFF5" w14:textId="77777777" w:rsidR="00A27215" w:rsidRPr="00440B8E" w:rsidRDefault="00A27215" w:rsidP="0041177B">
            <w:pPr>
              <w:jc w:val="center"/>
              <w:rPr>
                <w:rFonts w:asciiTheme="minorHAnsi" w:hAnsiTheme="minorHAnsi" w:cstheme="minorHAnsi"/>
              </w:rPr>
            </w:pPr>
            <w:r w:rsidRPr="00440B8E">
              <w:rPr>
                <w:rFonts w:asciiTheme="minorHAnsi" w:hAnsiTheme="minorHAnsi" w:cstheme="minorHAnsi"/>
              </w:rPr>
              <w:t>21.8</w:t>
            </w:r>
          </w:p>
        </w:tc>
        <w:tc>
          <w:tcPr>
            <w:tcW w:w="1156" w:type="pct"/>
            <w:tcBorders>
              <w:top w:val="single" w:sz="4" w:space="0" w:color="auto"/>
              <w:left w:val="single" w:sz="4" w:space="0" w:color="auto"/>
              <w:bottom w:val="single" w:sz="4" w:space="0" w:color="auto"/>
              <w:right w:val="single" w:sz="4" w:space="0" w:color="auto"/>
            </w:tcBorders>
            <w:hideMark/>
          </w:tcPr>
          <w:p w14:paraId="578F663D" w14:textId="77777777" w:rsidR="00A27215" w:rsidRPr="00440B8E" w:rsidRDefault="00A27215" w:rsidP="0041177B">
            <w:pPr>
              <w:jc w:val="center"/>
              <w:rPr>
                <w:rFonts w:asciiTheme="minorHAnsi" w:hAnsiTheme="minorHAnsi" w:cstheme="minorHAnsi"/>
              </w:rPr>
            </w:pPr>
            <w:r w:rsidRPr="00440B8E">
              <w:rPr>
                <w:rFonts w:asciiTheme="minorHAnsi" w:hAnsiTheme="minorHAnsi" w:cstheme="minorHAnsi"/>
              </w:rPr>
              <w:t>19.2</w:t>
            </w:r>
          </w:p>
        </w:tc>
      </w:tr>
      <w:tr w:rsidR="00440B8E" w14:paraId="6EB14BA2" w14:textId="77777777">
        <w:tc>
          <w:tcPr>
            <w:tcW w:w="1410" w:type="pct"/>
            <w:tcBorders>
              <w:top w:val="single" w:sz="4" w:space="0" w:color="auto"/>
              <w:left w:val="single" w:sz="4" w:space="0" w:color="auto"/>
              <w:bottom w:val="single" w:sz="4" w:space="0" w:color="auto"/>
              <w:right w:val="single" w:sz="4" w:space="0" w:color="auto"/>
            </w:tcBorders>
          </w:tcPr>
          <w:p w14:paraId="5F11C030" w14:textId="5FB10AAB" w:rsidR="00440B8E" w:rsidRPr="006C1190" w:rsidRDefault="00440B8E" w:rsidP="0041177B">
            <w:pPr>
              <w:rPr>
                <w:rFonts w:asciiTheme="minorHAnsi" w:hAnsiTheme="minorHAnsi" w:cstheme="minorHAnsi"/>
              </w:rPr>
            </w:pPr>
            <w:r w:rsidRPr="001048C4">
              <w:rPr>
                <w:rFonts w:asciiTheme="minorHAnsi" w:hAnsiTheme="minorHAnsi" w:cstheme="minorHAnsi"/>
              </w:rPr>
              <w:t>Total cases</w:t>
            </w:r>
          </w:p>
        </w:tc>
        <w:tc>
          <w:tcPr>
            <w:tcW w:w="1182" w:type="pct"/>
            <w:tcBorders>
              <w:top w:val="single" w:sz="4" w:space="0" w:color="auto"/>
              <w:left w:val="single" w:sz="4" w:space="0" w:color="auto"/>
              <w:bottom w:val="single" w:sz="4" w:space="0" w:color="auto"/>
              <w:right w:val="single" w:sz="4" w:space="0" w:color="auto"/>
            </w:tcBorders>
          </w:tcPr>
          <w:p w14:paraId="4706DCE2" w14:textId="13FB98F8" w:rsidR="00440B8E" w:rsidRPr="006C1190" w:rsidRDefault="00440B8E" w:rsidP="0041177B">
            <w:pPr>
              <w:jc w:val="center"/>
              <w:rPr>
                <w:rFonts w:asciiTheme="minorHAnsi" w:hAnsiTheme="minorHAnsi" w:cstheme="minorHAnsi"/>
              </w:rPr>
            </w:pPr>
            <w:r w:rsidRPr="001048C4">
              <w:rPr>
                <w:rFonts w:asciiTheme="minorHAnsi" w:hAnsiTheme="minorHAnsi" w:cstheme="minorHAnsi"/>
              </w:rPr>
              <w:t>140</w:t>
            </w:r>
          </w:p>
        </w:tc>
        <w:tc>
          <w:tcPr>
            <w:tcW w:w="1252" w:type="pct"/>
            <w:tcBorders>
              <w:top w:val="single" w:sz="4" w:space="0" w:color="auto"/>
              <w:left w:val="single" w:sz="4" w:space="0" w:color="auto"/>
              <w:bottom w:val="single" w:sz="4" w:space="0" w:color="auto"/>
              <w:right w:val="single" w:sz="4" w:space="0" w:color="auto"/>
            </w:tcBorders>
          </w:tcPr>
          <w:p w14:paraId="6D54B612" w14:textId="6CFDDC52" w:rsidR="00440B8E" w:rsidRPr="006C1190" w:rsidRDefault="00440B8E" w:rsidP="0041177B">
            <w:pPr>
              <w:jc w:val="center"/>
              <w:rPr>
                <w:rFonts w:asciiTheme="minorHAnsi" w:hAnsiTheme="minorHAnsi" w:cstheme="minorHAnsi"/>
              </w:rPr>
            </w:pPr>
            <w:r w:rsidRPr="001048C4">
              <w:rPr>
                <w:rFonts w:asciiTheme="minorHAnsi" w:hAnsiTheme="minorHAnsi" w:cstheme="minorHAnsi"/>
              </w:rPr>
              <w:t>83</w:t>
            </w:r>
          </w:p>
        </w:tc>
        <w:tc>
          <w:tcPr>
            <w:tcW w:w="1156" w:type="pct"/>
            <w:tcBorders>
              <w:top w:val="single" w:sz="4" w:space="0" w:color="auto"/>
              <w:left w:val="single" w:sz="4" w:space="0" w:color="auto"/>
              <w:bottom w:val="single" w:sz="4" w:space="0" w:color="auto"/>
              <w:right w:val="single" w:sz="4" w:space="0" w:color="auto"/>
            </w:tcBorders>
          </w:tcPr>
          <w:p w14:paraId="65D9C6EC" w14:textId="2E62D542" w:rsidR="00440B8E" w:rsidRPr="006C1190" w:rsidRDefault="00440B8E" w:rsidP="0041177B">
            <w:pPr>
              <w:jc w:val="center"/>
              <w:rPr>
                <w:rFonts w:asciiTheme="minorHAnsi" w:hAnsiTheme="minorHAnsi" w:cstheme="minorHAnsi"/>
              </w:rPr>
            </w:pPr>
            <w:r w:rsidRPr="001048C4">
              <w:rPr>
                <w:rFonts w:asciiTheme="minorHAnsi" w:hAnsiTheme="minorHAnsi" w:cstheme="minorHAnsi"/>
              </w:rPr>
              <w:t>57</w:t>
            </w:r>
          </w:p>
        </w:tc>
      </w:tr>
      <w:tr w:rsidR="00A27215" w14:paraId="1BC34D49" w14:textId="77777777">
        <w:tc>
          <w:tcPr>
            <w:tcW w:w="1410" w:type="pct"/>
            <w:tcBorders>
              <w:top w:val="single" w:sz="4" w:space="0" w:color="auto"/>
              <w:left w:val="single" w:sz="4" w:space="0" w:color="auto"/>
              <w:bottom w:val="single" w:sz="4" w:space="0" w:color="auto"/>
              <w:right w:val="single" w:sz="4" w:space="0" w:color="auto"/>
            </w:tcBorders>
            <w:hideMark/>
          </w:tcPr>
          <w:p w14:paraId="7115A5F7" w14:textId="77777777" w:rsidR="00A27215" w:rsidRPr="00440B8E" w:rsidRDefault="00A27215" w:rsidP="0041177B">
            <w:pPr>
              <w:rPr>
                <w:rFonts w:asciiTheme="minorHAnsi" w:hAnsiTheme="minorHAnsi" w:cstheme="minorHAnsi"/>
              </w:rPr>
            </w:pPr>
            <w:r w:rsidRPr="00440B8E">
              <w:rPr>
                <w:rFonts w:asciiTheme="minorHAnsi" w:hAnsiTheme="minorHAnsi" w:cstheme="minorHAnsi"/>
              </w:rPr>
              <w:t>Attributable cases</w:t>
            </w:r>
          </w:p>
        </w:tc>
        <w:tc>
          <w:tcPr>
            <w:tcW w:w="1182" w:type="pct"/>
            <w:tcBorders>
              <w:top w:val="single" w:sz="4" w:space="0" w:color="auto"/>
              <w:left w:val="single" w:sz="4" w:space="0" w:color="auto"/>
              <w:bottom w:val="single" w:sz="4" w:space="0" w:color="auto"/>
              <w:right w:val="single" w:sz="4" w:space="0" w:color="auto"/>
            </w:tcBorders>
            <w:hideMark/>
          </w:tcPr>
          <w:p w14:paraId="668CF54E" w14:textId="77777777" w:rsidR="00A27215" w:rsidRPr="00440B8E" w:rsidRDefault="00A27215" w:rsidP="0041177B">
            <w:pPr>
              <w:jc w:val="center"/>
              <w:rPr>
                <w:rFonts w:asciiTheme="minorHAnsi" w:hAnsiTheme="minorHAnsi" w:cstheme="minorHAnsi"/>
              </w:rPr>
            </w:pPr>
            <w:r w:rsidRPr="00440B8E">
              <w:rPr>
                <w:rFonts w:asciiTheme="minorHAnsi" w:hAnsiTheme="minorHAnsi" w:cstheme="minorHAnsi"/>
              </w:rPr>
              <w:t>29</w:t>
            </w:r>
          </w:p>
        </w:tc>
        <w:tc>
          <w:tcPr>
            <w:tcW w:w="1252" w:type="pct"/>
            <w:tcBorders>
              <w:top w:val="single" w:sz="4" w:space="0" w:color="auto"/>
              <w:left w:val="single" w:sz="4" w:space="0" w:color="auto"/>
              <w:bottom w:val="single" w:sz="4" w:space="0" w:color="auto"/>
              <w:right w:val="single" w:sz="4" w:space="0" w:color="auto"/>
            </w:tcBorders>
            <w:hideMark/>
          </w:tcPr>
          <w:p w14:paraId="48ABA5D9" w14:textId="77777777" w:rsidR="00A27215" w:rsidRPr="00440B8E" w:rsidRDefault="00A27215" w:rsidP="0041177B">
            <w:pPr>
              <w:jc w:val="center"/>
              <w:rPr>
                <w:rFonts w:asciiTheme="minorHAnsi" w:hAnsiTheme="minorHAnsi" w:cstheme="minorHAnsi"/>
              </w:rPr>
            </w:pPr>
            <w:r w:rsidRPr="00440B8E">
              <w:rPr>
                <w:rFonts w:asciiTheme="minorHAnsi" w:hAnsiTheme="minorHAnsi" w:cstheme="minorHAnsi"/>
              </w:rPr>
              <w:t>18</w:t>
            </w:r>
          </w:p>
        </w:tc>
        <w:tc>
          <w:tcPr>
            <w:tcW w:w="1156" w:type="pct"/>
            <w:tcBorders>
              <w:top w:val="single" w:sz="4" w:space="0" w:color="auto"/>
              <w:left w:val="single" w:sz="4" w:space="0" w:color="auto"/>
              <w:bottom w:val="single" w:sz="4" w:space="0" w:color="auto"/>
              <w:right w:val="single" w:sz="4" w:space="0" w:color="auto"/>
            </w:tcBorders>
            <w:hideMark/>
          </w:tcPr>
          <w:p w14:paraId="7C0660FA" w14:textId="77777777" w:rsidR="00A27215" w:rsidRPr="00440B8E" w:rsidRDefault="00A27215" w:rsidP="0041177B">
            <w:pPr>
              <w:jc w:val="center"/>
              <w:rPr>
                <w:rFonts w:asciiTheme="minorHAnsi" w:hAnsiTheme="minorHAnsi" w:cstheme="minorHAnsi"/>
              </w:rPr>
            </w:pPr>
            <w:r w:rsidRPr="00440B8E">
              <w:rPr>
                <w:rFonts w:asciiTheme="minorHAnsi" w:hAnsiTheme="minorHAnsi" w:cstheme="minorHAnsi"/>
              </w:rPr>
              <w:t>11</w:t>
            </w:r>
          </w:p>
        </w:tc>
      </w:tr>
    </w:tbl>
    <w:p w14:paraId="2E78A3BD" w14:textId="77777777" w:rsidR="00A27215" w:rsidRPr="003B70A0" w:rsidRDefault="00A27215" w:rsidP="00A27215">
      <w:pPr>
        <w:spacing w:after="0" w:line="240" w:lineRule="auto"/>
        <w:sectPr w:rsidR="00A27215" w:rsidRPr="003B70A0" w:rsidSect="002746C0">
          <w:pgSz w:w="11906" w:h="16838"/>
          <w:pgMar w:top="1440" w:right="1440" w:bottom="1440" w:left="1440" w:header="708" w:footer="708" w:gutter="0"/>
          <w:cols w:space="708"/>
          <w:docGrid w:linePitch="360"/>
        </w:sectPr>
      </w:pPr>
    </w:p>
    <w:p w14:paraId="652E68AB" w14:textId="462A9A15" w:rsidR="00A27215" w:rsidRDefault="00137C46" w:rsidP="00A27215">
      <w:pPr>
        <w:pStyle w:val="Heading1"/>
        <w:spacing w:before="0" w:after="0" w:line="240" w:lineRule="auto"/>
      </w:pPr>
      <w:bookmarkStart w:id="397" w:name="_Toc196991619"/>
      <w:bookmarkStart w:id="398" w:name="_Toc197557188"/>
      <w:r>
        <w:t xml:space="preserve"> </w:t>
      </w:r>
      <w:bookmarkStart w:id="399" w:name="_Toc201512579"/>
      <w:r w:rsidR="00A27215">
        <w:t>Discussion</w:t>
      </w:r>
      <w:bookmarkEnd w:id="397"/>
      <w:bookmarkEnd w:id="398"/>
      <w:bookmarkEnd w:id="399"/>
    </w:p>
    <w:p w14:paraId="40724E40" w14:textId="208C4FC6" w:rsidR="00A27215" w:rsidRDefault="00A27215" w:rsidP="006C1190">
      <w:pPr>
        <w:spacing w:line="240" w:lineRule="auto"/>
        <w:rPr>
          <w:rStyle w:val="cf01"/>
          <w:rFonts w:eastAsiaTheme="majorEastAsia"/>
          <w:color w:val="0F4761" w:themeColor="accent1" w:themeShade="BF"/>
        </w:rPr>
      </w:pPr>
      <w:r w:rsidRPr="6A7A52F9">
        <w:rPr>
          <w:rStyle w:val="normaltextrun"/>
          <w:rFonts w:ascii="Aptos" w:eastAsiaTheme="minorEastAsia" w:hAnsi="Aptos" w:cs="Segoe UI"/>
        </w:rPr>
        <w:t xml:space="preserve">This is the first report to comprehensively examine the burden of tobacco-related cancers in Ireland. </w:t>
      </w:r>
      <w:r w:rsidR="001048C4">
        <w:rPr>
          <w:rStyle w:val="normaltextrun"/>
          <w:rFonts w:ascii="Aptos" w:eastAsiaTheme="minorEastAsia" w:hAnsi="Aptos" w:cs="Segoe UI"/>
        </w:rPr>
        <w:t>This report shows that d</w:t>
      </w:r>
      <w:r w:rsidRPr="00631A27">
        <w:rPr>
          <w:rStyle w:val="normaltextrun"/>
          <w:rFonts w:ascii="Aptos" w:eastAsiaTheme="minorEastAsia" w:hAnsi="Aptos" w:cs="Segoe UI"/>
        </w:rPr>
        <w:t>espite</w:t>
      </w:r>
      <w:r w:rsidR="00B210F6">
        <w:rPr>
          <w:rStyle w:val="normaltextrun"/>
          <w:rFonts w:ascii="Aptos" w:eastAsiaTheme="minorEastAsia" w:hAnsi="Aptos" w:cs="Segoe UI"/>
        </w:rPr>
        <w:t xml:space="preserve"> </w:t>
      </w:r>
      <w:r w:rsidR="001048C4">
        <w:rPr>
          <w:rStyle w:val="normaltextrun"/>
          <w:rFonts w:ascii="Aptos" w:eastAsiaTheme="minorEastAsia" w:hAnsi="Aptos" w:cs="Segoe UI"/>
        </w:rPr>
        <w:t>declin</w:t>
      </w:r>
      <w:r w:rsidR="00B23C03">
        <w:rPr>
          <w:rStyle w:val="normaltextrun"/>
          <w:rFonts w:ascii="Aptos" w:eastAsiaTheme="minorEastAsia" w:hAnsi="Aptos" w:cs="Segoe UI"/>
        </w:rPr>
        <w:t>es in</w:t>
      </w:r>
      <w:r w:rsidRPr="00631A27">
        <w:rPr>
          <w:rStyle w:val="normaltextrun"/>
          <w:rFonts w:ascii="Aptos" w:eastAsiaTheme="minorEastAsia" w:hAnsi="Aptos" w:cs="Segoe UI"/>
        </w:rPr>
        <w:t xml:space="preserve"> smoking prevalence, tobacco use remains a major cause of cancer</w:t>
      </w:r>
      <w:r>
        <w:rPr>
          <w:rStyle w:val="normaltextrun"/>
          <w:rFonts w:ascii="Aptos" w:eastAsiaTheme="minorEastAsia" w:hAnsi="Aptos" w:cs="Segoe UI"/>
        </w:rPr>
        <w:t xml:space="preserve"> in Ireland.</w:t>
      </w:r>
      <w:r w:rsidRPr="00631A27">
        <w:rPr>
          <w:rStyle w:val="normaltextrun"/>
          <w:rFonts w:ascii="Aptos" w:eastAsiaTheme="minorEastAsia" w:hAnsi="Aptos"/>
        </w:rPr>
        <w:t xml:space="preserve"> </w:t>
      </w:r>
      <w:r w:rsidR="006D7EEA" w:rsidRPr="004A6DF8">
        <w:t xml:space="preserve">There </w:t>
      </w:r>
      <w:r w:rsidR="006D7EEA">
        <w:t xml:space="preserve">is </w:t>
      </w:r>
      <w:r w:rsidR="006D7EEA" w:rsidRPr="004A6DF8">
        <w:t>a l</w:t>
      </w:r>
      <w:r w:rsidR="001013C4" w:rsidRPr="00CA39BE">
        <w:t xml:space="preserve">ag between changes in smoking prevalence and changes in </w:t>
      </w:r>
      <w:r w:rsidR="006D7EEA" w:rsidRPr="004A6DF8">
        <w:t xml:space="preserve">tobacco-related </w:t>
      </w:r>
      <w:r w:rsidR="001013C4" w:rsidRPr="00CA39BE">
        <w:t>cancer incidence and mortality</w:t>
      </w:r>
      <w:r w:rsidR="006D7EEA" w:rsidRPr="004A6DF8">
        <w:t xml:space="preserve">. </w:t>
      </w:r>
      <w:r w:rsidR="007C30FE" w:rsidRPr="00631A27">
        <w:rPr>
          <w:rStyle w:val="normaltextrun"/>
          <w:rFonts w:ascii="Aptos" w:eastAsiaTheme="minorEastAsia" w:hAnsi="Aptos"/>
        </w:rPr>
        <w:t>Ireland has a rapidly growing and ageing population</w:t>
      </w:r>
      <w:r w:rsidR="00115B62">
        <w:rPr>
          <w:rStyle w:val="normaltextrun"/>
          <w:rFonts w:ascii="Aptos" w:eastAsiaTheme="minorEastAsia" w:hAnsi="Aptos"/>
        </w:rPr>
        <w:t>. P</w:t>
      </w:r>
      <w:r w:rsidR="007C30FE" w:rsidRPr="00631A27">
        <w:rPr>
          <w:rStyle w:val="normaltextrun"/>
          <w:rFonts w:ascii="Aptos" w:eastAsiaTheme="minorEastAsia" w:hAnsi="Aptos"/>
        </w:rPr>
        <w:t xml:space="preserve">rojections </w:t>
      </w:r>
      <w:r w:rsidR="009A799B">
        <w:rPr>
          <w:rStyle w:val="normaltextrun"/>
          <w:rFonts w:ascii="Aptos" w:eastAsiaTheme="minorEastAsia" w:hAnsi="Aptos"/>
        </w:rPr>
        <w:t>indicat</w:t>
      </w:r>
      <w:r w:rsidR="00115B62">
        <w:rPr>
          <w:rStyle w:val="normaltextrun"/>
          <w:rFonts w:ascii="Aptos" w:eastAsiaTheme="minorEastAsia" w:hAnsi="Aptos"/>
        </w:rPr>
        <w:t>e</w:t>
      </w:r>
      <w:r w:rsidR="009A799B">
        <w:rPr>
          <w:rStyle w:val="normaltextrun"/>
          <w:rFonts w:ascii="Aptos" w:eastAsiaTheme="minorEastAsia" w:hAnsi="Aptos"/>
        </w:rPr>
        <w:t xml:space="preserve"> </w:t>
      </w:r>
      <w:r w:rsidR="0083088B">
        <w:rPr>
          <w:rStyle w:val="normaltextrun"/>
          <w:rFonts w:ascii="Aptos" w:eastAsiaTheme="minorEastAsia" w:hAnsi="Aptos"/>
        </w:rPr>
        <w:t xml:space="preserve">that </w:t>
      </w:r>
      <w:r w:rsidR="007C30FE" w:rsidRPr="584E1184">
        <w:rPr>
          <w:rStyle w:val="normaltextrun"/>
          <w:rFonts w:ascii="Aptos" w:eastAsiaTheme="minorEastAsia" w:hAnsi="Aptos"/>
        </w:rPr>
        <w:t>t</w:t>
      </w:r>
      <w:r w:rsidR="007C30FE" w:rsidRPr="0099770D">
        <w:rPr>
          <w:rStyle w:val="normaltextrun"/>
          <w:rFonts w:ascii="Aptos" w:eastAsiaTheme="minorEastAsia" w:hAnsi="Aptos" w:cs="Segoe UI"/>
        </w:rPr>
        <w:t xml:space="preserve">he number of people </w:t>
      </w:r>
      <w:r w:rsidR="007C30FE" w:rsidRPr="584E1184">
        <w:rPr>
          <w:rStyle w:val="normaltextrun"/>
          <w:rFonts w:ascii="Aptos" w:eastAsiaTheme="minorEastAsia" w:hAnsi="Aptos" w:cs="Segoe UI"/>
        </w:rPr>
        <w:t xml:space="preserve">aged </w:t>
      </w:r>
      <w:r w:rsidR="007C30FE" w:rsidRPr="0099770D">
        <w:rPr>
          <w:rStyle w:val="normaltextrun"/>
          <w:rFonts w:ascii="Aptos" w:eastAsiaTheme="minorEastAsia" w:hAnsi="Aptos" w:cs="Segoe UI"/>
        </w:rPr>
        <w:t>65</w:t>
      </w:r>
      <w:r w:rsidR="007C30FE" w:rsidRPr="584E1184">
        <w:rPr>
          <w:rStyle w:val="normaltextrun"/>
          <w:rFonts w:ascii="Aptos" w:eastAsiaTheme="minorEastAsia" w:hAnsi="Aptos" w:cs="Segoe UI"/>
        </w:rPr>
        <w:t xml:space="preserve">+ </w:t>
      </w:r>
      <w:r w:rsidR="007C30FE" w:rsidRPr="0099770D">
        <w:rPr>
          <w:rStyle w:val="normaltextrun"/>
          <w:rFonts w:ascii="Aptos" w:eastAsiaTheme="minorEastAsia" w:hAnsi="Aptos" w:cs="Segoe UI"/>
        </w:rPr>
        <w:t xml:space="preserve">years </w:t>
      </w:r>
      <w:r w:rsidR="007C30FE" w:rsidRPr="584E1184">
        <w:rPr>
          <w:rStyle w:val="normaltextrun"/>
          <w:rFonts w:ascii="Aptos" w:eastAsiaTheme="minorEastAsia" w:hAnsi="Aptos" w:cs="Segoe UI"/>
        </w:rPr>
        <w:t xml:space="preserve"> </w:t>
      </w:r>
      <w:r w:rsidR="007C30FE">
        <w:rPr>
          <w:rStyle w:val="normaltextrun"/>
          <w:rFonts w:ascii="Aptos" w:eastAsiaTheme="minorEastAsia" w:hAnsi="Aptos" w:cs="Segoe UI"/>
        </w:rPr>
        <w:t>will</w:t>
      </w:r>
      <w:r w:rsidR="007C30FE" w:rsidRPr="0099770D">
        <w:rPr>
          <w:rStyle w:val="normaltextrun"/>
          <w:rFonts w:ascii="Aptos" w:eastAsiaTheme="minorEastAsia" w:hAnsi="Aptos" w:cs="Segoe UI"/>
        </w:rPr>
        <w:t xml:space="preserve"> double to 1.6 million by 2051</w:t>
      </w:r>
      <w:r w:rsidR="007C30FE">
        <w:rPr>
          <w:rStyle w:val="normaltextrun"/>
          <w:rFonts w:ascii="Aptos" w:eastAsiaTheme="minorEastAsia" w:hAnsi="Aptos" w:cs="Segoe UI"/>
        </w:rPr>
        <w:fldChar w:fldCharType="begin"/>
      </w:r>
      <w:r w:rsidR="00A5309E">
        <w:rPr>
          <w:rStyle w:val="normaltextrun"/>
          <w:rFonts w:ascii="Aptos" w:eastAsiaTheme="minorEastAsia" w:hAnsi="Aptos" w:cs="Segoe UI"/>
        </w:rPr>
        <w:instrText xml:space="preserve"> ADDIN ZOTERO_ITEM CSL_CITATION {"citationID":"fzw1pQaq","properties":{"formattedCitation":"(59)","plainCitation":"(59)","noteIndex":0},"citationItems":[{"id":263,"uris":["http://zotero.org/users/local/fxpU1WWH/items/MRZEY3C9"],"itemData":{"id":263,"type":"webpage","language":"en","note":"publisher: CSO","title":"Press Statement Older Persons Information Hub 2024 - CSO - Central Statistics Office","URL":"https://www.cso.ie/en/csolatestnews/pressreleases/2024pressreleases/pressstatementolderpersonsinformationhub2024/","accessed":{"date-parts":[["2025",6,5]]},"issued":{"date-parts":[["2024",1,26]]}}}],"schema":"https://github.com/citation-style-language/schema/raw/master/csl-citation.json"} </w:instrText>
      </w:r>
      <w:r w:rsidR="007C30FE">
        <w:rPr>
          <w:rStyle w:val="normaltextrun"/>
          <w:rFonts w:ascii="Aptos" w:eastAsiaTheme="minorEastAsia" w:hAnsi="Aptos" w:cs="Segoe UI"/>
        </w:rPr>
        <w:fldChar w:fldCharType="separate"/>
      </w:r>
      <w:r w:rsidR="00A5309E" w:rsidRPr="00A5309E">
        <w:rPr>
          <w:rFonts w:ascii="Aptos" w:hAnsi="Aptos"/>
        </w:rPr>
        <w:t>(59)</w:t>
      </w:r>
      <w:r w:rsidR="007C30FE">
        <w:rPr>
          <w:rStyle w:val="normaltextrun"/>
          <w:rFonts w:ascii="Aptos" w:eastAsiaTheme="minorEastAsia" w:hAnsi="Aptos" w:cs="Segoe UI"/>
        </w:rPr>
        <w:fldChar w:fldCharType="end"/>
      </w:r>
      <w:r w:rsidR="007C30FE" w:rsidRPr="584E1184">
        <w:rPr>
          <w:rStyle w:val="normaltextrun"/>
          <w:rFonts w:ascii="Aptos" w:eastAsiaTheme="minorEastAsia" w:hAnsi="Aptos" w:cs="Segoe UI"/>
        </w:rPr>
        <w:t xml:space="preserve"> </w:t>
      </w:r>
      <w:r w:rsidR="00FA2351">
        <w:rPr>
          <w:rStyle w:val="normaltextrun"/>
          <w:rFonts w:ascii="Aptos" w:eastAsiaTheme="minorEastAsia" w:hAnsi="Aptos" w:cs="Segoe UI"/>
        </w:rPr>
        <w:t>while</w:t>
      </w:r>
      <w:r w:rsidR="0087521F">
        <w:rPr>
          <w:rStyle w:val="normaltextrun"/>
          <w:rFonts w:ascii="Aptos" w:eastAsiaTheme="minorEastAsia" w:hAnsi="Aptos" w:cs="Segoe UI"/>
        </w:rPr>
        <w:t xml:space="preserve"> </w:t>
      </w:r>
      <w:r w:rsidR="007C30FE" w:rsidRPr="584E1184">
        <w:rPr>
          <w:rStyle w:val="normaltextrun"/>
          <w:rFonts w:ascii="Aptos" w:eastAsiaTheme="minorEastAsia" w:hAnsi="Aptos"/>
        </w:rPr>
        <w:t xml:space="preserve">cancer </w:t>
      </w:r>
      <w:r w:rsidR="0087521F">
        <w:rPr>
          <w:rStyle w:val="normaltextrun"/>
          <w:rFonts w:ascii="Aptos" w:eastAsiaTheme="minorEastAsia" w:hAnsi="Aptos"/>
        </w:rPr>
        <w:t xml:space="preserve">incidence </w:t>
      </w:r>
      <w:r w:rsidR="007C30FE" w:rsidRPr="584E1184">
        <w:rPr>
          <w:rStyle w:val="normaltextrun"/>
          <w:rFonts w:ascii="Aptos" w:eastAsiaTheme="minorEastAsia" w:hAnsi="Aptos"/>
        </w:rPr>
        <w:t xml:space="preserve">rates </w:t>
      </w:r>
      <w:r w:rsidR="00841D00">
        <w:rPr>
          <w:rStyle w:val="normaltextrun"/>
          <w:rFonts w:ascii="Aptos" w:eastAsiaTheme="minorEastAsia" w:hAnsi="Aptos"/>
        </w:rPr>
        <w:t xml:space="preserve">will double </w:t>
      </w:r>
      <w:r w:rsidR="007C30FE" w:rsidRPr="584E1184">
        <w:rPr>
          <w:rStyle w:val="normaltextrun"/>
          <w:rFonts w:ascii="Aptos" w:eastAsiaTheme="minorEastAsia" w:hAnsi="Aptos"/>
        </w:rPr>
        <w:t>by 2045.</w:t>
      </w:r>
      <w:r w:rsidRPr="584E1184">
        <w:rPr>
          <w:rStyle w:val="normaltextrun"/>
          <w:rFonts w:ascii="Aptos" w:eastAsiaTheme="minorEastAsia" w:hAnsi="Aptos"/>
        </w:rPr>
        <w:fldChar w:fldCharType="begin"/>
      </w:r>
      <w:r w:rsidR="00A5309E">
        <w:rPr>
          <w:rStyle w:val="normaltextrun"/>
          <w:rFonts w:ascii="Aptos" w:eastAsiaTheme="minorEastAsia" w:hAnsi="Aptos"/>
        </w:rPr>
        <w:instrText xml:space="preserve"> ADDIN ZOTERO_ITEM CSL_CITATION {"citationID":"yJ7chFQJ","properties":{"formattedCitation":"(60,61)","plainCitation":"(60,61)","noteIndex":0},"citationItems":[{"id":232,"uris":["http://zotero.org/users/local/fxpU1WWH/items/MTLR5K5Y"],"itemData":{"id":232,"type":"webpage","language":"en","title":"Cancer in Ireland 1994-2017 with estimates for 2017-2019: Annual Report of the National Cancer Registry | National Cancer Registry Ireland","title-short":"Cancer in Ireland 1994-2017 with estimates for 2017-2019","URL":"https://www.ncri.ie/en/reports-publications/reports/cancer-in-ireland-1994-2017-with-estimates-for-2017-2019-annual-report","accessed":{"date-parts":[["2025",6,5]]},"issued":{"date-parts":[["2019",9,30]]}}},{"id":230,"uris":["http://zotero.org/users/local/fxpU1WWH/items/SBTDHW6Z"],"itemData":{"id":230,"type":"webpage","language":"en","note":"publisher: CSO","title":"Society Measuring Ireland's Progress 2023 - Central Statistics Office","URL":"https://www.cso.ie/en/releasesandpublications/ep/p-mip/measuringirelandsprogress2023/society/","accessed":{"date-parts":[["2025",6,5]]},"issued":{"date-parts":[["2025",4,4]]}}}],"schema":"https://github.com/citation-style-language/schema/raw/master/csl-citation.json"} </w:instrText>
      </w:r>
      <w:r w:rsidRPr="584E1184">
        <w:rPr>
          <w:rStyle w:val="normaltextrun"/>
          <w:rFonts w:ascii="Aptos" w:eastAsiaTheme="minorEastAsia" w:hAnsi="Aptos"/>
        </w:rPr>
        <w:fldChar w:fldCharType="separate"/>
      </w:r>
      <w:r w:rsidR="00A5309E" w:rsidRPr="00A5309E">
        <w:rPr>
          <w:rFonts w:ascii="Aptos" w:hAnsi="Aptos"/>
        </w:rPr>
        <w:t>(60,61)</w:t>
      </w:r>
      <w:r w:rsidRPr="584E1184">
        <w:rPr>
          <w:rStyle w:val="normaltextrun"/>
          <w:rFonts w:ascii="Aptos" w:eastAsiaTheme="minorEastAsia" w:hAnsi="Aptos"/>
        </w:rPr>
        <w:fldChar w:fldCharType="end"/>
      </w:r>
      <w:r w:rsidR="580C6D66" w:rsidRPr="584E1184">
        <w:rPr>
          <w:rStyle w:val="normaltextrun"/>
          <w:rFonts w:ascii="Aptos" w:eastAsiaTheme="minorEastAsia" w:hAnsi="Aptos"/>
        </w:rPr>
        <w:t xml:space="preserve"> </w:t>
      </w:r>
      <w:r w:rsidRPr="584E1184">
        <w:rPr>
          <w:rStyle w:val="normaltextrun"/>
          <w:rFonts w:ascii="Aptos" w:eastAsiaTheme="minorEastAsia" w:hAnsi="Aptos"/>
        </w:rPr>
        <w:t xml:space="preserve">These trends further </w:t>
      </w:r>
      <w:r w:rsidR="00663713" w:rsidRPr="584E1184">
        <w:rPr>
          <w:rStyle w:val="normaltextrun"/>
          <w:rFonts w:ascii="Aptos" w:eastAsiaTheme="minorEastAsia" w:hAnsi="Aptos"/>
        </w:rPr>
        <w:t>under</w:t>
      </w:r>
      <w:r w:rsidR="00663713">
        <w:rPr>
          <w:rStyle w:val="normaltextrun"/>
          <w:rFonts w:ascii="Aptos" w:eastAsiaTheme="minorEastAsia" w:hAnsi="Aptos"/>
        </w:rPr>
        <w:t>score</w:t>
      </w:r>
      <w:r w:rsidR="00663713" w:rsidRPr="584E1184">
        <w:rPr>
          <w:rStyle w:val="normaltextrun"/>
          <w:rFonts w:ascii="Aptos" w:eastAsiaTheme="minorEastAsia" w:hAnsi="Aptos"/>
        </w:rPr>
        <w:t xml:space="preserve"> </w:t>
      </w:r>
      <w:r w:rsidRPr="584E1184">
        <w:rPr>
          <w:rStyle w:val="normaltextrun"/>
          <w:rFonts w:ascii="Aptos" w:eastAsiaTheme="minorEastAsia" w:hAnsi="Aptos"/>
        </w:rPr>
        <w:t>the importance of advancing progress on control of modifiable risk factors for cancer</w:t>
      </w:r>
      <w:r w:rsidR="00891698">
        <w:rPr>
          <w:rStyle w:val="normaltextrun"/>
          <w:rFonts w:ascii="Aptos" w:eastAsiaTheme="minorEastAsia" w:hAnsi="Aptos"/>
        </w:rPr>
        <w:t>,</w:t>
      </w:r>
      <w:r w:rsidRPr="584E1184">
        <w:rPr>
          <w:rStyle w:val="normaltextrun"/>
          <w:rFonts w:ascii="Aptos" w:eastAsiaTheme="minorEastAsia" w:hAnsi="Aptos"/>
        </w:rPr>
        <w:t xml:space="preserve"> </w:t>
      </w:r>
      <w:r w:rsidR="008F109F" w:rsidRPr="584E1184">
        <w:rPr>
          <w:rStyle w:val="normaltextrun"/>
          <w:rFonts w:ascii="Aptos" w:eastAsiaTheme="minorEastAsia" w:hAnsi="Aptos"/>
        </w:rPr>
        <w:t>including</w:t>
      </w:r>
      <w:r w:rsidRPr="584E1184">
        <w:rPr>
          <w:rStyle w:val="normaltextrun"/>
          <w:rFonts w:ascii="Aptos" w:eastAsiaTheme="minorEastAsia" w:hAnsi="Aptos"/>
        </w:rPr>
        <w:t xml:space="preserve"> tobacco-smoking</w:t>
      </w:r>
      <w:r w:rsidR="00891698">
        <w:rPr>
          <w:rStyle w:val="normaltextrun"/>
          <w:rFonts w:ascii="Aptos" w:eastAsiaTheme="minorEastAsia" w:hAnsi="Aptos"/>
        </w:rPr>
        <w:t>,</w:t>
      </w:r>
      <w:r w:rsidRPr="584E1184">
        <w:rPr>
          <w:rStyle w:val="normaltextrun"/>
          <w:rFonts w:ascii="Aptos" w:eastAsiaTheme="minorEastAsia" w:hAnsi="Aptos"/>
        </w:rPr>
        <w:t xml:space="preserve"> to achiev</w:t>
      </w:r>
      <w:r w:rsidR="004651F7">
        <w:rPr>
          <w:rStyle w:val="normaltextrun"/>
          <w:rFonts w:ascii="Aptos" w:eastAsiaTheme="minorEastAsia" w:hAnsi="Aptos"/>
        </w:rPr>
        <w:t>e</w:t>
      </w:r>
      <w:r w:rsidRPr="584E1184">
        <w:rPr>
          <w:rStyle w:val="normaltextrun"/>
          <w:rFonts w:ascii="Aptos" w:eastAsiaTheme="minorEastAsia" w:hAnsi="Aptos"/>
        </w:rPr>
        <w:t xml:space="preserve"> cancer control in Ireland.</w:t>
      </w:r>
    </w:p>
    <w:p w14:paraId="7C30B6D4" w14:textId="77777777" w:rsidR="00A27215" w:rsidRDefault="00A27215" w:rsidP="00A27215">
      <w:pPr>
        <w:pStyle w:val="paragraph"/>
        <w:spacing w:before="0" w:beforeAutospacing="0" w:after="0" w:afterAutospacing="0"/>
        <w:textAlignment w:val="baseline"/>
        <w:rPr>
          <w:rStyle w:val="cf01"/>
          <w:rFonts w:eastAsiaTheme="majorEastAsia"/>
        </w:rPr>
      </w:pPr>
    </w:p>
    <w:p w14:paraId="73E2CB17" w14:textId="130E061D" w:rsidR="00A27215" w:rsidRPr="00C712EC" w:rsidRDefault="00A27215" w:rsidP="00A27215">
      <w:pPr>
        <w:pStyle w:val="paragraph"/>
        <w:spacing w:before="0" w:beforeAutospacing="0" w:after="0" w:afterAutospacing="0"/>
        <w:textAlignment w:val="baseline"/>
        <w:rPr>
          <w:rStyle w:val="normaltextrun"/>
          <w:rFonts w:ascii="Aptos" w:hAnsi="Aptos" w:cs="Segoe UI"/>
        </w:rPr>
      </w:pPr>
      <w:bookmarkStart w:id="400" w:name="_Hlk199425152"/>
      <w:r>
        <w:rPr>
          <w:rStyle w:val="normaltextrun"/>
          <w:rFonts w:ascii="Aptos" w:eastAsiaTheme="minorEastAsia" w:hAnsi="Aptos" w:cs="Segoe UI"/>
          <w:kern w:val="2"/>
          <w:lang w:eastAsia="en-US"/>
          <w14:ligatures w14:val="standardContextual"/>
        </w:rPr>
        <w:t>This report found that t</w:t>
      </w:r>
      <w:r w:rsidRPr="6A7A52F9">
        <w:rPr>
          <w:rStyle w:val="normaltextrun"/>
          <w:rFonts w:ascii="Aptos" w:eastAsiaTheme="minorEastAsia" w:hAnsi="Aptos" w:cs="Segoe UI"/>
          <w:kern w:val="2"/>
          <w:lang w:eastAsia="en-US"/>
          <w14:ligatures w14:val="standardContextual"/>
        </w:rPr>
        <w:t>rends in age</w:t>
      </w:r>
      <w:r w:rsidR="003510CC">
        <w:rPr>
          <w:rStyle w:val="normaltextrun"/>
          <w:rFonts w:ascii="Aptos" w:eastAsiaTheme="minorEastAsia" w:hAnsi="Aptos" w:cs="Segoe UI"/>
          <w:kern w:val="2"/>
          <w:lang w:eastAsia="en-US"/>
          <w14:ligatures w14:val="standardContextual"/>
        </w:rPr>
        <w:t>-</w:t>
      </w:r>
      <w:r w:rsidRPr="6A7A52F9">
        <w:rPr>
          <w:rStyle w:val="normaltextrun"/>
          <w:rFonts w:ascii="Aptos" w:eastAsiaTheme="minorEastAsia" w:hAnsi="Aptos" w:cs="Segoe UI"/>
          <w:kern w:val="2"/>
          <w:lang w:eastAsia="en-US"/>
          <w14:ligatures w14:val="standardContextual"/>
        </w:rPr>
        <w:t>standardised incidence and mortality</w:t>
      </w:r>
      <w:r w:rsidRPr="125B221C">
        <w:rPr>
          <w:rStyle w:val="normaltextrun"/>
          <w:rFonts w:ascii="Aptos" w:eastAsiaTheme="minorEastAsia" w:hAnsi="Aptos" w:cs="Segoe UI"/>
          <w:lang w:eastAsia="en-US"/>
        </w:rPr>
        <w:t xml:space="preserve"> </w:t>
      </w:r>
      <w:r w:rsidR="38DE2C88" w:rsidRPr="125B221C">
        <w:rPr>
          <w:rStyle w:val="normaltextrun"/>
          <w:rFonts w:ascii="Aptos" w:eastAsiaTheme="minorEastAsia" w:hAnsi="Aptos" w:cs="Segoe UI"/>
          <w:lang w:eastAsia="en-US"/>
        </w:rPr>
        <w:t>rates</w:t>
      </w:r>
      <w:r w:rsidRPr="62F2AAD7">
        <w:rPr>
          <w:rStyle w:val="normaltextrun"/>
          <w:rFonts w:ascii="Aptos" w:eastAsiaTheme="minorEastAsia" w:hAnsi="Aptos" w:cs="Segoe UI"/>
          <w:kern w:val="2"/>
          <w:lang w:eastAsia="en-US"/>
          <w14:ligatures w14:val="standardContextual"/>
        </w:rPr>
        <w:t xml:space="preserve"> </w:t>
      </w:r>
      <w:r w:rsidRPr="6A7A52F9">
        <w:rPr>
          <w:rStyle w:val="normaltextrun"/>
          <w:rFonts w:ascii="Aptos" w:eastAsiaTheme="minorEastAsia" w:hAnsi="Aptos" w:cs="Segoe UI"/>
          <w:kern w:val="2"/>
          <w:lang w:eastAsia="en-US"/>
          <w14:ligatures w14:val="standardContextual"/>
        </w:rPr>
        <w:t>for most tobacco-related cancers were declining or stable</w:t>
      </w:r>
      <w:bookmarkEnd w:id="400"/>
      <w:r w:rsidRPr="6A7A52F9">
        <w:rPr>
          <w:rStyle w:val="normaltextrun"/>
          <w:rFonts w:ascii="Aptos" w:eastAsiaTheme="minorEastAsia" w:hAnsi="Aptos" w:cs="Segoe UI"/>
          <w:kern w:val="2"/>
          <w:lang w:eastAsia="en-US"/>
          <w14:ligatures w14:val="standardContextual"/>
        </w:rPr>
        <w:t xml:space="preserve">. Five-year net survival improved across most </w:t>
      </w:r>
      <w:r w:rsidR="00366242">
        <w:rPr>
          <w:rStyle w:val="normaltextrun"/>
          <w:rFonts w:ascii="Aptos" w:eastAsiaTheme="minorEastAsia" w:hAnsi="Aptos" w:cs="Segoe UI"/>
          <w:kern w:val="2"/>
          <w:lang w:eastAsia="en-US"/>
          <w14:ligatures w14:val="standardContextual"/>
        </w:rPr>
        <w:t>cancer types</w:t>
      </w:r>
      <w:r w:rsidRPr="6A7A52F9">
        <w:rPr>
          <w:rStyle w:val="normaltextrun"/>
          <w:rFonts w:ascii="Aptos" w:eastAsiaTheme="minorEastAsia" w:hAnsi="Aptos" w:cs="Segoe UI"/>
          <w:kern w:val="2"/>
          <w:lang w:eastAsia="en-US"/>
          <w14:ligatures w14:val="standardContextual"/>
        </w:rPr>
        <w:t xml:space="preserve"> examined. </w:t>
      </w:r>
      <w:r w:rsidR="1D92E40E" w:rsidRPr="6E25F1F3">
        <w:rPr>
          <w:rFonts w:asciiTheme="minorHAnsi" w:eastAsiaTheme="minorEastAsia" w:hAnsiTheme="minorHAnsi" w:cstheme="minorBidi"/>
          <w:lang w:eastAsia="en-US"/>
        </w:rPr>
        <w:t>However, e</w:t>
      </w:r>
      <w:r w:rsidR="17898598" w:rsidRPr="00F552C7">
        <w:rPr>
          <w:rFonts w:asciiTheme="minorHAnsi" w:eastAsiaTheme="minorEastAsia" w:hAnsiTheme="minorHAnsi" w:cstheme="minorBidi"/>
          <w:lang w:eastAsia="en-US"/>
        </w:rPr>
        <w:t>ven though</w:t>
      </w:r>
      <w:r w:rsidR="53605C1D" w:rsidRPr="00F552C7">
        <w:rPr>
          <w:rFonts w:asciiTheme="minorHAnsi" w:eastAsiaTheme="minorEastAsia" w:hAnsiTheme="minorHAnsi" w:cstheme="minorBidi"/>
          <w:lang w:eastAsia="en-US"/>
        </w:rPr>
        <w:t xml:space="preserve"> the</w:t>
      </w:r>
      <w:r w:rsidR="005E253C">
        <w:rPr>
          <w:rFonts w:asciiTheme="minorHAnsi" w:eastAsiaTheme="minorEastAsia" w:hAnsiTheme="minorHAnsi" w:cstheme="minorBidi"/>
          <w:lang w:eastAsia="en-US"/>
        </w:rPr>
        <w:t>se</w:t>
      </w:r>
      <w:r w:rsidR="53605C1D" w:rsidRPr="00F552C7">
        <w:rPr>
          <w:rFonts w:asciiTheme="minorHAnsi" w:eastAsiaTheme="minorEastAsia" w:hAnsiTheme="minorHAnsi" w:cstheme="minorBidi"/>
          <w:lang w:eastAsia="en-US"/>
        </w:rPr>
        <w:t xml:space="preserve"> </w:t>
      </w:r>
      <w:r w:rsidR="17898598" w:rsidRPr="00F552C7">
        <w:rPr>
          <w:rFonts w:asciiTheme="minorHAnsi" w:eastAsiaTheme="minorEastAsia" w:hAnsiTheme="minorHAnsi" w:cstheme="minorBidi"/>
          <w:lang w:eastAsia="en-US"/>
        </w:rPr>
        <w:t>trends are moving in a positive direction, the effects of</w:t>
      </w:r>
      <w:r w:rsidR="53605C1D" w:rsidRPr="00F552C7">
        <w:rPr>
          <w:rFonts w:asciiTheme="minorHAnsi" w:eastAsiaTheme="minorEastAsia" w:hAnsiTheme="minorHAnsi" w:cstheme="minorBidi"/>
          <w:lang w:eastAsia="en-US"/>
        </w:rPr>
        <w:t xml:space="preserve"> </w:t>
      </w:r>
      <w:r w:rsidR="5F2C856C" w:rsidRPr="00F552C7">
        <w:rPr>
          <w:rFonts w:asciiTheme="minorHAnsi" w:eastAsiaTheme="minorEastAsia" w:hAnsiTheme="minorHAnsi" w:cstheme="minorBidi"/>
          <w:lang w:eastAsia="en-US"/>
        </w:rPr>
        <w:t>hi</w:t>
      </w:r>
      <w:r w:rsidR="17898598" w:rsidRPr="00F552C7">
        <w:rPr>
          <w:rFonts w:asciiTheme="minorHAnsi" w:eastAsiaTheme="minorEastAsia" w:hAnsiTheme="minorHAnsi" w:cstheme="minorBidi"/>
          <w:lang w:eastAsia="en-US"/>
        </w:rPr>
        <w:t>s</w:t>
      </w:r>
      <w:r w:rsidR="5F2C856C" w:rsidRPr="00F552C7">
        <w:rPr>
          <w:rFonts w:asciiTheme="minorHAnsi" w:eastAsiaTheme="minorEastAsia" w:hAnsiTheme="minorHAnsi" w:cstheme="minorBidi"/>
          <w:lang w:eastAsia="en-US"/>
        </w:rPr>
        <w:t xml:space="preserve">torically high </w:t>
      </w:r>
      <w:r w:rsidR="17898598" w:rsidRPr="00F552C7">
        <w:rPr>
          <w:rFonts w:asciiTheme="minorHAnsi" w:eastAsiaTheme="minorEastAsia" w:hAnsiTheme="minorHAnsi" w:cstheme="minorBidi"/>
          <w:lang w:eastAsia="en-US"/>
        </w:rPr>
        <w:t xml:space="preserve">smoking prevalence will </w:t>
      </w:r>
      <w:r w:rsidR="00837DED">
        <w:rPr>
          <w:rFonts w:asciiTheme="minorHAnsi" w:eastAsiaTheme="minorEastAsia" w:hAnsiTheme="minorHAnsi" w:cstheme="minorBidi"/>
          <w:lang w:eastAsia="en-US"/>
        </w:rPr>
        <w:t xml:space="preserve">continue to </w:t>
      </w:r>
      <w:r w:rsidR="17898598" w:rsidRPr="00F552C7">
        <w:rPr>
          <w:rFonts w:asciiTheme="minorHAnsi" w:eastAsiaTheme="minorEastAsia" w:hAnsiTheme="minorHAnsi" w:cstheme="minorBidi"/>
          <w:lang w:eastAsia="en-US"/>
        </w:rPr>
        <w:t xml:space="preserve">be observed for some time as health impacts often take years to </w:t>
      </w:r>
      <w:r w:rsidR="23C6B8F1" w:rsidRPr="00F552C7">
        <w:rPr>
          <w:rFonts w:asciiTheme="minorHAnsi" w:eastAsiaTheme="minorEastAsia" w:hAnsiTheme="minorHAnsi" w:cstheme="minorBidi"/>
          <w:lang w:eastAsia="en-US"/>
        </w:rPr>
        <w:t>manifest</w:t>
      </w:r>
      <w:r w:rsidR="17898598" w:rsidRPr="00F552C7">
        <w:rPr>
          <w:rFonts w:asciiTheme="minorHAnsi" w:eastAsiaTheme="minorEastAsia" w:hAnsiTheme="minorHAnsi" w:cstheme="minorBidi"/>
          <w:lang w:eastAsia="en-US"/>
        </w:rPr>
        <w:t>.</w:t>
      </w:r>
      <w:r w:rsidRPr="00F552C7">
        <w:rPr>
          <w:rFonts w:asciiTheme="minorHAnsi" w:eastAsiaTheme="minorEastAsia" w:hAnsiTheme="minorHAnsi" w:cstheme="minorBidi"/>
          <w:lang w:eastAsia="en-US"/>
        </w:rPr>
        <w:t xml:space="preserve"> </w:t>
      </w:r>
      <w:r w:rsidR="02D3FE0D" w:rsidRPr="5E77052F">
        <w:rPr>
          <w:rFonts w:asciiTheme="minorHAnsi" w:eastAsiaTheme="minorEastAsia" w:hAnsiTheme="minorHAnsi" w:cstheme="minorBidi"/>
          <w:lang w:eastAsia="en-US"/>
        </w:rPr>
        <w:t>This</w:t>
      </w:r>
      <w:r w:rsidRPr="00631A27">
        <w:rPr>
          <w:rFonts w:asciiTheme="minorHAnsi" w:eastAsiaTheme="minorEastAsia" w:hAnsiTheme="minorHAnsi" w:cstheme="minorBidi"/>
          <w:kern w:val="2"/>
          <w:lang w:eastAsia="en-US"/>
          <w14:ligatures w14:val="standardContextual"/>
        </w:rPr>
        <w:t xml:space="preserve"> ongoing </w:t>
      </w:r>
      <w:r w:rsidR="00F552C7" w:rsidRPr="00631A27">
        <w:rPr>
          <w:rFonts w:asciiTheme="minorHAnsi" w:eastAsiaTheme="minorEastAsia" w:hAnsiTheme="minorHAnsi" w:cstheme="minorBidi"/>
          <w:kern w:val="2"/>
          <w:lang w:eastAsia="en-US"/>
          <w14:ligatures w14:val="standardContextual"/>
        </w:rPr>
        <w:t>impact was</w:t>
      </w:r>
      <w:r w:rsidRPr="00631A27">
        <w:rPr>
          <w:rFonts w:asciiTheme="minorHAnsi" w:eastAsiaTheme="minorEastAsia" w:hAnsiTheme="minorHAnsi" w:cstheme="minorBidi"/>
          <w:kern w:val="2"/>
          <w:lang w:eastAsia="en-US"/>
          <w14:ligatures w14:val="standardContextual"/>
        </w:rPr>
        <w:t xml:space="preserve"> evident in the</w:t>
      </w:r>
      <w:r w:rsidRPr="00C712EC">
        <w:rPr>
          <w:rStyle w:val="normaltextrun"/>
          <w:rFonts w:ascii="Aptos" w:hAnsi="Aptos" w:cs="Segoe UI"/>
        </w:rPr>
        <w:t xml:space="preserve"> number and proportion of </w:t>
      </w:r>
      <w:r>
        <w:rPr>
          <w:rStyle w:val="normaltextrun"/>
          <w:rFonts w:ascii="Aptos" w:hAnsi="Aptos" w:cs="Segoe UI"/>
        </w:rPr>
        <w:t xml:space="preserve">new </w:t>
      </w:r>
      <w:r w:rsidRPr="00C712EC">
        <w:rPr>
          <w:rStyle w:val="normaltextrun"/>
          <w:rFonts w:ascii="Aptos" w:hAnsi="Aptos" w:cs="Segoe UI"/>
        </w:rPr>
        <w:t>cancers attributable to tobacco</w:t>
      </w:r>
      <w:r>
        <w:rPr>
          <w:rStyle w:val="normaltextrun"/>
          <w:rFonts w:ascii="Aptos" w:hAnsi="Aptos" w:cs="Segoe UI"/>
        </w:rPr>
        <w:t xml:space="preserve"> </w:t>
      </w:r>
      <w:r w:rsidRPr="00C712EC">
        <w:rPr>
          <w:rStyle w:val="normaltextrun"/>
          <w:rFonts w:ascii="Aptos" w:hAnsi="Aptos" w:cs="Segoe UI"/>
        </w:rPr>
        <w:t>smoking in 2022</w:t>
      </w:r>
      <w:r>
        <w:rPr>
          <w:rStyle w:val="normaltextrun"/>
          <w:rFonts w:ascii="Aptos" w:hAnsi="Aptos" w:cs="Segoe UI"/>
        </w:rPr>
        <w:t>. A</w:t>
      </w:r>
      <w:r w:rsidRPr="6A7A52F9">
        <w:rPr>
          <w:rFonts w:asciiTheme="minorHAnsi" w:eastAsiaTheme="minorEastAsia" w:hAnsiTheme="minorHAnsi" w:cstheme="minorBidi"/>
          <w:kern w:val="2"/>
          <w:lang w:eastAsia="en-US"/>
          <w14:ligatures w14:val="standardContextual"/>
        </w:rPr>
        <w:t>n estimated 3,756 cases, or</w:t>
      </w:r>
      <w:r w:rsidR="00137C46">
        <w:rPr>
          <w:rFonts w:asciiTheme="minorHAnsi" w:eastAsiaTheme="minorEastAsia" w:hAnsiTheme="minorHAnsi" w:cstheme="minorBidi"/>
          <w:kern w:val="2"/>
          <w:lang w:eastAsia="en-US"/>
          <w14:ligatures w14:val="standardContextual"/>
        </w:rPr>
        <w:t xml:space="preserve"> </w:t>
      </w:r>
      <w:r w:rsidR="00137C46" w:rsidRPr="00960CF5">
        <w:rPr>
          <w:rFonts w:asciiTheme="minorHAnsi" w:eastAsiaTheme="minorEastAsia" w:hAnsiTheme="minorHAnsi" w:cstheme="minorBidi"/>
          <w:kern w:val="2"/>
          <w:lang w:eastAsia="en-US"/>
          <w14:ligatures w14:val="standardContextual"/>
        </w:rPr>
        <w:t>14.7</w:t>
      </w:r>
      <w:r w:rsidRPr="00960CF5">
        <w:rPr>
          <w:rFonts w:asciiTheme="minorHAnsi" w:eastAsiaTheme="minorEastAsia" w:hAnsiTheme="minorHAnsi" w:cstheme="minorBidi"/>
          <w:kern w:val="2"/>
          <w:lang w:eastAsia="en-US"/>
          <w14:ligatures w14:val="standardContextual"/>
        </w:rPr>
        <w:t>% of new</w:t>
      </w:r>
      <w:r w:rsidRPr="6A7A52F9">
        <w:rPr>
          <w:rFonts w:asciiTheme="minorHAnsi" w:eastAsiaTheme="minorEastAsia" w:hAnsiTheme="minorHAnsi" w:cstheme="minorBidi"/>
          <w:kern w:val="2"/>
          <w:lang w:eastAsia="en-US"/>
          <w14:ligatures w14:val="standardContextual"/>
        </w:rPr>
        <w:t xml:space="preserve"> </w:t>
      </w:r>
      <w:r w:rsidRPr="6A7A52F9">
        <w:rPr>
          <w:rFonts w:asciiTheme="minorHAnsi" w:eastAsiaTheme="minorEastAsia" w:hAnsiTheme="minorHAnsi" w:cstheme="minorBidi"/>
          <w:lang w:eastAsia="en-US"/>
        </w:rPr>
        <w:t xml:space="preserve">invasive </w:t>
      </w:r>
      <w:r w:rsidRPr="6A7A52F9">
        <w:rPr>
          <w:rFonts w:asciiTheme="minorHAnsi" w:eastAsiaTheme="minorEastAsia" w:hAnsiTheme="minorHAnsi" w:cstheme="minorBidi"/>
          <w:kern w:val="2"/>
          <w:lang w:eastAsia="en-US"/>
          <w14:ligatures w14:val="standardContextual"/>
        </w:rPr>
        <w:t>cancer cases, could have been prevented in 2022 in the absence of tobacco-smoking.</w:t>
      </w:r>
      <w:r>
        <w:rPr>
          <w:rStyle w:val="normaltextrun"/>
          <w:rFonts w:ascii="Aptos" w:hAnsi="Aptos" w:cs="Segoe UI"/>
        </w:rPr>
        <w:t xml:space="preserve"> </w:t>
      </w:r>
      <w:r w:rsidR="00252075">
        <w:rPr>
          <w:rStyle w:val="normaltextrun"/>
          <w:rFonts w:ascii="Aptos" w:hAnsi="Aptos" w:cs="Segoe UI"/>
        </w:rPr>
        <w:t>T</w:t>
      </w:r>
      <w:r>
        <w:rPr>
          <w:rStyle w:val="normaltextrun"/>
          <w:rFonts w:ascii="Aptos" w:hAnsi="Aptos" w:cs="Segoe UI"/>
        </w:rPr>
        <w:t>his burden is not borne equally with evidence of socioeconomic and gender disparities</w:t>
      </w:r>
      <w:r w:rsidRPr="006343B0">
        <w:rPr>
          <w:rStyle w:val="normaltextrun"/>
          <w:rFonts w:ascii="Aptos" w:hAnsi="Aptos" w:cs="Segoe UI"/>
        </w:rPr>
        <w:t xml:space="preserve"> </w:t>
      </w:r>
      <w:r>
        <w:rPr>
          <w:rStyle w:val="normaltextrun"/>
          <w:rFonts w:ascii="Aptos" w:hAnsi="Aptos" w:cs="Segoe UI"/>
        </w:rPr>
        <w:t>in cancer incidence</w:t>
      </w:r>
      <w:r w:rsidR="00581AB7">
        <w:rPr>
          <w:rStyle w:val="normaltextrun"/>
          <w:rFonts w:ascii="Aptos" w:hAnsi="Aptos" w:cs="Segoe UI"/>
        </w:rPr>
        <w:t>.</w:t>
      </w:r>
      <w:r>
        <w:rPr>
          <w:rStyle w:val="normaltextrun"/>
          <w:rFonts w:ascii="Aptos" w:hAnsi="Aptos" w:cs="Segoe UI"/>
        </w:rPr>
        <w:t xml:space="preserve"> </w:t>
      </w:r>
      <w:r w:rsidR="00581AB7">
        <w:rPr>
          <w:rStyle w:val="normaltextrun"/>
          <w:rFonts w:ascii="Aptos" w:hAnsi="Aptos" w:cs="Segoe UI"/>
        </w:rPr>
        <w:t>T</w:t>
      </w:r>
      <w:r w:rsidRPr="00C712EC">
        <w:rPr>
          <w:rStyle w:val="normaltextrun"/>
          <w:rFonts w:ascii="Aptos" w:hAnsi="Aptos" w:cs="Segoe UI"/>
        </w:rPr>
        <w:t>he findings of this report have</w:t>
      </w:r>
      <w:r>
        <w:rPr>
          <w:rStyle w:val="normaltextrun"/>
          <w:rFonts w:ascii="Aptos" w:hAnsi="Aptos" w:cs="Segoe UI"/>
        </w:rPr>
        <w:t xml:space="preserve"> important implications</w:t>
      </w:r>
      <w:r w:rsidRPr="00C712EC">
        <w:rPr>
          <w:rStyle w:val="normaltextrun"/>
          <w:rFonts w:ascii="Aptos" w:hAnsi="Aptos" w:cs="Segoe UI"/>
        </w:rPr>
        <w:t xml:space="preserve"> for cancer</w:t>
      </w:r>
      <w:r>
        <w:rPr>
          <w:rStyle w:val="normaltextrun"/>
          <w:rFonts w:ascii="Aptos" w:hAnsi="Aptos" w:cs="Segoe UI"/>
        </w:rPr>
        <w:t xml:space="preserve"> </w:t>
      </w:r>
      <w:r w:rsidRPr="00C712EC">
        <w:rPr>
          <w:rStyle w:val="normaltextrun"/>
          <w:rFonts w:ascii="Aptos" w:hAnsi="Aptos" w:cs="Segoe UI"/>
        </w:rPr>
        <w:t>and</w:t>
      </w:r>
      <w:r>
        <w:rPr>
          <w:rStyle w:val="normaltextrun"/>
          <w:rFonts w:ascii="Aptos" w:hAnsi="Aptos" w:cs="Segoe UI"/>
        </w:rPr>
        <w:t xml:space="preserve"> </w:t>
      </w:r>
      <w:r w:rsidRPr="00C712EC">
        <w:rPr>
          <w:rStyle w:val="normaltextrun"/>
          <w:rFonts w:ascii="Aptos" w:hAnsi="Aptos" w:cs="Segoe UI"/>
        </w:rPr>
        <w:t>tobacco</w:t>
      </w:r>
      <w:r>
        <w:rPr>
          <w:rStyle w:val="normaltextrun"/>
          <w:rFonts w:ascii="Aptos" w:hAnsi="Aptos" w:cs="Segoe UI"/>
        </w:rPr>
        <w:t xml:space="preserve"> </w:t>
      </w:r>
      <w:r w:rsidRPr="00C712EC">
        <w:rPr>
          <w:rStyle w:val="normaltextrun"/>
          <w:rFonts w:ascii="Aptos" w:hAnsi="Aptos" w:cs="Segoe UI"/>
        </w:rPr>
        <w:t>control polic</w:t>
      </w:r>
      <w:r w:rsidRPr="6A7A52F9">
        <w:rPr>
          <w:rStyle w:val="normaltextrun"/>
          <w:rFonts w:ascii="Aptos" w:hAnsi="Aptos" w:cs="Segoe UI"/>
        </w:rPr>
        <w:t xml:space="preserve">ies </w:t>
      </w:r>
      <w:r w:rsidRPr="00C712EC">
        <w:rPr>
          <w:rStyle w:val="normaltextrun"/>
          <w:rFonts w:ascii="Aptos" w:hAnsi="Aptos" w:cs="Segoe UI"/>
        </w:rPr>
        <w:t>in Ireland</w:t>
      </w:r>
      <w:r>
        <w:rPr>
          <w:rStyle w:val="normaltextrun"/>
          <w:rFonts w:ascii="Aptos" w:hAnsi="Aptos" w:cs="Segoe UI"/>
        </w:rPr>
        <w:t>.</w:t>
      </w:r>
    </w:p>
    <w:p w14:paraId="5E9616BB" w14:textId="77777777" w:rsidR="00A27215" w:rsidRDefault="00A27215" w:rsidP="00A27215">
      <w:pPr>
        <w:pStyle w:val="ListParagraph"/>
        <w:spacing w:after="0" w:line="240" w:lineRule="auto"/>
        <w:ind w:left="0"/>
      </w:pPr>
    </w:p>
    <w:p w14:paraId="3EF2FAFF" w14:textId="2B3E422F" w:rsidR="00A27215" w:rsidRDefault="55B2934D" w:rsidP="00A27215">
      <w:pPr>
        <w:pStyle w:val="Heading2"/>
        <w:spacing w:before="0" w:after="0" w:line="240" w:lineRule="auto"/>
      </w:pPr>
      <w:bookmarkStart w:id="401" w:name="_Toc196991620"/>
      <w:bookmarkStart w:id="402" w:name="_Toc197557189"/>
      <w:r>
        <w:t xml:space="preserve"> </w:t>
      </w:r>
      <w:bookmarkStart w:id="403" w:name="_Toc201512580"/>
      <w:r w:rsidR="00A27215">
        <w:t>Incidence and Mortality</w:t>
      </w:r>
      <w:bookmarkEnd w:id="401"/>
      <w:bookmarkEnd w:id="402"/>
      <w:bookmarkEnd w:id="403"/>
    </w:p>
    <w:p w14:paraId="0A93D42B" w14:textId="57EE7EE4" w:rsidR="00A27215" w:rsidRPr="002A65F8" w:rsidRDefault="00A27215" w:rsidP="001048C4">
      <w:pPr>
        <w:spacing w:after="0" w:line="240" w:lineRule="auto"/>
        <w:rPr>
          <w:rFonts w:ascii="Times New Roman" w:eastAsia="Times New Roman" w:hAnsi="Times New Roman" w:cs="Times New Roman"/>
          <w:kern w:val="0"/>
          <w:lang w:eastAsia="en-GB"/>
          <w14:ligatures w14:val="none"/>
        </w:rPr>
      </w:pPr>
      <w:r>
        <w:t xml:space="preserve">We examined trends in tobacco-related cancers from 1994 to 2022 during which </w:t>
      </w:r>
      <w:r w:rsidRPr="002A65F8">
        <w:t>305,914</w:t>
      </w:r>
      <w:r>
        <w:rPr>
          <w:rFonts w:cs="Calibri"/>
          <w:sz w:val="16"/>
          <w:szCs w:val="16"/>
        </w:rPr>
        <w:t xml:space="preserve"> </w:t>
      </w:r>
      <w:r>
        <w:t xml:space="preserve">cases of tobacco-related cancers were diagnosed and </w:t>
      </w:r>
      <w:r w:rsidRPr="002A65F8">
        <w:t>160,952</w:t>
      </w:r>
      <w:r>
        <w:rPr>
          <w:rFonts w:ascii="Times New Roman" w:eastAsia="Times New Roman" w:hAnsi="Times New Roman" w:cs="Times New Roman"/>
          <w:kern w:val="0"/>
          <w:lang w:eastAsia="en-GB"/>
          <w14:ligatures w14:val="none"/>
        </w:rPr>
        <w:t xml:space="preserve"> </w:t>
      </w:r>
      <w:r>
        <w:t>deaths from tobacco-related cancers</w:t>
      </w:r>
      <w:r w:rsidR="5004B26A">
        <w:t xml:space="preserve"> were recorded</w:t>
      </w:r>
      <w:r>
        <w:t xml:space="preserve">. </w:t>
      </w:r>
      <w:r w:rsidR="75AD1DBE">
        <w:t xml:space="preserve">While </w:t>
      </w:r>
      <w:r w:rsidR="54B38BFC" w:rsidRPr="0AF47C88">
        <w:rPr>
          <w:rStyle w:val="normaltextrun"/>
          <w:rFonts w:ascii="Aptos" w:eastAsiaTheme="minorEastAsia" w:hAnsi="Aptos" w:cs="Segoe UI"/>
        </w:rPr>
        <w:t>t</w:t>
      </w:r>
      <w:r w:rsidRPr="0AF47C88">
        <w:rPr>
          <w:rStyle w:val="normaltextrun"/>
          <w:rFonts w:ascii="Aptos" w:eastAsiaTheme="minorEastAsia" w:hAnsi="Aptos" w:cs="Segoe UI"/>
        </w:rPr>
        <w:t>rends</w:t>
      </w:r>
      <w:r w:rsidRPr="6A7A52F9">
        <w:rPr>
          <w:rStyle w:val="normaltextrun"/>
          <w:rFonts w:ascii="Aptos" w:eastAsiaTheme="minorEastAsia" w:hAnsi="Aptos" w:cs="Segoe UI"/>
        </w:rPr>
        <w:t xml:space="preserve"> in age</w:t>
      </w:r>
      <w:r w:rsidR="002B60EE">
        <w:rPr>
          <w:rStyle w:val="normaltextrun"/>
          <w:rFonts w:ascii="Aptos" w:eastAsiaTheme="minorEastAsia" w:hAnsi="Aptos" w:cs="Segoe UI"/>
        </w:rPr>
        <w:t>-</w:t>
      </w:r>
      <w:r w:rsidRPr="6A7A52F9">
        <w:rPr>
          <w:rStyle w:val="normaltextrun"/>
          <w:rFonts w:ascii="Aptos" w:eastAsiaTheme="minorEastAsia" w:hAnsi="Aptos" w:cs="Segoe UI"/>
        </w:rPr>
        <w:t>standardised incidence and mortality for most tobacco-related cancers were declining or stable</w:t>
      </w:r>
      <w:r w:rsidR="0B6FD2D6" w:rsidRPr="0AF47C88">
        <w:rPr>
          <w:rStyle w:val="normaltextrun"/>
          <w:rFonts w:ascii="Aptos" w:eastAsiaTheme="minorEastAsia" w:hAnsi="Aptos" w:cs="Segoe UI"/>
        </w:rPr>
        <w:t>,</w:t>
      </w:r>
      <w:r>
        <w:t xml:space="preserve"> </w:t>
      </w:r>
      <w:r w:rsidRPr="00FD28C9">
        <w:t xml:space="preserve">this group of malignancies continue to pose </w:t>
      </w:r>
      <w:r>
        <w:t xml:space="preserve">a major public health burden. Tobacco-related cancers include </w:t>
      </w:r>
      <w:r w:rsidR="00656596">
        <w:t xml:space="preserve">those </w:t>
      </w:r>
      <w:r>
        <w:t>with</w:t>
      </w:r>
      <w:r w:rsidR="002B60EE">
        <w:t xml:space="preserve"> </w:t>
      </w:r>
      <w:r>
        <w:t>high annual incidence (</w:t>
      </w:r>
      <w:r w:rsidR="008F109F">
        <w:t xml:space="preserve">e.g. </w:t>
      </w:r>
      <w:r>
        <w:t>head and neck cancer in men)</w:t>
      </w:r>
      <w:r w:rsidR="00553860">
        <w:t>,</w:t>
      </w:r>
      <w:r>
        <w:t xml:space="preserve"> </w:t>
      </w:r>
      <w:r w:rsidR="008A51A0">
        <w:t xml:space="preserve">high </w:t>
      </w:r>
      <w:r>
        <w:t>mortality (</w:t>
      </w:r>
      <w:r w:rsidR="008F109F">
        <w:t xml:space="preserve">e.g. </w:t>
      </w:r>
      <w:r>
        <w:t>oesophageal cancer and pancreatic cancer) or both (</w:t>
      </w:r>
      <w:r w:rsidR="008F109F">
        <w:t xml:space="preserve">e.g. </w:t>
      </w:r>
      <w:r>
        <w:t>lung cancer, colorectal cancer, female breast cancer).</w:t>
      </w:r>
      <w:r w:rsidR="00D861B1">
        <w:fldChar w:fldCharType="begin"/>
      </w:r>
      <w:r w:rsidR="00A5309E">
        <w:instrText xml:space="preserve"> ADDIN ZOTERO_ITEM CSL_CITATION {"citationID":"CHQURYm8","properties":{"formattedCitation":"(62)","plainCitation":"(62)","noteIndex":0},"citationItems":[{"id":255,"uris":["http://zotero.org/users/local/fxpU1WWH/items/J963Y34Q"],"itemData":{"id":255,"type":"webpage","abstract":"The NCRI annual report for 2020-2022 examines variations in cancer incidence and survival across new health regions.","language":"en","title":"Cancer in Ireland 1994-2022: Annual statistical report of the National Cancer Registry (2024) | National Cancer Registry Ireland","title-short":"Cancer in Ireland 1994-2022","URL":"https://www.ncri.ie/en/reports-publications/reports/cancer-in-ireland-1994-2022-annual-statistical-report-of-the-national","accessed":{"date-parts":[["2025",6,5]]},"issued":{"date-parts":[["2024",12,6]]}}}],"schema":"https://github.com/citation-style-language/schema/raw/master/csl-citation.json"} </w:instrText>
      </w:r>
      <w:r w:rsidR="00D861B1">
        <w:fldChar w:fldCharType="separate"/>
      </w:r>
      <w:r w:rsidR="00A5309E" w:rsidRPr="00A5309E">
        <w:rPr>
          <w:rFonts w:ascii="Aptos" w:hAnsi="Aptos"/>
        </w:rPr>
        <w:t>(62)</w:t>
      </w:r>
      <w:r w:rsidR="00D861B1">
        <w:fldChar w:fldCharType="end"/>
      </w:r>
      <w:r>
        <w:t xml:space="preserve"> Across </w:t>
      </w:r>
      <w:r w:rsidR="2CFB2C17">
        <w:t>these</w:t>
      </w:r>
      <w:r>
        <w:t xml:space="preserve"> cancer</w:t>
      </w:r>
      <w:r w:rsidR="00F4232A">
        <w:t>s</w:t>
      </w:r>
      <w:r>
        <w:t>,</w:t>
      </w:r>
      <w:r>
        <w:rPr>
          <w:rStyle w:val="normaltextrun"/>
          <w:rFonts w:ascii="Aptos" w:eastAsiaTheme="minorEastAsia" w:hAnsi="Aptos" w:cs="Segoe UI"/>
        </w:rPr>
        <w:t xml:space="preserve"> </w:t>
      </w:r>
      <w:r w:rsidRPr="00FD28C9">
        <w:t xml:space="preserve">reducing tobacco </w:t>
      </w:r>
      <w:r>
        <w:t xml:space="preserve">smoking at population level </w:t>
      </w:r>
      <w:r w:rsidR="008F109F">
        <w:t>must</w:t>
      </w:r>
      <w:r>
        <w:t xml:space="preserve"> </w:t>
      </w:r>
      <w:r w:rsidR="1660F0BD">
        <w:t>remain</w:t>
      </w:r>
      <w:r>
        <w:t xml:space="preserve"> a key </w:t>
      </w:r>
      <w:r w:rsidRPr="00FD28C9">
        <w:t>primary prevention measure.</w:t>
      </w:r>
      <w:r>
        <w:fldChar w:fldCharType="begin"/>
      </w:r>
      <w:r w:rsidR="00A5309E">
        <w:instrText xml:space="preserve"> ADDIN ZOTERO_ITEM CSL_CITATION {"citationID":"5mimlsON","properties":{"formattedCitation":"(63)","plainCitation":"(63)","noteIndex":0},"citationItems":[{"id":150,"uris":["http://zotero.org/users/local/fxpU1WWH/items/RM5NBJAI"],"itemData":{"id":150,"type":"article-journal","container-title":"Gastroenterology","DOI":"10.1053/j.gastro.2020.02.068","ISSN":"0016-5085, 1528-0012","issue":"1","journalAbbreviation":"Gastroenterology","language":"English","note":"publisher: Elsevier\nPMID: 32247694","page":"335-349.e15","source":"www.gastrojournal.org","title":"Global Burden of 5 Major Types of Gastrointestinal Cancer","volume":"159","author":[{"family":"Arnold","given":"Melina"},{"family":"Abnet","given":"Christian C."},{"family":"Neale","given":"Rachel E."},{"family":"Vignat","given":"Jerome"},{"family":"Giovannucci","given":"Edward L."},{"family":"McGlynn","given":"Katherine A."},{"family":"Bray","given":"Freddie"}],"issued":{"date-parts":[["2020",7,1]]}}}],"schema":"https://github.com/citation-style-language/schema/raw/master/csl-citation.json"} </w:instrText>
      </w:r>
      <w:r>
        <w:fldChar w:fldCharType="separate"/>
      </w:r>
      <w:r w:rsidR="00A5309E" w:rsidRPr="00A5309E">
        <w:rPr>
          <w:rFonts w:ascii="Aptos" w:hAnsi="Aptos"/>
        </w:rPr>
        <w:t>(63)</w:t>
      </w:r>
      <w:r>
        <w:fldChar w:fldCharType="end"/>
      </w:r>
      <w:r w:rsidRPr="00EC309A">
        <w:t xml:space="preserve"> </w:t>
      </w:r>
    </w:p>
    <w:p w14:paraId="643F2CB1" w14:textId="77777777" w:rsidR="00A27215" w:rsidRDefault="00A27215" w:rsidP="001048C4">
      <w:pPr>
        <w:spacing w:after="0" w:line="240" w:lineRule="auto"/>
      </w:pPr>
    </w:p>
    <w:p w14:paraId="66A26F8B" w14:textId="77777777" w:rsidR="00A27215" w:rsidRPr="00631A27" w:rsidRDefault="00A27215" w:rsidP="001048C4">
      <w:pPr>
        <w:spacing w:after="0"/>
        <w:rPr>
          <w:b/>
          <w:bCs/>
        </w:rPr>
      </w:pPr>
      <w:r w:rsidRPr="00631A27">
        <w:rPr>
          <w:b/>
          <w:bCs/>
        </w:rPr>
        <w:t>Lung cancer</w:t>
      </w:r>
    </w:p>
    <w:p w14:paraId="009E2142" w14:textId="0DAE63DA" w:rsidR="00A27215" w:rsidRDefault="00A27215" w:rsidP="001048C4">
      <w:pPr>
        <w:spacing w:after="0" w:line="240" w:lineRule="auto"/>
      </w:pPr>
      <w:r>
        <w:t xml:space="preserve">Lung cancer remains the leading cause of cancer mortality among men and </w:t>
      </w:r>
      <w:r w:rsidR="00BC7D1F">
        <w:t>women</w:t>
      </w:r>
      <w:r>
        <w:t xml:space="preserve"> in Ireland</w:t>
      </w:r>
      <w:r w:rsidR="582F801F">
        <w:t>,</w:t>
      </w:r>
      <w:r>
        <w:t xml:space="preserve"> responsible for approximately one in five cancer deaths on average between 2020 and 2022.</w:t>
      </w:r>
      <w:r w:rsidR="00D861B1">
        <w:fldChar w:fldCharType="begin"/>
      </w:r>
      <w:r w:rsidR="00A5309E">
        <w:instrText xml:space="preserve"> ADDIN ZOTERO_ITEM CSL_CITATION {"citationID":"nJCxAccc","properties":{"formattedCitation":"(62)","plainCitation":"(62)","noteIndex":0},"citationItems":[{"id":255,"uris":["http://zotero.org/users/local/fxpU1WWH/items/J963Y34Q"],"itemData":{"id":255,"type":"webpage","abstract":"The NCRI annual report for 2020-2022 examines variations in cancer incidence and survival across new health regions.","language":"en","title":"Cancer in Ireland 1994-2022: Annual statistical report of the National Cancer Registry (2024) | National Cancer Registry Ireland","title-short":"Cancer in Ireland 1994-2022","URL":"https://www.ncri.ie/en/reports-publications/reports/cancer-in-ireland-1994-2022-annual-statistical-report-of-the-national","accessed":{"date-parts":[["2025",6,5]]},"issued":{"date-parts":[["2024",12,6]]}}}],"schema":"https://github.com/citation-style-language/schema/raw/master/csl-citation.json"} </w:instrText>
      </w:r>
      <w:r w:rsidR="00D861B1">
        <w:fldChar w:fldCharType="separate"/>
      </w:r>
      <w:r w:rsidR="00A5309E" w:rsidRPr="00A5309E">
        <w:rPr>
          <w:rFonts w:ascii="Aptos" w:hAnsi="Aptos"/>
        </w:rPr>
        <w:t>(62)</w:t>
      </w:r>
      <w:r w:rsidR="00D861B1">
        <w:fldChar w:fldCharType="end"/>
      </w:r>
      <w:r>
        <w:t xml:space="preserve"> Lung cancer incidence and mortality decreased across the entire period examined for males, b</w:t>
      </w:r>
      <w:r w:rsidR="0F3EAC33">
        <w:t>ut</w:t>
      </w:r>
      <w:r w:rsidR="001048C4">
        <w:t xml:space="preserve"> both incidence and mortality</w:t>
      </w:r>
      <w:r w:rsidR="0F3EAC33">
        <w:t xml:space="preserve"> </w:t>
      </w:r>
      <w:r>
        <w:t xml:space="preserve">increased among females until 2015 and 2016 respectively, before </w:t>
      </w:r>
      <w:r w:rsidR="7F1DF21A">
        <w:t>the onset of a</w:t>
      </w:r>
      <w:r>
        <w:t xml:space="preserve"> decline. These findings align with the ‘Lopez curve’ which is used internationally to describe the stages of the tobacco epidemic.</w:t>
      </w:r>
      <w:r>
        <w:fldChar w:fldCharType="begin"/>
      </w:r>
      <w:r w:rsidR="00A5309E">
        <w:instrText xml:space="preserve"> ADDIN ZOTERO_ITEM CSL_CITATION {"citationID":"ixPKGLC0","properties":{"formattedCitation":"(13)","plainCitation":"(13)","noteIndex":0},"citationItems":[{"id":68,"uris":["http://zotero.org/users/local/fxpU1WWH/items/3CU82PT3"],"itemData":{"id":68,"type":"report","abstract":"Publicaciones de la Organización Mundial de la Salud","language":"en","title":"Through a gender lens: women and tobacco in the WHO European Region","title-short":"Through a gender lens","URL":"https://www.who.int/europe/publications/i/item/WHO-EURO-2021-1847-41598-56811","author":[{"literal":"WHO"}],"accessed":{"date-parts":[["2025",4,30]]},"issued":{"date-parts":[["2021"]]}}}],"schema":"https://github.com/citation-style-language/schema/raw/master/csl-citation.json"} </w:instrText>
      </w:r>
      <w:r>
        <w:fldChar w:fldCharType="separate"/>
      </w:r>
      <w:r w:rsidR="00A5309E" w:rsidRPr="00A5309E">
        <w:rPr>
          <w:rFonts w:ascii="Aptos" w:hAnsi="Aptos"/>
        </w:rPr>
        <w:t>(13)</w:t>
      </w:r>
      <w:r>
        <w:fldChar w:fldCharType="end"/>
      </w:r>
      <w:r>
        <w:t xml:space="preserve"> </w:t>
      </w:r>
      <w:r w:rsidR="00926812">
        <w:t>D</w:t>
      </w:r>
      <w:r>
        <w:t xml:space="preserve">iffering trends according to sex likely reflect </w:t>
      </w:r>
      <w:r w:rsidR="008F109F">
        <w:t xml:space="preserve">a </w:t>
      </w:r>
      <w:r>
        <w:t>cohort effect</w:t>
      </w:r>
      <w:r w:rsidR="008F109F">
        <w:t xml:space="preserve"> </w:t>
      </w:r>
      <w:r>
        <w:t xml:space="preserve">i.e. </w:t>
      </w:r>
      <w:r w:rsidR="00535B63">
        <w:t xml:space="preserve">peak </w:t>
      </w:r>
      <w:r w:rsidRPr="00C9184B">
        <w:t xml:space="preserve">uptake of tobacco </w:t>
      </w:r>
      <w:r>
        <w:t xml:space="preserve">smoking among women </w:t>
      </w:r>
      <w:r w:rsidR="00F6468D">
        <w:t>followed decades after peak uptake</w:t>
      </w:r>
      <w:r>
        <w:t xml:space="preserve"> among men,</w:t>
      </w:r>
      <w:r w:rsidR="004262F2">
        <w:t xml:space="preserve"> therefore</w:t>
      </w:r>
      <w:r>
        <w:t xml:space="preserve"> the</w:t>
      </w:r>
      <w:r w:rsidRPr="00C9184B">
        <w:t xml:space="preserve"> </w:t>
      </w:r>
      <w:r>
        <w:t xml:space="preserve">peak </w:t>
      </w:r>
      <w:r w:rsidRPr="00C9184B">
        <w:t>in</w:t>
      </w:r>
      <w:r>
        <w:t xml:space="preserve"> tobacco-</w:t>
      </w:r>
      <w:r w:rsidRPr="00C9184B">
        <w:t xml:space="preserve">related female </w:t>
      </w:r>
      <w:r>
        <w:t xml:space="preserve">morbidity and mortality </w:t>
      </w:r>
      <w:r w:rsidR="008F109F">
        <w:t>(</w:t>
      </w:r>
      <w:r>
        <w:t>in this case from lung cancer</w:t>
      </w:r>
      <w:r w:rsidR="008F109F">
        <w:t>)</w:t>
      </w:r>
      <w:r>
        <w:t xml:space="preserve"> </w:t>
      </w:r>
      <w:r w:rsidRPr="00C9184B">
        <w:t>also occur</w:t>
      </w:r>
      <w:r>
        <w:t>s</w:t>
      </w:r>
      <w:r w:rsidR="005D0E48">
        <w:t xml:space="preserve"> decades</w:t>
      </w:r>
      <w:r w:rsidRPr="00C9184B">
        <w:t xml:space="preserve"> later than for male</w:t>
      </w:r>
      <w:r>
        <w:t>s.</w:t>
      </w:r>
      <w:r>
        <w:fldChar w:fldCharType="begin"/>
      </w:r>
      <w:r w:rsidR="00A5309E">
        <w:instrText xml:space="preserve"> ADDIN ZOTERO_ITEM CSL_CITATION {"citationID":"PqLeMiig","properties":{"formattedCitation":"(13)","plainCitation":"(13)","noteIndex":0},"citationItems":[{"id":68,"uris":["http://zotero.org/users/local/fxpU1WWH/items/3CU82PT3"],"itemData":{"id":68,"type":"report","abstract":"Publicaciones de la Organización Mundial de la Salud","language":"en","title":"Through a gender lens: women and tobacco in the WHO European Region","title-short":"Through a gender lens","URL":"https://www.who.int/europe/publications/i/item/WHO-EURO-2021-1847-41598-56811","author":[{"literal":"WHO"}],"accessed":{"date-parts":[["2025",4,30]]},"issued":{"date-parts":[["2021"]]}}}],"schema":"https://github.com/citation-style-language/schema/raw/master/csl-citation.json"} </w:instrText>
      </w:r>
      <w:r>
        <w:fldChar w:fldCharType="separate"/>
      </w:r>
      <w:r w:rsidR="00A5309E" w:rsidRPr="00A5309E">
        <w:rPr>
          <w:rFonts w:ascii="Aptos" w:hAnsi="Aptos"/>
        </w:rPr>
        <w:t>(13)</w:t>
      </w:r>
      <w:r>
        <w:fldChar w:fldCharType="end"/>
      </w:r>
      <w:r w:rsidRPr="00AB483C">
        <w:t xml:space="preserve"> These findings are </w:t>
      </w:r>
      <w:r>
        <w:t>similar to</w:t>
      </w:r>
      <w:r w:rsidRPr="00AB483C">
        <w:t xml:space="preserve"> those</w:t>
      </w:r>
      <w:r>
        <w:t xml:space="preserve"> recently</w:t>
      </w:r>
      <w:r w:rsidRPr="00AB483C">
        <w:t xml:space="preserve"> described in the UK where age-standardised lung cancer incidence among women is beginning to plateau while corresponding mortality trends are only recently starting to decline.</w:t>
      </w:r>
      <w:r>
        <w:fldChar w:fldCharType="begin"/>
      </w:r>
      <w:r w:rsidR="00A5309E">
        <w:instrText xml:space="preserve"> ADDIN ZOTERO_ITEM CSL_CITATION {"citationID":"bzCyCNNR","properties":{"formattedCitation":"(64)","plainCitation":"(64)","noteIndex":0},"citationItems":[{"id":26,"uris":["http://zotero.org/users/local/fxpU1WWH/items/FYI3G7JN"],"itemData":{"id":26,"type":"article-journal","abstract":"Grounds for optimism but warning signs must not be ignored\n\nCancer is a major public health problem in the UK, and in most high income countries. The disease is the leading cause of death in both men and women, and one in four people die prematurely from it at ages 30-69 years.1 A comprehensive assessment of the evolution of cancer incidence and mortality rates over time is not straightforward because of multiple disease types, each with its own underlying causes and effective means of control. Such an overarching assessment, nonetheless, serves as a report card on national progress in cancer control by enabling three lines of inquiry. How have cancer rates changed? What factors drive these trends? And what can be done to reduce the future burden?\n\nIn their linked paper, Shelton and colleagues undertook such an investigation in the UK, reviewing the trends in 23 cancer types in adults aged 35-69, over a quarter of a century from 1993 to 2018.2 The results were generally encouraging, reaffirming previous investigations.34 Despite an ageing population, …","DOI":"10.1136/bmj.q504","language":"en","license":"Published by the BMJ Publishing Group Limited. For permission to use (where not already granted under a licence) please go to http://group.bmj.com/group/rights-licensing/permissions","note":"publisher: British Medical Journal Publishing Group\nsection: Editorial","source":"www.bmj.com","title":"Cancer trends in the UK","URL":"https://www.bmj.com/content/384/bmj.q504","author":[{"family":"Bray","given":"Freddie"}],"accessed":{"date-parts":[["2025",4,30]]},"issued":{"date-parts":[["2024",3,13]]}}}],"schema":"https://github.com/citation-style-language/schema/raw/master/csl-citation.json"} </w:instrText>
      </w:r>
      <w:r>
        <w:fldChar w:fldCharType="separate"/>
      </w:r>
      <w:r w:rsidR="00A5309E" w:rsidRPr="00A5309E">
        <w:rPr>
          <w:rFonts w:ascii="Aptos" w:hAnsi="Aptos"/>
        </w:rPr>
        <w:t>(64)</w:t>
      </w:r>
      <w:r>
        <w:fldChar w:fldCharType="end"/>
      </w:r>
    </w:p>
    <w:p w14:paraId="4D6E9AD2" w14:textId="77777777" w:rsidR="00A27215" w:rsidRDefault="00A27215" w:rsidP="00A27215">
      <w:pPr>
        <w:spacing w:after="0" w:line="240" w:lineRule="auto"/>
        <w:rPr>
          <w:rFonts w:ascii="Aptos" w:hAnsi="Aptos" w:cs="Times New Roman"/>
          <w:vertAlign w:val="superscript"/>
        </w:rPr>
      </w:pPr>
    </w:p>
    <w:p w14:paraId="27364CD3" w14:textId="77777777" w:rsidR="00A27215" w:rsidRPr="00631A27" w:rsidRDefault="00A27215" w:rsidP="00A27215">
      <w:pPr>
        <w:spacing w:after="0" w:line="240" w:lineRule="auto"/>
        <w:rPr>
          <w:b/>
          <w:bCs/>
        </w:rPr>
      </w:pPr>
      <w:r w:rsidRPr="00631A27">
        <w:rPr>
          <w:b/>
          <w:bCs/>
        </w:rPr>
        <w:t>Head and Neck Cancers</w:t>
      </w:r>
    </w:p>
    <w:p w14:paraId="692DF41F" w14:textId="53B19A46" w:rsidR="00A27215" w:rsidRDefault="00A27215" w:rsidP="00A27215">
      <w:pPr>
        <w:spacing w:after="0" w:line="240" w:lineRule="auto"/>
        <w:rPr>
          <w:rFonts w:ascii="Aptos" w:hAnsi="Aptos" w:cs="Segoe UI"/>
        </w:rPr>
      </w:pPr>
      <w:r>
        <w:rPr>
          <w:rStyle w:val="normaltextrun"/>
          <w:rFonts w:ascii="Aptos" w:hAnsi="Aptos" w:cs="Segoe UI"/>
        </w:rPr>
        <w:t>Cancers of the head and neck are the fifth most common cancer type among men in Ireland</w:t>
      </w:r>
      <w:r w:rsidR="5DA454F4" w:rsidRPr="16D4D1D5">
        <w:rPr>
          <w:rStyle w:val="normaltextrun"/>
          <w:rFonts w:ascii="Aptos" w:hAnsi="Aptos" w:cs="Segoe UI"/>
        </w:rPr>
        <w:t>.</w:t>
      </w:r>
      <w:r w:rsidR="00F552C7">
        <w:rPr>
          <w:rStyle w:val="normaltextrun"/>
          <w:rFonts w:ascii="Aptos" w:hAnsi="Aptos" w:cs="Segoe UI"/>
        </w:rPr>
        <w:fldChar w:fldCharType="begin"/>
      </w:r>
      <w:r w:rsidR="00A5309E">
        <w:rPr>
          <w:rStyle w:val="normaltextrun"/>
          <w:rFonts w:ascii="Aptos" w:hAnsi="Aptos" w:cs="Segoe UI"/>
        </w:rPr>
        <w:instrText xml:space="preserve"> ADDIN ZOTERO_ITEM CSL_CITATION {"citationID":"TLhrSzoG","properties":{"formattedCitation":"(62)","plainCitation":"(62)","noteIndex":0},"citationItems":[{"id":255,"uris":["http://zotero.org/users/local/fxpU1WWH/items/J963Y34Q"],"itemData":{"id":255,"type":"webpage","abstract":"The NCRI annual report for 2020-2022 examines variations in cancer incidence and survival across new health regions.","language":"en","title":"Cancer in Ireland 1994-2022: Annual statistical report of the National Cancer Registry (2024) | National Cancer Registry Ireland","title-short":"Cancer in Ireland 1994-2022","URL":"https://www.ncri.ie/en/reports-publications/reports/cancer-in-ireland-1994-2022-annual-statistical-report-of-the-national","accessed":{"date-parts":[["2025",6,5]]},"issued":{"date-parts":[["2024",12,6]]}}}],"schema":"https://github.com/citation-style-language/schema/raw/master/csl-citation.json"} </w:instrText>
      </w:r>
      <w:r w:rsidR="00F552C7">
        <w:rPr>
          <w:rStyle w:val="normaltextrun"/>
          <w:rFonts w:ascii="Aptos" w:hAnsi="Aptos" w:cs="Segoe UI"/>
        </w:rPr>
        <w:fldChar w:fldCharType="separate"/>
      </w:r>
      <w:r w:rsidR="00A5309E" w:rsidRPr="00A5309E">
        <w:rPr>
          <w:rFonts w:ascii="Aptos" w:hAnsi="Aptos"/>
        </w:rPr>
        <w:t>(62)</w:t>
      </w:r>
      <w:r w:rsidR="00F552C7">
        <w:rPr>
          <w:rStyle w:val="normaltextrun"/>
          <w:rFonts w:ascii="Aptos" w:hAnsi="Aptos" w:cs="Segoe UI"/>
        </w:rPr>
        <w:fldChar w:fldCharType="end"/>
      </w:r>
      <w:r w:rsidR="00F552C7">
        <w:rPr>
          <w:rStyle w:val="normaltextrun"/>
          <w:rFonts w:ascii="Aptos" w:hAnsi="Aptos" w:cs="Segoe UI"/>
        </w:rPr>
        <w:t xml:space="preserve"> O</w:t>
      </w:r>
      <w:r>
        <w:rPr>
          <w:rStyle w:val="normaltextrun"/>
          <w:rFonts w:ascii="Aptos" w:hAnsi="Aptos" w:cs="Segoe UI"/>
        </w:rPr>
        <w:t>f the six head and neck cancers</w:t>
      </w:r>
      <w:r w:rsidRPr="6A7A52F9">
        <w:rPr>
          <w:rStyle w:val="normaltextrun"/>
          <w:rFonts w:ascii="Aptos" w:hAnsi="Aptos" w:cs="Segoe UI"/>
        </w:rPr>
        <w:t>,</w:t>
      </w:r>
      <w:r>
        <w:rPr>
          <w:rStyle w:val="normaltextrun"/>
          <w:rFonts w:ascii="Aptos" w:hAnsi="Aptos" w:cs="Segoe UI"/>
        </w:rPr>
        <w:t xml:space="preserve"> five are </w:t>
      </w:r>
      <w:r w:rsidR="008F109F">
        <w:rPr>
          <w:rStyle w:val="normaltextrun"/>
          <w:rFonts w:ascii="Aptos" w:hAnsi="Aptos" w:cs="Segoe UI"/>
        </w:rPr>
        <w:t>tobacco related</w:t>
      </w:r>
      <w:r>
        <w:rPr>
          <w:rStyle w:val="normaltextrun"/>
          <w:rFonts w:ascii="Aptos" w:hAnsi="Aptos" w:cs="Segoe UI"/>
        </w:rPr>
        <w:t xml:space="preserve">. </w:t>
      </w:r>
      <w:r>
        <w:rPr>
          <w:rFonts w:ascii="Aptos" w:hAnsi="Aptos" w:cs="Segoe UI"/>
        </w:rPr>
        <w:t xml:space="preserve">Incidence rates </w:t>
      </w:r>
      <w:r w:rsidR="00DC6224">
        <w:rPr>
          <w:rFonts w:ascii="Aptos" w:hAnsi="Aptos" w:cs="Segoe UI"/>
        </w:rPr>
        <w:t>increased</w:t>
      </w:r>
      <w:r>
        <w:rPr>
          <w:rFonts w:ascii="Aptos" w:hAnsi="Aptos" w:cs="Segoe UI"/>
        </w:rPr>
        <w:t xml:space="preserve"> for cancers of the oral cavity and pharynx</w:t>
      </w:r>
      <w:r w:rsidR="2962576C" w:rsidRPr="16D4D1D5">
        <w:rPr>
          <w:rFonts w:ascii="Aptos" w:hAnsi="Aptos" w:cs="Segoe UI"/>
        </w:rPr>
        <w:t>,</w:t>
      </w:r>
      <w:r w:rsidRPr="6A7A52F9">
        <w:rPr>
          <w:rFonts w:ascii="Aptos" w:hAnsi="Aptos" w:cs="Segoe UI"/>
        </w:rPr>
        <w:t xml:space="preserve"> with an upward trend also observed for</w:t>
      </w:r>
      <w:r>
        <w:rPr>
          <w:rFonts w:ascii="Aptos" w:hAnsi="Aptos" w:cs="Segoe UI"/>
        </w:rPr>
        <w:t xml:space="preserve"> nasopharyn</w:t>
      </w:r>
      <w:r w:rsidRPr="6A7A52F9">
        <w:rPr>
          <w:rFonts w:ascii="Aptos" w:hAnsi="Aptos" w:cs="Segoe UI"/>
        </w:rPr>
        <w:t>geal cancer</w:t>
      </w:r>
      <w:r>
        <w:rPr>
          <w:rFonts w:ascii="Aptos" w:hAnsi="Aptos" w:cs="Segoe UI"/>
        </w:rPr>
        <w:t xml:space="preserve"> in women. I</w:t>
      </w:r>
      <w:r w:rsidRPr="6A7A52F9">
        <w:rPr>
          <w:rFonts w:ascii="Aptos" w:hAnsi="Aptos" w:cs="Segoe UI"/>
        </w:rPr>
        <w:t>n contrast, i</w:t>
      </w:r>
      <w:r>
        <w:rPr>
          <w:rFonts w:ascii="Aptos" w:hAnsi="Aptos" w:cs="Segoe UI"/>
        </w:rPr>
        <w:t xml:space="preserve">ncidence rates </w:t>
      </w:r>
      <w:r w:rsidR="00F176EC">
        <w:rPr>
          <w:rStyle w:val="normaltextrun"/>
          <w:rFonts w:ascii="Aptos" w:hAnsi="Aptos" w:cs="Segoe UI"/>
        </w:rPr>
        <w:t>were</w:t>
      </w:r>
      <w:r w:rsidRPr="6A7A52F9">
        <w:rPr>
          <w:rStyle w:val="normaltextrun"/>
          <w:rFonts w:ascii="Aptos" w:hAnsi="Aptos" w:cs="Segoe UI"/>
        </w:rPr>
        <w:t xml:space="preserve"> </w:t>
      </w:r>
      <w:r w:rsidRPr="6A7A52F9">
        <w:rPr>
          <w:rFonts w:ascii="Aptos" w:hAnsi="Aptos" w:cs="Segoe UI"/>
        </w:rPr>
        <w:t>stable</w:t>
      </w:r>
      <w:r>
        <w:rPr>
          <w:rFonts w:ascii="Aptos" w:hAnsi="Aptos" w:cs="Segoe UI"/>
        </w:rPr>
        <w:t xml:space="preserve"> </w:t>
      </w:r>
      <w:r w:rsidRPr="00FD28C9">
        <w:rPr>
          <w:rFonts w:ascii="Aptos" w:hAnsi="Aptos" w:cs="Segoe UI"/>
        </w:rPr>
        <w:t>for sinonasal</w:t>
      </w:r>
      <w:r>
        <w:rPr>
          <w:rFonts w:ascii="Aptos" w:hAnsi="Aptos" w:cs="Segoe UI"/>
        </w:rPr>
        <w:t xml:space="preserve"> cancer,</w:t>
      </w:r>
      <w:r w:rsidRPr="00FD28C9">
        <w:rPr>
          <w:rFonts w:ascii="Aptos" w:hAnsi="Aptos" w:cs="Segoe UI"/>
        </w:rPr>
        <w:t xml:space="preserve"> laryngeal cancer</w:t>
      </w:r>
      <w:r>
        <w:rPr>
          <w:rFonts w:ascii="Aptos" w:hAnsi="Aptos" w:cs="Segoe UI"/>
        </w:rPr>
        <w:t xml:space="preserve"> and </w:t>
      </w:r>
      <w:r w:rsidRPr="6A7A52F9">
        <w:rPr>
          <w:rFonts w:ascii="Aptos" w:hAnsi="Aptos" w:cs="Segoe UI"/>
        </w:rPr>
        <w:t xml:space="preserve">nasopharyngeal </w:t>
      </w:r>
      <w:r>
        <w:rPr>
          <w:rFonts w:ascii="Aptos" w:hAnsi="Aptos" w:cs="Segoe UI"/>
        </w:rPr>
        <w:t xml:space="preserve">cancer in men. </w:t>
      </w:r>
      <w:r w:rsidRPr="00F10468">
        <w:rPr>
          <w:rFonts w:ascii="Aptos" w:hAnsi="Aptos"/>
        </w:rPr>
        <w:t xml:space="preserve"> Internationally incidence of </w:t>
      </w:r>
      <w:r>
        <w:rPr>
          <w:rFonts w:ascii="Aptos" w:hAnsi="Aptos"/>
        </w:rPr>
        <w:t xml:space="preserve">cancers of the </w:t>
      </w:r>
      <w:r w:rsidRPr="00F10468">
        <w:rPr>
          <w:rFonts w:ascii="Aptos" w:hAnsi="Aptos"/>
        </w:rPr>
        <w:t xml:space="preserve">head and neck </w:t>
      </w:r>
      <w:r w:rsidRPr="002113E8">
        <w:rPr>
          <w:rStyle w:val="normaltextrun"/>
          <w:rFonts w:ascii="Aptos" w:hAnsi="Aptos"/>
        </w:rPr>
        <w:t>is increasing – a trend largely driven by increases in oropharyngeal cancer.</w:t>
      </w:r>
      <w:r>
        <w:rPr>
          <w:rStyle w:val="normaltextrun"/>
          <w:rFonts w:ascii="Aptos" w:hAnsi="Aptos"/>
        </w:rPr>
        <w:fldChar w:fldCharType="begin"/>
      </w:r>
      <w:r w:rsidR="00A5309E">
        <w:rPr>
          <w:rStyle w:val="normaltextrun"/>
          <w:rFonts w:ascii="Aptos" w:hAnsi="Aptos"/>
        </w:rPr>
        <w:instrText xml:space="preserve"> ADDIN ZOTERO_ITEM CSL_CITATION {"citationID":"q0c3gxkm","properties":{"formattedCitation":"(65)","plainCitation":"(65)","noteIndex":0},"citationItems":[{"id":201,"uris":["http://zotero.org/users/local/fxpU1WWH/items/Y3HX8YWQ"],"itemData":{"id":201,"type":"article-journal","abstract":"Introduction  Head and neck cancer appears to be increasing in incidence, with potential changes in aetiology proposed. This paper aims to provide a narrative overview of the epidemiological literature to describe the disease burden and trends in terms of incidence and mortality both in the UK and globally and to review the evidence on current risk factors.","container-title":"British Dental Journal","DOI":"10.1038/s41415-022-5166-x","ISSN":"1476-5373","issue":"9","journalAbbreviation":"Br Dent J","language":"en","license":"2022 The Author(s)","note":"publisher: Nature Publishing Group","page":"780-786","source":"www.nature.com","title":"Reviewing the epidemiology of head and neck cancer: definitions, trends and risk factors","title-short":"Reviewing the epidemiology of head and neck cancer","volume":"233","author":[{"family":"Gormley","given":"Mark"},{"family":"Creaney","given":"Grant"},{"family":"Schache","given":"Andrew"},{"family":"Ingarfield","given":"Kate"},{"family":"Conway","given":"David I."}],"issued":{"date-parts":[["2022",11]]}}}],"schema":"https://github.com/citation-style-language/schema/raw/master/csl-citation.json"} </w:instrText>
      </w:r>
      <w:r>
        <w:rPr>
          <w:rStyle w:val="normaltextrun"/>
          <w:rFonts w:ascii="Aptos" w:hAnsi="Aptos"/>
        </w:rPr>
        <w:fldChar w:fldCharType="separate"/>
      </w:r>
      <w:r w:rsidR="00A5309E" w:rsidRPr="00A5309E">
        <w:rPr>
          <w:rFonts w:ascii="Aptos" w:hAnsi="Aptos"/>
        </w:rPr>
        <w:t>(65)</w:t>
      </w:r>
      <w:r>
        <w:rPr>
          <w:rStyle w:val="normaltextrun"/>
          <w:rFonts w:ascii="Aptos" w:hAnsi="Aptos"/>
        </w:rPr>
        <w:fldChar w:fldCharType="end"/>
      </w:r>
      <w:r w:rsidRPr="002113E8">
        <w:rPr>
          <w:rStyle w:val="normaltextrun"/>
          <w:rFonts w:ascii="Aptos" w:hAnsi="Aptos"/>
        </w:rPr>
        <w:t xml:space="preserve"> </w:t>
      </w:r>
      <w:r>
        <w:rPr>
          <w:rStyle w:val="normaltextrun"/>
          <w:rFonts w:ascii="Aptos" w:hAnsi="Aptos"/>
        </w:rPr>
        <w:t>A</w:t>
      </w:r>
      <w:r w:rsidRPr="00F10468">
        <w:rPr>
          <w:rStyle w:val="normaltextrun"/>
          <w:rFonts w:ascii="Aptos" w:hAnsi="Aptos"/>
        </w:rPr>
        <w:t xml:space="preserve">cross </w:t>
      </w:r>
      <w:r>
        <w:rPr>
          <w:rStyle w:val="normaltextrun"/>
          <w:rFonts w:ascii="Aptos" w:hAnsi="Aptos"/>
        </w:rPr>
        <w:t xml:space="preserve">cancers of the </w:t>
      </w:r>
      <w:r w:rsidRPr="00F10468">
        <w:rPr>
          <w:rStyle w:val="normaltextrun"/>
          <w:rFonts w:ascii="Aptos" w:hAnsi="Aptos"/>
        </w:rPr>
        <w:t>head and neck</w:t>
      </w:r>
      <w:r w:rsidRPr="6A7A52F9">
        <w:rPr>
          <w:rStyle w:val="normaltextrun"/>
          <w:rFonts w:ascii="Aptos" w:hAnsi="Aptos"/>
        </w:rPr>
        <w:t>,</w:t>
      </w:r>
      <w:r w:rsidRPr="00F10468">
        <w:rPr>
          <w:rStyle w:val="normaltextrun"/>
          <w:rFonts w:ascii="Aptos" w:hAnsi="Aptos"/>
        </w:rPr>
        <w:t xml:space="preserve"> </w:t>
      </w:r>
      <w:r>
        <w:rPr>
          <w:rStyle w:val="normaltextrun"/>
          <w:rFonts w:ascii="Aptos" w:hAnsi="Aptos"/>
        </w:rPr>
        <w:t>r</w:t>
      </w:r>
      <w:r w:rsidRPr="00F10468">
        <w:rPr>
          <w:rStyle w:val="normaltextrun"/>
          <w:rFonts w:ascii="Aptos" w:hAnsi="Aptos"/>
        </w:rPr>
        <w:t>isk factors are similar</w:t>
      </w:r>
      <w:r>
        <w:rPr>
          <w:rStyle w:val="normaltextrun"/>
          <w:rFonts w:ascii="Aptos" w:hAnsi="Aptos"/>
        </w:rPr>
        <w:t xml:space="preserve"> but </w:t>
      </w:r>
      <w:r w:rsidRPr="00F10468">
        <w:rPr>
          <w:rStyle w:val="normaltextrun"/>
          <w:rFonts w:ascii="Aptos" w:hAnsi="Aptos"/>
        </w:rPr>
        <w:t>the magnitude of risk associated with tobacco smoking varies</w:t>
      </w:r>
      <w:r w:rsidR="00CD129C">
        <w:rPr>
          <w:rStyle w:val="normaltextrun"/>
          <w:rFonts w:ascii="Aptos" w:hAnsi="Aptos"/>
        </w:rPr>
        <w:t xml:space="preserve"> </w:t>
      </w:r>
      <w:r w:rsidRPr="00F10468">
        <w:rPr>
          <w:rStyle w:val="normaltextrun"/>
          <w:rFonts w:ascii="Aptos" w:hAnsi="Aptos"/>
        </w:rPr>
        <w:t>– being greatest for laryngeal cancer.</w:t>
      </w:r>
      <w:r>
        <w:rPr>
          <w:rStyle w:val="normaltextrun"/>
          <w:rFonts w:ascii="Aptos" w:hAnsi="Aptos"/>
        </w:rPr>
        <w:fldChar w:fldCharType="begin"/>
      </w:r>
      <w:r w:rsidR="00A5309E">
        <w:rPr>
          <w:rStyle w:val="normaltextrun"/>
          <w:rFonts w:ascii="Aptos" w:hAnsi="Aptos"/>
        </w:rPr>
        <w:instrText xml:space="preserve"> ADDIN ZOTERO_ITEM CSL_CITATION {"citationID":"3XucH9IE","properties":{"formattedCitation":"(65)","plainCitation":"(65)","noteIndex":0},"citationItems":[{"id":201,"uris":["http://zotero.org/users/local/fxpU1WWH/items/Y3HX8YWQ"],"itemData":{"id":201,"type":"article-journal","abstract":"Introduction  Head and neck cancer appears to be increasing in incidence, with potential changes in aetiology proposed. This paper aims to provide a narrative overview of the epidemiological literature to describe the disease burden and trends in terms of incidence and mortality both in the UK and globally and to review the evidence on current risk factors.","container-title":"British Dental Journal","DOI":"10.1038/s41415-022-5166-x","ISSN":"1476-5373","issue":"9","journalAbbreviation":"Br Dent J","language":"en","license":"2022 The Author(s)","note":"publisher: Nature Publishing Group","page":"780-786","source":"www.nature.com","title":"Reviewing the epidemiology of head and neck cancer: definitions, trends and risk factors","title-short":"Reviewing the epidemiology of head and neck cancer","volume":"233","author":[{"family":"Gormley","given":"Mark"},{"family":"Creaney","given":"Grant"},{"family":"Schache","given":"Andrew"},{"family":"Ingarfield","given":"Kate"},{"family":"Conway","given":"David I."}],"issued":{"date-parts":[["2022",11]]}}}],"schema":"https://github.com/citation-style-language/schema/raw/master/csl-citation.json"} </w:instrText>
      </w:r>
      <w:r>
        <w:rPr>
          <w:rStyle w:val="normaltextrun"/>
          <w:rFonts w:ascii="Aptos" w:hAnsi="Aptos"/>
        </w:rPr>
        <w:fldChar w:fldCharType="separate"/>
      </w:r>
      <w:r w:rsidR="00A5309E" w:rsidRPr="00A5309E">
        <w:rPr>
          <w:rFonts w:ascii="Aptos" w:hAnsi="Aptos"/>
        </w:rPr>
        <w:t>(65)</w:t>
      </w:r>
      <w:r>
        <w:rPr>
          <w:rStyle w:val="normaltextrun"/>
          <w:rFonts w:ascii="Aptos" w:hAnsi="Aptos"/>
        </w:rPr>
        <w:fldChar w:fldCharType="end"/>
      </w:r>
      <w:r w:rsidRPr="00F10468">
        <w:rPr>
          <w:rStyle w:val="normaltextrun"/>
          <w:rFonts w:ascii="Aptos" w:hAnsi="Aptos"/>
        </w:rPr>
        <w:t xml:space="preserve"> Alcohol </w:t>
      </w:r>
      <w:r>
        <w:rPr>
          <w:rStyle w:val="normaltextrun"/>
          <w:rFonts w:ascii="Aptos" w:hAnsi="Aptos"/>
        </w:rPr>
        <w:t xml:space="preserve">consumption </w:t>
      </w:r>
      <w:r w:rsidRPr="00F10468">
        <w:rPr>
          <w:rStyle w:val="normaltextrun"/>
          <w:rFonts w:ascii="Aptos" w:hAnsi="Aptos"/>
        </w:rPr>
        <w:t xml:space="preserve">and high-risk HPV </w:t>
      </w:r>
      <w:r>
        <w:rPr>
          <w:rStyle w:val="normaltextrun"/>
          <w:rFonts w:ascii="Aptos" w:hAnsi="Aptos"/>
        </w:rPr>
        <w:t xml:space="preserve">infection </w:t>
      </w:r>
      <w:r w:rsidRPr="00F10468">
        <w:rPr>
          <w:rStyle w:val="normaltextrun"/>
          <w:rFonts w:ascii="Aptos" w:hAnsi="Aptos"/>
        </w:rPr>
        <w:t>are major additional risk factors for oropharyngeal cancer</w:t>
      </w:r>
      <w:r>
        <w:rPr>
          <w:rStyle w:val="normaltextrun"/>
          <w:rFonts w:ascii="Aptos" w:hAnsi="Aptos"/>
        </w:rPr>
        <w:t>.</w:t>
      </w:r>
      <w:r>
        <w:rPr>
          <w:rStyle w:val="normaltextrun"/>
          <w:rFonts w:ascii="Aptos" w:hAnsi="Aptos"/>
        </w:rPr>
        <w:fldChar w:fldCharType="begin"/>
      </w:r>
      <w:r w:rsidR="00A5309E">
        <w:rPr>
          <w:rStyle w:val="normaltextrun"/>
          <w:rFonts w:ascii="Aptos" w:hAnsi="Aptos"/>
        </w:rPr>
        <w:instrText xml:space="preserve"> ADDIN ZOTERO_ITEM CSL_CITATION {"citationID":"1fUy78XM","properties":{"formattedCitation":"(65)","plainCitation":"(65)","noteIndex":0},"citationItems":[{"id":201,"uris":["http://zotero.org/users/local/fxpU1WWH/items/Y3HX8YWQ"],"itemData":{"id":201,"type":"article-journal","abstract":"Introduction  Head and neck cancer appears to be increasing in incidence, with potential changes in aetiology proposed. This paper aims to provide a narrative overview of the epidemiological literature to describe the disease burden and trends in terms of incidence and mortality both in the UK and globally and to review the evidence on current risk factors.","container-title":"British Dental Journal","DOI":"10.1038/s41415-022-5166-x","ISSN":"1476-5373","issue":"9","journalAbbreviation":"Br Dent J","language":"en","license":"2022 The Author(s)","note":"publisher: Nature Publishing Group","page":"780-786","source":"www.nature.com","title":"Reviewing the epidemiology of head and neck cancer: definitions, trends and risk factors","title-short":"Reviewing the epidemiology of head and neck cancer","volume":"233","author":[{"family":"Gormley","given":"Mark"},{"family":"Creaney","given":"Grant"},{"family":"Schache","given":"Andrew"},{"family":"Ingarfield","given":"Kate"},{"family":"Conway","given":"David I."}],"issued":{"date-parts":[["2022",11]]}}}],"schema":"https://github.com/citation-style-language/schema/raw/master/csl-citation.json"} </w:instrText>
      </w:r>
      <w:r>
        <w:rPr>
          <w:rStyle w:val="normaltextrun"/>
          <w:rFonts w:ascii="Aptos" w:hAnsi="Aptos"/>
        </w:rPr>
        <w:fldChar w:fldCharType="separate"/>
      </w:r>
      <w:r w:rsidR="00A5309E" w:rsidRPr="00A5309E">
        <w:rPr>
          <w:rFonts w:ascii="Aptos" w:hAnsi="Aptos"/>
        </w:rPr>
        <w:t>(65)</w:t>
      </w:r>
      <w:r>
        <w:rPr>
          <w:rStyle w:val="normaltextrun"/>
          <w:rFonts w:ascii="Aptos" w:hAnsi="Aptos"/>
        </w:rPr>
        <w:fldChar w:fldCharType="end"/>
      </w:r>
      <w:r w:rsidRPr="00E16A44">
        <w:rPr>
          <w:rStyle w:val="normaltextrun"/>
          <w:rFonts w:ascii="Aptos" w:hAnsi="Aptos"/>
        </w:rPr>
        <w:t xml:space="preserve"> </w:t>
      </w:r>
      <w:r>
        <w:rPr>
          <w:rStyle w:val="normaltextrun"/>
          <w:rFonts w:ascii="Aptos" w:hAnsi="Aptos"/>
        </w:rPr>
        <w:t>In males d</w:t>
      </w:r>
      <w:r w:rsidRPr="00E16A44">
        <w:rPr>
          <w:rStyle w:val="normaltextrun"/>
          <w:rFonts w:ascii="Aptos" w:hAnsi="Aptos"/>
        </w:rPr>
        <w:t xml:space="preserve">ecreasing trends </w:t>
      </w:r>
      <w:r>
        <w:rPr>
          <w:rStyle w:val="normaltextrun"/>
          <w:rFonts w:ascii="Aptos" w:hAnsi="Aptos"/>
        </w:rPr>
        <w:t xml:space="preserve">in incidence for oral cavity cancer and pharyngeal cancer were seen </w:t>
      </w:r>
      <w:r w:rsidRPr="00E16A44">
        <w:rPr>
          <w:rStyle w:val="normaltextrun"/>
          <w:rFonts w:ascii="Aptos" w:hAnsi="Aptos"/>
        </w:rPr>
        <w:t xml:space="preserve">from </w:t>
      </w:r>
      <w:r>
        <w:rPr>
          <w:rStyle w:val="normaltextrun"/>
          <w:rFonts w:ascii="Aptos" w:hAnsi="Aptos"/>
        </w:rPr>
        <w:t xml:space="preserve">1994 until the early 2000s </w:t>
      </w:r>
      <w:r w:rsidRPr="00E16A44">
        <w:rPr>
          <w:rStyle w:val="normaltextrun"/>
          <w:rFonts w:ascii="Aptos" w:hAnsi="Aptos"/>
        </w:rPr>
        <w:t xml:space="preserve">before a </w:t>
      </w:r>
      <w:r>
        <w:rPr>
          <w:rStyle w:val="normaltextrun"/>
          <w:rFonts w:ascii="Aptos" w:hAnsi="Aptos"/>
        </w:rPr>
        <w:t xml:space="preserve">significant </w:t>
      </w:r>
      <w:r w:rsidRPr="00E16A44">
        <w:rPr>
          <w:rStyle w:val="normaltextrun"/>
          <w:rFonts w:ascii="Aptos" w:hAnsi="Aptos"/>
        </w:rPr>
        <w:t>increase</w:t>
      </w:r>
      <w:r>
        <w:rPr>
          <w:rStyle w:val="normaltextrun"/>
          <w:rFonts w:ascii="Aptos" w:hAnsi="Aptos"/>
        </w:rPr>
        <w:t xml:space="preserve">. The initial decline and subsequent increase in incidence </w:t>
      </w:r>
      <w:r w:rsidR="47527123">
        <w:rPr>
          <w:rStyle w:val="normaltextrun"/>
          <w:rFonts w:ascii="Aptos" w:hAnsi="Aptos"/>
        </w:rPr>
        <w:t>of</w:t>
      </w:r>
      <w:r w:rsidR="002B5F32">
        <w:rPr>
          <w:rStyle w:val="normaltextrun"/>
          <w:rFonts w:ascii="Aptos" w:hAnsi="Aptos"/>
        </w:rPr>
        <w:t xml:space="preserve"> </w:t>
      </w:r>
      <w:r>
        <w:rPr>
          <w:rStyle w:val="normaltextrun"/>
          <w:rFonts w:ascii="Aptos" w:hAnsi="Aptos"/>
        </w:rPr>
        <w:t>pharyngeal cancer may</w:t>
      </w:r>
      <w:r w:rsidRPr="00E16A44">
        <w:rPr>
          <w:rStyle w:val="normaltextrun"/>
          <w:rFonts w:ascii="Aptos" w:hAnsi="Aptos"/>
        </w:rPr>
        <w:t xml:space="preserve"> reflect</w:t>
      </w:r>
      <w:r>
        <w:rPr>
          <w:rStyle w:val="normaltextrun"/>
          <w:rFonts w:ascii="Aptos" w:hAnsi="Aptos"/>
        </w:rPr>
        <w:t xml:space="preserve"> differential exposures according to birth cohort as has been described in the UK – with d</w:t>
      </w:r>
      <w:r w:rsidRPr="00C712EC">
        <w:rPr>
          <w:rStyle w:val="normaltextrun"/>
          <w:rFonts w:ascii="Aptos" w:hAnsi="Aptos" w:cs="Segoe UI"/>
        </w:rPr>
        <w:t>ecreas</w:t>
      </w:r>
      <w:r>
        <w:rPr>
          <w:rStyle w:val="normaltextrun"/>
          <w:rFonts w:ascii="Aptos" w:hAnsi="Aptos" w:cs="Segoe UI"/>
        </w:rPr>
        <w:t xml:space="preserve">ing </w:t>
      </w:r>
      <w:r w:rsidRPr="00C712EC">
        <w:rPr>
          <w:rStyle w:val="normaltextrun"/>
          <w:rFonts w:ascii="Aptos" w:hAnsi="Aptos" w:cs="Segoe UI"/>
        </w:rPr>
        <w:t>exposure to tobacco</w:t>
      </w:r>
      <w:r>
        <w:rPr>
          <w:rStyle w:val="normaltextrun"/>
          <w:rFonts w:ascii="Aptos" w:hAnsi="Aptos" w:cs="Segoe UI"/>
        </w:rPr>
        <w:t xml:space="preserve"> and increased</w:t>
      </w:r>
      <w:r w:rsidRPr="00C712EC">
        <w:rPr>
          <w:rStyle w:val="normaltextrun"/>
          <w:rFonts w:ascii="Aptos" w:hAnsi="Aptos" w:cs="Segoe UI"/>
        </w:rPr>
        <w:t xml:space="preserve"> exposure to HPV</w:t>
      </w:r>
      <w:r>
        <w:rPr>
          <w:rStyle w:val="normaltextrun"/>
          <w:rFonts w:ascii="Aptos" w:hAnsi="Aptos" w:cs="Segoe UI"/>
        </w:rPr>
        <w:t xml:space="preserve"> </w:t>
      </w:r>
      <w:r w:rsidRPr="00C712EC">
        <w:rPr>
          <w:rStyle w:val="normaltextrun"/>
          <w:rFonts w:ascii="Aptos" w:hAnsi="Aptos" w:cs="Segoe UI"/>
        </w:rPr>
        <w:t>in later born cohorts</w:t>
      </w:r>
      <w:r>
        <w:rPr>
          <w:rStyle w:val="normaltextrun"/>
          <w:rFonts w:ascii="Aptos" w:hAnsi="Aptos" w:cs="Segoe UI"/>
        </w:rPr>
        <w:t>.</w:t>
      </w:r>
      <w:r>
        <w:rPr>
          <w:rStyle w:val="normaltextrun"/>
          <w:rFonts w:ascii="Aptos" w:hAnsi="Aptos" w:cs="Segoe UI"/>
        </w:rPr>
        <w:fldChar w:fldCharType="begin"/>
      </w:r>
      <w:r w:rsidR="00A5309E">
        <w:rPr>
          <w:rStyle w:val="normaltextrun"/>
          <w:rFonts w:ascii="Aptos" w:hAnsi="Aptos" w:cs="Segoe UI"/>
        </w:rPr>
        <w:instrText xml:space="preserve"> ADDIN ZOTERO_ITEM CSL_CITATION {"citationID":"cuj7X619","properties":{"formattedCitation":"(66)","plainCitation":"(66)","noteIndex":0},"citationItems":[{"id":203,"uris":["http://zotero.org/users/local/fxpU1WWH/items/LCHZWIHT"],"itemData":{"id":203,"type":"webpage","abstract":"The latest Head and neck cancers incidence statistics for the UK for Health Professionals. See data for sex, age, trends over time and more.","container-title":"Cancer Research UK","language":"en","title":"Head and neck cancers incidence statistics","URL":"https://www.cancerresearchuk.org/health-professional/cancer-statistics/statistics-by-cancer-type/head-and-neck-cancers/incidence","accessed":{"date-parts":[["2025",5,8]]},"issued":{"date-parts":[["2017",2,8]]}}}],"schema":"https://github.com/citation-style-language/schema/raw/master/csl-citation.json"} </w:instrText>
      </w:r>
      <w:r>
        <w:rPr>
          <w:rStyle w:val="normaltextrun"/>
          <w:rFonts w:ascii="Aptos" w:hAnsi="Aptos" w:cs="Segoe UI"/>
        </w:rPr>
        <w:fldChar w:fldCharType="separate"/>
      </w:r>
      <w:r w:rsidR="00A5309E" w:rsidRPr="00A5309E">
        <w:rPr>
          <w:rFonts w:ascii="Aptos" w:hAnsi="Aptos"/>
        </w:rPr>
        <w:t>(66)</w:t>
      </w:r>
      <w:r>
        <w:rPr>
          <w:rStyle w:val="normaltextrun"/>
          <w:rFonts w:ascii="Aptos" w:hAnsi="Aptos" w:cs="Segoe UI"/>
        </w:rPr>
        <w:fldChar w:fldCharType="end"/>
      </w:r>
      <w:r>
        <w:rPr>
          <w:rStyle w:val="normaltextrun"/>
          <w:rFonts w:ascii="Aptos" w:hAnsi="Aptos" w:cs="Segoe UI"/>
        </w:rPr>
        <w:t xml:space="preserve"> While trends in incidence of the tobacco</w:t>
      </w:r>
      <w:r w:rsidR="00A45DCC">
        <w:rPr>
          <w:rStyle w:val="normaltextrun"/>
          <w:rFonts w:ascii="Aptos" w:hAnsi="Aptos" w:cs="Segoe UI"/>
        </w:rPr>
        <w:t>-</w:t>
      </w:r>
      <w:r>
        <w:rPr>
          <w:rStyle w:val="normaltextrun"/>
          <w:rFonts w:ascii="Aptos" w:hAnsi="Aptos" w:cs="Segoe UI"/>
        </w:rPr>
        <w:t xml:space="preserve">related head and neck cancers tend to mirror those seen internationally, </w:t>
      </w:r>
      <w:r w:rsidR="30399F1A" w:rsidRPr="16D4D1D5">
        <w:rPr>
          <w:rStyle w:val="normaltextrun"/>
          <w:rFonts w:ascii="Aptos" w:hAnsi="Aptos" w:cs="Segoe UI"/>
        </w:rPr>
        <w:t>declining</w:t>
      </w:r>
      <w:r>
        <w:rPr>
          <w:rStyle w:val="normaltextrun"/>
          <w:rFonts w:ascii="Aptos" w:hAnsi="Aptos" w:cs="Segoe UI"/>
        </w:rPr>
        <w:t xml:space="preserve"> or stable mortality rates </w:t>
      </w:r>
      <w:r w:rsidR="19F4F11F" w:rsidRPr="16D4D1D5">
        <w:rPr>
          <w:rStyle w:val="normaltextrun"/>
          <w:rFonts w:ascii="Aptos" w:hAnsi="Aptos" w:cs="Segoe UI"/>
        </w:rPr>
        <w:t xml:space="preserve">in Ireland </w:t>
      </w:r>
      <w:r>
        <w:rPr>
          <w:rStyle w:val="normaltextrun"/>
          <w:rFonts w:ascii="Aptos" w:hAnsi="Aptos" w:cs="Segoe UI"/>
        </w:rPr>
        <w:t>contrast with</w:t>
      </w:r>
      <w:r>
        <w:rPr>
          <w:rFonts w:ascii="Aptos" w:hAnsi="Aptos" w:cs="Segoe UI"/>
        </w:rPr>
        <w:t xml:space="preserve"> UK and global trends of increasing mortality.</w:t>
      </w:r>
      <w:r>
        <w:rPr>
          <w:rFonts w:ascii="Aptos" w:hAnsi="Aptos" w:cs="Segoe UI"/>
        </w:rPr>
        <w:fldChar w:fldCharType="begin"/>
      </w:r>
      <w:r w:rsidR="00A5309E">
        <w:rPr>
          <w:rFonts w:ascii="Aptos" w:hAnsi="Aptos" w:cs="Segoe UI"/>
        </w:rPr>
        <w:instrText xml:space="preserve"> ADDIN ZOTERO_ITEM CSL_CITATION {"citationID":"3DTADhJ8","properties":{"formattedCitation":"(65)","plainCitation":"(65)","noteIndex":0},"citationItems":[{"id":201,"uris":["http://zotero.org/users/local/fxpU1WWH/items/Y3HX8YWQ"],"itemData":{"id":201,"type":"article-journal","abstract":"Introduction  Head and neck cancer appears to be increasing in incidence, with potential changes in aetiology proposed. This paper aims to provide a narrative overview of the epidemiological literature to describe the disease burden and trends in terms of incidence and mortality both in the UK and globally and to review the evidence on current risk factors.","container-title":"British Dental Journal","DOI":"10.1038/s41415-022-5166-x","ISSN":"1476-5373","issue":"9","journalAbbreviation":"Br Dent J","language":"en","license":"2022 The Author(s)","note":"publisher: Nature Publishing Group","page":"780-786","source":"www.nature.com","title":"Reviewing the epidemiology of head and neck cancer: definitions, trends and risk factors","title-short":"Reviewing the epidemiology of head and neck cancer","volume":"233","author":[{"family":"Gormley","given":"Mark"},{"family":"Creaney","given":"Grant"},{"family":"Schache","given":"Andrew"},{"family":"Ingarfield","given":"Kate"},{"family":"Conway","given":"David I."}],"issued":{"date-parts":[["2022",11]]}}}],"schema":"https://github.com/citation-style-language/schema/raw/master/csl-citation.json"} </w:instrText>
      </w:r>
      <w:r>
        <w:rPr>
          <w:rFonts w:ascii="Aptos" w:hAnsi="Aptos" w:cs="Segoe UI"/>
        </w:rPr>
        <w:fldChar w:fldCharType="separate"/>
      </w:r>
      <w:r w:rsidR="00A5309E" w:rsidRPr="00A5309E">
        <w:rPr>
          <w:rFonts w:ascii="Aptos" w:hAnsi="Aptos"/>
        </w:rPr>
        <w:t>(65)</w:t>
      </w:r>
      <w:r>
        <w:rPr>
          <w:rFonts w:ascii="Aptos" w:hAnsi="Aptos" w:cs="Segoe UI"/>
        </w:rPr>
        <w:fldChar w:fldCharType="end"/>
      </w:r>
    </w:p>
    <w:p w14:paraId="22FB2F51" w14:textId="77777777" w:rsidR="00A27215" w:rsidRDefault="00A27215" w:rsidP="00A27215">
      <w:pPr>
        <w:shd w:val="clear" w:color="auto" w:fill="FFFFFF"/>
        <w:spacing w:after="0" w:line="240" w:lineRule="auto"/>
        <w:rPr>
          <w:rFonts w:eastAsiaTheme="majorEastAsia" w:cstheme="majorBidi"/>
          <w:color w:val="0F4761" w:themeColor="accent1" w:themeShade="BF"/>
          <w:sz w:val="28"/>
          <w:szCs w:val="28"/>
        </w:rPr>
      </w:pPr>
    </w:p>
    <w:p w14:paraId="1952F90A" w14:textId="77777777" w:rsidR="00A27215" w:rsidRPr="00631A27" w:rsidRDefault="00A27215" w:rsidP="00A27215">
      <w:pPr>
        <w:shd w:val="clear" w:color="auto" w:fill="FFFFFF"/>
        <w:spacing w:after="0" w:line="240" w:lineRule="auto"/>
        <w:rPr>
          <w:b/>
          <w:bCs/>
        </w:rPr>
      </w:pPr>
      <w:r w:rsidRPr="00631A27">
        <w:rPr>
          <w:b/>
          <w:bCs/>
        </w:rPr>
        <w:t>Gastrointestinal cancers</w:t>
      </w:r>
    </w:p>
    <w:p w14:paraId="1F28BA78" w14:textId="5F2A3535" w:rsidR="00A27215" w:rsidRDefault="00A27215" w:rsidP="00A27215">
      <w:pPr>
        <w:shd w:val="clear" w:color="auto" w:fill="FFFFFF" w:themeFill="background1"/>
        <w:spacing w:after="0" w:line="240" w:lineRule="auto"/>
      </w:pPr>
      <w:r>
        <w:t>Five major types of gastrointestinal cancer are tobacco</w:t>
      </w:r>
      <w:r w:rsidR="00A45DCC">
        <w:t>-</w:t>
      </w:r>
      <w:r>
        <w:t>related: colorectal, oesophageal, pancreatic, stomach and liver cancer.</w:t>
      </w:r>
      <w:r>
        <w:fldChar w:fldCharType="begin"/>
      </w:r>
      <w:r w:rsidR="00A5309E">
        <w:instrText xml:space="preserve"> ADDIN ZOTERO_ITEM CSL_CITATION {"citationID":"POpH1kpy","properties":{"formattedCitation":"(63)","plainCitation":"(63)","noteIndex":0},"citationItems":[{"id":150,"uris":["http://zotero.org/users/local/fxpU1WWH/items/RM5NBJAI"],"itemData":{"id":150,"type":"article-journal","container-title":"Gastroenterology","DOI":"10.1053/j.gastro.2020.02.068","ISSN":"0016-5085, 1528-0012","issue":"1","journalAbbreviation":"Gastroenterology","language":"English","note":"publisher: Elsevier\nPMID: 32247694","page":"335-349.e15","source":"www.gastrojournal.org","title":"Global Burden of 5 Major Types of Gastrointestinal Cancer","volume":"159","author":[{"family":"Arnold","given":"Melina"},{"family":"Abnet","given":"Christian C."},{"family":"Neale","given":"Rachel E."},{"family":"Vignat","given":"Jerome"},{"family":"Giovannucci","given":"Edward L."},{"family":"McGlynn","given":"Katherine A."},{"family":"Bray","given":"Freddie"}],"issued":{"date-parts":[["2020",7,1]]}}}],"schema":"https://github.com/citation-style-language/schema/raw/master/csl-citation.json"} </w:instrText>
      </w:r>
      <w:r>
        <w:fldChar w:fldCharType="separate"/>
      </w:r>
      <w:r w:rsidR="00A5309E" w:rsidRPr="00A5309E">
        <w:rPr>
          <w:rFonts w:ascii="Aptos" w:hAnsi="Aptos"/>
        </w:rPr>
        <w:t>(63)</w:t>
      </w:r>
      <w:r>
        <w:fldChar w:fldCharType="end"/>
      </w:r>
      <w:r>
        <w:t xml:space="preserve"> </w:t>
      </w:r>
      <w:r w:rsidRPr="00FD28C9">
        <w:t>Incidence</w:t>
      </w:r>
      <w:r>
        <w:t xml:space="preserve"> rates were</w:t>
      </w:r>
      <w:r w:rsidRPr="00FD28C9">
        <w:t xml:space="preserve"> stable or </w:t>
      </w:r>
      <w:r w:rsidR="52930538" w:rsidRPr="00FD28C9">
        <w:t>decreasing</w:t>
      </w:r>
      <w:r w:rsidRPr="00FD28C9">
        <w:t xml:space="preserve"> </w:t>
      </w:r>
      <w:r>
        <w:t xml:space="preserve">across </w:t>
      </w:r>
      <w:r w:rsidR="00366242">
        <w:t>cancer types</w:t>
      </w:r>
      <w:r>
        <w:t xml:space="preserve"> </w:t>
      </w:r>
      <w:r w:rsidRPr="00FD28C9">
        <w:t xml:space="preserve">except for liver cancer and oesophageal </w:t>
      </w:r>
      <w:r>
        <w:t>adenocarcinoma</w:t>
      </w:r>
      <w:r w:rsidRPr="00FD28C9">
        <w:t xml:space="preserve"> in women. Where mortality trends could be calculated, trends were downward or stable except for liver cancer. </w:t>
      </w:r>
      <w:r>
        <w:t>Globally liver cancer incidence and mortality are increasing</w:t>
      </w:r>
      <w:r w:rsidR="2D6753F1">
        <w:t>.</w:t>
      </w:r>
      <w:r>
        <w:t xml:space="preserve"> In general, Irish trends are in</w:t>
      </w:r>
      <w:r w:rsidRPr="00FD28C9">
        <w:t xml:space="preserve"> line with global trends </w:t>
      </w:r>
      <w:r w:rsidR="00A378E0" w:rsidRPr="00FD28C9">
        <w:t>where</w:t>
      </w:r>
      <w:r w:rsidR="00A378E0">
        <w:t>by</w:t>
      </w:r>
      <w:r w:rsidR="00A378E0" w:rsidRPr="00FD28C9">
        <w:t xml:space="preserve"> the</w:t>
      </w:r>
      <w:r w:rsidRPr="00FD28C9">
        <w:t xml:space="preserve"> incidence of some types of gastrointestinal cancer has decreased</w:t>
      </w:r>
      <w:r w:rsidR="4EFE6D62" w:rsidRPr="00FD28C9">
        <w:t>.</w:t>
      </w:r>
      <w:r w:rsidR="00F552C7">
        <w:fldChar w:fldCharType="begin"/>
      </w:r>
      <w:r w:rsidR="00A5309E">
        <w:instrText xml:space="preserve"> ADDIN ZOTERO_ITEM CSL_CITATION {"citationID":"tmLrFoJX","properties":{"formattedCitation":"(63)","plainCitation":"(63)","noteIndex":0},"citationItems":[{"id":150,"uris":["http://zotero.org/users/local/fxpU1WWH/items/RM5NBJAI"],"itemData":{"id":150,"type":"article-journal","container-title":"Gastroenterology","DOI":"10.1053/j.gastro.2020.02.068","ISSN":"0016-5085, 1528-0012","issue":"1","journalAbbreviation":"Gastroenterology","language":"English","note":"publisher: Elsevier\nPMID: 32247694","page":"335-349.e15","source":"www.gastrojournal.org","title":"Global Burden of 5 Major Types of Gastrointestinal Cancer","volume":"159","author":[{"family":"Arnold","given":"Melina"},{"family":"Abnet","given":"Christian C."},{"family":"Neale","given":"Rachel E."},{"family":"Vignat","given":"Jerome"},{"family":"Giovannucci","given":"Edward L."},{"family":"McGlynn","given":"Katherine A."},{"family":"Bray","given":"Freddie"}],"issued":{"date-parts":[["2020",7,1]]}}}],"schema":"https://github.com/citation-style-language/schema/raw/master/csl-citation.json"} </w:instrText>
      </w:r>
      <w:r w:rsidR="00F552C7">
        <w:fldChar w:fldCharType="separate"/>
      </w:r>
      <w:r w:rsidR="00A5309E" w:rsidRPr="00A5309E">
        <w:rPr>
          <w:rFonts w:ascii="Aptos" w:hAnsi="Aptos"/>
        </w:rPr>
        <w:t>(63)</w:t>
      </w:r>
      <w:r w:rsidR="00F552C7">
        <w:fldChar w:fldCharType="end"/>
      </w:r>
      <w:r w:rsidR="00CD129C">
        <w:t xml:space="preserve"> </w:t>
      </w:r>
      <w:r w:rsidR="00A378E0">
        <w:t>However,</w:t>
      </w:r>
      <w:r w:rsidRPr="00FD28C9">
        <w:t xml:space="preserve"> this group of malignancies continues to pose </w:t>
      </w:r>
      <w:r>
        <w:t>an important public health challenge.</w:t>
      </w:r>
      <w:r w:rsidRPr="00FD28C9">
        <w:t xml:space="preserve"> The importance of primary prevention measures to control these malignancies including reducing tobacco use</w:t>
      </w:r>
      <w:r>
        <w:t xml:space="preserve"> </w:t>
      </w:r>
      <w:r w:rsidRPr="00FD28C9">
        <w:t>has been emphasised.</w:t>
      </w:r>
      <w:r>
        <w:fldChar w:fldCharType="begin"/>
      </w:r>
      <w:r w:rsidR="00A5309E">
        <w:instrText xml:space="preserve"> ADDIN ZOTERO_ITEM CSL_CITATION {"citationID":"Jd0iNZet","properties":{"formattedCitation":"(63)","plainCitation":"(63)","noteIndex":0},"citationItems":[{"id":150,"uris":["http://zotero.org/users/local/fxpU1WWH/items/RM5NBJAI"],"itemData":{"id":150,"type":"article-journal","container-title":"Gastroenterology","DOI":"10.1053/j.gastro.2020.02.068","ISSN":"0016-5085, 1528-0012","issue":"1","journalAbbreviation":"Gastroenterology","language":"English","note":"publisher: Elsevier\nPMID: 32247694","page":"335-349.e15","source":"www.gastrojournal.org","title":"Global Burden of 5 Major Types of Gastrointestinal Cancer","volume":"159","author":[{"family":"Arnold","given":"Melina"},{"family":"Abnet","given":"Christian C."},{"family":"Neale","given":"Rachel E."},{"family":"Vignat","given":"Jerome"},{"family":"Giovannucci","given":"Edward L."},{"family":"McGlynn","given":"Katherine A."},{"family":"Bray","given":"Freddie"}],"issued":{"date-parts":[["2020",7,1]]}}}],"schema":"https://github.com/citation-style-language/schema/raw/master/csl-citation.json"} </w:instrText>
      </w:r>
      <w:r>
        <w:fldChar w:fldCharType="separate"/>
      </w:r>
      <w:r w:rsidR="00A5309E" w:rsidRPr="00A5309E">
        <w:rPr>
          <w:rFonts w:ascii="Aptos" w:hAnsi="Aptos"/>
        </w:rPr>
        <w:t>(63)</w:t>
      </w:r>
      <w:r>
        <w:fldChar w:fldCharType="end"/>
      </w:r>
    </w:p>
    <w:p w14:paraId="78864C28" w14:textId="77777777" w:rsidR="00A27215" w:rsidRDefault="00A27215" w:rsidP="00A27215">
      <w:pPr>
        <w:shd w:val="clear" w:color="auto" w:fill="FFFFFF"/>
        <w:spacing w:after="0" w:line="240" w:lineRule="auto"/>
      </w:pPr>
    </w:p>
    <w:p w14:paraId="53248E12" w14:textId="77777777" w:rsidR="00A27215" w:rsidRPr="00631A27" w:rsidRDefault="00A27215" w:rsidP="00A27215">
      <w:pPr>
        <w:shd w:val="clear" w:color="auto" w:fill="FFFFFF"/>
        <w:spacing w:after="0" w:line="240" w:lineRule="auto"/>
        <w:rPr>
          <w:b/>
          <w:bCs/>
        </w:rPr>
      </w:pPr>
      <w:r w:rsidRPr="00631A27">
        <w:rPr>
          <w:b/>
          <w:bCs/>
        </w:rPr>
        <w:t>Cervical Cancer</w:t>
      </w:r>
    </w:p>
    <w:p w14:paraId="3C6B25FA" w14:textId="29F27EFF" w:rsidR="00A27215" w:rsidRPr="0045021E" w:rsidRDefault="00A27215">
      <w:pPr>
        <w:pStyle w:val="pf0"/>
        <w:spacing w:before="0" w:beforeAutospacing="0" w:after="0" w:afterAutospacing="0"/>
        <w:rPr>
          <w:rFonts w:asciiTheme="minorHAnsi" w:eastAsiaTheme="minorEastAsia" w:hAnsiTheme="minorHAnsi" w:cstheme="minorBidi"/>
          <w:lang w:eastAsia="en-US"/>
        </w:rPr>
      </w:pPr>
      <w:r w:rsidRPr="16D4D1D5">
        <w:rPr>
          <w:rFonts w:asciiTheme="minorHAnsi" w:eastAsiaTheme="minorEastAsia" w:hAnsiTheme="minorHAnsi" w:cstheme="minorBidi"/>
          <w:kern w:val="2"/>
          <w:lang w:eastAsia="en-US"/>
          <w14:ligatures w14:val="standardContextual"/>
        </w:rPr>
        <w:t xml:space="preserve">Cervical cancer incidence rates increased until 2010 followed by a period of steep decline </w:t>
      </w:r>
      <w:r w:rsidR="00CD129C" w:rsidRPr="16D4D1D5">
        <w:rPr>
          <w:rFonts w:asciiTheme="minorHAnsi" w:eastAsiaTheme="minorEastAsia" w:hAnsiTheme="minorHAnsi" w:cstheme="minorBidi"/>
          <w:lang w:eastAsia="en-US"/>
        </w:rPr>
        <w:t>after</w:t>
      </w:r>
      <w:r w:rsidRPr="16D4D1D5">
        <w:rPr>
          <w:rFonts w:asciiTheme="minorHAnsi" w:eastAsiaTheme="minorEastAsia" w:hAnsiTheme="minorHAnsi" w:cstheme="minorBidi"/>
          <w:kern w:val="2"/>
          <w:lang w:eastAsia="en-US"/>
          <w14:ligatures w14:val="standardContextual"/>
        </w:rPr>
        <w:t xml:space="preserve"> the introduction </w:t>
      </w:r>
      <w:r w:rsidRPr="16D4D1D5">
        <w:rPr>
          <w:rFonts w:asciiTheme="minorHAnsi" w:eastAsiaTheme="minorEastAsia" w:hAnsiTheme="minorHAnsi" w:cstheme="minorBidi"/>
          <w:lang w:eastAsia="en-US"/>
        </w:rPr>
        <w:t xml:space="preserve">of </w:t>
      </w:r>
      <w:r w:rsidR="18155761" w:rsidRPr="16D4D1D5">
        <w:rPr>
          <w:rFonts w:asciiTheme="minorHAnsi" w:eastAsiaTheme="minorEastAsia" w:hAnsiTheme="minorHAnsi" w:cstheme="minorBidi"/>
          <w:lang w:eastAsia="en-US"/>
        </w:rPr>
        <w:t xml:space="preserve">the </w:t>
      </w:r>
      <w:r w:rsidRPr="16D4D1D5">
        <w:rPr>
          <w:rFonts w:asciiTheme="minorHAnsi" w:eastAsiaTheme="minorEastAsia" w:hAnsiTheme="minorHAnsi" w:cstheme="minorBidi"/>
          <w:lang w:eastAsia="en-US"/>
        </w:rPr>
        <w:t xml:space="preserve">national </w:t>
      </w:r>
      <w:r w:rsidRPr="16D4D1D5">
        <w:rPr>
          <w:rFonts w:asciiTheme="minorHAnsi" w:eastAsiaTheme="minorEastAsia" w:hAnsiTheme="minorHAnsi" w:cstheme="minorBidi"/>
          <w:kern w:val="2"/>
          <w:lang w:eastAsia="en-US"/>
          <w14:ligatures w14:val="standardContextual"/>
        </w:rPr>
        <w:t>cervical cancer screening</w:t>
      </w:r>
      <w:r w:rsidR="007934F5">
        <w:rPr>
          <w:rFonts w:asciiTheme="minorHAnsi" w:eastAsiaTheme="minorEastAsia" w:hAnsiTheme="minorHAnsi" w:cstheme="minorBidi"/>
          <w:kern w:val="2"/>
          <w:lang w:eastAsia="en-US"/>
          <w14:ligatures w14:val="standardContextual"/>
        </w:rPr>
        <w:t xml:space="preserve"> programme</w:t>
      </w:r>
      <w:r w:rsidRPr="16D4D1D5">
        <w:rPr>
          <w:rFonts w:asciiTheme="minorHAnsi" w:eastAsiaTheme="minorEastAsia" w:hAnsiTheme="minorHAnsi" w:cstheme="minorBidi"/>
          <w:lang w:eastAsia="en-US"/>
        </w:rPr>
        <w:t xml:space="preserve"> in 2008.</w:t>
      </w:r>
      <w:r w:rsidRPr="16D4D1D5">
        <w:rPr>
          <w:rFonts w:asciiTheme="minorHAnsi" w:eastAsiaTheme="minorEastAsia" w:hAnsiTheme="minorHAnsi" w:cstheme="minorBidi"/>
          <w:kern w:val="2"/>
          <w:lang w:eastAsia="en-US"/>
          <w14:ligatures w14:val="standardContextual"/>
        </w:rPr>
        <w:t xml:space="preserve"> Mortality rates decreased for cervical cancer</w:t>
      </w:r>
      <w:r w:rsidR="00B2256C">
        <w:rPr>
          <w:rFonts w:asciiTheme="minorHAnsi" w:eastAsiaTheme="minorEastAsia" w:hAnsiTheme="minorHAnsi" w:cstheme="minorBidi"/>
          <w:kern w:val="2"/>
          <w:lang w:eastAsia="en-US"/>
          <w14:ligatures w14:val="standardContextual"/>
        </w:rPr>
        <w:t xml:space="preserve"> across the period examined</w:t>
      </w:r>
      <w:r w:rsidRPr="16D4D1D5">
        <w:rPr>
          <w:rFonts w:asciiTheme="minorHAnsi" w:eastAsiaTheme="minorEastAsia" w:hAnsiTheme="minorHAnsi" w:cstheme="minorBidi"/>
          <w:kern w:val="2"/>
          <w:lang w:eastAsia="en-US"/>
          <w14:ligatures w14:val="standardContextual"/>
        </w:rPr>
        <w:t>. T</w:t>
      </w:r>
      <w:r w:rsidR="4A9399CC" w:rsidRPr="16D4D1D5">
        <w:rPr>
          <w:rFonts w:asciiTheme="minorHAnsi" w:eastAsiaTheme="minorEastAsia" w:hAnsiTheme="minorHAnsi" w:cstheme="minorBidi"/>
          <w:kern w:val="2"/>
          <w:lang w:eastAsia="en-US"/>
          <w14:ligatures w14:val="standardContextual"/>
        </w:rPr>
        <w:t>hese t</w:t>
      </w:r>
      <w:r w:rsidRPr="16D4D1D5">
        <w:rPr>
          <w:rFonts w:asciiTheme="minorHAnsi" w:eastAsiaTheme="minorEastAsia" w:hAnsiTheme="minorHAnsi" w:cstheme="minorBidi"/>
          <w:kern w:val="2"/>
          <w:lang w:eastAsia="en-US"/>
          <w14:ligatures w14:val="standardContextual"/>
        </w:rPr>
        <w:t xml:space="preserve">rends </w:t>
      </w:r>
      <w:r w:rsidR="00B2256C">
        <w:rPr>
          <w:rFonts w:asciiTheme="minorHAnsi" w:eastAsiaTheme="minorEastAsia" w:hAnsiTheme="minorHAnsi" w:cstheme="minorBidi"/>
          <w:kern w:val="2"/>
          <w:lang w:eastAsia="en-US"/>
          <w14:ligatures w14:val="standardContextual"/>
        </w:rPr>
        <w:t>are</w:t>
      </w:r>
      <w:r w:rsidRPr="16D4D1D5">
        <w:rPr>
          <w:rFonts w:asciiTheme="minorHAnsi" w:eastAsiaTheme="minorEastAsia" w:hAnsiTheme="minorHAnsi" w:cstheme="minorBidi"/>
          <w:kern w:val="2"/>
          <w:lang w:eastAsia="en-US"/>
          <w14:ligatures w14:val="standardContextual"/>
        </w:rPr>
        <w:t xml:space="preserve"> in line with those previously described in Ireland</w:t>
      </w:r>
      <w:r w:rsidRPr="16D4D1D5">
        <w:rPr>
          <w:rFonts w:asciiTheme="minorHAnsi" w:eastAsiaTheme="minorEastAsia" w:hAnsiTheme="minorHAnsi" w:cstheme="minorBidi"/>
          <w:kern w:val="2"/>
          <w:lang w:eastAsia="en-US"/>
          <w14:ligatures w14:val="standardContextual"/>
        </w:rPr>
        <w:fldChar w:fldCharType="begin"/>
      </w:r>
      <w:r w:rsidR="00A5309E">
        <w:rPr>
          <w:rFonts w:asciiTheme="minorHAnsi" w:eastAsiaTheme="minorEastAsia" w:hAnsiTheme="minorHAnsi" w:cstheme="minorBidi"/>
          <w:kern w:val="2"/>
          <w:lang w:eastAsia="en-US"/>
          <w14:ligatures w14:val="standardContextual"/>
        </w:rPr>
        <w:instrText xml:space="preserve"> ADDIN ZOTERO_ITEM CSL_CITATION {"citationID":"5Y0byMjo","properties":{"formattedCitation":"(67,68)","plainCitation":"(67,68)","noteIndex":0},"citationItems":[{"id":153,"uris":["http://zotero.org/users/local/fxpU1WWH/items/PRN5N2EE"],"itemData":{"id":153,"type":"webpage","title":"Cancer Trends 38 - Breast, cervical and colorectal cancer 1994-2019 | National Cancer Registry Ireland","URL":"https://www.ncri.ie/publications/cancer-trends-and-projections/cancer-trends-38-breast-cervical-and-colorectal-cancer","accessed":{"date-parts":[["2025",5,7]]}}},{"id":155,"uris":["http://zotero.org/users/local/fxpU1WWH/items/P2B63G8I"],"itemData":{"id":155,"type":"webpage","title":"Cancer Trends 40 - HPV Associated Cancers | National Cancer Registry Ireland","URL":"https://www.ncri.ie/publications/cancer-trends-and-projections/cancer-trends-40-hpv-associated-cancers","accessed":{"date-parts":[["2025",5,7]]}}}],"schema":"https://github.com/citation-style-language/schema/raw/master/csl-citation.json"} </w:instrText>
      </w:r>
      <w:r w:rsidRPr="16D4D1D5">
        <w:rPr>
          <w:rFonts w:asciiTheme="minorHAnsi" w:eastAsiaTheme="minorEastAsia" w:hAnsiTheme="minorHAnsi" w:cstheme="minorBidi"/>
          <w:kern w:val="2"/>
          <w:lang w:eastAsia="en-US"/>
          <w14:ligatures w14:val="standardContextual"/>
        </w:rPr>
        <w:fldChar w:fldCharType="separate"/>
      </w:r>
      <w:r w:rsidR="00A5309E" w:rsidRPr="00A5309E">
        <w:rPr>
          <w:rFonts w:ascii="Aptos" w:hAnsi="Aptos"/>
        </w:rPr>
        <w:t>(67,68)</w:t>
      </w:r>
      <w:r w:rsidRPr="16D4D1D5">
        <w:rPr>
          <w:rFonts w:asciiTheme="minorHAnsi" w:eastAsiaTheme="minorEastAsia" w:hAnsiTheme="minorHAnsi" w:cstheme="minorBidi"/>
          <w:kern w:val="2"/>
          <w:lang w:eastAsia="en-US"/>
          <w14:ligatures w14:val="standardContextual"/>
        </w:rPr>
        <w:fldChar w:fldCharType="end"/>
      </w:r>
      <w:r w:rsidR="00B02342">
        <w:rPr>
          <w:rFonts w:asciiTheme="minorHAnsi" w:eastAsiaTheme="minorEastAsia" w:hAnsiTheme="minorHAnsi" w:cstheme="minorBidi"/>
          <w:kern w:val="2"/>
          <w:lang w:eastAsia="en-US"/>
          <w14:ligatures w14:val="standardContextual"/>
        </w:rPr>
        <w:t xml:space="preserve"> </w:t>
      </w:r>
      <w:r w:rsidRPr="16D4D1D5">
        <w:rPr>
          <w:rFonts w:asciiTheme="minorHAnsi" w:eastAsiaTheme="minorEastAsia" w:hAnsiTheme="minorHAnsi" w:cstheme="minorBidi"/>
          <w:kern w:val="2"/>
          <w:lang w:eastAsia="en-US"/>
          <w14:ligatures w14:val="standardContextual"/>
        </w:rPr>
        <w:t>and in keeping with</w:t>
      </w:r>
      <w:r w:rsidR="79ED8485" w:rsidRPr="16D4D1D5">
        <w:rPr>
          <w:rFonts w:asciiTheme="minorHAnsi" w:eastAsiaTheme="minorEastAsia" w:hAnsiTheme="minorHAnsi" w:cstheme="minorBidi"/>
          <w:kern w:val="2"/>
          <w:lang w:eastAsia="en-US"/>
          <w14:ligatures w14:val="standardContextual"/>
        </w:rPr>
        <w:t xml:space="preserve"> expected</w:t>
      </w:r>
      <w:r w:rsidRPr="16D4D1D5">
        <w:rPr>
          <w:rFonts w:asciiTheme="minorHAnsi" w:eastAsiaTheme="minorEastAsia" w:hAnsiTheme="minorHAnsi" w:cstheme="minorBidi"/>
          <w:kern w:val="2"/>
          <w:lang w:eastAsia="en-US"/>
          <w14:ligatures w14:val="standardContextual"/>
        </w:rPr>
        <w:t xml:space="preserve"> trends where </w:t>
      </w:r>
      <w:r w:rsidR="00F854D1">
        <w:rPr>
          <w:rFonts w:asciiTheme="minorHAnsi" w:eastAsiaTheme="minorEastAsia" w:hAnsiTheme="minorHAnsi" w:cstheme="minorBidi"/>
          <w:kern w:val="2"/>
          <w:lang w:eastAsia="en-US"/>
          <w14:ligatures w14:val="standardContextual"/>
        </w:rPr>
        <w:t>a</w:t>
      </w:r>
      <w:r w:rsidRPr="16D4D1D5">
        <w:rPr>
          <w:rFonts w:asciiTheme="minorHAnsi" w:eastAsiaTheme="minorEastAsia" w:hAnsiTheme="minorHAnsi" w:cstheme="minorBidi"/>
          <w:kern w:val="2"/>
          <w:lang w:eastAsia="en-US"/>
          <w14:ligatures w14:val="standardContextual"/>
        </w:rPr>
        <w:t xml:space="preserve"> screening programme</w:t>
      </w:r>
      <w:r w:rsidR="00F854D1">
        <w:rPr>
          <w:rFonts w:asciiTheme="minorHAnsi" w:eastAsiaTheme="minorEastAsia" w:hAnsiTheme="minorHAnsi" w:cstheme="minorBidi"/>
          <w:kern w:val="2"/>
          <w:lang w:eastAsia="en-US"/>
          <w14:ligatures w14:val="standardContextual"/>
        </w:rPr>
        <w:t xml:space="preserve"> is</w:t>
      </w:r>
      <w:r w:rsidR="00B8107C">
        <w:rPr>
          <w:rFonts w:asciiTheme="minorHAnsi" w:eastAsiaTheme="minorEastAsia" w:hAnsiTheme="minorHAnsi" w:cstheme="minorBidi"/>
          <w:kern w:val="2"/>
          <w:lang w:eastAsia="en-US"/>
          <w14:ligatures w14:val="standardContextual"/>
        </w:rPr>
        <w:t xml:space="preserve"> </w:t>
      </w:r>
      <w:r w:rsidRPr="16D4D1D5">
        <w:rPr>
          <w:rFonts w:asciiTheme="minorHAnsi" w:eastAsiaTheme="minorEastAsia" w:hAnsiTheme="minorHAnsi" w:cstheme="minorBidi"/>
          <w:kern w:val="2"/>
          <w:lang w:eastAsia="en-US"/>
          <w14:ligatures w14:val="standardContextual"/>
        </w:rPr>
        <w:t>in place.</w:t>
      </w:r>
      <w:r w:rsidRPr="16D4D1D5">
        <w:rPr>
          <w:rFonts w:asciiTheme="minorHAnsi" w:eastAsiaTheme="minorEastAsia" w:hAnsiTheme="minorHAnsi" w:cstheme="minorBidi"/>
          <w:kern w:val="2"/>
          <w:lang w:eastAsia="en-US"/>
          <w14:ligatures w14:val="standardContextual"/>
        </w:rPr>
        <w:fldChar w:fldCharType="begin"/>
      </w:r>
      <w:r w:rsidR="00A5309E">
        <w:rPr>
          <w:rFonts w:asciiTheme="minorHAnsi" w:eastAsiaTheme="minorEastAsia" w:hAnsiTheme="minorHAnsi" w:cstheme="minorBidi"/>
          <w:kern w:val="2"/>
          <w:lang w:eastAsia="en-US"/>
          <w14:ligatures w14:val="standardContextual"/>
        </w:rPr>
        <w:instrText xml:space="preserve"> ADDIN ZOTERO_ITEM CSL_CITATION {"citationID":"6dt3yYRt","properties":{"formattedCitation":"(67)","plainCitation":"(67)","noteIndex":0},"citationItems":[{"id":153,"uris":["http://zotero.org/users/local/fxpU1WWH/items/PRN5N2EE"],"itemData":{"id":153,"type":"webpage","title":"Cancer Trends 38 - Breast, cervical and colorectal cancer 1994-2019 | National Cancer Registry Ireland","URL":"https://www.ncri.ie/publications/cancer-trends-and-projections/cancer-trends-38-breast-cervical-and-colorectal-cancer","accessed":{"date-parts":[["2025",5,7]]}}}],"schema":"https://github.com/citation-style-language/schema/raw/master/csl-citation.json"} </w:instrText>
      </w:r>
      <w:r w:rsidRPr="16D4D1D5">
        <w:rPr>
          <w:rFonts w:asciiTheme="minorHAnsi" w:eastAsiaTheme="minorEastAsia" w:hAnsiTheme="minorHAnsi" w:cstheme="minorBidi"/>
          <w:kern w:val="2"/>
          <w:lang w:eastAsia="en-US"/>
          <w14:ligatures w14:val="standardContextual"/>
        </w:rPr>
        <w:fldChar w:fldCharType="separate"/>
      </w:r>
      <w:r w:rsidR="00A5309E" w:rsidRPr="00A5309E">
        <w:rPr>
          <w:rFonts w:ascii="Aptos" w:hAnsi="Aptos"/>
        </w:rPr>
        <w:t>(67)</w:t>
      </w:r>
      <w:r w:rsidRPr="16D4D1D5">
        <w:rPr>
          <w:rFonts w:asciiTheme="minorHAnsi" w:eastAsiaTheme="minorEastAsia" w:hAnsiTheme="minorHAnsi" w:cstheme="minorBidi"/>
          <w:kern w:val="2"/>
          <w:lang w:eastAsia="en-US"/>
          <w14:ligatures w14:val="standardContextual"/>
        </w:rPr>
        <w:fldChar w:fldCharType="end"/>
      </w:r>
      <w:r w:rsidRPr="16D4D1D5">
        <w:rPr>
          <w:rFonts w:asciiTheme="minorHAnsi" w:eastAsiaTheme="minorEastAsia" w:hAnsiTheme="minorHAnsi" w:cstheme="minorBidi"/>
          <w:kern w:val="2"/>
          <w:lang w:eastAsia="en-US"/>
          <w14:ligatures w14:val="standardContextual"/>
        </w:rPr>
        <w:t xml:space="preserve"> </w:t>
      </w:r>
      <w:r w:rsidR="00086068">
        <w:rPr>
          <w:rFonts w:asciiTheme="minorHAnsi" w:eastAsiaTheme="minorEastAsia" w:hAnsiTheme="minorHAnsi" w:cstheme="minorBidi"/>
          <w:kern w:val="2"/>
          <w:lang w:eastAsia="en-US"/>
          <w14:ligatures w14:val="standardContextual"/>
        </w:rPr>
        <w:t>T</w:t>
      </w:r>
      <w:r w:rsidRPr="16D4D1D5">
        <w:rPr>
          <w:rFonts w:asciiTheme="minorHAnsi" w:eastAsiaTheme="minorEastAsia" w:hAnsiTheme="minorHAnsi" w:cstheme="minorBidi"/>
          <w:kern w:val="2"/>
          <w:lang w:eastAsia="en-US"/>
          <w14:ligatures w14:val="standardContextual"/>
        </w:rPr>
        <w:t>obacco smoking may increase the risk of acquisition and/or persistence of HPV infection</w:t>
      </w:r>
      <w:r w:rsidRPr="16D4D1D5">
        <w:rPr>
          <w:rFonts w:asciiTheme="minorHAnsi" w:eastAsiaTheme="minorEastAsia" w:hAnsiTheme="minorHAnsi" w:cstheme="minorBidi"/>
          <w:kern w:val="2"/>
          <w:lang w:eastAsia="en-US"/>
          <w14:ligatures w14:val="standardContextual"/>
        </w:rPr>
        <w:fldChar w:fldCharType="begin"/>
      </w:r>
      <w:r w:rsidR="00A5309E">
        <w:rPr>
          <w:rFonts w:asciiTheme="minorHAnsi" w:eastAsiaTheme="minorEastAsia" w:hAnsiTheme="minorHAnsi" w:cstheme="minorBidi"/>
          <w:kern w:val="2"/>
          <w:lang w:eastAsia="en-US"/>
          <w14:ligatures w14:val="standardContextual"/>
        </w:rPr>
        <w:instrText xml:space="preserve"> ADDIN ZOTERO_ITEM CSL_CITATION {"citationID":"L6C3blAC","properties":{"formattedCitation":"(28)","plainCitation":"(28)","noteIndex":0},"citationItems":[{"id":88,"uris":["http://zotero.org/users/local/fxpU1WWH/items/ZRVWB55H"],"itemData":{"id":88,"type":"book","abstract":"Volume 100 of the IARC Monographs, A Review of Human Carcinogens, covers all agents previously classified by IARC as \"carcinogenic to humans (Group 1)\" and was developed by six separate Working Groups: Pharmaceuticals; Biological agents; Arsenic, Metals, Fibres, and Dusts; Radiation; Personal Habits and Indoor Combustions; Chemical Agents and Related Occupations.This Volume 100E covers Personal Habits and Indoor Combustions, specifically Tobacco Smoking, Second-hand Tobacco Smoke, Smokeless Tobacco, N'-Nitrosonornicotine and 4-(methylnitrosamino)-1-(3-pyridyl)-1-butanone, Betel Quid and Areca Nut, Consumption of Alcoholic Beverages, Chinese-style Salted Fish, and Indoor Emissions from Household Combustion of Coal.Because the scope of Volume 100 is so broad, its Monographs are focused on key information. Each Monograph presents a description of a carcinogenic agent and how people are exposed, critical overviews of the epidemiological studies and animal cancer bioassays, and a concise review of the agent's toxicokinetics, plausible mechanisms of carcinogenesis, and potentially susceptible populations, and life-stages. Details of the design and results of individual epidemiological studies and animal cancer bioassays are summarized in tables. Short tables that highlight key results are printed in Volume 100, and more extensive tables that include all studies appear on the Monographs programme website (http://monographs.iarc.fr).It is hoped that this volume, by compiling the knowledge accumulated through several decades of cancer research, will stimulate cancer prevention activities worldwide, and will be a valued resource for future research to identify other agents suspected of causing cancer in humans.","ISBN":"978-92-832-1322-2","publisher":"International Agency for Research on Cancer","source":"PubMed","title":"Personal Habits and Indoor Combustions","author":[{"family":"Humans","given":"IARC Working Group on the Evaluation of Carcinogenic Risks","dropping-particle":"to"}],"issued":{"date-parts":[["2012"]]}}}],"schema":"https://github.com/citation-style-language/schema/raw/master/csl-citation.json"} </w:instrText>
      </w:r>
      <w:r w:rsidRPr="16D4D1D5">
        <w:rPr>
          <w:rFonts w:asciiTheme="minorHAnsi" w:eastAsiaTheme="minorEastAsia" w:hAnsiTheme="minorHAnsi" w:cstheme="minorBidi"/>
          <w:kern w:val="2"/>
          <w:lang w:eastAsia="en-US"/>
          <w14:ligatures w14:val="standardContextual"/>
        </w:rPr>
        <w:fldChar w:fldCharType="separate"/>
      </w:r>
      <w:r w:rsidR="00A5309E" w:rsidRPr="00A5309E">
        <w:rPr>
          <w:rFonts w:ascii="Aptos" w:hAnsi="Aptos"/>
        </w:rPr>
        <w:t>(28)</w:t>
      </w:r>
      <w:r w:rsidRPr="16D4D1D5">
        <w:rPr>
          <w:rFonts w:asciiTheme="minorHAnsi" w:eastAsiaTheme="minorEastAsia" w:hAnsiTheme="minorHAnsi" w:cstheme="minorBidi"/>
          <w:kern w:val="2"/>
          <w:lang w:eastAsia="en-US"/>
          <w14:ligatures w14:val="standardContextual"/>
        </w:rPr>
        <w:fldChar w:fldCharType="end"/>
      </w:r>
      <w:r w:rsidRPr="16D4D1D5">
        <w:rPr>
          <w:rFonts w:asciiTheme="minorHAnsi" w:eastAsiaTheme="minorEastAsia" w:hAnsiTheme="minorHAnsi" w:cstheme="minorBidi"/>
          <w:kern w:val="2"/>
          <w:lang w:eastAsia="en-US"/>
          <w14:ligatures w14:val="standardContextual"/>
        </w:rPr>
        <w:t xml:space="preserve"> </w:t>
      </w:r>
      <w:r w:rsidR="00086068">
        <w:rPr>
          <w:rFonts w:asciiTheme="minorHAnsi" w:eastAsiaTheme="minorEastAsia" w:hAnsiTheme="minorHAnsi" w:cstheme="minorBidi"/>
          <w:kern w:val="2"/>
          <w:lang w:eastAsia="en-US"/>
          <w14:ligatures w14:val="standardContextual"/>
        </w:rPr>
        <w:t>which is</w:t>
      </w:r>
      <w:r w:rsidRPr="16D4D1D5">
        <w:rPr>
          <w:rFonts w:asciiTheme="minorHAnsi" w:eastAsiaTheme="minorEastAsia" w:hAnsiTheme="minorHAnsi" w:cstheme="minorBidi"/>
          <w:kern w:val="2"/>
          <w:lang w:eastAsia="en-US"/>
          <w14:ligatures w14:val="standardContextual"/>
        </w:rPr>
        <w:t xml:space="preserve"> the cause </w:t>
      </w:r>
      <w:r w:rsidR="007535AF">
        <w:rPr>
          <w:rFonts w:asciiTheme="minorHAnsi" w:eastAsiaTheme="minorEastAsia" w:hAnsiTheme="minorHAnsi" w:cstheme="minorBidi"/>
          <w:kern w:val="2"/>
          <w:lang w:eastAsia="en-US"/>
          <w14:ligatures w14:val="standardContextual"/>
        </w:rPr>
        <w:t xml:space="preserve">of </w:t>
      </w:r>
      <w:r w:rsidR="00CD129C" w:rsidRPr="16D4D1D5">
        <w:rPr>
          <w:rFonts w:asciiTheme="minorHAnsi" w:eastAsiaTheme="minorEastAsia" w:hAnsiTheme="minorHAnsi" w:cstheme="minorBidi"/>
          <w:kern w:val="2"/>
          <w:lang w:eastAsia="en-US"/>
          <w14:ligatures w14:val="standardContextual"/>
        </w:rPr>
        <w:t>most</w:t>
      </w:r>
      <w:r w:rsidRPr="16D4D1D5">
        <w:rPr>
          <w:rFonts w:asciiTheme="minorHAnsi" w:eastAsiaTheme="minorEastAsia" w:hAnsiTheme="minorHAnsi" w:cstheme="minorBidi"/>
          <w:kern w:val="2"/>
          <w:lang w:eastAsia="en-US"/>
          <w14:ligatures w14:val="standardContextual"/>
        </w:rPr>
        <w:t xml:space="preserve"> cervical cancer</w:t>
      </w:r>
      <w:r w:rsidR="00CD129C" w:rsidRPr="16D4D1D5">
        <w:rPr>
          <w:rFonts w:asciiTheme="minorHAnsi" w:eastAsiaTheme="minorEastAsia" w:hAnsiTheme="minorHAnsi" w:cstheme="minorBidi"/>
          <w:kern w:val="2"/>
          <w:lang w:eastAsia="en-US"/>
          <w14:ligatures w14:val="standardContextual"/>
        </w:rPr>
        <w:t xml:space="preserve">. </w:t>
      </w:r>
      <w:r w:rsidR="60ABB551" w:rsidRPr="16D4D1D5">
        <w:rPr>
          <w:rFonts w:asciiTheme="minorHAnsi" w:eastAsiaTheme="minorEastAsia" w:hAnsiTheme="minorHAnsi" w:cstheme="minorBidi"/>
          <w:lang w:eastAsia="en-US"/>
        </w:rPr>
        <w:t>Notably, the WHO recommends that as part of a comprehensive elimination strategy primary prevention strategies should include a focus on smoking cessation.</w:t>
      </w:r>
      <w:r w:rsidRPr="16D4D1D5">
        <w:rPr>
          <w:rFonts w:asciiTheme="minorHAnsi" w:eastAsiaTheme="minorEastAsia" w:hAnsiTheme="minorHAnsi" w:cstheme="minorBidi"/>
          <w:lang w:eastAsia="en-US"/>
        </w:rPr>
        <w:fldChar w:fldCharType="begin"/>
      </w:r>
      <w:r w:rsidR="00A5309E">
        <w:rPr>
          <w:rFonts w:asciiTheme="minorHAnsi" w:eastAsiaTheme="minorEastAsia" w:hAnsiTheme="minorHAnsi" w:cstheme="minorBidi"/>
          <w:lang w:eastAsia="en-US"/>
        </w:rPr>
        <w:instrText xml:space="preserve"> ADDIN ZOTERO_ITEM CSL_CITATION {"citationID":"yyEluFiw","properties":{"formattedCitation":"(69)","plainCitation":"(69)","noteIndex":0},"citationItems":[{"id":128,"uris":["http://zotero.org/users/local/fxpU1WWH/items/NAPX3HTG"],"itemData":{"id":128,"type":"webpage","abstract":"Cervical cancer is a preventable disease. It is also curable if detected early and adequately treated. Yet it remains one of the most common cancers and causes of cancer-related death in women across the globe.","language":"en","title":"Global strategy to accelerate the elimination of cervical cancer as a public health problem","URL":"https://www.who.int/publications/i/item/9789240014107","accessed":{"date-parts":[["2025",5,6]]}}}],"schema":"https://github.com/citation-style-language/schema/raw/master/csl-citation.json"} </w:instrText>
      </w:r>
      <w:r w:rsidRPr="16D4D1D5">
        <w:rPr>
          <w:rFonts w:asciiTheme="minorHAnsi" w:eastAsiaTheme="minorEastAsia" w:hAnsiTheme="minorHAnsi" w:cstheme="minorBidi"/>
          <w:lang w:eastAsia="en-US"/>
        </w:rPr>
        <w:fldChar w:fldCharType="separate"/>
      </w:r>
      <w:r w:rsidR="00A5309E" w:rsidRPr="00A5309E">
        <w:rPr>
          <w:rFonts w:ascii="Aptos" w:hAnsi="Aptos"/>
        </w:rPr>
        <w:t>(69)</w:t>
      </w:r>
      <w:r w:rsidRPr="16D4D1D5">
        <w:rPr>
          <w:rFonts w:asciiTheme="minorHAnsi" w:eastAsiaTheme="minorEastAsia" w:hAnsiTheme="minorHAnsi" w:cstheme="minorBidi"/>
          <w:lang w:eastAsia="en-US"/>
        </w:rPr>
        <w:fldChar w:fldCharType="end"/>
      </w:r>
      <w:r w:rsidR="60ABB551" w:rsidRPr="16D4D1D5">
        <w:rPr>
          <w:rFonts w:asciiTheme="minorHAnsi" w:eastAsiaTheme="minorEastAsia" w:hAnsiTheme="minorHAnsi" w:cstheme="minorBidi"/>
          <w:lang w:eastAsia="en-US"/>
        </w:rPr>
        <w:t xml:space="preserve"> </w:t>
      </w:r>
      <w:r w:rsidRPr="16D4D1D5">
        <w:rPr>
          <w:rFonts w:asciiTheme="minorHAnsi" w:eastAsiaTheme="minorEastAsia" w:hAnsiTheme="minorHAnsi" w:cstheme="minorBidi"/>
          <w:kern w:val="2"/>
          <w:lang w:eastAsia="en-US"/>
          <w14:ligatures w14:val="standardContextual"/>
        </w:rPr>
        <w:t>Ireland has committed to the WHO goal of cervical cancer elimination by 2040</w:t>
      </w:r>
      <w:r w:rsidR="7F330C2C" w:rsidRPr="16D4D1D5">
        <w:rPr>
          <w:rFonts w:asciiTheme="minorHAnsi" w:eastAsiaTheme="minorEastAsia" w:hAnsiTheme="minorHAnsi" w:cstheme="minorBidi"/>
          <w:kern w:val="2"/>
          <w:lang w:eastAsia="en-US"/>
          <w14:ligatures w14:val="standardContextual"/>
        </w:rPr>
        <w:t xml:space="preserve">, </w:t>
      </w:r>
      <w:r w:rsidRPr="16D4D1D5">
        <w:rPr>
          <w:rFonts w:asciiTheme="minorHAnsi" w:eastAsiaTheme="minorEastAsia" w:hAnsiTheme="minorHAnsi" w:cstheme="minorBidi"/>
          <w:kern w:val="2"/>
          <w:lang w:eastAsia="en-US"/>
          <w14:ligatures w14:val="standardContextual"/>
        </w:rPr>
        <w:t>to be achieved via promotion of high uptake of cervical screening, HPV vaccination in adolescence and improved cervical cancer diagnosis and treatment.</w:t>
      </w:r>
      <w:r w:rsidRPr="16D4D1D5">
        <w:rPr>
          <w:rFonts w:asciiTheme="minorHAnsi" w:eastAsiaTheme="minorEastAsia" w:hAnsiTheme="minorHAnsi" w:cstheme="minorBidi"/>
          <w:kern w:val="2"/>
          <w:lang w:eastAsia="en-US"/>
          <w14:ligatures w14:val="standardContextual"/>
        </w:rPr>
        <w:fldChar w:fldCharType="begin"/>
      </w:r>
      <w:r w:rsidR="00A5309E">
        <w:rPr>
          <w:rFonts w:asciiTheme="minorHAnsi" w:eastAsiaTheme="minorEastAsia" w:hAnsiTheme="minorHAnsi" w:cstheme="minorBidi"/>
          <w:kern w:val="2"/>
          <w:lang w:eastAsia="en-US"/>
          <w14:ligatures w14:val="standardContextual"/>
        </w:rPr>
        <w:instrText xml:space="preserve"> ADDIN ZOTERO_ITEM CSL_CITATION {"citationID":"SaJElaHJ","properties":{"formattedCitation":"(70)","plainCitation":"(70)","noteIndex":0},"citationItems":[{"id":157,"uris":["http://zotero.org/users/local/fxpU1WWH/items/IYLXK5J9"],"itemData":{"id":157,"type":"webpage","container-title":"Corporate","language":"en","title":"Cervical Cancer Elimination","URL":"https://www2.healthservice.hse.ie/organisation/nss/cervical-cancer-elimination/","accessed":{"date-parts":[["2025",5,7]]}}}],"schema":"https://github.com/citation-style-language/schema/raw/master/csl-citation.json"} </w:instrText>
      </w:r>
      <w:r w:rsidRPr="16D4D1D5">
        <w:rPr>
          <w:rFonts w:asciiTheme="minorHAnsi" w:eastAsiaTheme="minorEastAsia" w:hAnsiTheme="minorHAnsi" w:cstheme="minorBidi"/>
          <w:kern w:val="2"/>
          <w:lang w:eastAsia="en-US"/>
          <w14:ligatures w14:val="standardContextual"/>
        </w:rPr>
        <w:fldChar w:fldCharType="separate"/>
      </w:r>
      <w:r w:rsidR="00A5309E" w:rsidRPr="00A5309E">
        <w:rPr>
          <w:rFonts w:ascii="Aptos" w:hAnsi="Aptos"/>
        </w:rPr>
        <w:t>(70)</w:t>
      </w:r>
      <w:r w:rsidRPr="16D4D1D5">
        <w:rPr>
          <w:rFonts w:asciiTheme="minorHAnsi" w:eastAsiaTheme="minorEastAsia" w:hAnsiTheme="minorHAnsi" w:cstheme="minorBidi"/>
          <w:kern w:val="2"/>
          <w:lang w:eastAsia="en-US"/>
          <w14:ligatures w14:val="standardContextual"/>
        </w:rPr>
        <w:fldChar w:fldCharType="end"/>
      </w:r>
      <w:r w:rsidRPr="16D4D1D5">
        <w:rPr>
          <w:rFonts w:asciiTheme="minorHAnsi" w:eastAsiaTheme="minorEastAsia" w:hAnsiTheme="minorHAnsi" w:cstheme="minorBidi"/>
          <w:kern w:val="2"/>
          <w:lang w:eastAsia="en-US"/>
          <w14:ligatures w14:val="standardContextual"/>
        </w:rPr>
        <w:t xml:space="preserve"> </w:t>
      </w:r>
      <w:r w:rsidRPr="16D4D1D5">
        <w:rPr>
          <w:rFonts w:asciiTheme="minorHAnsi" w:eastAsiaTheme="minorEastAsia" w:hAnsiTheme="minorHAnsi" w:cstheme="minorBidi"/>
          <w:kern w:val="2"/>
          <w:lang w:eastAsia="en-US"/>
          <w14:ligatures w14:val="standardContextual"/>
        </w:rPr>
        <w:fldChar w:fldCharType="begin"/>
      </w:r>
      <w:r w:rsidR="00F552C7">
        <w:rPr>
          <w:rFonts w:asciiTheme="minorHAnsi" w:eastAsiaTheme="minorEastAsia" w:hAnsiTheme="minorHAnsi" w:cstheme="minorBidi"/>
          <w:kern w:val="2"/>
          <w:lang w:eastAsia="en-US"/>
          <w14:ligatures w14:val="standardContextual"/>
        </w:rPr>
        <w:instrText xml:space="preserve"> ADDIN ZOTERO_ITEM CSL_CITATION {"citationID":"uOOboMkY","properties":{"formattedCitation":"\\super 63\\nosupersub{}","plainCitation":"63","dontUpdate":true,"noteIndex":0},"citationItems":[{"id":128,"uris":["http://zotero.org/users/local/fxpU1WWH/items/NAPX3HTG"],"itemData":{"id":128,"type":"webpage","abstract":"Cervical cancer is a preventable disease. It is also curable if detected early and adequately treated. Yet it remains one of the most common cancers and causes of cancer-related death in women across the globe.","language":"en","title":"Global strategy to accelerate the elimination of cervical cancer as a public health problem","URL":"https://www.who.int/publications/i/item/9789240014107","accessed":{"date-parts":[["2025",5,6]]}}}],"schema":"https://github.com/citation-style-language/schema/raw/master/csl-citation.json"} </w:instrText>
      </w:r>
      <w:r w:rsidRPr="16D4D1D5">
        <w:rPr>
          <w:rFonts w:asciiTheme="minorHAnsi" w:eastAsiaTheme="minorEastAsia" w:hAnsiTheme="minorHAnsi" w:cstheme="minorBidi"/>
          <w:kern w:val="2"/>
          <w:lang w:eastAsia="en-US"/>
          <w14:ligatures w14:val="standardContextual"/>
        </w:rPr>
        <w:fldChar w:fldCharType="separate"/>
      </w:r>
      <w:r w:rsidRPr="16D4D1D5">
        <w:rPr>
          <w:rFonts w:asciiTheme="minorHAnsi" w:eastAsiaTheme="minorEastAsia" w:hAnsiTheme="minorHAnsi" w:cstheme="minorBidi"/>
          <w:kern w:val="2"/>
          <w:lang w:eastAsia="en-US"/>
          <w14:ligatures w14:val="standardContextual"/>
        </w:rPr>
        <w:fldChar w:fldCharType="end"/>
      </w:r>
    </w:p>
    <w:p w14:paraId="759CAEB3" w14:textId="77777777" w:rsidR="00A27215" w:rsidRPr="00036E09" w:rsidRDefault="00A27215" w:rsidP="00A27215">
      <w:pPr>
        <w:spacing w:after="0" w:line="240" w:lineRule="auto"/>
      </w:pPr>
    </w:p>
    <w:p w14:paraId="16E702CA" w14:textId="4B2D295F" w:rsidR="00A27215" w:rsidRDefault="79DB26BD" w:rsidP="00A27215">
      <w:pPr>
        <w:pStyle w:val="Heading2"/>
        <w:spacing w:before="0" w:after="0" w:line="240" w:lineRule="auto"/>
      </w:pPr>
      <w:bookmarkStart w:id="404" w:name="_Toc196991627"/>
      <w:bookmarkStart w:id="405" w:name="_Toc197557190"/>
      <w:r>
        <w:t xml:space="preserve"> </w:t>
      </w:r>
      <w:bookmarkStart w:id="406" w:name="_Toc201512581"/>
      <w:r w:rsidR="00A27215">
        <w:t>Variation in incidence according to deprivation</w:t>
      </w:r>
      <w:bookmarkEnd w:id="404"/>
      <w:bookmarkEnd w:id="405"/>
      <w:bookmarkEnd w:id="406"/>
    </w:p>
    <w:p w14:paraId="777C2381" w14:textId="6E5E15DF" w:rsidR="00A378E0" w:rsidRDefault="00A27215" w:rsidP="00A378E0">
      <w:pPr>
        <w:spacing w:after="0" w:line="240" w:lineRule="auto"/>
      </w:pPr>
      <w:r w:rsidRPr="00631A27">
        <w:t>Tobacco use is a strong indicator of health inequality</w:t>
      </w:r>
      <w:r w:rsidR="5517B6FC">
        <w:t xml:space="preserve"> and</w:t>
      </w:r>
      <w:r>
        <w:t xml:space="preserve"> has been estimated to account for up to half of the socioeconomic gradient in health.</w:t>
      </w:r>
      <w:r w:rsidR="00737294">
        <w:fldChar w:fldCharType="begin"/>
      </w:r>
      <w:r w:rsidR="00A5309E">
        <w:instrText xml:space="preserve"> ADDIN ZOTERO_ITEM CSL_CITATION {"citationID":"ale78bkt9b","properties":{"formattedCitation":"(12,14)","plainCitation":"(12,14)","noteIndex":0},"citationItems":[{"id":220,"uris":["http://zotero.org/users/local/fxpU1WWH/items/D545XMIG"],"itemData":{"id":220,"type":"webpage","title":"Smoking Profile - Smoking and inequalities | Fingertips | Department of Health and Social Care","URL":"https://fingertips.phe.org.uk/profile/tobacco-control/supporting-information/smokingandinequalities","accessed":{"date-parts":[["2025",6,4]]}}},{"id":82,"uris":["http://zotero.org/users/local/fxpU1WWH/items/C9MZN9NT"],"itemData":{"id":82,"type":"webpage","container-title":"HSE.ie","language":"en","title":"Tobacco Free Ireland Programme","URL":"https://www.hse.ie/eng/about/who/tobaccocontrol/tobaccocontrolprogramme.html","accessed":{"date-parts":[["2025",4,30]]}}}],"schema":"https://github.com/citation-style-language/schema/raw/master/csl-citation.json"} </w:instrText>
      </w:r>
      <w:r w:rsidR="00737294">
        <w:fldChar w:fldCharType="separate"/>
      </w:r>
      <w:r w:rsidR="00A5309E" w:rsidRPr="00A5309E">
        <w:rPr>
          <w:rFonts w:ascii="Aptos" w:hAnsi="Aptos"/>
        </w:rPr>
        <w:t>(12,14)</w:t>
      </w:r>
      <w:r w:rsidR="00737294">
        <w:fldChar w:fldCharType="end"/>
      </w:r>
      <w:r>
        <w:t xml:space="preserve"> </w:t>
      </w:r>
      <w:r w:rsidR="37D28435" w:rsidRPr="2570AD22">
        <w:rPr>
          <w:rStyle w:val="normaltextrun"/>
          <w:rFonts w:ascii="Aptos" w:hAnsi="Aptos" w:cs="Segoe UI"/>
        </w:rPr>
        <w:t>T</w:t>
      </w:r>
      <w:r>
        <w:rPr>
          <w:rStyle w:val="normaltextrun"/>
          <w:rFonts w:ascii="Aptos" w:hAnsi="Aptos" w:cs="Segoe UI"/>
        </w:rPr>
        <w:t xml:space="preserve">here was a clear socioeconomic gradient in </w:t>
      </w:r>
      <w:r w:rsidR="4CC92454" w:rsidRPr="2570AD22">
        <w:rPr>
          <w:rStyle w:val="normaltextrun"/>
          <w:rFonts w:ascii="Aptos" w:hAnsi="Aptos" w:cs="Segoe UI"/>
        </w:rPr>
        <w:t xml:space="preserve">the incidence of </w:t>
      </w:r>
      <w:r w:rsidR="2E39D358" w:rsidRPr="2570AD22">
        <w:rPr>
          <w:rStyle w:val="normaltextrun"/>
          <w:rFonts w:ascii="Aptos" w:hAnsi="Aptos" w:cs="Segoe UI"/>
        </w:rPr>
        <w:t>tobacco-related cancers combined</w:t>
      </w:r>
      <w:r w:rsidR="0AEB1227" w:rsidRPr="2570AD22">
        <w:rPr>
          <w:rStyle w:val="normaltextrun"/>
          <w:rFonts w:ascii="Aptos" w:hAnsi="Aptos" w:cs="Segoe UI"/>
        </w:rPr>
        <w:t>.</w:t>
      </w:r>
      <w:r w:rsidR="6C7A1F07" w:rsidRPr="2570AD22">
        <w:rPr>
          <w:rStyle w:val="normaltextrun"/>
          <w:rFonts w:ascii="Aptos" w:hAnsi="Aptos" w:cs="Segoe UI"/>
        </w:rPr>
        <w:t xml:space="preserve"> </w:t>
      </w:r>
      <w:r w:rsidRPr="16D4D1D5">
        <w:rPr>
          <w:rStyle w:val="normaltextrun"/>
          <w:rFonts w:ascii="Aptos" w:hAnsi="Aptos" w:cs="Segoe UI"/>
        </w:rPr>
        <w:t xml:space="preserve"> </w:t>
      </w:r>
      <w:r w:rsidR="0B131873" w:rsidRPr="2570AD22">
        <w:rPr>
          <w:rStyle w:val="normaltextrun"/>
          <w:rFonts w:ascii="Aptos" w:hAnsi="Aptos" w:cs="Segoe UI"/>
        </w:rPr>
        <w:t>T</w:t>
      </w:r>
      <w:r w:rsidRPr="16D4D1D5">
        <w:rPr>
          <w:rStyle w:val="normaltextrun"/>
          <w:rFonts w:ascii="Aptos" w:hAnsi="Aptos" w:cs="Segoe UI"/>
        </w:rPr>
        <w:t xml:space="preserve">hose </w:t>
      </w:r>
      <w:r>
        <w:t>living in the most deprived areas had higher incidence rates of tobacco</w:t>
      </w:r>
      <w:r w:rsidRPr="000A29A2">
        <w:t>-</w:t>
      </w:r>
      <w:r>
        <w:t xml:space="preserve">related cancers compared </w:t>
      </w:r>
      <w:r w:rsidRPr="000A29A2">
        <w:t>with</w:t>
      </w:r>
      <w:r>
        <w:t xml:space="preserve"> those living in the least deprived areas. Considering individual </w:t>
      </w:r>
      <w:r w:rsidR="00BF1BE2">
        <w:t>cancer types</w:t>
      </w:r>
      <w:r>
        <w:t>, there was a clear socioeconomic gradient in incidence with increasing rates among more disadvantaged groups, most notably for lung, laryn</w:t>
      </w:r>
      <w:r w:rsidR="004C132F">
        <w:t>geal</w:t>
      </w:r>
      <w:r w:rsidRPr="000A29A2">
        <w:t xml:space="preserve"> and cervical cancer. </w:t>
      </w:r>
      <w:r>
        <w:t xml:space="preserve">For example, lung cancer incidence rates varied from </w:t>
      </w:r>
      <w:r w:rsidRPr="000A29A2">
        <w:t xml:space="preserve">62.6 </w:t>
      </w:r>
      <w:r>
        <w:t xml:space="preserve">to </w:t>
      </w:r>
      <w:r w:rsidRPr="000A29A2">
        <w:t>99.2 cancer cases per 100,000 in</w:t>
      </w:r>
      <w:r>
        <w:t xml:space="preserve"> the least </w:t>
      </w:r>
      <w:r w:rsidRPr="000A29A2">
        <w:t>deprived to most deprived quintiles</w:t>
      </w:r>
      <w:r>
        <w:t xml:space="preserve"> respectively. This gradient was even more pronounced </w:t>
      </w:r>
      <w:r w:rsidR="004C132F">
        <w:t>for</w:t>
      </w:r>
      <w:r w:rsidRPr="000A29A2">
        <w:t xml:space="preserve"> males among whom rates varied from 75.4 per 100,000 in the least deprived to 116.2 in the most deprived. Though less steep, the gradient was also present among females.</w:t>
      </w:r>
      <w:r>
        <w:t xml:space="preserve"> </w:t>
      </w:r>
      <w:r w:rsidR="00A378E0">
        <w:t>These findings add to those of the 2023</w:t>
      </w:r>
      <w:r w:rsidR="00A378E0" w:rsidRPr="33246BB2">
        <w:rPr>
          <w:rStyle w:val="normaltextrun"/>
          <w:rFonts w:ascii="Aptos" w:hAnsi="Aptos" w:cs="Segoe UI"/>
        </w:rPr>
        <w:t xml:space="preserve"> </w:t>
      </w:r>
      <w:r w:rsidR="00A378E0">
        <w:t>NCRI report which highlighted similar variation across quintiles.</w:t>
      </w:r>
      <w:r w:rsidR="00A378E0">
        <w:fldChar w:fldCharType="begin"/>
      </w:r>
      <w:r w:rsidR="00A5309E">
        <w:instrText xml:space="preserve"> ADDIN ZOTERO_ITEM CSL_CITATION {"citationID":"sOw5IdDb","properties":{"formattedCitation":"(71)","plainCitation":"(71)","noteIndex":0},"citationItems":[{"id":166,"uris":["http://zotero.org/users/local/fxpU1WWH/items/9UJ59I4B"],"itemData":{"id":166,"type":"webpage","title":"Cancer inequalities in Ireland by deprivation, 2004-2018 | National Cancer Registry Ireland","URL":"https://www.ncri.ie/publications/statistical-reports/cancer-inequalities-ireland-deprivation-2004-2018","accessed":{"date-parts":[["2025",5,7]]}}}],"schema":"https://github.com/citation-style-language/schema/raw/master/csl-citation.json"} </w:instrText>
      </w:r>
      <w:r w:rsidR="00A378E0">
        <w:fldChar w:fldCharType="separate"/>
      </w:r>
      <w:r w:rsidR="00A5309E" w:rsidRPr="00A5309E">
        <w:rPr>
          <w:rFonts w:ascii="Aptos" w:hAnsi="Aptos"/>
        </w:rPr>
        <w:t>(71)</w:t>
      </w:r>
      <w:r w:rsidR="00A378E0">
        <w:fldChar w:fldCharType="end"/>
      </w:r>
      <w:r w:rsidR="00A378E0">
        <w:t xml:space="preserve"> Similar inequalities in tobacco-related cancers according to socioeconomic indicators have also been described in England,</w:t>
      </w:r>
      <w:r w:rsidR="00A378E0">
        <w:fldChar w:fldCharType="begin"/>
      </w:r>
      <w:r w:rsidR="00A5309E">
        <w:instrText xml:space="preserve"> ADDIN ZOTERO_ITEM CSL_CITATION {"citationID":"etY1ysdK","properties":{"formattedCitation":"(72)","plainCitation":"(72)","noteIndex":0},"citationItems":[{"id":159,"uris":["http://zotero.org/users/local/fxpU1WWH/items/EAPYDG8A"],"itemData":{"id":159,"type":"article-journal","abstract":"Short report on the fractions of disease cases that we estimate to be attributable to smoking in England.","DOI":"10.15131/shef.data.8181524.v1","language":"en","note":"publisher: The University of Sheffield","source":"orda.shef.ac.uk","title":"Smoking attributable fractions for adult diseases in England","URL":"https://orda.shef.ac.uk/articles/journal_contribution/Smoking_attributable_fractions_for_adult_diseases_in_England/8181524/1","author":[{"family":"Webster","given":"Laura"},{"family":"Angus","given":"Colin"},{"family":"Brennan","given":"Alan"},{"family":"Gillespie","given":"Duncan"}],"accessed":{"date-parts":[["2025",5,7]]},"issued":{"date-parts":[["2019",6,4]]}}}],"schema":"https://github.com/citation-style-language/schema/raw/master/csl-citation.json"} </w:instrText>
      </w:r>
      <w:r w:rsidR="00A378E0">
        <w:fldChar w:fldCharType="separate"/>
      </w:r>
      <w:r w:rsidR="00A5309E" w:rsidRPr="00A5309E">
        <w:rPr>
          <w:rFonts w:ascii="Aptos" w:hAnsi="Aptos"/>
        </w:rPr>
        <w:t>(72)</w:t>
      </w:r>
      <w:r w:rsidR="00A378E0">
        <w:fldChar w:fldCharType="end"/>
      </w:r>
      <w:r w:rsidR="00A378E0">
        <w:t xml:space="preserve"> Scotland</w:t>
      </w:r>
      <w:r w:rsidR="00A378E0">
        <w:fldChar w:fldCharType="begin"/>
      </w:r>
      <w:r w:rsidR="00A5309E">
        <w:instrText xml:space="preserve"> ADDIN ZOTERO_ITEM CSL_CITATION {"citationID":"82gpEo72","properties":{"formattedCitation":"(73)","plainCitation":"(73)","noteIndex":0},"citationItems":[{"id":161,"uris":["http://zotero.org/users/local/fxpU1WWH/items/IDDR9W74"],"itemData":{"id":161,"type":"report","abstract":"Purpose of the reportThis report estimates new tobacco and alcohol attributable fractions for Scotland. Population Attributable Fractions (PAFs) can help us understand the impact that alcohol and tobacco consumption have on both population health and the healthcare services and are a necessary component of estimates of the burden of harm attributable to alcohol and/or tobacco, such as those quoted above. PAFs are the estimated proportion of cases of a particular disease in a population that could be prevented if exposure to the related risk factors were removed.Data availabilityThe code used to produce the report and the population attributable fraction estimates presented in the report are open source and available from https://github.com/STAPM/scot_attrib_fractions.","genre":"report","language":"en","note":"DOI: 10.15131/shef.data.24543343.v1","publisher":"The University of Sheffield","source":"orda.shef.ac.uk","title":"Alcohol and Tobacco Attributable Fractions for Scotland","URL":"https://orda.shef.ac.uk/articles/report/_b_Alcohol_and_Tobacco_Attributable_Fractions_for_Scotland_b_/24543343/1","author":[{"family":"Leeming","given":"Grace"},{"family":"Angus","given":"Colin"},{"family":"Gillespie","given":"Duncan"}],"accessed":{"date-parts":[["2025",5,7]]},"issued":{"date-parts":[["2023",11,12]]}}}],"schema":"https://github.com/citation-style-language/schema/raw/master/csl-citation.json"} </w:instrText>
      </w:r>
      <w:r w:rsidR="00A378E0">
        <w:fldChar w:fldCharType="separate"/>
      </w:r>
      <w:r w:rsidR="00A5309E" w:rsidRPr="00A5309E">
        <w:rPr>
          <w:rFonts w:ascii="Aptos" w:hAnsi="Aptos"/>
        </w:rPr>
        <w:t>(73)</w:t>
      </w:r>
      <w:r w:rsidR="00A378E0">
        <w:fldChar w:fldCharType="end"/>
      </w:r>
      <w:r w:rsidR="00A378E0">
        <w:t xml:space="preserve"> and the US.</w:t>
      </w:r>
      <w:r w:rsidR="00A378E0">
        <w:fldChar w:fldCharType="begin"/>
      </w:r>
      <w:r w:rsidR="00A5309E">
        <w:instrText xml:space="preserve"> ADDIN ZOTERO_ITEM CSL_CITATION {"citationID":"QoNZD29W","properties":{"formattedCitation":"(74)","plainCitation":"(74)","noteIndex":0},"citationItems":[{"id":163,"uris":["http://zotero.org/users/local/fxpU1WWH/items/QP8RMTCE"],"itemData":{"id":163,"type":"article-journal","abstract":"Incidence of tobacco-related cancer decreased 1.3% per year, and mortality decreased 1.6% per year, with decreases observed across most groups.","container-title":"MMWR. Morbidity and Mortality Weekly Report","DOI":"10.15585/mmwr.mm6544a3","ISSN":"0149-21951545-861X","journalAbbreviation":"MMWR Morb Mortal Wkly Rep","language":"en-us","source":"www.cdc.gov","title":"Vital Signs: Disparities in Tobacco-Related Cancer Incidence and Mortality — United States, 2004–2013","title-short":"Vital Signs","URL":"https://www.cdc.gov/mmwr/volumes/65/wr/mm6544a3.htm","volume":"65","author":[{"family":"Henley","given":"S. Jane"}],"accessed":{"date-parts":[["2025",5,7]]},"issued":{"date-parts":[["2016"]]}}}],"schema":"https://github.com/citation-style-language/schema/raw/master/csl-citation.json"} </w:instrText>
      </w:r>
      <w:r w:rsidR="00A378E0">
        <w:fldChar w:fldCharType="separate"/>
      </w:r>
      <w:r w:rsidR="00A5309E" w:rsidRPr="00A5309E">
        <w:rPr>
          <w:rFonts w:ascii="Aptos" w:hAnsi="Aptos"/>
        </w:rPr>
        <w:t>(74)</w:t>
      </w:r>
      <w:r w:rsidR="00A378E0">
        <w:fldChar w:fldCharType="end"/>
      </w:r>
      <w:r w:rsidR="00A378E0">
        <w:t xml:space="preserve"> In England and Scotland, the socioeconomic gradient in incidence was also greatest in cancers of the lung and larynx.</w:t>
      </w:r>
      <w:r w:rsidR="00A378E0">
        <w:fldChar w:fldCharType="begin"/>
      </w:r>
      <w:r w:rsidR="00A5309E">
        <w:instrText xml:space="preserve"> ADDIN ZOTERO_ITEM CSL_CITATION {"citationID":"xHDny5hF","properties":{"formattedCitation":"(72,73)","plainCitation":"(72,73)","noteIndex":0},"citationItems":[{"id":159,"uris":["http://zotero.org/users/local/fxpU1WWH/items/EAPYDG8A"],"itemData":{"id":159,"type":"article-journal","abstract":"Short report on the fractions of disease cases that we estimate to be attributable to smoking in England.","DOI":"10.15131/shef.data.8181524.v1","language":"en","note":"publisher: The University of Sheffield","source":"orda.shef.ac.uk","title":"Smoking attributable fractions for adult diseases in England","URL":"https://orda.shef.ac.uk/articles/journal_contribution/Smoking_attributable_fractions_for_adult_diseases_in_England/8181524/1","author":[{"family":"Webster","given":"Laura"},{"family":"Angus","given":"Colin"},{"family":"Brennan","given":"Alan"},{"family":"Gillespie","given":"Duncan"}],"accessed":{"date-parts":[["2025",5,7]]},"issued":{"date-parts":[["2019",6,4]]}}},{"id":161,"uris":["http://zotero.org/users/local/fxpU1WWH/items/IDDR9W74"],"itemData":{"id":161,"type":"report","abstract":"Purpose of the reportThis report estimates new tobacco and alcohol attributable fractions for Scotland. Population Attributable Fractions (PAFs) can help us understand the impact that alcohol and tobacco consumption have on both population health and the healthcare services and are a necessary component of estimates of the burden of harm attributable to alcohol and/or tobacco, such as those quoted above. PAFs are the estimated proportion of cases of a particular disease in a population that could be prevented if exposure to the related risk factors were removed.Data availabilityThe code used to produce the report and the population attributable fraction estimates presented in the report are open source and available from https://github.com/STAPM/scot_attrib_fractions.","genre":"report","language":"en","note":"DOI: 10.15131/shef.data.24543343.v1","publisher":"The University of Sheffield","source":"orda.shef.ac.uk","title":"Alcohol and Tobacco Attributable Fractions for Scotland","URL":"https://orda.shef.ac.uk/articles/report/_b_Alcohol_and_Tobacco_Attributable_Fractions_for_Scotland_b_/24543343/1","author":[{"family":"Leeming","given":"Grace"},{"family":"Angus","given":"Colin"},{"family":"Gillespie","given":"Duncan"}],"accessed":{"date-parts":[["2025",5,7]]},"issued":{"date-parts":[["2023",11,12]]}}}],"schema":"https://github.com/citation-style-language/schema/raw/master/csl-citation.json"} </w:instrText>
      </w:r>
      <w:r w:rsidR="00A378E0">
        <w:fldChar w:fldCharType="separate"/>
      </w:r>
      <w:r w:rsidR="00A5309E" w:rsidRPr="00A5309E">
        <w:rPr>
          <w:rFonts w:ascii="Aptos" w:hAnsi="Aptos"/>
        </w:rPr>
        <w:t>(72,73)</w:t>
      </w:r>
      <w:r w:rsidR="00A378E0">
        <w:fldChar w:fldCharType="end"/>
      </w:r>
      <w:r w:rsidR="00A378E0">
        <w:t xml:space="preserve"> </w:t>
      </w:r>
      <w:r w:rsidR="00A378E0" w:rsidRPr="000A29A2">
        <w:t xml:space="preserve">Some </w:t>
      </w:r>
      <w:r w:rsidR="00366242">
        <w:t xml:space="preserve">cancer types </w:t>
      </w:r>
      <w:r w:rsidR="00A378E0" w:rsidRPr="000A29A2">
        <w:t>however</w:t>
      </w:r>
      <w:r w:rsidR="0097036B">
        <w:t>,</w:t>
      </w:r>
      <w:r w:rsidR="00A378E0" w:rsidRPr="000A29A2">
        <w:t xml:space="preserve"> showed less variation in incidence by deprivation</w:t>
      </w:r>
      <w:r w:rsidR="00C949DB">
        <w:t xml:space="preserve"> while </w:t>
      </w:r>
      <w:r w:rsidR="00A378E0">
        <w:t xml:space="preserve">the highest incidence </w:t>
      </w:r>
      <w:r w:rsidR="00F17F4F">
        <w:t xml:space="preserve">of breast cancer </w:t>
      </w:r>
      <w:r w:rsidR="00A378E0">
        <w:t xml:space="preserve">was seen in the </w:t>
      </w:r>
      <w:r w:rsidR="00A378E0">
        <w:rPr>
          <w:rStyle w:val="normaltextrun"/>
          <w:rFonts w:ascii="Aptos" w:hAnsi="Aptos" w:cs="Segoe UI"/>
        </w:rPr>
        <w:t>least</w:t>
      </w:r>
      <w:r w:rsidR="00A378E0">
        <w:t xml:space="preserve"> deprived.</w:t>
      </w:r>
      <w:r w:rsidR="00A378E0">
        <w:fldChar w:fldCharType="begin"/>
      </w:r>
      <w:r w:rsidR="00A5309E">
        <w:instrText xml:space="preserve"> ADDIN ZOTERO_ITEM CSL_CITATION {"citationID":"kuBGjUoV","properties":{"formattedCitation":"(71)","plainCitation":"(71)","noteIndex":0},"citationItems":[{"id":166,"uris":["http://zotero.org/users/local/fxpU1WWH/items/9UJ59I4B"],"itemData":{"id":166,"type":"webpage","title":"Cancer inequalities in Ireland by deprivation, 2004-2018 | National Cancer Registry Ireland","URL":"https://www.ncri.ie/publications/statistical-reports/cancer-inequalities-ireland-deprivation-2004-2018","accessed":{"date-parts":[["2025",5,7]]}}}],"schema":"https://github.com/citation-style-language/schema/raw/master/csl-citation.json"} </w:instrText>
      </w:r>
      <w:r w:rsidR="00A378E0">
        <w:fldChar w:fldCharType="separate"/>
      </w:r>
      <w:r w:rsidR="00A5309E" w:rsidRPr="00A5309E">
        <w:rPr>
          <w:rFonts w:ascii="Aptos" w:hAnsi="Aptos"/>
        </w:rPr>
        <w:t>(71)</w:t>
      </w:r>
      <w:r w:rsidR="00A378E0">
        <w:fldChar w:fldCharType="end"/>
      </w:r>
      <w:r w:rsidR="00A378E0">
        <w:t xml:space="preserve"> </w:t>
      </w:r>
    </w:p>
    <w:p w14:paraId="616BA878" w14:textId="706B077E" w:rsidR="00A27215" w:rsidRDefault="00A27215" w:rsidP="00A27215">
      <w:pPr>
        <w:spacing w:after="0" w:line="240" w:lineRule="auto"/>
      </w:pPr>
    </w:p>
    <w:p w14:paraId="7A2AFA34" w14:textId="77777777" w:rsidR="00A27215" w:rsidRDefault="00A27215" w:rsidP="00A27215">
      <w:pPr>
        <w:pStyle w:val="Heading2"/>
        <w:spacing w:before="0" w:after="0" w:line="240" w:lineRule="auto"/>
      </w:pPr>
      <w:bookmarkStart w:id="407" w:name="_Toc196991628"/>
      <w:bookmarkStart w:id="408" w:name="_Toc197557191"/>
      <w:bookmarkStart w:id="409" w:name="_Toc201512582"/>
      <w:r>
        <w:t>Survival</w:t>
      </w:r>
      <w:bookmarkEnd w:id="407"/>
      <w:bookmarkEnd w:id="408"/>
      <w:bookmarkEnd w:id="409"/>
      <w:r>
        <w:t xml:space="preserve"> </w:t>
      </w:r>
    </w:p>
    <w:p w14:paraId="5DCD8B55" w14:textId="4E15A0D6" w:rsidR="00A27215" w:rsidRDefault="00A27215" w:rsidP="00A27215">
      <w:pPr>
        <w:spacing w:after="0" w:line="240" w:lineRule="auto"/>
      </w:pPr>
      <w:r>
        <w:t>In general, five-year net survival has improved since the 1990s across most tobacco</w:t>
      </w:r>
      <w:r w:rsidR="00A45DCC">
        <w:t>-</w:t>
      </w:r>
      <w:r>
        <w:t>related cancer</w:t>
      </w:r>
      <w:r w:rsidR="00366242">
        <w:t>s</w:t>
      </w:r>
      <w:r>
        <w:t xml:space="preserve">. The cancers with the highest </w:t>
      </w:r>
      <w:r w:rsidR="00F176EC">
        <w:t>five</w:t>
      </w:r>
      <w:r>
        <w:t>-year net survival were breast cancer (87%) and mucinous ovarian cancer (70%) followed by kidney cancer (69%).</w:t>
      </w:r>
      <w:r w:rsidRPr="00944136">
        <w:t xml:space="preserve"> </w:t>
      </w:r>
      <w:r>
        <w:t>It is notable however</w:t>
      </w:r>
      <w:r w:rsidR="00552C36">
        <w:t>,</w:t>
      </w:r>
      <w:r>
        <w:t xml:space="preserve"> that tobacco-related cancers include several </w:t>
      </w:r>
      <w:r w:rsidR="00F176EC">
        <w:t>cancer types</w:t>
      </w:r>
      <w:r>
        <w:t xml:space="preserve"> for which there is generally poor </w:t>
      </w:r>
      <w:r w:rsidR="00F176EC">
        <w:t>five</w:t>
      </w:r>
      <w:r>
        <w:t xml:space="preserve">-year net survival including lung cancer (25%), oesophageal cancer (oesophageal squamous cell carcinoma (22%) and oesophageal adenocarcinoma (25%)), liver cancer (16%) and pancreatic cancer (15%). </w:t>
      </w:r>
      <w:r w:rsidR="000D6248">
        <w:t>S</w:t>
      </w:r>
      <w:r w:rsidR="000D6248" w:rsidRPr="001E6917">
        <w:t>moking after a cancer diagnosis</w:t>
      </w:r>
      <w:r w:rsidR="000D6248">
        <w:t xml:space="preserve"> can significantly worsen survival outcomes,</w:t>
      </w:r>
      <w:r w:rsidR="000D6248" w:rsidRPr="001E6917">
        <w:t xml:space="preserve"> increase risk of mortality and raise the likelihood of developing a secondary cancer.</w:t>
      </w:r>
      <w:r w:rsidR="000D6248">
        <w:fldChar w:fldCharType="begin"/>
      </w:r>
      <w:r w:rsidR="00A5309E">
        <w:instrText xml:space="preserve"> ADDIN ZOTERO_ITEM CSL_CITATION {"citationID":"a3sZdKcR","properties":{"formattedCitation":"(27)","plainCitation":"(27)","noteIndex":0},"citationItems":[{"id":27,"uris":["http://zotero.org/users/local/fxpU1WWH/items/DR2EU9P2"],"itemData":{"id":27,"type":"article-journal","source":"Google Scholar","title":"The health consequences of smoking—50 years of progress: A report of the surgeon general","title-short":"The health consequences of smoking—50 years of progress","URL":"https://stacks.cdc.gov/view/cdc/21569","author":[{"family":"Lushniak","given":"Boris D."},{"family":"Samet","given":"Jonathan M."},{"family":"Pechacek","given":"Terry F."},{"family":"Norman","given":"Leslie A."},{"family":"Taylor","given":"Peter A."}],"accessed":{"date-parts":[["2025",4,30]]},"issued":{"date-parts":[["2014"]]}}}],"schema":"https://github.com/citation-style-language/schema/raw/master/csl-citation.json"} </w:instrText>
      </w:r>
      <w:r w:rsidR="000D6248">
        <w:fldChar w:fldCharType="separate"/>
      </w:r>
      <w:r w:rsidR="00A5309E" w:rsidRPr="00A5309E">
        <w:rPr>
          <w:rFonts w:ascii="Aptos" w:hAnsi="Aptos"/>
        </w:rPr>
        <w:t>(27)</w:t>
      </w:r>
      <w:r w:rsidR="000D6248">
        <w:fldChar w:fldCharType="end"/>
      </w:r>
      <w:r w:rsidR="000D6248" w:rsidRPr="005C0499">
        <w:t xml:space="preserve"> </w:t>
      </w:r>
      <w:r w:rsidR="000D6248">
        <w:t>In contrast, quitting smoking at the time of, or soon after, diagnosis has been demonstrated to improve survival including for mucinous ovarian and lung cancer, as well as for cancers of the head and neck.</w:t>
      </w:r>
      <w:r w:rsidR="000D6248">
        <w:fldChar w:fldCharType="begin"/>
      </w:r>
      <w:r w:rsidR="00A5309E">
        <w:instrText xml:space="preserve"> ADDIN ZOTERO_ITEM CSL_CITATION {"citationID":"a2c68l2hlqk","properties":{"formattedCitation":"(27,75)","plainCitation":"(27,75)","noteIndex":0},"citationItems":[{"id":27,"uris":["http://zotero.org/users/local/fxpU1WWH/items/DR2EU9P2"],"itemData":{"id":27,"type":"article-journal","source":"Google Scholar","title":"The health consequences of smoking—50 years of progress: A report of the surgeon general","title-short":"The health consequences of smoking—50 years of progress","URL":"https://stacks.cdc.gov/view/cdc/21569","author":[{"family":"Lushniak","given":"Boris D."},{"family":"Samet","given":"Jonathan M."},{"family":"Pechacek","given":"Terry F."},{"family":"Norman","given":"Leslie A."},{"family":"Taylor","given":"Peter A."}],"accessed":{"date-parts":[["2025",4,30]]},"issued":{"date-parts":[["2014"]]}}},{"id":98,"uris":["http://zotero.org/users/local/fxpU1WWH/items/6P5F6KMI"],"itemData":{"id":98,"type":"article-journal","abstract":"Smoking after a cancer diagnosis increases mortality and risk for a second cancer.To determine the association between time of entry into a smoking cessation intervention following a cancer diagnosis and survival outcomes.Using a prospective cohort study design, patients with cancer who smoked and received cessation treatment were assessed at 3 months, 6 months, and 9 months following tobacco treatment onset. Survival outcomes of tobacco treatment were measured and compared among patients at the MD Anderson Cancer Center Tobacco Research and Treatment Program. Treatment occurred between January 1, 2006, and March 3, 2022. Patients were excluded if they died before the tobacco treatment ended, received their diagnosis more than 6 months after beginning cessation treatment, or lacked staging information. The data analysis took place from September 2023 to May 2024.Cessation treatment consisted of 6 to 8 personalized counseling visits and 10 to 12 weeks of pharmacotherapy. More than 95% of visits were provided via telemedicine.The primary outcomes were survival as recorded in the MD Anderson Cancer Center tumor registry and 7-day point prevalence abstinence at each follow-up.The main analytical sample consisted of 4526 currently smoking patients diagnosed with cancer and receiving cessation treatment (2254 [49.8%] female; median [IQR] age, 55 [47-62] years). Survival over 15 years increased for those quitting smoking at 3 months (adjusted hazard ratio [aHR], 0.75 [95% CI, 0.67-0.83]), 6 months (aHR, 0.79 [95% CI, 0.71-0.88]), and 9 months (aHR, 0.85 [95% CI, 0.76-0.95]) of follow-up. The optimal survival outcomes were observed for patients who received tobacco treatment within 6 months of a cancer diagnosis. At the 75th percentile, their survival increased from 2.1 years (95% CI, 1.8-2.4 years) among continuing smokers (nonabstainers) vs 3.9 years (95% CI, 3.2-4.6 years) for patients who quit (abstainers). Similar but less pronounced outcomes were noted when tobacco treatment began within 6 months to 5 years following diagnosis, with survival at the 75th percentile of 4.8 years (95% CI, 4.3-5.3 years) for nonabstainers vs 6.0 years (95% CI, 5.1-7.2 years) for abstainers.The results of this prospective cohort study suggest that evidence-based smoking cessation treatment within 6 months following a cancer diagnosis maximizes survival benefit. This study supports smoking cessation as an important early clinical intervention for patients after being diagnosed with cancer.","container-title":"JAMA Oncology","DOI":"10.1001/jamaoncol.2024.4890","ISSN":"2374-2437","issue":"12","journalAbbreviation":"JAMA Oncology","page":"1689-1696","source":"Silverchair","title":"Survival Outcomes of an Early Intervention Smoking Cessation Treatment After a Cancer Diagnosis","volume":"10","author":[{"family":"Cinciripini","given":"Paul M."},{"family":"Kypriotakis","given":"George"},{"family":"Blalock","given":"Janice A."},{"family":"Karam-Hage","given":"Maher"},{"family":"Beneventi","given":"Diane M."},{"family":"Robinson","given":"Jason D."},{"family":"Minnix","given":"Jennifer A."},{"family":"Warren","given":"Graham W."}],"issued":{"date-parts":[["2024",12,1]]}}}],"schema":"https://github.com/citation-style-language/schema/raw/master/csl-citation.json"} </w:instrText>
      </w:r>
      <w:r w:rsidR="000D6248">
        <w:fldChar w:fldCharType="separate"/>
      </w:r>
      <w:r w:rsidR="00A5309E" w:rsidRPr="00A5309E">
        <w:rPr>
          <w:rFonts w:ascii="Aptos" w:hAnsi="Aptos"/>
        </w:rPr>
        <w:t>(27,75)</w:t>
      </w:r>
      <w:r w:rsidR="000D6248">
        <w:fldChar w:fldCharType="end"/>
      </w:r>
    </w:p>
    <w:p w14:paraId="31673231" w14:textId="77777777" w:rsidR="00A27215" w:rsidRDefault="00A27215" w:rsidP="00A27215">
      <w:pPr>
        <w:spacing w:after="0" w:line="240" w:lineRule="auto"/>
      </w:pPr>
    </w:p>
    <w:p w14:paraId="1759FAF1" w14:textId="72ACA7E5" w:rsidR="006E6722" w:rsidRDefault="00A27215" w:rsidP="006E6722">
      <w:pPr>
        <w:spacing w:after="0" w:line="240" w:lineRule="auto"/>
      </w:pPr>
      <w:r>
        <w:t>The most recent comprehensive international survival comparisons were provided by the international consortium CONCORD</w:t>
      </w:r>
      <w:r w:rsidR="00CE69EF">
        <w:t xml:space="preserve"> for</w:t>
      </w:r>
      <w:r w:rsidRPr="006405B2">
        <w:t xml:space="preserve"> </w:t>
      </w:r>
      <w:r w:rsidR="000A092F">
        <w:t xml:space="preserve">the </w:t>
      </w:r>
      <w:r w:rsidRPr="006405B2">
        <w:t>diagnostic period 2010</w:t>
      </w:r>
      <w:r w:rsidR="000A092F">
        <w:t xml:space="preserve"> to </w:t>
      </w:r>
      <w:r w:rsidRPr="006405B2">
        <w:t>2014.</w:t>
      </w:r>
      <w:r>
        <w:fldChar w:fldCharType="begin"/>
      </w:r>
      <w:r w:rsidR="00A5309E">
        <w:instrText xml:space="preserve"> ADDIN ZOTERO_ITEM CSL_CITATION {"citationID":"OTrA4k5J","properties":{"formattedCitation":"(76,77)","plainCitation":"(76,77)","noteIndex":0},"citationItems":[{"id":190,"uris":["http://zotero.org/users/local/fxpU1WWH/items/PCI48VMS"],"itemData":{"id":190,"type":"article-journal","abstract":"BACKGROUND: In 2015, the second cycle of the CONCORD programme established global surveillance of cancer survival as a metric of the effectiveness of health systems and to inform global policy on cancer control. CONCORD-3 updates the worldwide surveillance of cancer survival to 2014.\nMETHODS: CONCORD-3 includes individual records for 37·5 million patients diagnosed with cancer during the 15-year period 2000-14. Data were provided by 322 population-based cancer registries in 71 countries and territories, 47 of which provided data with 100% population coverage. The study includes 18 cancers or groups of cancers: oesophagus, stomach, colon, rectum, liver, pancreas, lung, breast (women), cervix, ovary, prostate, and melanoma of the skin in adults, and brain tumours, leukaemias, and lymphomas in both adults and children. Standardised quality control procedures were applied; errors were rectified by the registry concerned. We estimated 5-year net survival. Estimates were age-standardised with the International Cancer Survival Standard weights.\nFINDINGS: For most cancers, 5-year net survival remains among the highest in the world in the USA and Canada, in Australia and New Zealand, and in Finland, Iceland, Norway, and Sweden. For many cancers, Denmark is closing the survival gap with the other Nordic countries. Survival trends are generally increasing, even for some of the more lethal cancers: in some countries, survival has increased by up to 5% for cancers of the liver, pancreas, and lung. For women diagnosed during 2010-14, 5-year survival for breast cancer is now 89·5% in Australia and 90·2% in the USA, but international differences remain very wide, with levels as low as 66·1% in India. For gastrointestinal cancers, the highest levels of 5-year survival are seen in southeast Asia: in South Korea for cancers of the stomach (68·9%), colon (71·8%), and rectum (71·1%); in Japan for oesophageal cancer (36·0%); and in Taiwan for liver cancer (27·9%). By contrast, in the same world region, survival is generally lower than elsewhere for melanoma of the skin (59·9% in South Korea, 52·1% in Taiwan, and 49·6% in China), and for both lymphoid malignancies (52·5%, 50·5%, and 38·3%) and myeloid malignancies (45·9%, 33·4%, and 24·8%). For children diagnosed during 2010-14, 5-year survival for acute lymphoblastic leukaemia ranged from 49·8% in Ecuador to 95·2% in Finland. 5-year survival from brain tumours in children is higher than for adults but the global range is very wide (from 28·9% in Brazil to nearly 80% in Sweden and Denmark).\nINTERPRETATION: The CONCORD programme enables timely comparisons of the overall effectiveness of health systems in providing care for 18 cancers that collectively represent 75% of all cancers diagnosed worldwide every year. It contributes to the evidence base for global policy on cancer control. Since 2017, the Organisation for Economic Co-operation and Development has used findings from the CONCORD programme as the official benchmark of cancer survival, among their indicators of the quality of health care in 48 countries worldwide. Governments must recognise population-based cancer registries as key policy tools that can be used to evaluate both the impact of cancer prevention strategies and the effectiveness of health systems for all patients diagnosed with cancer.\nFUNDING: American Cancer Society; Centers for Disease Control and Prevention; Swiss Re; Swiss Cancer Research foundation; Swiss Cancer League; Institut National du Cancer; La Ligue Contre le Cancer; Rossy Family Foundation; US National Cancer Institute; and the Susan G Komen Foundation.","container-title":"Lancet (London, England)","DOI":"10.1016/S0140-6736(17)33326-3","ISSN":"1474-547X","issue":"10125","journalAbbreviation":"Lancet","language":"eng","note":"PMID: 29395269\nPMCID: PMC5879496","page":"1023-1075","source":"PubMed","title":"Global surveillance of trends in cancer survival 2000-14 (CONCORD-3): analysis of individual records for 37</w:instrText>
      </w:r>
      <w:r w:rsidR="00A5309E">
        <w:rPr>
          <w:rFonts w:ascii="Arial" w:hAnsi="Arial" w:cs="Arial"/>
        </w:rPr>
        <w:instrText> </w:instrText>
      </w:r>
      <w:r w:rsidR="00A5309E">
        <w:instrText>513</w:instrText>
      </w:r>
      <w:r w:rsidR="00A5309E">
        <w:rPr>
          <w:rFonts w:ascii="Arial" w:hAnsi="Arial" w:cs="Arial"/>
        </w:rPr>
        <w:instrText> </w:instrText>
      </w:r>
      <w:r w:rsidR="00A5309E">
        <w:instrText xml:space="preserve">025 patients diagnosed with one of 18 cancers from 322 population-based registries in 71 countries","title-short":"Global surveillance of trends in cancer survival 2000-14 (CONCORD-3)","volume":"391","author":[{"family":"Allemani","given":"Claudia"},{"family":"Matsuda","given":"Tomohiro"},{"family":"Di Carlo","given":"Veronica"},{"family":"Harewood","given":"Rhea"},{"family":"Matz","given":"Melissa"},{"family":"Nikšić","given":"Maja"},{"family":"Bonaventure","given":"Audrey"},{"family":"Valkov","given":"Mikhail"},{"family":"Johnson","given":"Christopher J."},{"family":"Estève","given":"Jacques"},{"family":"Ogunbiyi","given":"Olufemi J."},{"family":"Azevedo E Silva","given":"Gulnar"},{"family":"Chen","given":"Wan-Qing"},{"family":"Eser","given":"Sultan"},{"family":"Engholm","given":"Gerda"},{"family":"Stiller","given":"Charles A."},{"family":"Monnereau","given":"Alain"},{"family":"Woods","given":"Ryan R."},{"family":"Visser","given":"Otto"},{"family":"Lim","given":"Gek Hsiang"},{"family":"Aitken","given":"Joanne"},{"family":"Weir","given":"Hannah K."},{"family":"Coleman","given":"Michel P."},{"literal":"CONCORD Working Group"}],"issued":{"date-parts":[["2018",3,17]]}}},{"id":188,"uris":["http://zotero.org/users/local/fxpU1WWH/items/8JV6TC9E"],"itemData":{"id":188,"type":"webpage","title":"Cancer in Ireland 1994-2018 with Estimates for 2018-2020: Annual Report of the National Cancer Registry | National Cancer Registry Ireland","URL":"https://www.ncri.ie/publications/statistical-reports/cancer-ireland-1994-2018-estimates-2018-2020-annual-report-national","accessed":{"date-parts":[["2025",5,7]]}}}],"schema":"https://github.com/citation-style-language/schema/raw/master/csl-citation.json"} </w:instrText>
      </w:r>
      <w:r>
        <w:fldChar w:fldCharType="separate"/>
      </w:r>
      <w:r w:rsidR="00A5309E" w:rsidRPr="00A5309E">
        <w:rPr>
          <w:rFonts w:ascii="Aptos" w:hAnsi="Aptos"/>
        </w:rPr>
        <w:t>(76,77)</w:t>
      </w:r>
      <w:r>
        <w:fldChar w:fldCharType="end"/>
      </w:r>
      <w:r w:rsidRPr="006405B2">
        <w:t xml:space="preserve"> </w:t>
      </w:r>
      <w:r w:rsidR="00CE69EF">
        <w:t>Among the</w:t>
      </w:r>
      <w:r w:rsidRPr="006405B2">
        <w:t xml:space="preserve"> four </w:t>
      </w:r>
      <w:r>
        <w:t xml:space="preserve">tobacco-related </w:t>
      </w:r>
      <w:r w:rsidRPr="006405B2">
        <w:t xml:space="preserve">tumour types </w:t>
      </w:r>
      <w:r w:rsidR="001866D5">
        <w:t xml:space="preserve">for which </w:t>
      </w:r>
      <w:r w:rsidRPr="006405B2">
        <w:t>Ireland did not rank in the top half</w:t>
      </w:r>
      <w:r>
        <w:t xml:space="preserve"> of European countries surveyed</w:t>
      </w:r>
      <w:r w:rsidRPr="006405B2">
        <w:t xml:space="preserve"> (colon, breast, cervical, ovarian),</w:t>
      </w:r>
      <w:r>
        <w:t xml:space="preserve"> </w:t>
      </w:r>
      <w:r w:rsidRPr="006405B2">
        <w:t xml:space="preserve">survival rates have </w:t>
      </w:r>
      <w:r w:rsidR="001866D5">
        <w:t>since</w:t>
      </w:r>
      <w:r w:rsidR="001866D5" w:rsidRPr="006405B2">
        <w:t xml:space="preserve"> </w:t>
      </w:r>
      <w:r w:rsidRPr="006405B2">
        <w:t>improved.</w:t>
      </w:r>
      <w:r>
        <w:t xml:space="preserve"> Lung cancer survival – the cancer associated with the highest number of cancer deaths – </w:t>
      </w:r>
      <w:r w:rsidR="006E6722">
        <w:t>has increased to 25% in the most recent period. This compares favourably to recent estimates of 21% from England in 2016</w:t>
      </w:r>
      <w:r w:rsidR="00552B7C">
        <w:t xml:space="preserve"> to </w:t>
      </w:r>
      <w:r w:rsidR="006E6722">
        <w:t>2020.</w:t>
      </w:r>
      <w:r w:rsidR="006E6722">
        <w:fldChar w:fldCharType="begin"/>
      </w:r>
      <w:r w:rsidR="00A5309E">
        <w:instrText xml:space="preserve"> ADDIN ZOTERO_ITEM CSL_CITATION {"citationID":"RDfiIij8","properties":{"formattedCitation":"(78)","plainCitation":"(78)","noteIndex":0},"citationItems":[{"id":193,"uris":["http://zotero.org/users/local/fxpU1WWH/items/IIZ89MPU"],"itemData":{"id":193,"type":"webpage","abstract":"We’re the national information and technology partner to the health and social care system using digital technology to transform the NHS and social care","container-title":"NHS England Digital","language":"en","title":"Cancer Survival in England","URL":"https://digital.nhs.uk/data-and-information/publications/statistical/cancer-survival-in-england","accessed":{"date-parts":[["2025",5,7]]}}}],"schema":"https://github.com/citation-style-language/schema/raw/master/csl-citation.json"} </w:instrText>
      </w:r>
      <w:r w:rsidR="006E6722">
        <w:fldChar w:fldCharType="separate"/>
      </w:r>
      <w:r w:rsidR="00A5309E" w:rsidRPr="00A5309E">
        <w:rPr>
          <w:rFonts w:ascii="Aptos" w:hAnsi="Aptos"/>
        </w:rPr>
        <w:t>(78)</w:t>
      </w:r>
      <w:r w:rsidR="006E6722">
        <w:fldChar w:fldCharType="end"/>
      </w:r>
    </w:p>
    <w:p w14:paraId="46323D8D" w14:textId="77777777" w:rsidR="008564DB" w:rsidRDefault="008564DB" w:rsidP="00A27215">
      <w:pPr>
        <w:spacing w:after="0" w:line="240" w:lineRule="auto"/>
      </w:pPr>
    </w:p>
    <w:p w14:paraId="4217753F" w14:textId="77777777" w:rsidR="00A27215" w:rsidRPr="00833A58" w:rsidRDefault="00A27215" w:rsidP="00A27215">
      <w:pPr>
        <w:pStyle w:val="Heading2"/>
        <w:spacing w:before="0" w:after="0" w:line="240" w:lineRule="auto"/>
      </w:pPr>
      <w:bookmarkStart w:id="410" w:name="_Toc201512583"/>
      <w:r>
        <w:t>Sex</w:t>
      </w:r>
      <w:bookmarkEnd w:id="410"/>
    </w:p>
    <w:p w14:paraId="18F9C223" w14:textId="246B5EAD" w:rsidR="00A27215" w:rsidRDefault="006E6722" w:rsidP="00A27215">
      <w:pPr>
        <w:spacing w:after="0" w:line="240" w:lineRule="auto"/>
      </w:pPr>
      <w:r>
        <w:t>Similar to</w:t>
      </w:r>
      <w:r w:rsidR="00A27215">
        <w:t xml:space="preserve"> trends seen internationally,</w:t>
      </w:r>
      <w:r w:rsidR="00A27215">
        <w:fldChar w:fldCharType="begin"/>
      </w:r>
      <w:r w:rsidR="00A5309E">
        <w:instrText xml:space="preserve"> ADDIN ZOTERO_ITEM CSL_CITATION {"citationID":"hwAwTLK6","properties":{"formattedCitation":"(79)","plainCitation":"(79)","noteIndex":0},"citationItems":[{"id":168,"uris":["http://zotero.org/users/local/fxpU1WWH/items/6SNNJM9S"],"itemData":{"id":168,"type":"article-journal","abstract":"We show that almost one in every four deaths, and one in every five DALYs, due to cancer was as a result of exposure to smoking. In 2019, the global number of DALYs was highest in the 65</w:instrText>
      </w:r>
      <w:r w:rsidR="00A5309E">
        <w:rPr>
          <w:rFonts w:ascii="Cambria Math" w:hAnsi="Cambria Math" w:cs="Cambria Math"/>
        </w:rPr>
        <w:instrText>‐</w:instrText>
      </w:r>
      <w:r w:rsidR="00A5309E">
        <w:instrText>69 age group and there was a positive association between SDI and the age</w:instrText>
      </w:r>
      <w:r w:rsidR="00A5309E">
        <w:rPr>
          <w:rFonts w:ascii="Cambria Math" w:hAnsi="Cambria Math" w:cs="Cambria Math"/>
        </w:rPr>
        <w:instrText>‐</w:instrText>
      </w:r>
      <w:r w:rsidR="00A5309E">
        <w:instrText>standardized DALY rate.","container-title":"Cancer Medicine","DOI":"10.1002/cam4.4647","ISSN":"2045-7634","issue":"13","journalAbbreviation":"Cancer Med","note":"PMID: 35621231\nPMCID: PMC9249976","page":"2662-2678","source":"PubMed Central","title":"Global, regional, and national burden of cancers attributable to tobacco smoking in 204 countries and territories, 1990</w:instrText>
      </w:r>
      <w:r w:rsidR="00A5309E">
        <w:rPr>
          <w:rFonts w:ascii="Aptos" w:hAnsi="Aptos" w:cs="Aptos"/>
        </w:rPr>
        <w:instrText>–</w:instrText>
      </w:r>
      <w:r w:rsidR="00A5309E">
        <w:instrText>2019","volume":"11","author":[{"family":"Safiri","given":"Saeid"},{"family":"Nejadghaderi","given":"Seyed Aria"},{"family":"Abdollahi","given":"Morteza"},{"family":"Carson</w:instrText>
      </w:r>
      <w:r w:rsidR="00A5309E">
        <w:rPr>
          <w:rFonts w:ascii="Cambria Math" w:hAnsi="Cambria Math" w:cs="Cambria Math"/>
        </w:rPr>
        <w:instrText>‐</w:instrText>
      </w:r>
      <w:r w:rsidR="00A5309E">
        <w:instrText>Chahhoud","given":"Kristin"},{"family":"Kaufman","given":"Jay S."},{"family":"Bragazzi","given":"Nicola Luigi"},{"family":"Moradi</w:instrText>
      </w:r>
      <w:r w:rsidR="00A5309E">
        <w:rPr>
          <w:rFonts w:ascii="Cambria Math" w:hAnsi="Cambria Math" w:cs="Cambria Math"/>
        </w:rPr>
        <w:instrText>‐</w:instrText>
      </w:r>
      <w:r w:rsidR="00A5309E">
        <w:instrText>Lakeh","given":"Maziar"},{"family":"Mansournia","given":"Mohammad Ali"},{"family":"Sullman","given":"Mark J. M."},{"family":"Almasi</w:instrText>
      </w:r>
      <w:r w:rsidR="00A5309E">
        <w:rPr>
          <w:rFonts w:ascii="Cambria Math" w:hAnsi="Cambria Math" w:cs="Cambria Math"/>
        </w:rPr>
        <w:instrText>‐</w:instrText>
      </w:r>
      <w:r w:rsidR="00A5309E">
        <w:instrText>Hashiani","given":"Amir"},{"family":"Taghizadieh","given":"Ali"},{"family":"Collins","given":"Gary S."},{"family":"Kolahi","given":"Ali</w:instrText>
      </w:r>
      <w:r w:rsidR="00A5309E">
        <w:rPr>
          <w:rFonts w:ascii="Cambria Math" w:hAnsi="Cambria Math" w:cs="Cambria Math"/>
        </w:rPr>
        <w:instrText>‐</w:instrText>
      </w:r>
      <w:r w:rsidR="00A5309E">
        <w:instrText xml:space="preserve">Asghar"}],"issued":{"date-parts":[["2022",5,27]]}}}],"schema":"https://github.com/citation-style-language/schema/raw/master/csl-citation.json"} </w:instrText>
      </w:r>
      <w:r w:rsidR="00A27215">
        <w:fldChar w:fldCharType="separate"/>
      </w:r>
      <w:r w:rsidR="00A5309E" w:rsidRPr="00A5309E">
        <w:rPr>
          <w:rFonts w:ascii="Aptos" w:hAnsi="Aptos"/>
        </w:rPr>
        <w:t>(79)</w:t>
      </w:r>
      <w:r w:rsidR="00A27215">
        <w:fldChar w:fldCharType="end"/>
      </w:r>
      <w:r w:rsidR="00A27215">
        <w:t xml:space="preserve"> the greatest burden of smoking-related cancers in Ireland </w:t>
      </w:r>
      <w:r w:rsidR="00D241B8">
        <w:t xml:space="preserve">was observed in males, </w:t>
      </w:r>
      <w:r w:rsidR="00A27215">
        <w:t xml:space="preserve">as evidenced by higher incidence and mortality rates across most </w:t>
      </w:r>
      <w:r w:rsidR="00552B7C">
        <w:t xml:space="preserve">cancer types </w:t>
      </w:r>
      <w:r w:rsidR="00A27215">
        <w:t>examined. For example, for tobacco-related cancers of the head and neck, new</w:t>
      </w:r>
      <w:r w:rsidR="00D241B8">
        <w:t>ly</w:t>
      </w:r>
      <w:r w:rsidR="00A27215">
        <w:t xml:space="preserve"> diagnose</w:t>
      </w:r>
      <w:r w:rsidR="00D241B8">
        <w:t>d cases</w:t>
      </w:r>
      <w:r w:rsidR="00A27215">
        <w:t xml:space="preserve"> in males tended to outnumber those in females by a ratio of approximately 3 to 1.  </w:t>
      </w:r>
      <w:r w:rsidR="00A27215" w:rsidRPr="00884FAE">
        <w:t xml:space="preserve">While </w:t>
      </w:r>
      <w:r w:rsidR="00A27215">
        <w:t xml:space="preserve">in general </w:t>
      </w:r>
      <w:r w:rsidR="00A27215" w:rsidRPr="00884FAE">
        <w:t>cancer incidence and mortality rates in tobacco-related cancer</w:t>
      </w:r>
      <w:r w:rsidR="00A27215">
        <w:t>s</w:t>
      </w:r>
      <w:r w:rsidR="00A27215" w:rsidRPr="00884FAE">
        <w:t xml:space="preserve"> are higher among</w:t>
      </w:r>
      <w:r w:rsidR="00A27215">
        <w:t xml:space="preserve"> males, smoking increases the</w:t>
      </w:r>
      <w:r w:rsidR="00A27215" w:rsidRPr="00884FAE">
        <w:t xml:space="preserve"> risk of three </w:t>
      </w:r>
      <w:r w:rsidR="00A27215">
        <w:t>sex</w:t>
      </w:r>
      <w:r w:rsidR="00A27215" w:rsidRPr="00884FAE">
        <w:t>-specific cancers</w:t>
      </w:r>
      <w:r w:rsidR="007535AF">
        <w:t xml:space="preserve"> in females</w:t>
      </w:r>
      <w:r w:rsidR="00A27215" w:rsidRPr="00884FAE">
        <w:t xml:space="preserve"> i.e. female breast, ovarian (mucinous) and cervical cancers. Although the rela</w:t>
      </w:r>
      <w:r w:rsidR="00A27215">
        <w:t>t</w:t>
      </w:r>
      <w:r w:rsidR="00A27215" w:rsidRPr="00884FAE">
        <w:t xml:space="preserve">ive increased risk associated with smoking is </w:t>
      </w:r>
      <w:r w:rsidR="00A27215">
        <w:t>modest</w:t>
      </w:r>
      <w:r w:rsidR="00A27215" w:rsidRPr="00884FAE">
        <w:t xml:space="preserve"> for each of the female specific cancers, </w:t>
      </w:r>
      <w:r w:rsidR="00A27215">
        <w:t>this</w:t>
      </w:r>
      <w:r w:rsidR="00A27215" w:rsidRPr="00884FAE">
        <w:t xml:space="preserve"> risk</w:t>
      </w:r>
      <w:r w:rsidR="00A27215">
        <w:t xml:space="preserve"> is in addition to</w:t>
      </w:r>
      <w:r w:rsidR="00A27215" w:rsidRPr="00884FAE">
        <w:t xml:space="preserve"> </w:t>
      </w:r>
      <w:r w:rsidR="00A27215">
        <w:t xml:space="preserve">the </w:t>
      </w:r>
      <w:r w:rsidR="00A27215" w:rsidRPr="00884FAE">
        <w:t xml:space="preserve">risk of </w:t>
      </w:r>
      <w:r w:rsidR="00A27215">
        <w:t>developing the other tobacco</w:t>
      </w:r>
      <w:r w:rsidR="00B20C1E">
        <w:t>-</w:t>
      </w:r>
      <w:r w:rsidR="00A27215">
        <w:t>related cancers</w:t>
      </w:r>
      <w:r w:rsidR="00A27215" w:rsidRPr="00884FAE">
        <w:t xml:space="preserve"> </w:t>
      </w:r>
      <w:r w:rsidR="00A27215">
        <w:t>and</w:t>
      </w:r>
      <w:r w:rsidR="00A27215" w:rsidRPr="00884FAE">
        <w:t xml:space="preserve"> to other gender-specific</w:t>
      </w:r>
      <w:r w:rsidR="00A27215">
        <w:t xml:space="preserve"> health</w:t>
      </w:r>
      <w:r w:rsidR="00A27215" w:rsidRPr="00884FAE">
        <w:t xml:space="preserve"> </w:t>
      </w:r>
      <w:r w:rsidR="00A27215">
        <w:t>effects</w:t>
      </w:r>
      <w:r w:rsidR="00A27215" w:rsidRPr="00884FAE">
        <w:t xml:space="preserve"> of tobacco-smoking such as those on reproductive health. </w:t>
      </w:r>
      <w:r w:rsidR="00A27215">
        <w:t xml:space="preserve">Further, the median age at diagnosis for these cancers is substantially lower than those for the other cancer </w:t>
      </w:r>
      <w:r w:rsidR="00366242">
        <w:t>types</w:t>
      </w:r>
      <w:r w:rsidR="00A27215">
        <w:t xml:space="preserve"> examined in females.</w:t>
      </w:r>
    </w:p>
    <w:p w14:paraId="409980CC" w14:textId="77777777" w:rsidR="00A27215" w:rsidRPr="000A29A2" w:rsidRDefault="00A27215" w:rsidP="00A27215">
      <w:pPr>
        <w:spacing w:after="0" w:line="240" w:lineRule="auto"/>
      </w:pPr>
    </w:p>
    <w:p w14:paraId="5BEEE1E8" w14:textId="369724CC" w:rsidR="00A27215" w:rsidRDefault="00A27215" w:rsidP="00A27215">
      <w:pPr>
        <w:pStyle w:val="Heading2"/>
        <w:spacing w:before="0" w:after="0" w:line="240" w:lineRule="auto"/>
      </w:pPr>
      <w:bookmarkStart w:id="411" w:name="_Toc196991630"/>
      <w:bookmarkStart w:id="412" w:name="_Toc197557193"/>
      <w:bookmarkStart w:id="413" w:name="_Toc201512584"/>
      <w:r>
        <w:t xml:space="preserve">Population attributable </w:t>
      </w:r>
      <w:r w:rsidR="00035231">
        <w:t>f</w:t>
      </w:r>
      <w:r>
        <w:t>raction</w:t>
      </w:r>
      <w:bookmarkEnd w:id="411"/>
      <w:bookmarkEnd w:id="412"/>
      <w:bookmarkEnd w:id="413"/>
    </w:p>
    <w:p w14:paraId="765D6C47" w14:textId="59CE14AD" w:rsidR="00A27215" w:rsidRDefault="00A27215" w:rsidP="00A27215">
      <w:pPr>
        <w:pStyle w:val="NormalWeb"/>
        <w:spacing w:before="0" w:beforeAutospacing="0" w:after="0" w:afterAutospacing="0"/>
        <w:rPr>
          <w:rFonts w:asciiTheme="minorHAnsi" w:eastAsiaTheme="minorEastAsia" w:hAnsiTheme="minorHAnsi" w:cstheme="minorBidi"/>
          <w:kern w:val="2"/>
          <w:lang w:eastAsia="en-US"/>
          <w14:ligatures w14:val="standardContextual"/>
        </w:rPr>
      </w:pPr>
      <w:r w:rsidRPr="0014716D">
        <w:rPr>
          <w:rFonts w:asciiTheme="minorHAnsi" w:eastAsiaTheme="minorEastAsia" w:hAnsiTheme="minorHAnsi" w:cstheme="minorBidi"/>
          <w:kern w:val="2"/>
          <w:lang w:eastAsia="en-US"/>
          <w14:ligatures w14:val="standardContextual"/>
        </w:rPr>
        <w:t xml:space="preserve">This report provides evidence that a </w:t>
      </w:r>
      <w:r>
        <w:rPr>
          <w:rFonts w:asciiTheme="minorHAnsi" w:eastAsiaTheme="minorEastAsia" w:hAnsiTheme="minorHAnsi" w:cstheme="minorBidi"/>
          <w:kern w:val="2"/>
          <w:lang w:eastAsia="en-US"/>
          <w14:ligatures w14:val="standardContextual"/>
        </w:rPr>
        <w:t xml:space="preserve">large </w:t>
      </w:r>
      <w:r w:rsidRPr="0014716D">
        <w:rPr>
          <w:rFonts w:asciiTheme="minorHAnsi" w:eastAsiaTheme="minorEastAsia" w:hAnsiTheme="minorHAnsi" w:cstheme="minorBidi"/>
          <w:kern w:val="2"/>
          <w:lang w:eastAsia="en-US"/>
          <w14:ligatures w14:val="standardContextual"/>
        </w:rPr>
        <w:t>burden of cancer in Ireland could be avoided if tobacco use was eliminated.</w:t>
      </w:r>
      <w:r>
        <w:rPr>
          <w:rFonts w:asciiTheme="minorHAnsi" w:eastAsiaTheme="minorEastAsia" w:hAnsiTheme="minorHAnsi" w:cstheme="minorBidi"/>
          <w:kern w:val="2"/>
          <w:lang w:eastAsia="en-US"/>
          <w14:ligatures w14:val="standardContextual"/>
        </w:rPr>
        <w:t xml:space="preserve"> </w:t>
      </w:r>
      <w:r w:rsidRPr="33246BB2">
        <w:rPr>
          <w:rFonts w:asciiTheme="minorHAnsi" w:eastAsiaTheme="minorEastAsia" w:hAnsiTheme="minorHAnsi" w:cstheme="minorBidi"/>
          <w:kern w:val="2"/>
          <w:lang w:eastAsia="en-US"/>
          <w14:ligatures w14:val="standardContextual"/>
        </w:rPr>
        <w:t xml:space="preserve">In 2022, 3,756 or </w:t>
      </w:r>
      <w:r w:rsidR="00960CF5">
        <w:rPr>
          <w:rFonts w:asciiTheme="minorHAnsi" w:eastAsiaTheme="minorEastAsia" w:hAnsiTheme="minorHAnsi" w:cstheme="minorBidi"/>
          <w:kern w:val="2"/>
          <w:lang w:eastAsia="en-US"/>
          <w14:ligatures w14:val="standardContextual"/>
        </w:rPr>
        <w:t>14.7</w:t>
      </w:r>
      <w:r w:rsidRPr="33246BB2">
        <w:rPr>
          <w:rFonts w:asciiTheme="minorHAnsi" w:eastAsiaTheme="minorEastAsia" w:hAnsiTheme="minorHAnsi" w:cstheme="minorBidi"/>
          <w:kern w:val="2"/>
          <w:lang w:eastAsia="en-US"/>
          <w14:ligatures w14:val="standardContextual"/>
        </w:rPr>
        <w:t xml:space="preserve">% of new invasive cancer cases in Ireland were attributable to tobacco smoking. Lung cancer </w:t>
      </w:r>
      <w:r w:rsidRPr="0014716D">
        <w:rPr>
          <w:rFonts w:asciiTheme="minorHAnsi" w:eastAsiaTheme="minorEastAsia" w:hAnsiTheme="minorHAnsi" w:cstheme="minorBidi"/>
          <w:kern w:val="2"/>
          <w:lang w:eastAsia="en-US"/>
          <w14:ligatures w14:val="standardContextual"/>
        </w:rPr>
        <w:t>accounted for the highest number of smoking-attributable cases in both men and women, with 74.8% of cases in men (1,066/1,426) and 71.7% in women (944/1,316) linked to smoking</w:t>
      </w:r>
      <w:r w:rsidRPr="33246BB2">
        <w:rPr>
          <w:rFonts w:asciiTheme="minorHAnsi" w:eastAsiaTheme="minorEastAsia" w:hAnsiTheme="minorHAnsi" w:cstheme="minorBidi"/>
          <w:kern w:val="2"/>
          <w:lang w:eastAsia="en-US"/>
          <w14:ligatures w14:val="standardContextual"/>
        </w:rPr>
        <w:t>. Similarly, high proportions of invasive cancers were attributable to tobacco smoking for bladder cancer (48% for males (343/714)</w:t>
      </w:r>
      <w:r w:rsidR="00A44C86">
        <w:rPr>
          <w:rFonts w:asciiTheme="minorHAnsi" w:eastAsiaTheme="minorEastAsia" w:hAnsiTheme="minorHAnsi" w:cstheme="minorBidi"/>
          <w:kern w:val="2"/>
          <w:lang w:eastAsia="en-US"/>
          <w14:ligatures w14:val="standardContextual"/>
        </w:rPr>
        <w:t xml:space="preserve"> </w:t>
      </w:r>
      <w:r w:rsidRPr="33246BB2">
        <w:rPr>
          <w:rFonts w:asciiTheme="minorHAnsi" w:eastAsiaTheme="minorEastAsia" w:hAnsiTheme="minorHAnsi" w:cstheme="minorBidi"/>
          <w:kern w:val="2"/>
          <w:lang w:eastAsia="en-US"/>
          <w14:ligatures w14:val="standardContextual"/>
        </w:rPr>
        <w:t xml:space="preserve">and 45.9% females (114/248)) and laryngeal cancer (26.3% for males (86/326) and 23.4% for females (71/302)). </w:t>
      </w:r>
    </w:p>
    <w:p w14:paraId="790FC851" w14:textId="11A819A3" w:rsidR="00A27215" w:rsidRDefault="00A27215" w:rsidP="00A27215">
      <w:pPr>
        <w:pStyle w:val="NormalWeb"/>
        <w:spacing w:before="0" w:beforeAutospacing="0" w:after="0" w:afterAutospacing="0"/>
        <w:rPr>
          <w:rFonts w:asciiTheme="minorHAnsi" w:eastAsiaTheme="minorHAnsi" w:hAnsiTheme="minorHAnsi" w:cstheme="minorBidi"/>
          <w:kern w:val="2"/>
          <w:lang w:eastAsia="en-US"/>
          <w14:ligatures w14:val="standardContextual"/>
        </w:rPr>
      </w:pPr>
    </w:p>
    <w:p w14:paraId="6D84B43F" w14:textId="318711CC" w:rsidR="00A27215" w:rsidRDefault="00A27215" w:rsidP="00A27215">
      <w:pPr>
        <w:pStyle w:val="pf0"/>
        <w:spacing w:before="0" w:beforeAutospacing="0" w:after="0" w:afterAutospacing="0"/>
        <w:rPr>
          <w:rFonts w:asciiTheme="minorHAnsi" w:eastAsiaTheme="minorHAnsi" w:hAnsiTheme="minorHAnsi" w:cstheme="minorBidi"/>
          <w:kern w:val="2"/>
          <w:lang w:eastAsia="en-US"/>
          <w14:ligatures w14:val="standardContextual"/>
        </w:rPr>
      </w:pPr>
      <w:r>
        <w:rPr>
          <w:rFonts w:asciiTheme="minorHAnsi" w:eastAsiaTheme="minorHAnsi" w:hAnsiTheme="minorHAnsi" w:cstheme="minorBidi"/>
          <w:kern w:val="2"/>
          <w:lang w:eastAsia="en-US"/>
          <w14:ligatures w14:val="standardContextual"/>
        </w:rPr>
        <w:t>The estimates for the total PAF for tobacco-smoking in Ireland are in line with other recent international estimates.</w:t>
      </w:r>
      <w:r>
        <w:rPr>
          <w:rFonts w:asciiTheme="minorHAnsi" w:eastAsiaTheme="minorHAnsi" w:hAnsiTheme="minorHAnsi" w:cstheme="minorBidi"/>
          <w:kern w:val="2"/>
          <w:lang w:eastAsia="en-US"/>
          <w14:ligatures w14:val="standardContextual"/>
        </w:rPr>
        <w:fldChar w:fldCharType="begin"/>
      </w:r>
      <w:r w:rsidR="00A5309E">
        <w:rPr>
          <w:rFonts w:asciiTheme="minorHAnsi" w:eastAsiaTheme="minorHAnsi" w:hAnsiTheme="minorHAnsi" w:cstheme="minorBidi"/>
          <w:kern w:val="2"/>
          <w:lang w:eastAsia="en-US"/>
          <w14:ligatures w14:val="standardContextual"/>
        </w:rPr>
        <w:instrText xml:space="preserve"> ADDIN ZOTERO_ITEM CSL_CITATION {"citationID":"3QuQcdC1","properties":{"formattedCitation":"(53,54,73,80,81)","plainCitation":"(53,54,73,80,81)","noteIndex":0},"citationItems":[{"id":161,"uris":["http://zotero.org/users/local/fxpU1WWH/items/IDDR9W74"],"itemData":{"id":161,"type":"report","abstract":"Purpose of the reportThis report estimates new tobacco and alcohol attributable fractions for Scotland. Population Attributable Fractions (PAFs) can help us understand the impact that alcohol and tobacco consumption have on both population health and the healthcare services and are a necessary component of estimates of the burden of harm attributable to alcohol and/or tobacco, such as those quoted above. PAFs are the estimated proportion of cases of a particular disease in a population that could be prevented if exposure to the related risk factors were removed.Data availabilityThe code used to produce the report and the population attributable fraction estimates presented in the report are open source and available from https://github.com/STAPM/scot_attrib_fractions.","genre":"report","language":"en","note":"DOI: 10.15131/shef.data.24543343.v1","publisher":"The University of Sheffield","source":"orda.shef.ac.uk","title":"Alcohol and Tobacco Attributable Fractions for Scotland","URL":"https://orda.shef.ac.uk/articles/report/_b_Alcohol_and_Tobacco_Attributable_Fractions_for_Scotland_b_/24543343/1","author":[{"family":"Leeming","given":"Grace"},{"family":"Angus","given":"Colin"},{"family":"Gillespie","given":"Duncan"}],"accessed":{"date-parts":[["2025",5,7]]},"issued":{"date-parts":[["2023",11,12]]}}},{"id":113,"uris":["http://zotero.org/users/local/fxpU1WWH/items/6FNYZLXL"],"itemData":{"id":113,"type":"article-journal","abstract":"BACKGROUND: Targeting modifiable factors offers significant potential for primary cancer prevention. For public health strategies, it is essential to quantify the contribution from each factor on a national level. We estimated the contribution of 12 modifiable factors on cancer incidence in the Norwegian population.\nMETHODS: Nationally representative data (1990-2015) on the prevalence of tobacco smoking, over-exposure to ultraviolet radiation (UVR), alcohol consumption, physical inactivity, overweight and obesity, intake of processed and red meat, fibre and calcium, menopausal hormone therapy (MHT), human papilloma virus (HPV) infection and insufficient breastfeeding were collected from health surveys. Using these prevalences, cancer risk estimates for for the exposures, and average annual cancer incidence rates for 2016-2020, we estimated annual population-attributable fractions (PAFs) and numbers of preventable cases.\nRESULTS: Of the average 24,608 annual cases of cancers related to our included modifiable factors, 12,250 (6240 in women and 6009 in men) (41</w:instrText>
      </w:r>
      <w:r w:rsidR="00A5309E">
        <w:rPr>
          <w:rFonts w:ascii="Arial" w:eastAsiaTheme="minorHAnsi" w:hAnsi="Arial" w:cs="Arial"/>
          <w:kern w:val="2"/>
          <w:lang w:eastAsia="en-US"/>
          <w14:ligatures w14:val="standardContextual"/>
        </w:rPr>
        <w:instrText> </w:instrText>
      </w:r>
      <w:r w:rsidR="00A5309E">
        <w:rPr>
          <w:rFonts w:asciiTheme="minorHAnsi" w:eastAsiaTheme="minorHAnsi" w:hAnsiTheme="minorHAnsi" w:cstheme="minorBidi"/>
          <w:kern w:val="2"/>
          <w:lang w:eastAsia="en-US"/>
          <w14:ligatures w14:val="standardContextual"/>
        </w:rPr>
        <w:instrText>%) were attributed to these factors. Tobacco smoking caused the highest proportion of cancers cases, 20</w:instrText>
      </w:r>
      <w:r w:rsidR="00A5309E">
        <w:rPr>
          <w:rFonts w:ascii="Arial" w:eastAsiaTheme="minorHAnsi" w:hAnsi="Arial" w:cs="Arial"/>
          <w:kern w:val="2"/>
          <w:lang w:eastAsia="en-US"/>
          <w14:ligatures w14:val="standardContextual"/>
        </w:rPr>
        <w:instrText> </w:instrText>
      </w:r>
      <w:r w:rsidR="00A5309E">
        <w:rPr>
          <w:rFonts w:asciiTheme="minorHAnsi" w:eastAsiaTheme="minorHAnsi" w:hAnsiTheme="minorHAnsi" w:cstheme="minorBidi"/>
          <w:kern w:val="2"/>
          <w:lang w:eastAsia="en-US"/>
          <w14:ligatures w14:val="standardContextual"/>
        </w:rPr>
        <w:instrText>% in men and 13</w:instrText>
      </w:r>
      <w:r w:rsidR="00A5309E">
        <w:rPr>
          <w:rFonts w:ascii="Arial" w:eastAsiaTheme="minorHAnsi" w:hAnsi="Arial" w:cs="Arial"/>
          <w:kern w:val="2"/>
          <w:lang w:eastAsia="en-US"/>
          <w14:ligatures w14:val="standardContextual"/>
        </w:rPr>
        <w:instrText> </w:instrText>
      </w:r>
      <w:r w:rsidR="00A5309E">
        <w:rPr>
          <w:rFonts w:asciiTheme="minorHAnsi" w:eastAsiaTheme="minorHAnsi" w:hAnsiTheme="minorHAnsi" w:cstheme="minorBidi"/>
          <w:kern w:val="2"/>
          <w:lang w:eastAsia="en-US"/>
          <w14:ligatures w14:val="standardContextual"/>
        </w:rPr>
        <w:instrText>% in women. Sunburn and indoor tanning caused 13</w:instrText>
      </w:r>
      <w:r w:rsidR="00A5309E">
        <w:rPr>
          <w:rFonts w:ascii="Arial" w:eastAsiaTheme="minorHAnsi" w:hAnsi="Arial" w:cs="Arial"/>
          <w:kern w:val="2"/>
          <w:lang w:eastAsia="en-US"/>
          <w14:ligatures w14:val="standardContextual"/>
        </w:rPr>
        <w:instrText> </w:instrText>
      </w:r>
      <w:r w:rsidR="00A5309E">
        <w:rPr>
          <w:rFonts w:asciiTheme="minorHAnsi" w:eastAsiaTheme="minorHAnsi" w:hAnsiTheme="minorHAnsi" w:cstheme="minorBidi"/>
          <w:kern w:val="2"/>
          <w:lang w:eastAsia="en-US"/>
          <w14:ligatures w14:val="standardContextual"/>
        </w:rPr>
        <w:instrText>% and 10</w:instrText>
      </w:r>
      <w:r w:rsidR="00A5309E">
        <w:rPr>
          <w:rFonts w:ascii="Arial" w:eastAsiaTheme="minorHAnsi" w:hAnsi="Arial" w:cs="Arial"/>
          <w:kern w:val="2"/>
          <w:lang w:eastAsia="en-US"/>
          <w14:ligatures w14:val="standardContextual"/>
        </w:rPr>
        <w:instrText> </w:instrText>
      </w:r>
      <w:r w:rsidR="00A5309E">
        <w:rPr>
          <w:rFonts w:asciiTheme="minorHAnsi" w:eastAsiaTheme="minorHAnsi" w:hAnsiTheme="minorHAnsi" w:cstheme="minorBidi"/>
          <w:kern w:val="2"/>
          <w:lang w:eastAsia="en-US"/>
          <w14:ligatures w14:val="standardContextual"/>
        </w:rPr>
        <w:instrText>% of cancers in men and women, respectively, and overweight and obesity caused 4.5</w:instrText>
      </w:r>
      <w:r w:rsidR="00A5309E">
        <w:rPr>
          <w:rFonts w:ascii="Arial" w:eastAsiaTheme="minorHAnsi" w:hAnsi="Arial" w:cs="Arial"/>
          <w:kern w:val="2"/>
          <w:lang w:eastAsia="en-US"/>
          <w14:ligatures w14:val="standardContextual"/>
        </w:rPr>
        <w:instrText> </w:instrText>
      </w:r>
      <w:r w:rsidR="00A5309E">
        <w:rPr>
          <w:rFonts w:asciiTheme="minorHAnsi" w:eastAsiaTheme="minorHAnsi" w:hAnsiTheme="minorHAnsi" w:cstheme="minorBidi"/>
          <w:kern w:val="2"/>
          <w:lang w:eastAsia="en-US"/>
          <w14:ligatures w14:val="standardContextual"/>
        </w:rPr>
        <w:instrText xml:space="preserve">% of the cases. Cancers of skin, lung, colon and female breast had the highest number of preventable cases.\nCONCLUSION: Over a third of the annual cancer cases in Norway were attributed to 12 modifiable factors. Based on this study, efforts to reduce tobacco smoking, UVR over-exposure, and overweight and obesity could be the most effective in primary prevention of cancer.","container-title":"European Journal of Cancer (Oxford, England: 1990)","DOI":"10.1016/j.ejca.2025.115232","ISSN":"1879-0852","journalAbbreviation":"Eur J Cancer","language":"eng","note":"PMID: 39813761","page":"115232","source":"PubMed","title":"Cancers attributed to modifiable factors in Norway 2016-2020","volume":"217","author":[{"family":"Berstad","given":"Paula"},{"family":"Haugan","given":"Kristin"},{"family":"Knudsen","given":"Markus D."},{"family":"Nygård","given":"Mari"},{"family":"Ghiasvand","given":"Reza"},{"family":"Robsahm","given":"Trude Eid"}],"issued":{"date-parts":[["2025",2,25]]}}},{"id":136,"uris":["http://zotero.org/users/local/fxpU1WWH/items/3AHY5F2U"],"itemData":{"id":136,"type":"article-journal","abstract":"Environmental exposures and avoidable risk factors account for a large proportion of cancer burden. Exposures and lifestyle vary over time and between populations, which calls for updated and population-specific quantification of how various avoidable risk factors influence cancer risk to plan and design rational and targeted prevention initiatives. The study considered 12 risk-factor groups categorized as class I carcinogens by IARC/WCRF. Exposure data was derived from national studies and surveys and were linked to cancer incidence in 2018 based on the nationwide Danish Cancer Registry. In 2018, 23,078 men and 21,196 women were diagnosed with cancer excluding non-melanoma skin cancer, in Denmark. Of these, 14,235 (32.2%) were estimated to be attributable to avoidable class I carcinogens. Tobacco smoking accounted for 14.6% of total cancers, followed by UV-radiation that accounted for 5.8%. Based on exposure data from 2008, one-third of the cancers in Denmark in 2018 are estimated to be caused by class I carcinogens with tobacco use being the main contributor followed by UV-radiation. Our results should be integrated with public health policies to effectively increase awareness and promote strategies to decrease risk factor exposures at population level.","container-title":"Scientific Reports","DOI":"10.1038/s41598-021-04564-2","ISSN":"2045-2322","issue":"1","journalAbbreviation":"Sci Rep","language":"eng","note":"PMID: 35017625\nPMCID: PMC8752838","page":"549","source":"PubMed","title":"Updated fraction of cancer attributable to lifestyle and environmental factors in Denmark in 2018","volume":"12","author":[{"family":"Tybjerg","given":"Anne Julie"},{"family":"Friis","given":"Søren"},{"family":"Brown","given":"Katrina"},{"family":"Nilbert","given":"Mef Christina"},{"family":"Morch","given":"Lina"},{"family":"Køster","given":"Brian"}],"issued":{"date-parts":[["2022",1,11]]}}},{"id":139,"uris":["http://zotero.org/users/local/fxpU1WWH/items/LZP4HD7L"],"itemData":{"id":139,"type":"article-journal","abstract":"Several modifiable lifestyle risk factors have been linked to higher cancer risk in the literature. Determining the proportion and number of cancer cases attributable to these risk factors is pivotal in informing effective cancer prevention and control plans that have the greatest effect on reducing cancer incidence. We aimed to estimate the proportion and number of incident cancer cases that were attributable to modifiable lifestyle risk factors (ie, tobacco smoking, high alcohol consumption, excess body weight, physical inactivity and unhealthy diet) in Switzerland between 2015 and 2019. The exposure prevalence of selected risk factors was estimated based on the representative national nutrition survey menuCH, the associated relative risks were obtained from systematic literature reviews and the numbers of incident cancer cases were provided by the National Institute for Cancer Epidemiology and Registration. The fractions and numbers of attributable cases were calculated overall, by sex and by the three major language regions of Switzerland. The investigated modifiable risk factors combined were linked to 25.2% of potentially preventable incident cancer cases in Switzerland between 2015 and 2019. The proportion and numbers were slightly larger in males (28.4%, 6945 cases per year) than in females (21.9%, 4493 cases per year), and variations were observed between language regions. Tobacco smoking, excess body weight and high alcohol consumption were the leading contributors to lifestyle-attributable cancer cases. The observed differences in the leading risk factors both within Switzerland and compared to other countries underline the need for regionally and nationally tailored cancer prevention and education strategies.","container-title":"International Journal of Cancer","DOI":"10.1002/ijc.34806","ISSN":"1097-0215","issue":"7","journalAbbreviation":"Int J Cancer","language":"eng","note":"PMID: 38041826","page":"1221-1234","source":"PubMed","title":"Cancer cases attributable to modifiable lifestyle risk factors in Switzerland between 2015 and 2019","volume":"154","author":[{"family":"Jiang","given":"Xing"},{"family":"Pestoni","given":"Giulia"},{"family":"Vinci","given":"Linda"},{"family":"Suter","given":"Flurina"},{"family":"Lorez","given":"Matthias"},{"family":"Rohrmann","given":"Sabine"},{"family":"Karavasiloglou","given":"Nena"}],"issued":{"date-parts":[["2024",4,1]]}}},{"id":171,"uris":["http://zotero.org/users/local/fxpU1WWH/items/FC6K879G"],"itemData":{"id":171,"type":"article-journal","abstract":"In 2018, the authors reported estimates of the number and proportion of cancers attributable to potentially modifiable risk factors in 2014 in the United States. These data are useful for advocating for and informing cancer prevention and control. Herein, based on up-to-date relative risk and cancer occurrence data, the authors estimated the proportion and number of invasive cancer cases (excluding nonmelanoma skin cancers) and deaths, overall and for 30 cancer types among adults who were aged 30 years and older in 2019 in the United States, that were attributable to potentially modifiable risk factors. These included cigarette smoking; second-hand smoke; excess body weight; alcohol consumption; consumption of red and processed meat; low consumption of fruits and vegetables, dietary fiber, and dietary calcium; physical inactivity; ultraviolet radiation; and seven carcinogenic infections. Numbers of cancer cases and deaths were obtained from data sources with complete national coverage, risk factor prevalence estimates from nationally representative surveys, and associated relative risks of cancer from published large-scale pooled or meta-analyses. In 2019, an estimated 40.0% (713,340 of 1,781,649) of all incident cancers (excluding nonmelanoma skin cancers) and 44.0% (262,120 of 595,737) of all cancer deaths in adults aged 30 years and older in the United States were attributable to the evaluated risk factors. Cigarette smoking was the leading risk factor contributing to cancer cases and deaths overall (19.3% and 28.5%, respectively), followed by excess body weight (7.6% and 7.3%, respectively), and alcohol consumption (5.4% and 4.1%, respectively). For 19 of 30 evaluated cancer types, more than one half of the cancer cases and deaths were attributable to the potentially modifiable risk factors considered in this study. Lung cancer had the highest number of cancer cases (201,660) and deaths (122,740) attributable to evaluated risk factors, followed by female breast cancer (83,840 cases), skin melanoma (82,710), and colorectal cancer (78,440) for attributable cases and by colorectal (25,800 deaths), liver (14,720), and esophageal (13,600) cancer for attributable deaths. Large numbers of cancer cases and deaths in the United States are attributable to potentially modifiable risk factors, underscoring the potential to substantially reduce the cancer burden through broad and equitable implementation of preventive initiatives.","container-title":"CA: A Cancer Journal for Clinicians","DOI":"10.3322/caac.21858","ISSN":"1542-4863","issue":"5","language":"en","license":"© 2024 The Author(s). CA: A Cancer Journal for Clinicians published by Wiley Periodicals LLC on behalf of American Cancer Society.","note":"_eprint: https://onlinelibrary.wiley.com/doi/pdf/10.3322/caac.21858","page":"405-432","source":"Wiley Online Library","title":"Proportion and number of cancer cases and deaths attributable to potentially modifiable risk factors in the United States, 2019","volume":"74","author":[{"family":"Islami","given":"Farhad"},{"family":"Marlow","given":"Emily C."},{"family":"Thomson","given":"Blake"},{"family":"McCullough","given":"Marjorie L."},{"family":"Rumgay","given":"Harriet"},{"family":"Gapstur","given":"Susan M."},{"family":"Patel","given":"Alpa V."},{"family":"Soerjomataram","given":"Isabelle"},{"family":"Jemal","given":"Ahmedin"}],"issued":{"date-parts":[["2024"]]}}}],"schema":"https://github.com/citation-style-language/schema/raw/master/csl-citation.json"} </w:instrText>
      </w:r>
      <w:r>
        <w:rPr>
          <w:rFonts w:asciiTheme="minorHAnsi" w:eastAsiaTheme="minorHAnsi" w:hAnsiTheme="minorHAnsi" w:cstheme="minorBidi"/>
          <w:kern w:val="2"/>
          <w:lang w:eastAsia="en-US"/>
          <w14:ligatures w14:val="standardContextual"/>
        </w:rPr>
        <w:fldChar w:fldCharType="separate"/>
      </w:r>
      <w:r w:rsidR="00A5309E" w:rsidRPr="00A5309E">
        <w:rPr>
          <w:rFonts w:ascii="Aptos" w:hAnsi="Aptos"/>
        </w:rPr>
        <w:t>(53,54,73,80,81)</w:t>
      </w:r>
      <w:r>
        <w:rPr>
          <w:rFonts w:asciiTheme="minorHAnsi" w:eastAsiaTheme="minorHAnsi" w:hAnsiTheme="minorHAnsi" w:cstheme="minorBidi"/>
          <w:kern w:val="2"/>
          <w:lang w:eastAsia="en-US"/>
          <w14:ligatures w14:val="standardContextual"/>
        </w:rPr>
        <w:fldChar w:fldCharType="end"/>
      </w:r>
      <w:r>
        <w:rPr>
          <w:rFonts w:asciiTheme="minorHAnsi" w:eastAsiaTheme="minorHAnsi" w:hAnsiTheme="minorHAnsi" w:cstheme="minorBidi"/>
          <w:kern w:val="2"/>
          <w:lang w:eastAsia="en-US"/>
          <w14:ligatures w14:val="standardContextual"/>
        </w:rPr>
        <w:t xml:space="preserve"> For example, the PAF for incident cancer cases for Norway between 2016-2020 was 16.6% (20.3 % for men and 13.1% for women).</w:t>
      </w:r>
      <w:r>
        <w:rPr>
          <w:rFonts w:asciiTheme="minorHAnsi" w:eastAsiaTheme="minorHAnsi" w:hAnsiTheme="minorHAnsi" w:cstheme="minorBidi"/>
          <w:kern w:val="2"/>
          <w:lang w:eastAsia="en-US"/>
          <w14:ligatures w14:val="standardContextual"/>
        </w:rPr>
        <w:fldChar w:fldCharType="begin"/>
      </w:r>
      <w:r w:rsidR="00A5309E">
        <w:rPr>
          <w:rFonts w:asciiTheme="minorHAnsi" w:eastAsiaTheme="minorHAnsi" w:hAnsiTheme="minorHAnsi" w:cstheme="minorBidi"/>
          <w:kern w:val="2"/>
          <w:lang w:eastAsia="en-US"/>
          <w14:ligatures w14:val="standardContextual"/>
        </w:rPr>
        <w:instrText xml:space="preserve"> ADDIN ZOTERO_ITEM CSL_CITATION {"citationID":"UzNIgL5D","properties":{"formattedCitation":"(53)","plainCitation":"(53)","noteIndex":0},"citationItems":[{"id":113,"uris":["http://zotero.org/users/local/fxpU1WWH/items/6FNYZLXL"],"itemData":{"id":113,"type":"article-journal","abstract":"BACKGROUND: Targeting modifiable factors offers significant potential for primary cancer prevention. For public health strategies, it is essential to quantify the contribution from each factor on a national level. We estimated the contribution of 12 modifiable factors on cancer incidence in the Norwegian population.\nMETHODS: Nationally representative data (1990-2015) on the prevalence of tobacco smoking, over-exposure to ultraviolet radiation (UVR), alcohol consumption, physical inactivity, overweight and obesity, intake of processed and red meat, fibre and calcium, menopausal hormone therapy (MHT), human papilloma virus (HPV) infection and insufficient breastfeeding were collected from health surveys. Using these prevalences, cancer risk estimates for for the exposures, and average annual cancer incidence rates for 2016-2020, we estimated annual population-attributable fractions (PAFs) and numbers of preventable cases.\nRESULTS: Of the average 24,608 annual cases of cancers related to our included modifiable factors, 12,250 (6240 in women and 6009 in men) (41</w:instrText>
      </w:r>
      <w:r w:rsidR="00A5309E">
        <w:rPr>
          <w:rFonts w:ascii="Arial" w:eastAsiaTheme="minorHAnsi" w:hAnsi="Arial" w:cs="Arial"/>
          <w:kern w:val="2"/>
          <w:lang w:eastAsia="en-US"/>
          <w14:ligatures w14:val="standardContextual"/>
        </w:rPr>
        <w:instrText> </w:instrText>
      </w:r>
      <w:r w:rsidR="00A5309E">
        <w:rPr>
          <w:rFonts w:asciiTheme="minorHAnsi" w:eastAsiaTheme="minorHAnsi" w:hAnsiTheme="minorHAnsi" w:cstheme="minorBidi"/>
          <w:kern w:val="2"/>
          <w:lang w:eastAsia="en-US"/>
          <w14:ligatures w14:val="standardContextual"/>
        </w:rPr>
        <w:instrText>%) were attributed to these factors. Tobacco smoking caused the highest proportion of cancers cases, 20</w:instrText>
      </w:r>
      <w:r w:rsidR="00A5309E">
        <w:rPr>
          <w:rFonts w:ascii="Arial" w:eastAsiaTheme="minorHAnsi" w:hAnsi="Arial" w:cs="Arial"/>
          <w:kern w:val="2"/>
          <w:lang w:eastAsia="en-US"/>
          <w14:ligatures w14:val="standardContextual"/>
        </w:rPr>
        <w:instrText> </w:instrText>
      </w:r>
      <w:r w:rsidR="00A5309E">
        <w:rPr>
          <w:rFonts w:asciiTheme="minorHAnsi" w:eastAsiaTheme="minorHAnsi" w:hAnsiTheme="minorHAnsi" w:cstheme="minorBidi"/>
          <w:kern w:val="2"/>
          <w:lang w:eastAsia="en-US"/>
          <w14:ligatures w14:val="standardContextual"/>
        </w:rPr>
        <w:instrText>% in men and 13</w:instrText>
      </w:r>
      <w:r w:rsidR="00A5309E">
        <w:rPr>
          <w:rFonts w:ascii="Arial" w:eastAsiaTheme="minorHAnsi" w:hAnsi="Arial" w:cs="Arial"/>
          <w:kern w:val="2"/>
          <w:lang w:eastAsia="en-US"/>
          <w14:ligatures w14:val="standardContextual"/>
        </w:rPr>
        <w:instrText> </w:instrText>
      </w:r>
      <w:r w:rsidR="00A5309E">
        <w:rPr>
          <w:rFonts w:asciiTheme="minorHAnsi" w:eastAsiaTheme="minorHAnsi" w:hAnsiTheme="minorHAnsi" w:cstheme="minorBidi"/>
          <w:kern w:val="2"/>
          <w:lang w:eastAsia="en-US"/>
          <w14:ligatures w14:val="standardContextual"/>
        </w:rPr>
        <w:instrText>% in women. Sunburn and indoor tanning caused 13</w:instrText>
      </w:r>
      <w:r w:rsidR="00A5309E">
        <w:rPr>
          <w:rFonts w:ascii="Arial" w:eastAsiaTheme="minorHAnsi" w:hAnsi="Arial" w:cs="Arial"/>
          <w:kern w:val="2"/>
          <w:lang w:eastAsia="en-US"/>
          <w14:ligatures w14:val="standardContextual"/>
        </w:rPr>
        <w:instrText> </w:instrText>
      </w:r>
      <w:r w:rsidR="00A5309E">
        <w:rPr>
          <w:rFonts w:asciiTheme="minorHAnsi" w:eastAsiaTheme="minorHAnsi" w:hAnsiTheme="minorHAnsi" w:cstheme="minorBidi"/>
          <w:kern w:val="2"/>
          <w:lang w:eastAsia="en-US"/>
          <w14:ligatures w14:val="standardContextual"/>
        </w:rPr>
        <w:instrText>% and 10</w:instrText>
      </w:r>
      <w:r w:rsidR="00A5309E">
        <w:rPr>
          <w:rFonts w:ascii="Arial" w:eastAsiaTheme="minorHAnsi" w:hAnsi="Arial" w:cs="Arial"/>
          <w:kern w:val="2"/>
          <w:lang w:eastAsia="en-US"/>
          <w14:ligatures w14:val="standardContextual"/>
        </w:rPr>
        <w:instrText> </w:instrText>
      </w:r>
      <w:r w:rsidR="00A5309E">
        <w:rPr>
          <w:rFonts w:asciiTheme="minorHAnsi" w:eastAsiaTheme="minorHAnsi" w:hAnsiTheme="minorHAnsi" w:cstheme="minorBidi"/>
          <w:kern w:val="2"/>
          <w:lang w:eastAsia="en-US"/>
          <w14:ligatures w14:val="standardContextual"/>
        </w:rPr>
        <w:instrText>% of cancers in men and women, respectively, and overweight and obesity caused 4.5</w:instrText>
      </w:r>
      <w:r w:rsidR="00A5309E">
        <w:rPr>
          <w:rFonts w:ascii="Arial" w:eastAsiaTheme="minorHAnsi" w:hAnsi="Arial" w:cs="Arial"/>
          <w:kern w:val="2"/>
          <w:lang w:eastAsia="en-US"/>
          <w14:ligatures w14:val="standardContextual"/>
        </w:rPr>
        <w:instrText> </w:instrText>
      </w:r>
      <w:r w:rsidR="00A5309E">
        <w:rPr>
          <w:rFonts w:asciiTheme="minorHAnsi" w:eastAsiaTheme="minorHAnsi" w:hAnsiTheme="minorHAnsi" w:cstheme="minorBidi"/>
          <w:kern w:val="2"/>
          <w:lang w:eastAsia="en-US"/>
          <w14:ligatures w14:val="standardContextual"/>
        </w:rPr>
        <w:instrText xml:space="preserve">% of the cases. Cancers of skin, lung, colon and female breast had the highest number of preventable cases.\nCONCLUSION: Over a third of the annual cancer cases in Norway were attributed to 12 modifiable factors. Based on this study, efforts to reduce tobacco smoking, UVR over-exposure, and overweight and obesity could be the most effective in primary prevention of cancer.","container-title":"European Journal of Cancer (Oxford, England: 1990)","DOI":"10.1016/j.ejca.2025.115232","ISSN":"1879-0852","journalAbbreviation":"Eur J Cancer","language":"eng","note":"PMID: 39813761","page":"115232","source":"PubMed","title":"Cancers attributed to modifiable factors in Norway 2016-2020","volume":"217","author":[{"family":"Berstad","given":"Paula"},{"family":"Haugan","given":"Kristin"},{"family":"Knudsen","given":"Markus D."},{"family":"Nygård","given":"Mari"},{"family":"Ghiasvand","given":"Reza"},{"family":"Robsahm","given":"Trude Eid"}],"issued":{"date-parts":[["2025",2,25]]}}}],"schema":"https://github.com/citation-style-language/schema/raw/master/csl-citation.json"} </w:instrText>
      </w:r>
      <w:r>
        <w:rPr>
          <w:rFonts w:asciiTheme="minorHAnsi" w:eastAsiaTheme="minorHAnsi" w:hAnsiTheme="minorHAnsi" w:cstheme="minorBidi"/>
          <w:kern w:val="2"/>
          <w:lang w:eastAsia="en-US"/>
          <w14:ligatures w14:val="standardContextual"/>
        </w:rPr>
        <w:fldChar w:fldCharType="separate"/>
      </w:r>
      <w:r w:rsidR="00A5309E" w:rsidRPr="00A5309E">
        <w:rPr>
          <w:rFonts w:ascii="Aptos" w:hAnsi="Aptos"/>
        </w:rPr>
        <w:t>(53)</w:t>
      </w:r>
      <w:r>
        <w:rPr>
          <w:rFonts w:asciiTheme="minorHAnsi" w:eastAsiaTheme="minorHAnsi" w:hAnsiTheme="minorHAnsi" w:cstheme="minorBidi"/>
          <w:kern w:val="2"/>
          <w:lang w:eastAsia="en-US"/>
          <w14:ligatures w14:val="standardContextual"/>
        </w:rPr>
        <w:fldChar w:fldCharType="end"/>
      </w:r>
      <w:r>
        <w:rPr>
          <w:rFonts w:asciiTheme="minorHAnsi" w:eastAsiaTheme="minorHAnsi" w:hAnsiTheme="minorHAnsi" w:cstheme="minorBidi"/>
          <w:kern w:val="2"/>
          <w:lang w:eastAsia="en-US"/>
          <w14:ligatures w14:val="standardContextual"/>
        </w:rPr>
        <w:t xml:space="preserve"> In Denmark the equivalent estimate for 2018 was 14.6% (16% for men and 13.1% for women).</w:t>
      </w:r>
      <w:r>
        <w:rPr>
          <w:rFonts w:asciiTheme="minorHAnsi" w:eastAsiaTheme="minorHAnsi" w:hAnsiTheme="minorHAnsi" w:cstheme="minorBidi"/>
          <w:kern w:val="2"/>
          <w:lang w:eastAsia="en-US"/>
          <w14:ligatures w14:val="standardContextual"/>
        </w:rPr>
        <w:fldChar w:fldCharType="begin"/>
      </w:r>
      <w:r w:rsidR="00A5309E">
        <w:rPr>
          <w:rFonts w:asciiTheme="minorHAnsi" w:eastAsiaTheme="minorHAnsi" w:hAnsiTheme="minorHAnsi" w:cstheme="minorBidi"/>
          <w:kern w:val="2"/>
          <w:lang w:eastAsia="en-US"/>
          <w14:ligatures w14:val="standardContextual"/>
        </w:rPr>
        <w:instrText xml:space="preserve"> ADDIN ZOTERO_ITEM CSL_CITATION {"citationID":"zUQgRv9e","properties":{"formattedCitation":"(54)","plainCitation":"(54)","noteIndex":0},"citationItems":[{"id":136,"uris":["http://zotero.org/users/local/fxpU1WWH/items/3AHY5F2U"],"itemData":{"id":136,"type":"article-journal","abstract":"Environmental exposures and avoidable risk factors account for a large proportion of cancer burden. Exposures and lifestyle vary over time and between populations, which calls for updated and population-specific quantification of how various avoidable risk factors influence cancer risk to plan and design rational and targeted prevention initiatives. The study considered 12 risk-factor groups categorized as class I carcinogens by IARC/WCRF. Exposure data was derived from national studies and surveys and were linked to cancer incidence in 2018 based on the nationwide Danish Cancer Registry. In 2018, 23,078 men and 21,196 women were diagnosed with cancer excluding non-melanoma skin cancer, in Denmark. Of these, 14,235 (32.2%) were estimated to be attributable to avoidable class I carcinogens. Tobacco smoking accounted for 14.6% of total cancers, followed by UV-radiation that accounted for 5.8%. Based on exposure data from 2008, one-third of the cancers in Denmark in 2018 are estimated to be caused by class I carcinogens with tobacco use being the main contributor followed by UV-radiation. Our results should be integrated with public health policies to effectively increase awareness and promote strategies to decrease risk factor exposures at population level.","container-title":"Scientific Reports","DOI":"10.1038/s41598-021-04564-2","ISSN":"2045-2322","issue":"1","journalAbbreviation":"Sci Rep","language":"eng","note":"PMID: 35017625\nPMCID: PMC8752838","page":"549","source":"PubMed","title":"Updated fraction of cancer attributable to lifestyle and environmental factors in Denmark in 2018","volume":"12","author":[{"family":"Tybjerg","given":"Anne Julie"},{"family":"Friis","given":"Søren"},{"family":"Brown","given":"Katrina"},{"family":"Nilbert","given":"Mef Christina"},{"family":"Morch","given":"Lina"},{"family":"Køster","given":"Brian"}],"issued":{"date-parts":[["2022",1,11]]}}}],"schema":"https://github.com/citation-style-language/schema/raw/master/csl-citation.json"} </w:instrText>
      </w:r>
      <w:r>
        <w:rPr>
          <w:rFonts w:asciiTheme="minorHAnsi" w:eastAsiaTheme="minorHAnsi" w:hAnsiTheme="minorHAnsi" w:cstheme="minorBidi"/>
          <w:kern w:val="2"/>
          <w:lang w:eastAsia="en-US"/>
          <w14:ligatures w14:val="standardContextual"/>
        </w:rPr>
        <w:fldChar w:fldCharType="separate"/>
      </w:r>
      <w:r w:rsidR="00A5309E" w:rsidRPr="00A5309E">
        <w:rPr>
          <w:rFonts w:ascii="Aptos" w:hAnsi="Aptos"/>
        </w:rPr>
        <w:t>(54)</w:t>
      </w:r>
      <w:r>
        <w:rPr>
          <w:rFonts w:asciiTheme="minorHAnsi" w:eastAsiaTheme="minorHAnsi" w:hAnsiTheme="minorHAnsi" w:cstheme="minorBidi"/>
          <w:kern w:val="2"/>
          <w:lang w:eastAsia="en-US"/>
          <w14:ligatures w14:val="standardContextual"/>
        </w:rPr>
        <w:fldChar w:fldCharType="end"/>
      </w:r>
      <w:r>
        <w:rPr>
          <w:rFonts w:asciiTheme="minorHAnsi" w:eastAsiaTheme="minorHAnsi" w:hAnsiTheme="minorHAnsi" w:cstheme="minorBidi"/>
          <w:kern w:val="2"/>
          <w:lang w:eastAsia="en-US"/>
          <w14:ligatures w14:val="standardContextual"/>
        </w:rPr>
        <w:t xml:space="preserve"> The proportion of cases attributable to smoking in Switzerland on average between 2015-2019 was 14.1% (17.1% for males and 10.9% for females).</w:t>
      </w:r>
      <w:r>
        <w:rPr>
          <w:rFonts w:asciiTheme="minorHAnsi" w:eastAsiaTheme="minorHAnsi" w:hAnsiTheme="minorHAnsi" w:cstheme="minorBidi"/>
          <w:kern w:val="2"/>
          <w:lang w:eastAsia="en-US"/>
          <w14:ligatures w14:val="standardContextual"/>
        </w:rPr>
        <w:fldChar w:fldCharType="begin"/>
      </w:r>
      <w:r w:rsidR="00A5309E">
        <w:rPr>
          <w:rFonts w:asciiTheme="minorHAnsi" w:eastAsiaTheme="minorHAnsi" w:hAnsiTheme="minorHAnsi" w:cstheme="minorBidi"/>
          <w:kern w:val="2"/>
          <w:lang w:eastAsia="en-US"/>
          <w14:ligatures w14:val="standardContextual"/>
        </w:rPr>
        <w:instrText xml:space="preserve"> ADDIN ZOTERO_ITEM CSL_CITATION {"citationID":"AIE1hLAD","properties":{"formattedCitation":"(80)","plainCitation":"(80)","noteIndex":0},"citationItems":[{"id":139,"uris":["http://zotero.org/users/local/fxpU1WWH/items/LZP4HD7L"],"itemData":{"id":139,"type":"article-journal","abstract":"Several modifiable lifestyle risk factors have been linked to higher cancer risk in the literature. Determining the proportion and number of cancer cases attributable to these risk factors is pivotal in informing effective cancer prevention and control plans that have the greatest effect on reducing cancer incidence. We aimed to estimate the proportion and number of incident cancer cases that were attributable to modifiable lifestyle risk factors (ie, tobacco smoking, high alcohol consumption, excess body weight, physical inactivity and unhealthy diet) in Switzerland between 2015 and 2019. The exposure prevalence of selected risk factors was estimated based on the representative national nutrition survey menuCH, the associated relative risks were obtained from systematic literature reviews and the numbers of incident cancer cases were provided by the National Institute for Cancer Epidemiology and Registration. The fractions and numbers of attributable cases were calculated overall, by sex and by the three major language regions of Switzerland. The investigated modifiable risk factors combined were linked to 25.2% of potentially preventable incident cancer cases in Switzerland between 2015 and 2019. The proportion and numbers were slightly larger in males (28.4%, 6945 cases per year) than in females (21.9%, 4493 cases per year), and variations were observed between language regions. Tobacco smoking, excess body weight and high alcohol consumption were the leading contributors to lifestyle-attributable cancer cases. The observed differences in the leading risk factors both within Switzerland and compared to other countries underline the need for regionally and nationally tailored cancer prevention and education strategies.","container-title":"International Journal of Cancer","DOI":"10.1002/ijc.34806","ISSN":"1097-0215","issue":"7","journalAbbreviation":"Int J Cancer","language":"eng","note":"PMID: 38041826","page":"1221-1234","source":"PubMed","title":"Cancer cases attributable to modifiable lifestyle risk factors in Switzerland between 2015 and 2019","volume":"154","author":[{"family":"Jiang","given":"Xing"},{"family":"Pestoni","given":"Giulia"},{"family":"Vinci","given":"Linda"},{"family":"Suter","given":"Flurina"},{"family":"Lorez","given":"Matthias"},{"family":"Rohrmann","given":"Sabine"},{"family":"Karavasiloglou","given":"Nena"}],"issued":{"date-parts":[["2024",4,1]]}}}],"schema":"https://github.com/citation-style-language/schema/raw/master/csl-citation.json"} </w:instrText>
      </w:r>
      <w:r>
        <w:rPr>
          <w:rFonts w:asciiTheme="minorHAnsi" w:eastAsiaTheme="minorHAnsi" w:hAnsiTheme="minorHAnsi" w:cstheme="minorBidi"/>
          <w:kern w:val="2"/>
          <w:lang w:eastAsia="en-US"/>
          <w14:ligatures w14:val="standardContextual"/>
        </w:rPr>
        <w:fldChar w:fldCharType="separate"/>
      </w:r>
      <w:r w:rsidR="00A5309E" w:rsidRPr="00A5309E">
        <w:rPr>
          <w:rFonts w:ascii="Aptos" w:hAnsi="Aptos"/>
        </w:rPr>
        <w:t>(80)</w:t>
      </w:r>
      <w:r>
        <w:rPr>
          <w:rFonts w:asciiTheme="minorHAnsi" w:eastAsiaTheme="minorHAnsi" w:hAnsiTheme="minorHAnsi" w:cstheme="minorBidi"/>
          <w:kern w:val="2"/>
          <w:lang w:eastAsia="en-US"/>
          <w14:ligatures w14:val="standardContextual"/>
        </w:rPr>
        <w:fldChar w:fldCharType="end"/>
      </w:r>
      <w:r>
        <w:rPr>
          <w:rFonts w:asciiTheme="minorHAnsi" w:eastAsiaTheme="minorHAnsi" w:hAnsiTheme="minorHAnsi" w:cstheme="minorBidi"/>
          <w:kern w:val="2"/>
          <w:lang w:eastAsia="en-US"/>
          <w14:ligatures w14:val="standardContextual"/>
        </w:rPr>
        <w:t xml:space="preserve"> With respect to individual </w:t>
      </w:r>
      <w:r w:rsidR="00553221">
        <w:rPr>
          <w:rFonts w:asciiTheme="minorHAnsi" w:eastAsiaTheme="minorHAnsi" w:hAnsiTheme="minorHAnsi" w:cstheme="minorBidi"/>
          <w:kern w:val="2"/>
          <w:lang w:eastAsia="en-US"/>
          <w14:ligatures w14:val="standardContextual"/>
        </w:rPr>
        <w:t xml:space="preserve">cancer types </w:t>
      </w:r>
      <w:r>
        <w:rPr>
          <w:rFonts w:asciiTheme="minorHAnsi" w:eastAsiaTheme="minorHAnsi" w:hAnsiTheme="minorHAnsi" w:cstheme="minorBidi"/>
          <w:kern w:val="2"/>
          <w:lang w:eastAsia="en-US"/>
          <w14:ligatures w14:val="standardContextual"/>
        </w:rPr>
        <w:t xml:space="preserve">similar proportions have also been reported internationally, for example for Scotland the overall PAF for smoking for lung cancer was 75% between 2015-2019 (76% male and 74% </w:t>
      </w:r>
      <w:r w:rsidR="00F318AE">
        <w:rPr>
          <w:rFonts w:asciiTheme="minorHAnsi" w:eastAsiaTheme="minorHAnsi" w:hAnsiTheme="minorHAnsi" w:cstheme="minorBidi"/>
          <w:kern w:val="2"/>
          <w:lang w:eastAsia="en-US"/>
          <w14:ligatures w14:val="standardContextual"/>
        </w:rPr>
        <w:t>fe</w:t>
      </w:r>
      <w:r>
        <w:rPr>
          <w:rFonts w:asciiTheme="minorHAnsi" w:eastAsiaTheme="minorHAnsi" w:hAnsiTheme="minorHAnsi" w:cstheme="minorBidi"/>
          <w:kern w:val="2"/>
          <w:lang w:eastAsia="en-US"/>
          <w14:ligatures w14:val="standardContextual"/>
        </w:rPr>
        <w:t>males).</w:t>
      </w:r>
      <w:r>
        <w:rPr>
          <w:rFonts w:asciiTheme="minorHAnsi" w:eastAsiaTheme="minorHAnsi" w:hAnsiTheme="minorHAnsi" w:cstheme="minorBidi"/>
          <w:kern w:val="2"/>
          <w:lang w:eastAsia="en-US"/>
          <w14:ligatures w14:val="standardContextual"/>
        </w:rPr>
        <w:fldChar w:fldCharType="begin"/>
      </w:r>
      <w:r w:rsidR="00A5309E">
        <w:rPr>
          <w:rFonts w:asciiTheme="minorHAnsi" w:eastAsiaTheme="minorHAnsi" w:hAnsiTheme="minorHAnsi" w:cstheme="minorBidi"/>
          <w:kern w:val="2"/>
          <w:lang w:eastAsia="en-US"/>
          <w14:ligatures w14:val="standardContextual"/>
        </w:rPr>
        <w:instrText xml:space="preserve"> ADDIN ZOTERO_ITEM CSL_CITATION {"citationID":"OncAkU0g","properties":{"formattedCitation":"(73)","plainCitation":"(73)","noteIndex":0},"citationItems":[{"id":161,"uris":["http://zotero.org/users/local/fxpU1WWH/items/IDDR9W74"],"itemData":{"id":161,"type":"report","abstract":"Purpose of the reportThis report estimates new tobacco and alcohol attributable fractions for Scotland. Population Attributable Fractions (PAFs) can help us understand the impact that alcohol and tobacco consumption have on both population health and the healthcare services and are a necessary component of estimates of the burden of harm attributable to alcohol and/or tobacco, such as those quoted above. PAFs are the estimated proportion of cases of a particular disease in a population that could be prevented if exposure to the related risk factors were removed.Data availabilityThe code used to produce the report and the population attributable fraction estimates presented in the report are open source and available from https://github.com/STAPM/scot_attrib_fractions.","genre":"report","language":"en","note":"DOI: 10.15131/shef.data.24543343.v1","publisher":"The University of Sheffield","source":"orda.shef.ac.uk","title":"Alcohol and Tobacco Attributable Fractions for Scotland","URL":"https://orda.shef.ac.uk/articles/report/_b_Alcohol_and_Tobacco_Attributable_Fractions_for_Scotland_b_/24543343/1","author":[{"family":"Leeming","given":"Grace"},{"family":"Angus","given":"Colin"},{"family":"Gillespie","given":"Duncan"}],"accessed":{"date-parts":[["2025",5,7]]},"issued":{"date-parts":[["2023",11,12]]}}}],"schema":"https://github.com/citation-style-language/schema/raw/master/csl-citation.json"} </w:instrText>
      </w:r>
      <w:r>
        <w:rPr>
          <w:rFonts w:asciiTheme="minorHAnsi" w:eastAsiaTheme="minorHAnsi" w:hAnsiTheme="minorHAnsi" w:cstheme="minorBidi"/>
          <w:kern w:val="2"/>
          <w:lang w:eastAsia="en-US"/>
          <w14:ligatures w14:val="standardContextual"/>
        </w:rPr>
        <w:fldChar w:fldCharType="separate"/>
      </w:r>
      <w:r w:rsidR="00A5309E" w:rsidRPr="00A5309E">
        <w:rPr>
          <w:rFonts w:ascii="Aptos" w:hAnsi="Aptos"/>
        </w:rPr>
        <w:t>(73)</w:t>
      </w:r>
      <w:r>
        <w:rPr>
          <w:rFonts w:asciiTheme="minorHAnsi" w:eastAsiaTheme="minorHAnsi" w:hAnsiTheme="minorHAnsi" w:cstheme="minorBidi"/>
          <w:kern w:val="2"/>
          <w:lang w:eastAsia="en-US"/>
          <w14:ligatures w14:val="standardContextual"/>
        </w:rPr>
        <w:fldChar w:fldCharType="end"/>
      </w:r>
      <w:r>
        <w:rPr>
          <w:rFonts w:asciiTheme="minorHAnsi" w:eastAsiaTheme="minorHAnsi" w:hAnsiTheme="minorHAnsi" w:cstheme="minorBidi"/>
          <w:kern w:val="2"/>
          <w:lang w:eastAsia="en-US"/>
          <w14:ligatures w14:val="standardContextual"/>
        </w:rPr>
        <w:t xml:space="preserve"> </w:t>
      </w:r>
    </w:p>
    <w:p w14:paraId="1703D996" w14:textId="77777777" w:rsidR="00A27215" w:rsidRDefault="00A27215" w:rsidP="00A27215">
      <w:pPr>
        <w:pStyle w:val="pf0"/>
        <w:spacing w:before="0" w:beforeAutospacing="0" w:after="0" w:afterAutospacing="0"/>
        <w:rPr>
          <w:rFonts w:asciiTheme="minorHAnsi" w:eastAsiaTheme="minorHAnsi" w:hAnsiTheme="minorHAnsi" w:cstheme="minorBidi"/>
          <w:kern w:val="2"/>
          <w:lang w:eastAsia="en-US"/>
          <w14:ligatures w14:val="standardContextual"/>
        </w:rPr>
      </w:pPr>
    </w:p>
    <w:p w14:paraId="09BF1D59" w14:textId="076E48C9" w:rsidR="00A27215" w:rsidRPr="00136786" w:rsidRDefault="001D5643" w:rsidP="00A27215">
      <w:pPr>
        <w:pStyle w:val="pf0"/>
        <w:spacing w:before="0" w:beforeAutospacing="0" w:after="0" w:afterAutospacing="0"/>
        <w:rPr>
          <w:rFonts w:asciiTheme="minorHAnsi" w:eastAsiaTheme="minorHAnsi" w:hAnsiTheme="minorHAnsi" w:cstheme="minorBidi"/>
          <w:kern w:val="2"/>
          <w:lang w:eastAsia="en-US"/>
          <w14:ligatures w14:val="standardContextual"/>
        </w:rPr>
      </w:pPr>
      <w:r w:rsidRPr="00136786">
        <w:rPr>
          <w:rFonts w:asciiTheme="minorHAnsi" w:eastAsiaTheme="minorHAnsi" w:hAnsiTheme="minorHAnsi" w:cstheme="minorBidi"/>
          <w:kern w:val="2"/>
          <w:lang w:eastAsia="en-US"/>
          <w14:ligatures w14:val="standardContextual"/>
        </w:rPr>
        <w:t xml:space="preserve">The estimate for the PAF for tobacco smoking was </w:t>
      </w:r>
      <w:r w:rsidR="00374DC9">
        <w:rPr>
          <w:rFonts w:asciiTheme="minorHAnsi" w:eastAsiaTheme="minorHAnsi" w:hAnsiTheme="minorHAnsi" w:cstheme="minorBidi"/>
          <w:kern w:val="2"/>
          <w:lang w:eastAsia="en-US"/>
          <w14:ligatures w14:val="standardContextual"/>
        </w:rPr>
        <w:t xml:space="preserve">slightly </w:t>
      </w:r>
      <w:r w:rsidRPr="00136786">
        <w:rPr>
          <w:rFonts w:asciiTheme="minorHAnsi" w:eastAsiaTheme="minorHAnsi" w:hAnsiTheme="minorHAnsi" w:cstheme="minorBidi"/>
          <w:kern w:val="2"/>
          <w:lang w:eastAsia="en-US"/>
          <w14:ligatures w14:val="standardContextual"/>
        </w:rPr>
        <w:t>higher than the estimate for 2016 (14.7% in 2022 relative to 13% in 2016).</w:t>
      </w:r>
      <w:r w:rsidRPr="00136786">
        <w:rPr>
          <w:rFonts w:asciiTheme="minorHAnsi" w:eastAsiaTheme="minorHAnsi" w:hAnsiTheme="minorHAnsi" w:cstheme="minorBidi"/>
          <w:kern w:val="2"/>
          <w:vertAlign w:val="superscript"/>
          <w:lang w:eastAsia="en-US"/>
          <w14:ligatures w14:val="standardContextual"/>
        </w:rPr>
        <w:fldChar w:fldCharType="begin"/>
      </w:r>
      <w:r w:rsidR="00A5309E">
        <w:rPr>
          <w:rFonts w:asciiTheme="minorHAnsi" w:eastAsiaTheme="minorHAnsi" w:hAnsiTheme="minorHAnsi" w:cstheme="minorBidi"/>
          <w:kern w:val="2"/>
          <w:vertAlign w:val="superscript"/>
          <w:lang w:eastAsia="en-US"/>
          <w14:ligatures w14:val="standardContextual"/>
        </w:rPr>
        <w:instrText xml:space="preserve"> ADDIN ZOTERO_ITEM CSL_CITATION {"citationID":"MZFO29oE","properties":{"formattedCitation":"(33)","plainCitation":"(33)","noteIndex":0},"citationItems":[{"id":20,"uris":["http://zotero.org/users/local/fxpU1WWH/items/CGIH3JT2"],"itemData":{"id":20,"type":"webpage","title":"Modifiable risk factors and cancer in Ireland | National Cancer Registry Ireland","URL":"https://www.ncri.ie/publications/statistical-reports/modifiable-risk-factors-and-cancer-ireland","accessed":{"date-parts":[["2025",4,30]]}}}],"schema":"https://github.com/citation-style-language/schema/raw/master/csl-citation.json"} </w:instrText>
      </w:r>
      <w:r w:rsidRPr="00136786">
        <w:rPr>
          <w:rFonts w:asciiTheme="minorHAnsi" w:eastAsiaTheme="minorHAnsi" w:hAnsiTheme="minorHAnsi" w:cstheme="minorBidi"/>
          <w:kern w:val="2"/>
          <w:vertAlign w:val="superscript"/>
          <w:lang w:eastAsia="en-US"/>
          <w14:ligatures w14:val="standardContextual"/>
        </w:rPr>
        <w:fldChar w:fldCharType="separate"/>
      </w:r>
      <w:r w:rsidR="00A5309E" w:rsidRPr="00A5309E">
        <w:rPr>
          <w:rFonts w:ascii="Aptos" w:hAnsi="Aptos"/>
        </w:rPr>
        <w:t>(33)</w:t>
      </w:r>
      <w:r w:rsidRPr="00136786">
        <w:rPr>
          <w:rFonts w:asciiTheme="minorHAnsi" w:eastAsiaTheme="minorHAnsi" w:hAnsiTheme="minorHAnsi" w:cstheme="minorBidi"/>
          <w:kern w:val="2"/>
          <w:vertAlign w:val="superscript"/>
          <w:lang w:eastAsia="en-US"/>
          <w14:ligatures w14:val="standardContextual"/>
        </w:rPr>
        <w:fldChar w:fldCharType="end"/>
      </w:r>
      <w:r w:rsidRPr="00136786">
        <w:rPr>
          <w:rFonts w:asciiTheme="minorHAnsi" w:eastAsiaTheme="minorHAnsi" w:hAnsiTheme="minorHAnsi" w:cstheme="minorBidi"/>
          <w:kern w:val="2"/>
          <w:lang w:eastAsia="en-US"/>
          <w14:ligatures w14:val="standardContextual"/>
        </w:rPr>
        <w:t xml:space="preserve"> </w:t>
      </w:r>
      <w:r w:rsidR="001E0E0C">
        <w:rPr>
          <w:rFonts w:asciiTheme="minorHAnsi" w:eastAsiaTheme="minorHAnsi" w:hAnsiTheme="minorHAnsi" w:cstheme="minorBidi"/>
          <w:kern w:val="2"/>
          <w:lang w:eastAsia="en-US"/>
          <w14:ligatures w14:val="standardContextual"/>
        </w:rPr>
        <w:t>D</w:t>
      </w:r>
      <w:r w:rsidR="00A27215" w:rsidRPr="00136786">
        <w:rPr>
          <w:rFonts w:asciiTheme="minorHAnsi" w:eastAsiaTheme="minorHAnsi" w:hAnsiTheme="minorHAnsi" w:cstheme="minorBidi"/>
          <w:kern w:val="2"/>
          <w:lang w:eastAsia="en-US"/>
          <w14:ligatures w14:val="standardContextual"/>
        </w:rPr>
        <w:t xml:space="preserve">iffering estimates may be due to methodological variations </w:t>
      </w:r>
      <w:r w:rsidR="00794795">
        <w:rPr>
          <w:rFonts w:asciiTheme="minorHAnsi" w:eastAsiaTheme="minorHAnsi" w:hAnsiTheme="minorHAnsi" w:cstheme="minorBidi"/>
          <w:kern w:val="2"/>
          <w:lang w:eastAsia="en-US"/>
          <w14:ligatures w14:val="standardContextual"/>
        </w:rPr>
        <w:t xml:space="preserve">for </w:t>
      </w:r>
      <w:r w:rsidR="00A805A9">
        <w:rPr>
          <w:rFonts w:asciiTheme="minorHAnsi" w:eastAsiaTheme="minorHAnsi" w:hAnsiTheme="minorHAnsi" w:cstheme="minorBidi"/>
          <w:kern w:val="2"/>
          <w:lang w:eastAsia="en-US"/>
          <w14:ligatures w14:val="standardContextual"/>
        </w:rPr>
        <w:t>example</w:t>
      </w:r>
      <w:r w:rsidR="00A27215" w:rsidRPr="00136786">
        <w:rPr>
          <w:rFonts w:asciiTheme="minorHAnsi" w:eastAsiaTheme="minorHAnsi" w:hAnsiTheme="minorHAnsi" w:cstheme="minorBidi"/>
          <w:kern w:val="2"/>
          <w:lang w:eastAsia="en-US"/>
          <w14:ligatures w14:val="standardContextual"/>
        </w:rPr>
        <w:t xml:space="preserve"> </w:t>
      </w:r>
      <w:r w:rsidR="00B12114">
        <w:rPr>
          <w:rFonts w:asciiTheme="minorHAnsi" w:eastAsiaTheme="minorHAnsi" w:hAnsiTheme="minorHAnsi" w:cstheme="minorBidi"/>
          <w:kern w:val="2"/>
          <w:lang w:eastAsia="en-US"/>
          <w14:ligatures w14:val="standardContextual"/>
        </w:rPr>
        <w:t xml:space="preserve">the inclusion of breast cancer as a tobacco-related </w:t>
      </w:r>
      <w:r w:rsidR="00951F9B">
        <w:rPr>
          <w:rFonts w:asciiTheme="minorHAnsi" w:eastAsiaTheme="minorHAnsi" w:hAnsiTheme="minorHAnsi" w:cstheme="minorBidi"/>
          <w:kern w:val="2"/>
          <w:lang w:eastAsia="en-US"/>
          <w14:ligatures w14:val="standardContextual"/>
        </w:rPr>
        <w:t xml:space="preserve">cancer, </w:t>
      </w:r>
      <w:r w:rsidR="00B00BB1">
        <w:rPr>
          <w:rFonts w:asciiTheme="minorHAnsi" w:eastAsiaTheme="minorHAnsi" w:hAnsiTheme="minorHAnsi" w:cstheme="minorBidi"/>
          <w:kern w:val="2"/>
          <w:lang w:eastAsia="en-US"/>
          <w14:ligatures w14:val="standardContextual"/>
        </w:rPr>
        <w:t xml:space="preserve">in addition </w:t>
      </w:r>
      <w:r w:rsidR="00A805A9">
        <w:rPr>
          <w:rFonts w:asciiTheme="minorHAnsi" w:eastAsiaTheme="minorHAnsi" w:hAnsiTheme="minorHAnsi" w:cstheme="minorBidi"/>
          <w:kern w:val="2"/>
          <w:lang w:eastAsia="en-US"/>
          <w14:ligatures w14:val="standardContextual"/>
        </w:rPr>
        <w:t>to differing</w:t>
      </w:r>
      <w:r w:rsidR="00B12114">
        <w:rPr>
          <w:rFonts w:asciiTheme="minorHAnsi" w:eastAsiaTheme="minorHAnsi" w:hAnsiTheme="minorHAnsi" w:cstheme="minorBidi"/>
          <w:kern w:val="2"/>
          <w:lang w:eastAsia="en-US"/>
          <w14:ligatures w14:val="standardContextual"/>
        </w:rPr>
        <w:t xml:space="preserve"> </w:t>
      </w:r>
      <w:r w:rsidR="00A27215" w:rsidRPr="00136786">
        <w:rPr>
          <w:rFonts w:asciiTheme="minorHAnsi" w:eastAsiaTheme="minorHAnsi" w:hAnsiTheme="minorHAnsi" w:cstheme="minorBidi"/>
          <w:kern w:val="2"/>
          <w:lang w:eastAsia="en-US"/>
          <w14:ligatures w14:val="standardContextual"/>
        </w:rPr>
        <w:t>sources of estimates of relative risks</w:t>
      </w:r>
      <w:r w:rsidR="00B823B0">
        <w:rPr>
          <w:rFonts w:asciiTheme="minorHAnsi" w:eastAsiaTheme="minorHAnsi" w:hAnsiTheme="minorHAnsi" w:cstheme="minorBidi"/>
          <w:kern w:val="2"/>
          <w:lang w:eastAsia="en-US"/>
          <w14:ligatures w14:val="standardContextual"/>
        </w:rPr>
        <w:t xml:space="preserve"> </w:t>
      </w:r>
      <w:r w:rsidR="00866C04">
        <w:rPr>
          <w:rFonts w:asciiTheme="minorHAnsi" w:eastAsiaTheme="minorHAnsi" w:hAnsiTheme="minorHAnsi" w:cstheme="minorBidi"/>
          <w:kern w:val="2"/>
          <w:lang w:eastAsia="en-US"/>
          <w14:ligatures w14:val="standardContextual"/>
        </w:rPr>
        <w:t xml:space="preserve">and </w:t>
      </w:r>
      <w:r w:rsidR="00A27215" w:rsidRPr="00136786">
        <w:rPr>
          <w:rFonts w:asciiTheme="minorHAnsi" w:eastAsiaTheme="minorHAnsi" w:hAnsiTheme="minorHAnsi" w:cstheme="minorBidi"/>
          <w:kern w:val="2"/>
          <w:lang w:eastAsia="en-US"/>
          <w14:ligatures w14:val="standardContextual"/>
        </w:rPr>
        <w:t>morphological codes employed.</w:t>
      </w:r>
      <w:r w:rsidR="00A27215" w:rsidRPr="00136786">
        <w:rPr>
          <w:rFonts w:asciiTheme="minorHAnsi" w:eastAsiaTheme="minorHAnsi" w:hAnsiTheme="minorHAnsi" w:cstheme="minorBidi"/>
          <w:kern w:val="2"/>
          <w:vertAlign w:val="superscript"/>
          <w:lang w:eastAsia="en-US"/>
          <w14:ligatures w14:val="standardContextual"/>
        </w:rPr>
        <w:fldChar w:fldCharType="begin"/>
      </w:r>
      <w:r w:rsidR="00A5309E">
        <w:rPr>
          <w:rFonts w:asciiTheme="minorHAnsi" w:eastAsiaTheme="minorHAnsi" w:hAnsiTheme="minorHAnsi" w:cstheme="minorBidi"/>
          <w:kern w:val="2"/>
          <w:vertAlign w:val="superscript"/>
          <w:lang w:eastAsia="en-US"/>
          <w14:ligatures w14:val="standardContextual"/>
        </w:rPr>
        <w:instrText xml:space="preserve"> ADDIN ZOTERO_ITEM CSL_CITATION {"citationID":"yJhRNvAp","properties":{"formattedCitation":"(81,82)","plainCitation":"(81,82)","noteIndex":0},"citationItems":[{"id":171,"uris":["http://zotero.org/users/local/fxpU1WWH/items/FC6K879G"],"itemData":{"id":171,"type":"article-journal","abstract":"In 2018, the authors reported estimates of the number and proportion of cancers attributable to potentially modifiable risk factors in 2014 in the United States. These data are useful for advocating for and informing cancer prevention and control. Herein, based on up-to-date relative risk and cancer occurrence data, the authors estimated the proportion and number of invasive cancer cases (excluding nonmelanoma skin cancers) and deaths, overall and for 30 cancer types among adults who were aged 30 years and older in 2019 in the United States, that were attributable to potentially modifiable risk factors. These included cigarette smoking; second-hand smoke; excess body weight; alcohol consumption; consumption of red and processed meat; low consumption of fruits and vegetables, dietary fiber, and dietary calcium; physical inactivity; ultraviolet radiation; and seven carcinogenic infections. Numbers of cancer cases and deaths were obtained from data sources with complete national coverage, risk factor prevalence estimates from nationally representative surveys, and associated relative risks of cancer from published large-scale pooled or meta-analyses. In 2019, an estimated 40.0% (713,340 of 1,781,649) of all incident cancers (excluding nonmelanoma skin cancers) and 44.0% (262,120 of 595,737) of all cancer deaths in adults aged 30 years and older in the United States were attributable to the evaluated risk factors. Cigarette smoking was the leading risk factor contributing to cancer cases and deaths overall (19.3% and 28.5%, respectively), followed by excess body weight (7.6% and 7.3%, respectively), and alcohol consumption (5.4% and 4.1%, respectively). For 19 of 30 evaluated cancer types, more than one half of the cancer cases and deaths were attributable to the potentially modifiable risk factors considered in this study. Lung cancer had the highest number of cancer cases (201,660) and deaths (122,740) attributable to evaluated risk factors, followed by female breast cancer (83,840 cases), skin melanoma (82,710), and colorectal cancer (78,440) for attributable cases and by colorectal (25,800 deaths), liver (14,720), and esophageal (13,600) cancer for attributable deaths. Large numbers of cancer cases and deaths in the United States are attributable to potentially modifiable risk factors, underscoring the potential to substantially reduce the cancer burden through broad and equitable implementation of preventive initiatives.","container-title":"CA: A Cancer Journal for Clinicians","DOI":"10.3322/caac.21858","ISSN":"1542-4863","issue":"5","language":"en","license":"© 2024 The Author(s). CA: A Cancer Journal for Clinicians published by Wiley Periodicals LLC on behalf of American Cancer Society.","note":"_eprint: https://onlinelibrary.wiley.com/doi/pdf/10.3322/caac.21858","page":"405-432","source":"Wiley Online Library","title":"Proportion and number of cancer cases and deaths attributable to potentially modifiable risk factors in the United States, 2019","volume":"74","author":[{"family":"Islami","given":"Farhad"},{"family":"Marlow","given":"Emily C."},{"family":"Thomson","given":"Blake"},{"family":"McCullough","given":"Marjorie L."},{"family":"Rumgay","given":"Harriet"},{"family":"Gapstur","given":"Susan M."},{"family":"Patel","given":"Alpa V."},{"family":"Soerjomataram","given":"Isabelle"},{"family":"Jemal","given":"Ahmedin"}],"issued":{"date-parts":[["2024"]]}}},{"id":115,"uris":["http://zotero.org/users/local/fxpU1WWH/items/DRI3T4JN"],"itemData":{"id":115,"type":"article-journal","abstract":"Contemporary information on the fraction of cancers that potentially could be prevented is useful for priority setting in cancer prevention and control. Herein, the authors estimate the proportion and number of invasive cancer cases and deaths, overall (excluding nonmelanoma skin cancers) and for 26 cancer types, in adults aged 30 years and older in the United States in 2014, that were attributable to major, potentially modifiable exposures (cigarette smoking; secondhand smoke; excess body weight; alcohol intake; consumption of red and processed meat; low consumption of fruits/vegetables, dietary fiber, and dietary calcium; physical inactivity; ultraviolet radiation; and 6 cancer-associated infections). The numbers of cancer cases were obtained from the Centers for Disease Control and Prevention (CDC) and the National Cancer Institute; the numbers of deaths were obtained from the CDC; risk factor prevalence estimates were obtained from nationally representative surveys; and associated relative risks of cancer were obtained from published, large-scale pooled analyses or meta-analyses. In the United States in 2014, an estimated 42.0% of all incident cancers (659,640 of 1570,975 cancers, excluding nonmelanoma skin cancers) and 45.1% of cancer deaths (265,150 of 587,521 deaths) were attributable to evaluated risk factors. Cigarette smoking accounted for the highest proportion of cancer cases (19.0%; 298,970 cases) and deaths (28.8%; 169,180 deaths), followed by excess body weight (7.8% and 6.5%, respectively) and alcohol intake (5.6% and 4.0%, respectively). Lung cancer had the highest number of cancers (184,970 cases) and deaths (132,960 deaths) attributable to evaluated risk factors, followed by colorectal cancer (76,910 cases and 28,290 deaths). These results, however, may underestimate the overall proportion of cancers attributable to modifiable factors, because the impact of all established risk factors could not be quantified, and many likely modifiable risk factors are not yet firmly established as causal. Nevertheless, these findings underscore the vast potential for reducing cancer morbidity and mortality through broad and equitable implementation of known preventive measures. CA Cancer J Clin 2018;68:31-54. © 2017 American Cancer Society.","container-title":"CA: a cancer journal for clinicians","DOI":"10.3322/caac.21440","ISSN":"1542-4863","issue":"1","journalAbbreviation":"CA Cancer J Clin","language":"eng","note":"PMID: 29160902","page":"31-54","source":"PubMed","title":"Proportion and number of cancer cases and deaths attributable to potentially modifiable risk factors in the United States","volume":"68","author":[{"family":"Islami","given":"Farhad"},{"family":"Goding Sauer","given":"Ann"},{"family":"Miller","given":"Kimberly D."},{"family":"Siegel","given":"Rebecca L."},{"family":"Fedewa","given":"Stacey A."},{"family":"Jacobs","given":"Eric J."},{"family":"McCullough","given":"Marjorie L."},{"family":"Patel","given":"Alpa V."},{"family":"Ma","given":"Jiemin"},{"family":"Soerjomataram","given":"Isabelle"},{"family":"Flanders","given":"W. Dana"},{"family":"Brawley","given":"Otis W."},{"family":"Gapstur","given":"Susan M."},{"family":"Jemal","given":"Ahmedin"}],"issued":{"date-parts":[["2018",1]]}}}],"schema":"https://github.com/citation-style-language/schema/raw/master/csl-citation.json"} </w:instrText>
      </w:r>
      <w:r w:rsidR="00A27215" w:rsidRPr="00136786">
        <w:rPr>
          <w:rFonts w:asciiTheme="minorHAnsi" w:eastAsiaTheme="minorHAnsi" w:hAnsiTheme="minorHAnsi" w:cstheme="minorBidi"/>
          <w:kern w:val="2"/>
          <w:vertAlign w:val="superscript"/>
          <w:lang w:eastAsia="en-US"/>
          <w14:ligatures w14:val="standardContextual"/>
        </w:rPr>
        <w:fldChar w:fldCharType="separate"/>
      </w:r>
      <w:r w:rsidR="00A5309E" w:rsidRPr="00A5309E">
        <w:rPr>
          <w:rFonts w:ascii="Aptos" w:hAnsi="Aptos"/>
        </w:rPr>
        <w:t>(81,82)</w:t>
      </w:r>
      <w:r w:rsidR="00A27215" w:rsidRPr="00136786">
        <w:rPr>
          <w:rFonts w:asciiTheme="minorHAnsi" w:eastAsiaTheme="minorHAnsi" w:hAnsiTheme="minorHAnsi" w:cstheme="minorBidi"/>
          <w:kern w:val="2"/>
          <w:vertAlign w:val="superscript"/>
          <w:lang w:eastAsia="en-US"/>
          <w14:ligatures w14:val="standardContextual"/>
        </w:rPr>
        <w:fldChar w:fldCharType="end"/>
      </w:r>
      <w:r w:rsidR="00A27215" w:rsidRPr="00136786">
        <w:rPr>
          <w:rFonts w:asciiTheme="minorHAnsi" w:eastAsiaTheme="minorHAnsi" w:hAnsiTheme="minorHAnsi" w:cstheme="minorBidi"/>
          <w:kern w:val="2"/>
          <w:lang w:eastAsia="en-US"/>
          <w14:ligatures w14:val="standardContextual"/>
        </w:rPr>
        <w:t xml:space="preserve"> </w:t>
      </w:r>
      <w:bookmarkStart w:id="414" w:name="_Toc196991632"/>
    </w:p>
    <w:p w14:paraId="03D5883F" w14:textId="77777777" w:rsidR="00A27215" w:rsidRPr="00005675" w:rsidRDefault="00A27215" w:rsidP="00A27215">
      <w:pPr>
        <w:pStyle w:val="NormalWeb"/>
        <w:spacing w:before="0" w:beforeAutospacing="0" w:after="0" w:afterAutospacing="0"/>
        <w:rPr>
          <w:rFonts w:asciiTheme="minorHAnsi" w:eastAsiaTheme="minorHAnsi" w:hAnsiTheme="minorHAnsi" w:cstheme="minorBidi"/>
          <w:kern w:val="2"/>
          <w:lang w:eastAsia="en-US"/>
          <w14:ligatures w14:val="standardContextual"/>
        </w:rPr>
      </w:pPr>
    </w:p>
    <w:p w14:paraId="31D8931B" w14:textId="77777777" w:rsidR="00A27215" w:rsidRPr="00005675" w:rsidRDefault="00A27215" w:rsidP="00A27215">
      <w:pPr>
        <w:pStyle w:val="Heading2"/>
        <w:spacing w:before="0" w:after="0" w:line="240" w:lineRule="auto"/>
      </w:pPr>
      <w:bookmarkStart w:id="415" w:name="_Toc197557194"/>
      <w:bookmarkStart w:id="416" w:name="_Toc201512585"/>
      <w:r w:rsidRPr="00005675">
        <w:t>Strengths and limitations</w:t>
      </w:r>
      <w:bookmarkEnd w:id="414"/>
      <w:bookmarkEnd w:id="415"/>
      <w:bookmarkEnd w:id="416"/>
    </w:p>
    <w:p w14:paraId="4C803DB9" w14:textId="77777777" w:rsidR="00664417" w:rsidRDefault="00A27215" w:rsidP="00A27215">
      <w:pPr>
        <w:spacing w:after="0" w:line="240" w:lineRule="auto"/>
      </w:pPr>
      <w:r>
        <w:t xml:space="preserve">In any report examining trends in cancer across extended time periods, it is important to be cognisant of the potential impact of changes in coding and reporting practices over time. </w:t>
      </w:r>
    </w:p>
    <w:p w14:paraId="5C9051D1" w14:textId="2E0966C2" w:rsidR="00A27215" w:rsidRDefault="00A27215" w:rsidP="00A27215">
      <w:pPr>
        <w:spacing w:after="0" w:line="240" w:lineRule="auto"/>
      </w:pPr>
      <w:r>
        <w:t>The estimates of PAF provided should be considered conservative. While th</w:t>
      </w:r>
      <w:r w:rsidR="00A01230">
        <w:t xml:space="preserve">e </w:t>
      </w:r>
      <w:r>
        <w:t xml:space="preserve">methods to estimate the PAF </w:t>
      </w:r>
      <w:r w:rsidR="00A01230">
        <w:t xml:space="preserve">are </w:t>
      </w:r>
      <w:r>
        <w:t>in line with previous studies both nationally and internationally, more advanced methods which additionally consider smoking initiation, intensity and duration may have produced less conservative estimates of PAF.</w:t>
      </w:r>
      <w:r>
        <w:fldChar w:fldCharType="begin"/>
      </w:r>
      <w:r w:rsidR="00A5309E">
        <w:instrText xml:space="preserve"> ADDIN ZOTERO_ITEM CSL_CITATION {"citationID":"byq1uHTR","properties":{"formattedCitation":"(29,79)","plainCitation":"(29,79)","noteIndex":0},"citationItems":[{"id":10,"uris":["http://zotero.org/users/local/fxpU1WWH/items/QYWVHNRD"],"itemData":{"id":10,"type":"article-journal","container-title":"Lancet (London, England)","issue":"10292","page":"2337","source":"Google Scholar","title":"Spatial, temporal, and demographic patterns in prevalence of smoking tobacco use and attributable disease burden in 204 countries and territories, 1990–2019: a systematic analysis from the Global Burden of Disease Study 2019","title-short":"Spatial, temporal, and demographic patterns in prevalence of smoking tobacco use and attributable disease burden in 204 countries and territories, 1990–2019","volume":"397","author":[{"family":"Collaborators","given":"GBD 2019 Tobacco"}],"issued":{"date-parts":[["2021"]]}}},{"id":168,"uris":["http://zotero.org/users/local/fxpU1WWH/items/6SNNJM9S"],"itemData":{"id":168,"type":"article-journal","abstract":"We show that almost one in every four deaths, and one in every five DALYs, due to cancer was as a result of exposure to smoking. In 2019, the global number of DALYs was highest in the 65</w:instrText>
      </w:r>
      <w:r w:rsidR="00A5309E">
        <w:rPr>
          <w:rFonts w:ascii="Cambria Math" w:hAnsi="Cambria Math" w:cs="Cambria Math"/>
        </w:rPr>
        <w:instrText>‐</w:instrText>
      </w:r>
      <w:r w:rsidR="00A5309E">
        <w:instrText>69 age group and there was a positive association between SDI and the age</w:instrText>
      </w:r>
      <w:r w:rsidR="00A5309E">
        <w:rPr>
          <w:rFonts w:ascii="Cambria Math" w:hAnsi="Cambria Math" w:cs="Cambria Math"/>
        </w:rPr>
        <w:instrText>‐</w:instrText>
      </w:r>
      <w:r w:rsidR="00A5309E">
        <w:instrText>standardized DALY rate.","container-title":"Cancer Medicine","DOI":"10.1002/cam4.4647","ISSN":"2045-7634","issue":"13","journalAbbreviation":"Cancer Med","note":"PMID: 35621231\nPMCID: PMC9249976","page":"2662-2678","source":"PubMed Central","title":"Global, regional, and national burden of cancers attributable to tobacco smoking in 204 countries and territories, 1990–2019","volume":"11","author":[{"family":"Safiri","given":"Saeid"},{"family":"Nejadghaderi","given":"Seyed Aria"},{"family":"Abdollahi","given":"Morteza"},{"family":"Carson</w:instrText>
      </w:r>
      <w:r w:rsidR="00A5309E">
        <w:rPr>
          <w:rFonts w:ascii="Cambria Math" w:hAnsi="Cambria Math" w:cs="Cambria Math"/>
        </w:rPr>
        <w:instrText>‐</w:instrText>
      </w:r>
      <w:r w:rsidR="00A5309E">
        <w:instrText>Chahhoud","given":"Kristin"},{"family":"Kaufman","given":"Jay S."},{"family":"Bragazzi","given":"Nicola Luigi"},{"family":"Moradi</w:instrText>
      </w:r>
      <w:r w:rsidR="00A5309E">
        <w:rPr>
          <w:rFonts w:ascii="Cambria Math" w:hAnsi="Cambria Math" w:cs="Cambria Math"/>
        </w:rPr>
        <w:instrText>‐</w:instrText>
      </w:r>
      <w:r w:rsidR="00A5309E">
        <w:instrText>Lakeh","given":"Maziar"},{"family":"Mansournia","given":"Mohammad Ali"},{"family":"Sullman","given":"Mark J. M."},{"family":"Almasi</w:instrText>
      </w:r>
      <w:r w:rsidR="00A5309E">
        <w:rPr>
          <w:rFonts w:ascii="Cambria Math" w:hAnsi="Cambria Math" w:cs="Cambria Math"/>
        </w:rPr>
        <w:instrText>‐</w:instrText>
      </w:r>
      <w:r w:rsidR="00A5309E">
        <w:instrText>Hashiani","given":"Amir"},{"family":"Taghizadieh","given":"Ali"},{"family":"Collins","given":"Gary S."},{"family":"Kolahi","given":"Ali</w:instrText>
      </w:r>
      <w:r w:rsidR="00A5309E">
        <w:rPr>
          <w:rFonts w:ascii="Cambria Math" w:hAnsi="Cambria Math" w:cs="Cambria Math"/>
        </w:rPr>
        <w:instrText>‐</w:instrText>
      </w:r>
      <w:r w:rsidR="00A5309E">
        <w:instrText xml:space="preserve">Asghar"}],"issued":{"date-parts":[["2022",5,27]]}}}],"schema":"https://github.com/citation-style-language/schema/raw/master/csl-citation.json"} </w:instrText>
      </w:r>
      <w:r>
        <w:fldChar w:fldCharType="separate"/>
      </w:r>
      <w:r w:rsidR="00A5309E" w:rsidRPr="00A5309E">
        <w:rPr>
          <w:rFonts w:ascii="Aptos" w:hAnsi="Aptos"/>
        </w:rPr>
        <w:t>(29,79)</w:t>
      </w:r>
      <w:r>
        <w:fldChar w:fldCharType="end"/>
      </w:r>
      <w:r w:rsidR="006B6E18">
        <w:t xml:space="preserve"> </w:t>
      </w:r>
      <w:r>
        <w:t xml:space="preserve">However, consistency in methodological approaches </w:t>
      </w:r>
      <w:r w:rsidRPr="006D3285">
        <w:t>with prior reports facilitate</w:t>
      </w:r>
      <w:r>
        <w:t>s</w:t>
      </w:r>
      <w:r w:rsidRPr="006D3285">
        <w:t xml:space="preserve"> comparison </w:t>
      </w:r>
      <w:r>
        <w:t xml:space="preserve">with </w:t>
      </w:r>
      <w:r w:rsidRPr="006D3285">
        <w:t>earlier Irish estimates and with European counterparts. Recently</w:t>
      </w:r>
      <w:r>
        <w:t xml:space="preserve"> groups from</w:t>
      </w:r>
      <w:r w:rsidRPr="006D3285">
        <w:t xml:space="preserve"> Switzerland, Norway, and Denmark have published using similar methods.</w:t>
      </w:r>
      <w:r>
        <w:fldChar w:fldCharType="begin"/>
      </w:r>
      <w:r w:rsidR="00A5309E">
        <w:instrText xml:space="preserve"> ADDIN ZOTERO_ITEM CSL_CITATION {"citationID":"wxV0nThw","properties":{"formattedCitation":"(53,54,80)","plainCitation":"(53,54,80)","noteIndex":0},"citationItems":[{"id":113,"uris":["http://zotero.org/users/local/fxpU1WWH/items/6FNYZLXL"],"itemData":{"id":113,"type":"article-journal","abstract":"BACKGROUND: Targeting modifiable factors offers significant potential for primary cancer prevention. For public health strategies, it is essential to quantify the contribution from each factor on a national level. We estimated the contribution of 12 modifiable factors on cancer incidence in the Norwegian population.\nMETHODS: Nationally representative data (1990-2015) on the prevalence of tobacco smoking, over-exposure to ultraviolet radiation (UVR), alcohol consumption, physical inactivity, overweight and obesity, intake of processed and red meat, fibre and calcium, menopausal hormone therapy (MHT), human papilloma virus (HPV) infection and insufficient breastfeeding were collected from health surveys. Using these prevalences, cancer risk estimates for for the exposures, and average annual cancer incidence rates for 2016-2020, we estimated annual population-attributable fractions (PAFs) and numbers of preventable cases.\nRESULTS: Of the average 24,608 annual cases of cancers related to our included modifiable factors, 12,250 (6240 in women and 6009 in men) (41</w:instrText>
      </w:r>
      <w:r w:rsidR="00A5309E">
        <w:rPr>
          <w:rFonts w:ascii="Arial" w:hAnsi="Arial" w:cs="Arial"/>
        </w:rPr>
        <w:instrText> </w:instrText>
      </w:r>
      <w:r w:rsidR="00A5309E">
        <w:instrText>%) were attributed to these factors. Tobacco smoking caused the highest proportion of cancers cases, 20</w:instrText>
      </w:r>
      <w:r w:rsidR="00A5309E">
        <w:rPr>
          <w:rFonts w:ascii="Arial" w:hAnsi="Arial" w:cs="Arial"/>
        </w:rPr>
        <w:instrText> </w:instrText>
      </w:r>
      <w:r w:rsidR="00A5309E">
        <w:instrText>% in men and 13</w:instrText>
      </w:r>
      <w:r w:rsidR="00A5309E">
        <w:rPr>
          <w:rFonts w:ascii="Arial" w:hAnsi="Arial" w:cs="Arial"/>
        </w:rPr>
        <w:instrText> </w:instrText>
      </w:r>
      <w:r w:rsidR="00A5309E">
        <w:instrText>% in women. Sunburn and indoor tanning caused 13</w:instrText>
      </w:r>
      <w:r w:rsidR="00A5309E">
        <w:rPr>
          <w:rFonts w:ascii="Arial" w:hAnsi="Arial" w:cs="Arial"/>
        </w:rPr>
        <w:instrText> </w:instrText>
      </w:r>
      <w:r w:rsidR="00A5309E">
        <w:instrText>% and 10</w:instrText>
      </w:r>
      <w:r w:rsidR="00A5309E">
        <w:rPr>
          <w:rFonts w:ascii="Arial" w:hAnsi="Arial" w:cs="Arial"/>
        </w:rPr>
        <w:instrText> </w:instrText>
      </w:r>
      <w:r w:rsidR="00A5309E">
        <w:instrText>% of cancers in men and women, respectively, and overweight and obesity caused 4.5</w:instrText>
      </w:r>
      <w:r w:rsidR="00A5309E">
        <w:rPr>
          <w:rFonts w:ascii="Arial" w:hAnsi="Arial" w:cs="Arial"/>
        </w:rPr>
        <w:instrText> </w:instrText>
      </w:r>
      <w:r w:rsidR="00A5309E">
        <w:instrText xml:space="preserve">% of the cases. Cancers of skin, lung, colon and female breast had the highest number of preventable cases.\nCONCLUSION: Over a third of the annual cancer cases in Norway were attributed to 12 modifiable factors. Based on this study, efforts to reduce tobacco smoking, UVR over-exposure, and overweight and obesity could be the most effective in primary prevention of cancer.","container-title":"European Journal of Cancer (Oxford, England: 1990)","DOI":"10.1016/j.ejca.2025.115232","ISSN":"1879-0852","journalAbbreviation":"Eur J Cancer","language":"eng","note":"PMID: 39813761","page":"115232","source":"PubMed","title":"Cancers attributed to modifiable factors in Norway 2016-2020","volume":"217","author":[{"family":"Berstad","given":"Paula"},{"family":"Haugan","given":"Kristin"},{"family":"Knudsen","given":"Markus D."},{"family":"Nygård","given":"Mari"},{"family":"Ghiasvand","given":"Reza"},{"family":"Robsahm","given":"Trude Eid"}],"issued":{"date-parts":[["2025",2,25]]}}},{"id":136,"uris":["http://zotero.org/users/local/fxpU1WWH/items/3AHY5F2U"],"itemData":{"id":136,"type":"article-journal","abstract":"Environmental exposures and avoidable risk factors account for a large proportion of cancer burden. Exposures and lifestyle vary over time and between populations, which calls for updated and population-specific quantification of how various avoidable risk factors influence cancer risk to plan and design rational and targeted prevention initiatives. The study considered 12 risk-factor groups categorized as class I carcinogens by IARC/WCRF. Exposure data was derived from national studies and surveys and were linked to cancer incidence in 2018 based on the nationwide Danish Cancer Registry. In 2018, 23,078 men and 21,196 women were diagnosed with cancer excluding non-melanoma skin cancer, in Denmark. Of these, 14,235 (32.2%) were estimated to be attributable to avoidable class I carcinogens. Tobacco smoking accounted for 14.6% of total cancers, followed by UV-radiation that accounted for 5.8%. Based on exposure data from 2008, one-third of the cancers in Denmark in 2018 are estimated to be caused by class I carcinogens with tobacco use being the main contributor followed by UV-radiation. Our results should be integrated with public health policies to effectively increase awareness and promote strategies to decrease risk factor exposures at population level.","container-title":"Scientific Reports","DOI":"10.1038/s41598-021-04564-2","ISSN":"2045-2322","issue":"1","journalAbbreviation":"Sci Rep","language":"eng","note":"PMID: 35017625\nPMCID: PMC8752838","page":"549","source":"PubMed","title":"Updated fraction of cancer attributable to lifestyle and environmental factors in Denmark in 2018","volume":"12","author":[{"family":"Tybjerg","given":"Anne Julie"},{"family":"Friis","given":"Søren"},{"family":"Brown","given":"Katrina"},{"family":"Nilbert","given":"Mef Christina"},{"family":"Morch","given":"Lina"},{"family":"Køster","given":"Brian"}],"issued":{"date-parts":[["2022",1,11]]}}},{"id":139,"uris":["http://zotero.org/users/local/fxpU1WWH/items/LZP4HD7L"],"itemData":{"id":139,"type":"article-journal","abstract":"Several modifiable lifestyle risk factors have been linked to higher cancer risk in the literature. Determining the proportion and number of cancer cases attributable to these risk factors is pivotal in informing effective cancer prevention and control plans that have the greatest effect on reducing cancer incidence. We aimed to estimate the proportion and number of incident cancer cases that were attributable to modifiable lifestyle risk factors (ie, tobacco smoking, high alcohol consumption, excess body weight, physical inactivity and unhealthy diet) in Switzerland between 2015 and 2019. The exposure prevalence of selected risk factors was estimated based on the representative national nutrition survey menuCH, the associated relative risks were obtained from systematic literature reviews and the numbers of incident cancer cases were provided by the National Institute for Cancer Epidemiology and Registration. The fractions and numbers of attributable cases were calculated overall, by sex and by the three major language regions of Switzerland. The investigated modifiable risk factors combined were linked to 25.2% of potentially preventable incident cancer cases in Switzerland between 2015 and 2019. The proportion and numbers were slightly larger in males (28.4%, 6945 cases per year) than in females (21.9%, 4493 cases per year), and variations were observed between language regions. Tobacco smoking, excess body weight and high alcohol consumption were the leading contributors to lifestyle-attributable cancer cases. The observed differences in the leading risk factors both within Switzerland and compared to other countries underline the need for regionally and nationally tailored cancer prevention and education strategies.","container-title":"International Journal of Cancer","DOI":"10.1002/ijc.34806","ISSN":"1097-0215","issue":"7","journalAbbreviation":"Int J Cancer","language":"eng","note":"PMID: 38041826","page":"1221-1234","source":"PubMed","title":"Cancer cases attributable to modifiable lifestyle risk factors in Switzerland between 2015 and 2019","volume":"154","author":[{"family":"Jiang","given":"Xing"},{"family":"Pestoni","given":"Giulia"},{"family":"Vinci","given":"Linda"},{"family":"Suter","given":"Flurina"},{"family":"Lorez","given":"Matthias"},{"family":"Rohrmann","given":"Sabine"},{"family":"Karavasiloglou","given":"Nena"}],"issued":{"date-parts":[["2024",4,1]]}}}],"schema":"https://github.com/citation-style-language/schema/raw/master/csl-citation.json"} </w:instrText>
      </w:r>
      <w:r>
        <w:fldChar w:fldCharType="separate"/>
      </w:r>
      <w:r w:rsidR="00A5309E" w:rsidRPr="00A5309E">
        <w:rPr>
          <w:rFonts w:ascii="Aptos" w:hAnsi="Aptos"/>
        </w:rPr>
        <w:t>(53,54,80)</w:t>
      </w:r>
      <w:r>
        <w:fldChar w:fldCharType="end"/>
      </w:r>
    </w:p>
    <w:p w14:paraId="279FA50E" w14:textId="77777777" w:rsidR="00A27215" w:rsidRDefault="00A27215" w:rsidP="00A27215">
      <w:pPr>
        <w:spacing w:after="0" w:line="240" w:lineRule="auto"/>
      </w:pPr>
    </w:p>
    <w:p w14:paraId="5B67F2E4" w14:textId="209F42DE" w:rsidR="00D205D2" w:rsidRDefault="00A27215" w:rsidP="00A27215">
      <w:pPr>
        <w:spacing w:after="0" w:line="240" w:lineRule="auto"/>
      </w:pPr>
      <w:r>
        <w:t>Further, this report has focused on tobacco-smoking. It has not considered risk associated with use of other tobacco product types (e.g. smokeless tobacco</w:t>
      </w:r>
      <w:r w:rsidRPr="00212B2F">
        <w:t>)</w:t>
      </w:r>
      <w:r w:rsidR="00212B2F">
        <w:rPr>
          <w:highlight w:val="yellow"/>
        </w:rPr>
        <w:fldChar w:fldCharType="begin"/>
      </w:r>
      <w:r w:rsidR="00A5309E">
        <w:rPr>
          <w:highlight w:val="yellow"/>
        </w:rPr>
        <w:instrText xml:space="preserve"> ADDIN ZOTERO_ITEM CSL_CITATION {"citationID":"xwnRlYgW","properties":{"formattedCitation":"(83)","plainCitation":"(83)","noteIndex":0},"citationItems":[{"id":257,"uris":["http://zotero.org/users/local/fxpU1WWH/items/LF23TN5Q"],"itemData":{"id":257,"type":"article-journal","abstract":"French National Cancer Institute.","container-title":"The Lancet. Oncology","DOI":"10.1016/S1470-2045(24)00458-3","ISSN":"1474-5488","issue":"11","language":"en","note":"publisher: Lancet Oncol\nPMID: 39393386","source":"pubmed.ncbi.nlm.nih.gov","title":"Global burden of oral cancer in 2022 attributable to smokeless tobacco and areca nut consumption: a population attributable fraction analysis","title-short":"Global burden of oral cancer in 2022 attributable to smokeless tobacco and areca nut consumption","URL":"https://pubmed.ncbi.nlm.nih.gov/39393386/","volume":"25","author":[{"family":"H","given":"Rumgay"},{"family":"St","given":"Nethan"},{"family":"R","given":"Shah"},{"family":"J","given":"Vignat"},{"family":"O","given":"Ayo-Yusuf"},{"family":"P","given":"Chaturvedi"},{"family":"Ens","given":"Guerra"},{"family":"Pc","given":"Gupta"},{"family":"R","given":"Gupta"},{"family":"S","given":"Liu"},{"family":"C","given":"Magnusson"},{"family":"M","given":"Parascandola"},{"family":"Yc","given":"Paulino"},{"family":"N","given":"Rezaei"},{"family":"K","given":"Siddiqi"},{"family":"S","given":"Warnakulasuriya"},{"family":"B","given":"Lauby-Secretan"},{"family":"I","given":"Soerjomataram"}],"accessed":{"date-parts":[["2025",6,5]]},"issued":{"date-parts":[["2024",11]]}}}],"schema":"https://github.com/citation-style-language/schema/raw/master/csl-citation.json"} </w:instrText>
      </w:r>
      <w:r w:rsidR="00212B2F">
        <w:rPr>
          <w:highlight w:val="yellow"/>
        </w:rPr>
        <w:fldChar w:fldCharType="separate"/>
      </w:r>
      <w:r w:rsidR="00A5309E" w:rsidRPr="00A5309E">
        <w:rPr>
          <w:rFonts w:ascii="Aptos" w:hAnsi="Aptos"/>
        </w:rPr>
        <w:t>(83)</w:t>
      </w:r>
      <w:r w:rsidR="00212B2F">
        <w:rPr>
          <w:highlight w:val="yellow"/>
        </w:rPr>
        <w:fldChar w:fldCharType="end"/>
      </w:r>
      <w:r>
        <w:t xml:space="preserve"> or considered the impact on cancer incidence associated with other modifiable risk factors – which in some cases may be synergistic with tobacco</w:t>
      </w:r>
      <w:r w:rsidR="00C74E55">
        <w:t xml:space="preserve"> smoking</w:t>
      </w:r>
      <w:r>
        <w:t>.</w:t>
      </w:r>
      <w:r w:rsidR="00B227A0">
        <w:fldChar w:fldCharType="begin"/>
      </w:r>
      <w:r w:rsidR="00A5309E">
        <w:instrText xml:space="preserve"> ADDIN ZOTERO_ITEM CSL_CITATION {"citationID":"a2m91o51jos","properties":{"formattedCitation":"(33)","plainCitation":"(33)","noteIndex":0},"citationItems":[{"id":20,"uris":["http://zotero.org/users/local/fxpU1WWH/items/CGIH3JT2"],"itemData":{"id":20,"type":"webpage","title":"Modifiable risk factors and cancer in Ireland | National Cancer Registry Ireland","URL":"https://www.ncri.ie/publications/statistical-reports/modifiable-risk-factors-and-cancer-ireland","accessed":{"date-parts":[["2025",4,30]]}}}],"schema":"https://github.com/citation-style-language/schema/raw/master/csl-citation.json"} </w:instrText>
      </w:r>
      <w:r w:rsidR="00B227A0">
        <w:fldChar w:fldCharType="separate"/>
      </w:r>
      <w:r w:rsidR="00A5309E" w:rsidRPr="00A5309E">
        <w:rPr>
          <w:rFonts w:ascii="Aptos" w:hAnsi="Aptos"/>
        </w:rPr>
        <w:t>(33)</w:t>
      </w:r>
      <w:r w:rsidR="00B227A0">
        <w:fldChar w:fldCharType="end"/>
      </w:r>
      <w:r>
        <w:t xml:space="preserve"> </w:t>
      </w:r>
      <w:r w:rsidR="00E8502D">
        <w:t>Additionally, we used area-level measures in considering variation in incidence according to deprivation. Using individual-level socioeconomic indicators may produce different findings.</w:t>
      </w:r>
      <w:r>
        <w:fldChar w:fldCharType="begin"/>
      </w:r>
      <w:r w:rsidR="00A5309E">
        <w:instrText xml:space="preserve"> ADDIN ZOTERO_ITEM CSL_CITATION {"citationID":"2u6Ovt4Q","properties":{"formattedCitation":"(71)","plainCitation":"(71)","noteIndex":0},"citationItems":[{"id":166,"uris":["http://zotero.org/users/local/fxpU1WWH/items/9UJ59I4B"],"itemData":{"id":166,"type":"webpage","title":"Cancer inequalities in Ireland by deprivation, 2004-2018 | National Cancer Registry Ireland","URL":"https://www.ncri.ie/publications/statistical-reports/cancer-inequalities-ireland-deprivation-2004-2018","accessed":{"date-parts":[["2025",5,7]]}}}],"schema":"https://github.com/citation-style-language/schema/raw/master/csl-citation.json"} </w:instrText>
      </w:r>
      <w:r>
        <w:fldChar w:fldCharType="separate"/>
      </w:r>
      <w:r w:rsidR="00A5309E" w:rsidRPr="00A5309E">
        <w:rPr>
          <w:rFonts w:ascii="Aptos" w:hAnsi="Aptos"/>
        </w:rPr>
        <w:t>(71)</w:t>
      </w:r>
      <w:r>
        <w:fldChar w:fldCharType="end"/>
      </w:r>
    </w:p>
    <w:p w14:paraId="3CF4FE3A" w14:textId="77777777" w:rsidR="00D205D2" w:rsidRDefault="00D205D2" w:rsidP="00A27215">
      <w:pPr>
        <w:spacing w:after="0" w:line="240" w:lineRule="auto"/>
      </w:pPr>
    </w:p>
    <w:p w14:paraId="328BD3AB" w14:textId="1D66D42A" w:rsidR="00A27215" w:rsidRDefault="00035231" w:rsidP="006C1190">
      <w:pPr>
        <w:pStyle w:val="Default"/>
      </w:pPr>
      <w:r w:rsidRPr="00F12DBB">
        <w:rPr>
          <w:rFonts w:asciiTheme="minorHAnsi" w:hAnsiTheme="minorHAnsi" w:cstheme="minorBidi"/>
          <w:color w:val="auto"/>
          <w:kern w:val="2"/>
        </w:rPr>
        <w:t>Individual-level smoking data is not available in the NCRI dataset.</w:t>
      </w:r>
      <w:r w:rsidR="00A27215" w:rsidRPr="00F12DBB">
        <w:rPr>
          <w:rFonts w:asciiTheme="minorHAnsi" w:hAnsiTheme="minorHAnsi" w:cstheme="minorBidi"/>
          <w:color w:val="auto"/>
          <w:kern w:val="2"/>
        </w:rPr>
        <w:t xml:space="preserve"> The estimates of smoking exposure were from</w:t>
      </w:r>
      <w:r w:rsidR="004D020F">
        <w:rPr>
          <w:rFonts w:asciiTheme="minorHAnsi" w:hAnsiTheme="minorHAnsi" w:cstheme="minorBidi"/>
          <w:color w:val="auto"/>
          <w:kern w:val="2"/>
        </w:rPr>
        <w:t xml:space="preserve"> the nationally representative Healthy Ireland</w:t>
      </w:r>
      <w:r w:rsidR="00B571D5">
        <w:rPr>
          <w:rFonts w:asciiTheme="minorHAnsi" w:hAnsiTheme="minorHAnsi" w:cstheme="minorBidi"/>
          <w:color w:val="auto"/>
          <w:kern w:val="2"/>
        </w:rPr>
        <w:t xml:space="preserve"> 2015</w:t>
      </w:r>
      <w:r w:rsidR="004D020F">
        <w:rPr>
          <w:rFonts w:asciiTheme="minorHAnsi" w:hAnsiTheme="minorHAnsi" w:cstheme="minorBidi"/>
          <w:color w:val="auto"/>
          <w:kern w:val="2"/>
        </w:rPr>
        <w:t xml:space="preserve"> survey</w:t>
      </w:r>
      <w:r w:rsidR="00A27215" w:rsidRPr="00F12DBB">
        <w:rPr>
          <w:rFonts w:asciiTheme="minorHAnsi" w:hAnsiTheme="minorHAnsi" w:cstheme="minorBidi"/>
          <w:color w:val="auto"/>
          <w:kern w:val="2"/>
        </w:rPr>
        <w:t xml:space="preserve"> leaving a seven-year lag from exposure to incidence. In general, the literature suggests the use of a 10-year lag.</w:t>
      </w:r>
      <w:r w:rsidR="00D908EF">
        <w:rPr>
          <w:rFonts w:asciiTheme="minorHAnsi" w:hAnsiTheme="minorHAnsi" w:cstheme="minorBidi"/>
          <w:color w:val="auto"/>
          <w:kern w:val="2"/>
        </w:rPr>
        <w:fldChar w:fldCharType="begin"/>
      </w:r>
      <w:r w:rsidR="00A5309E">
        <w:rPr>
          <w:rFonts w:asciiTheme="minorHAnsi" w:hAnsiTheme="minorHAnsi" w:cstheme="minorBidi"/>
          <w:color w:val="auto"/>
          <w:kern w:val="2"/>
        </w:rPr>
        <w:instrText xml:space="preserve"> ADDIN ZOTERO_ITEM CSL_CITATION {"citationID":"a15baner53b","properties":{"formattedCitation":"(52,58)","plainCitation":"(52,58)","noteIndex":0},"citationItems":[{"id":200,"uris":["http://zotero.org/users/local/fxpU1WWH/items/7YDA9I4Z"],"itemData":{"id":200,"type":"article-journal","container-title":"British Journal of Cancer","DOI":"10.1038/bjc.2011.489","ISSN":"0007-0920, 1532-1827","issue":"S2","journalAbbreviation":"Br J Cancer","language":"en","license":"http://www.springer.com/tdm","page":"S77-S81","source":"DOI.org (Crossref)","title":"16. The fraction of cancer attributable to lifestyle and environmental factors in the UK in 2010: Summary and conclusions","title-short":"16. The fraction of cancer attributable to lifestyle and environmental factors in the UK in 2010","volume":"105","author":[{"family":"Parkin","given":"D M"},{"family":"Boyd","given":"L"},{"family":"Walker","given":"L C"}],"issued":{"date-parts":[["2011",12]]}}},{"id":216,"uris":["http://zotero.org/users/local/fxpU1WWH/items/QKPUH9RI"],"itemData":{"id":216,"type":"article-journal","abstract":"BACKGROUND: Changing population-level exposure to modifiable risk factors is a key driver of changing cancer incidence. Understanding these changes is therefore vital when prioritising risk-reduction policies, in order to have the biggest impact on reducing cancer incidence. UK figures on the number of risk factor-attributable cancers are updated here to reflect changing behaviour as assessed in representative national surveys, and new epidemiological evidence. Figures are also presented by UK constituent country because prevalence of risk factor exposure varies between them.\nMETHODS: Population attributable fractions (PAFs) were calculated for combinations of risk factor and cancer type with sufficient/convincing evidence of a causal association. Relative risks (RRs) were drawn from meta-analyses of cohort studies where possible. Prevalence of exposure to risk factors was obtained from nationally representative population surveys. Cancer incidence data for 2015 were sourced from national data releases and, where needed, personal communications. PAF calculations were stratified by age, sex and risk factor exposure level and then combined to create summary PAFs by cancer type, sex and country.\nRESULTS: Nearly four in ten (37.7%) cancer cases in 2015 in the UK were attributable to known risk factors. The proportion was around two percentage points higher in UK males (38.6%) than in UK females (36.8%). Comparing UK countries, the attributable proportion was highest in Scotland (41.5% for persons) and lowest in England (37.3% for persons). Tobacco smoking contributed by far the largest proportion of attributable cancer cases, followed by overweight/obesity, accounting for 15.1% and 6.3%, respectively, of all cases in the UK in 2015. For 10 cancer types, including two of the five most common cancer types in the UK (lung cancer and melanoma skin cancer), more than 70% of UK cancer cases were attributable to known risk factors.\nCONCLUSION: Tobacco and overweight/obesity remain the top contributors of attributable cancer cases. Tobacco smoking has the highest PAF because it greatly increases cancer risk and has a large number of cancer types associated with it. Overweight/obesity has the second-highest PAF because it affects a high proportion of the UK population and is also linked with many cancer types. Public health policy may seek to mitigate the level of harm associated with exposure or reduce exposure levels-both approaches may effectively impact cancer incidence. Differences in PAFs between countries and sexes are primarily due to varying prevalence of exposure to risk factors and varying proportions of specific cancer types. This variation in turn is affected by socio-demographic differences which drive differences in exposure to theoretically avoidable 'lifestyle' factors. PAFs at UK country level have not been available previously and they should be used by policymakers in devolved nations. PAFs are estimates based on the best available data, limitations in those data would generally bias toward underestimation of PAFs. Regular collection of risk factor exposure prevalence data which corresponds with epidemiological evidence is vital for analyses like this and should remain a priority for the UK Government and devolved Administrations.","container-title":"British Journal of Cancer","DOI":"10.1038/s41416-018-0029-6","ISSN":"1532-1827","issue":"8","journalAbbreviation":"Br J Cancer","language":"eng","note":"PMID: 29567982\nPMCID: PMC5931106","page":"1130-1141","source":"PubMed","title":"The fraction of cancer attributable to modifiable risk factors in England, Wales, Scotland, Northern Ireland, and the United Kingdom in 2015","volume":"118","author":[{"family":"Brown","given":"Katrina F."},{"family":"Rumgay","given":"Harriet"},{"family":"Dunlop","given":"Casey"},{"family":"Ryan","given":"Margaret"},{"family":"Quartly","given":"Frances"},{"family":"Cox","given":"Alison"},{"family":"Deas","given":"Andrew"},{"family":"Elliss-Brookes","given":"Lucy"},{"family":"Gavin","given":"Anna"},{"family":"Hounsome","given":"Luke"},{"family":"Huws","given":"Dyfed"},{"family":"Ormiston-Smith","given":"Nick"},{"family":"Shelton","given":"Jon"},{"family":"White","given":"Ceri"},{"family":"Parkin","given":"D. Max"}],"issued":{"date-parts":[["2018",4]]}}}],"schema":"https://github.com/citation-style-language/schema/raw/master/csl-citation.json"} </w:instrText>
      </w:r>
      <w:r w:rsidR="00D908EF">
        <w:rPr>
          <w:rFonts w:asciiTheme="minorHAnsi" w:hAnsiTheme="minorHAnsi" w:cstheme="minorBidi"/>
          <w:color w:val="auto"/>
          <w:kern w:val="2"/>
        </w:rPr>
        <w:fldChar w:fldCharType="separate"/>
      </w:r>
      <w:r w:rsidR="00A5309E" w:rsidRPr="00A5309E">
        <w:rPr>
          <w:rFonts w:ascii="Aptos" w:hAnsi="Aptos"/>
        </w:rPr>
        <w:t>(52,58)</w:t>
      </w:r>
      <w:r w:rsidR="00D908EF">
        <w:rPr>
          <w:rFonts w:asciiTheme="minorHAnsi" w:hAnsiTheme="minorHAnsi" w:cstheme="minorBidi"/>
          <w:color w:val="auto"/>
          <w:kern w:val="2"/>
        </w:rPr>
        <w:fldChar w:fldCharType="end"/>
      </w:r>
      <w:r w:rsidR="00A27215" w:rsidRPr="00F12DBB">
        <w:rPr>
          <w:rFonts w:asciiTheme="minorHAnsi" w:hAnsiTheme="minorHAnsi" w:cstheme="minorBidi"/>
          <w:color w:val="auto"/>
          <w:kern w:val="2"/>
        </w:rPr>
        <w:t xml:space="preserve">  However, where exposure data </w:t>
      </w:r>
      <w:r w:rsidR="00AD015C" w:rsidRPr="00F12DBB">
        <w:rPr>
          <w:rFonts w:asciiTheme="minorHAnsi" w:hAnsiTheme="minorHAnsi" w:cstheme="minorBidi"/>
          <w:color w:val="auto"/>
          <w:kern w:val="2"/>
        </w:rPr>
        <w:t>are</w:t>
      </w:r>
      <w:r w:rsidR="00A27215" w:rsidRPr="00F12DBB" w:rsidDel="007535AF">
        <w:rPr>
          <w:rFonts w:asciiTheme="minorHAnsi" w:hAnsiTheme="minorHAnsi" w:cstheme="minorBidi"/>
          <w:color w:val="auto"/>
          <w:kern w:val="2"/>
        </w:rPr>
        <w:t xml:space="preserve"> </w:t>
      </w:r>
      <w:r w:rsidR="00A27215" w:rsidRPr="00F12DBB">
        <w:rPr>
          <w:rFonts w:asciiTheme="minorHAnsi" w:hAnsiTheme="minorHAnsi" w:cstheme="minorBidi"/>
          <w:color w:val="auto"/>
          <w:kern w:val="2"/>
        </w:rPr>
        <w:t>not available at a ten-year interval, the most recent reliable and representative exposure estimates are generally used.</w:t>
      </w:r>
      <w:r w:rsidR="00F12DBB">
        <w:rPr>
          <w:rFonts w:asciiTheme="minorHAnsi" w:hAnsiTheme="minorHAnsi" w:cstheme="minorBidi"/>
          <w:color w:val="auto"/>
          <w:kern w:val="2"/>
        </w:rPr>
        <w:fldChar w:fldCharType="begin"/>
      </w:r>
      <w:r w:rsidR="00A5309E">
        <w:rPr>
          <w:rFonts w:asciiTheme="minorHAnsi" w:hAnsiTheme="minorHAnsi" w:cstheme="minorBidi"/>
          <w:color w:val="auto"/>
          <w:kern w:val="2"/>
        </w:rPr>
        <w:instrText xml:space="preserve"> ADDIN ZOTERO_ITEM CSL_CITATION {"citationID":"oMulvZ5I","properties":{"formattedCitation":"(33,54)","plainCitation":"(33,54)","noteIndex":0},"citationItems":[{"id":136,"uris":["http://zotero.org/users/local/fxpU1WWH/items/3AHY5F2U"],"itemData":{"id":136,"type":"article-journal","abstract":"Environmental exposures and avoidable risk factors account for a large proportion of cancer burden. Exposures and lifestyle vary over time and between populations, which calls for updated and population-specific quantification of how various avoidable risk factors influence cancer risk to plan and design rational and targeted prevention initiatives. The study considered 12 risk-factor groups categorized as class I carcinogens by IARC/WCRF. Exposure data was derived from national studies and surveys and were linked to cancer incidence in 2018 based on the nationwide Danish Cancer Registry. In 2018, 23,078 men and 21,196 women were diagnosed with cancer excluding non-melanoma skin cancer, in Denmark. Of these, 14,235 (32.2%) were estimated to be attributable to avoidable class I carcinogens. Tobacco smoking accounted for 14.6% of total cancers, followed by UV-radiation that accounted for 5.8%. Based on exposure data from 2008, one-third of the cancers in Denmark in 2018 are estimated to be caused by class I carcinogens with tobacco use being the main contributor followed by UV-radiation. Our results should be integrated with public health policies to effectively increase awareness and promote strategies to decrease risk factor exposures at population level.","container-title":"Scientific Reports","DOI":"10.1038/s41598-021-04564-2","ISSN":"2045-2322","issue":"1","journalAbbreviation":"Sci Rep","language":"eng","note":"PMID: 35017625\nPMCID: PMC8752838","page":"549","source":"PubMed","title":"Updated fraction of cancer attributable to lifestyle and environmental factors in Denmark in 2018","volume":"12","author":[{"family":"Tybjerg","given":"Anne Julie"},{"family":"Friis","given":"Søren"},{"family":"Brown","given":"Katrina"},{"family":"Nilbert","given":"Mef Christina"},{"family":"Morch","given":"Lina"},{"family":"Køster","given":"Brian"}],"issued":{"date-parts":[["2022",1,11]]}}},{"id":20,"uris":["http://zotero.org/users/local/fxpU1WWH/items/CGIH3JT2"],"itemData":{"id":20,"type":"webpage","title":"Modifiable risk factors and cancer in Ireland | National Cancer Registry Ireland","URL":"https://www.ncri.ie/publications/statistical-reports/modifiable-risk-factors-and-cancer-ireland","accessed":{"date-parts":[["2025",4,30]]}}}],"schema":"https://github.com/citation-style-language/schema/raw/master/csl-citation.json"} </w:instrText>
      </w:r>
      <w:r w:rsidR="00F12DBB">
        <w:rPr>
          <w:rFonts w:asciiTheme="minorHAnsi" w:hAnsiTheme="minorHAnsi" w:cstheme="minorBidi"/>
          <w:color w:val="auto"/>
          <w:kern w:val="2"/>
        </w:rPr>
        <w:fldChar w:fldCharType="separate"/>
      </w:r>
      <w:r w:rsidR="00A5309E" w:rsidRPr="00A5309E">
        <w:rPr>
          <w:rFonts w:ascii="Aptos" w:hAnsi="Aptos"/>
        </w:rPr>
        <w:t>(33,54)</w:t>
      </w:r>
      <w:r w:rsidR="00F12DBB">
        <w:rPr>
          <w:rFonts w:asciiTheme="minorHAnsi" w:hAnsiTheme="minorHAnsi" w:cstheme="minorBidi"/>
          <w:color w:val="auto"/>
          <w:kern w:val="2"/>
        </w:rPr>
        <w:fldChar w:fldCharType="end"/>
      </w:r>
      <w:r w:rsidR="00A27215" w:rsidRPr="007B7BCE">
        <w:rPr>
          <w:rFonts w:asciiTheme="minorHAnsi" w:hAnsiTheme="minorHAnsi" w:cstheme="minorBidi"/>
          <w:color w:val="auto"/>
          <w:kern w:val="2"/>
        </w:rPr>
        <w:t xml:space="preserve"> Where smoking prevalence is decreasing, as in the case of Ireland, use of exposure data with a </w:t>
      </w:r>
      <w:r w:rsidR="007B7BCE">
        <w:rPr>
          <w:rFonts w:asciiTheme="minorHAnsi" w:hAnsiTheme="minorHAnsi" w:cstheme="minorBidi"/>
          <w:color w:val="auto"/>
          <w:kern w:val="2"/>
        </w:rPr>
        <w:t>shorter</w:t>
      </w:r>
      <w:r w:rsidR="00A27215" w:rsidRPr="007B7BCE">
        <w:rPr>
          <w:rFonts w:asciiTheme="minorHAnsi" w:hAnsiTheme="minorHAnsi" w:cstheme="minorBidi"/>
          <w:color w:val="auto"/>
          <w:kern w:val="2"/>
        </w:rPr>
        <w:t xml:space="preserve"> lag will likely underestimate the impact of tobacco-smoking on cancer incidence.</w:t>
      </w:r>
      <w:r w:rsidR="007B7BCE">
        <w:rPr>
          <w:rFonts w:asciiTheme="minorHAnsi" w:hAnsiTheme="minorHAnsi" w:cstheme="minorBidi"/>
          <w:color w:val="auto"/>
          <w:kern w:val="2"/>
        </w:rPr>
        <w:fldChar w:fldCharType="begin"/>
      </w:r>
      <w:r w:rsidR="00A5309E">
        <w:rPr>
          <w:rFonts w:asciiTheme="minorHAnsi" w:hAnsiTheme="minorHAnsi" w:cstheme="minorBidi"/>
          <w:color w:val="auto"/>
          <w:kern w:val="2"/>
        </w:rPr>
        <w:instrText xml:space="preserve"> ADDIN ZOTERO_ITEM CSL_CITATION {"citationID":"a1jburvl4rs","properties":{"formattedCitation":"(54)","plainCitation":"(54)","noteIndex":0},"citationItems":[{"id":136,"uris":["http://zotero.org/users/local/fxpU1WWH/items/3AHY5F2U"],"itemData":{"id":136,"type":"article-journal","abstract":"Environmental exposures and avoidable risk factors account for a large proportion of cancer burden. Exposures and lifestyle vary over time and between populations, which calls for updated and population-specific quantification of how various avoidable risk factors influence cancer risk to plan and design rational and targeted prevention initiatives. The study considered 12 risk-factor groups categorized as class I carcinogens by IARC/WCRF. Exposure data was derived from national studies and surveys and were linked to cancer incidence in 2018 based on the nationwide Danish Cancer Registry. In 2018, 23,078 men and 21,196 women were diagnosed with cancer excluding non-melanoma skin cancer, in Denmark. Of these, 14,235 (32.2%) were estimated to be attributable to avoidable class I carcinogens. Tobacco smoking accounted for 14.6% of total cancers, followed by UV-radiation that accounted for 5.8%. Based on exposure data from 2008, one-third of the cancers in Denmark in 2018 are estimated to be caused by class I carcinogens with tobacco use being the main contributor followed by UV-radiation. Our results should be integrated with public health policies to effectively increase awareness and promote strategies to decrease risk factor exposures at population level.","container-title":"Scientific Reports","DOI":"10.1038/s41598-021-04564-2","ISSN":"2045-2322","issue":"1","journalAbbreviation":"Sci Rep","language":"eng","note":"PMID: 35017625\nPMCID: PMC8752838","page":"549","source":"PubMed","title":"Updated fraction of cancer attributable to lifestyle and environmental factors in Denmark in 2018","volume":"12","author":[{"family":"Tybjerg","given":"Anne Julie"},{"family":"Friis","given":"Søren"},{"family":"Brown","given":"Katrina"},{"family":"Nilbert","given":"Mef Christina"},{"family":"Morch","given":"Lina"},{"family":"Køster","given":"Brian"}],"issued":{"date-parts":[["2022",1,11]]}}}],"schema":"https://github.com/citation-style-language/schema/raw/master/csl-citation.json"} </w:instrText>
      </w:r>
      <w:r w:rsidR="007B7BCE">
        <w:rPr>
          <w:rFonts w:asciiTheme="minorHAnsi" w:hAnsiTheme="minorHAnsi" w:cstheme="minorBidi"/>
          <w:color w:val="auto"/>
          <w:kern w:val="2"/>
        </w:rPr>
        <w:fldChar w:fldCharType="separate"/>
      </w:r>
      <w:r w:rsidR="00A5309E" w:rsidRPr="00A5309E">
        <w:rPr>
          <w:rFonts w:ascii="Aptos" w:hAnsi="Aptos"/>
        </w:rPr>
        <w:t>(54)</w:t>
      </w:r>
      <w:r w:rsidR="007B7BCE">
        <w:rPr>
          <w:rFonts w:asciiTheme="minorHAnsi" w:hAnsiTheme="minorHAnsi" w:cstheme="minorBidi"/>
          <w:color w:val="auto"/>
          <w:kern w:val="2"/>
        </w:rPr>
        <w:fldChar w:fldCharType="end"/>
      </w:r>
      <w:r w:rsidR="00A27215" w:rsidRPr="00AD1C06">
        <w:rPr>
          <w:rFonts w:asciiTheme="minorHAnsi" w:hAnsiTheme="minorHAnsi" w:cstheme="minorBidi"/>
          <w:color w:val="auto"/>
          <w:kern w:val="2"/>
        </w:rPr>
        <w:t xml:space="preserve"> </w:t>
      </w:r>
      <w:r w:rsidR="00F9293C" w:rsidRPr="006C1190">
        <w:rPr>
          <w:rFonts w:asciiTheme="minorHAnsi" w:hAnsiTheme="minorHAnsi" w:cstheme="minorBidi"/>
          <w:color w:val="auto"/>
          <w:kern w:val="2"/>
        </w:rPr>
        <w:t>The</w:t>
      </w:r>
      <w:r w:rsidR="0034018C">
        <w:rPr>
          <w:rFonts w:asciiTheme="minorHAnsi" w:hAnsiTheme="minorHAnsi" w:cstheme="minorBidi"/>
          <w:color w:val="auto"/>
          <w:kern w:val="2"/>
        </w:rPr>
        <w:t>r</w:t>
      </w:r>
      <w:r w:rsidR="00F9293C" w:rsidRPr="006C1190">
        <w:rPr>
          <w:rFonts w:asciiTheme="minorHAnsi" w:hAnsiTheme="minorHAnsi" w:cstheme="minorBidi"/>
          <w:color w:val="auto"/>
          <w:kern w:val="2"/>
        </w:rPr>
        <w:t>e</w:t>
      </w:r>
      <w:r w:rsidR="0034018C">
        <w:rPr>
          <w:rFonts w:asciiTheme="minorHAnsi" w:hAnsiTheme="minorHAnsi" w:cstheme="minorBidi"/>
          <w:color w:val="auto"/>
          <w:kern w:val="2"/>
        </w:rPr>
        <w:t>fore, these</w:t>
      </w:r>
      <w:r w:rsidR="00F9293C" w:rsidRPr="006C1190">
        <w:rPr>
          <w:rFonts w:asciiTheme="minorHAnsi" w:hAnsiTheme="minorHAnsi" w:cstheme="minorBidi"/>
          <w:color w:val="auto"/>
          <w:kern w:val="2"/>
        </w:rPr>
        <w:t xml:space="preserve"> estimates are likely to be conservative</w:t>
      </w:r>
      <w:r w:rsidR="0034018C">
        <w:rPr>
          <w:rFonts w:asciiTheme="minorHAnsi" w:hAnsiTheme="minorHAnsi" w:cstheme="minorBidi"/>
          <w:color w:val="auto"/>
          <w:kern w:val="2"/>
        </w:rPr>
        <w:t xml:space="preserve">. </w:t>
      </w:r>
    </w:p>
    <w:p w14:paraId="394408D5" w14:textId="77777777" w:rsidR="00A27215" w:rsidRDefault="00A27215" w:rsidP="00A27215">
      <w:pPr>
        <w:pStyle w:val="ListParagraph"/>
        <w:spacing w:after="0" w:line="240" w:lineRule="auto"/>
      </w:pPr>
    </w:p>
    <w:p w14:paraId="0213B8B0" w14:textId="590E5704" w:rsidR="00A27215" w:rsidRDefault="00A27215" w:rsidP="00A27215">
      <w:pPr>
        <w:spacing w:after="0" w:line="240" w:lineRule="auto"/>
      </w:pPr>
      <w:r w:rsidRPr="006D3285">
        <w:t xml:space="preserve">The known impact of the COVID-19 pandemic on cancer case </w:t>
      </w:r>
      <w:r w:rsidRPr="00136786">
        <w:t>counts may have affected estimates of trends in incidence</w:t>
      </w:r>
      <w:r w:rsidR="006C492B">
        <w:t xml:space="preserve"> and it is</w:t>
      </w:r>
      <w:r w:rsidRPr="00136786">
        <w:t xml:space="preserve"> important to continue monitor</w:t>
      </w:r>
      <w:r w:rsidR="006C492B">
        <w:t>ing</w:t>
      </w:r>
      <w:r w:rsidRPr="00136786">
        <w:t xml:space="preserve"> these</w:t>
      </w:r>
      <w:r>
        <w:t xml:space="preserve"> </w:t>
      </w:r>
      <w:r w:rsidRPr="006D3285">
        <w:t xml:space="preserve">trends in coming years. </w:t>
      </w:r>
      <w:r>
        <w:t>I</w:t>
      </w:r>
      <w:r w:rsidRPr="006D3285">
        <w:t xml:space="preserve">t should be noted </w:t>
      </w:r>
      <w:r>
        <w:t>however</w:t>
      </w:r>
      <w:r w:rsidR="00552C36">
        <w:t>,</w:t>
      </w:r>
      <w:r>
        <w:t xml:space="preserve"> </w:t>
      </w:r>
      <w:r w:rsidRPr="006D3285">
        <w:t>that the estimates presented herein were derived using conservative methods less likely to be influence</w:t>
      </w:r>
      <w:r>
        <w:t>d</w:t>
      </w:r>
      <w:r w:rsidRPr="006D3285">
        <w:t xml:space="preserve"> by pandemic </w:t>
      </w:r>
      <w:r>
        <w:t>variation.</w:t>
      </w:r>
    </w:p>
    <w:p w14:paraId="49A0DB3A" w14:textId="77777777" w:rsidR="00A27215" w:rsidRDefault="00A27215" w:rsidP="00A27215">
      <w:pPr>
        <w:spacing w:after="0" w:line="240" w:lineRule="auto"/>
      </w:pPr>
    </w:p>
    <w:p w14:paraId="3B072F1E" w14:textId="4A22CC61" w:rsidR="00A27215" w:rsidRDefault="00A27215" w:rsidP="00A27215">
      <w:pPr>
        <w:spacing w:after="0" w:line="240" w:lineRule="auto"/>
      </w:pPr>
      <w:r>
        <w:t xml:space="preserve">Strengths of this study include the comprehensive nature of the report. This is the first report to systematically examine tobacco-related cancers in Ireland across a range of key indicators of cancer control at population-level including incidence, mortality and survival. Additionally, this report </w:t>
      </w:r>
      <w:r w:rsidR="00F04C9D">
        <w:t xml:space="preserve">describes tobacco-related cancers according to </w:t>
      </w:r>
      <w:r>
        <w:t xml:space="preserve">key indicators of equity including sex and area-level deprivation. This reports also expands information available on population-level control of less common cancers. Key </w:t>
      </w:r>
      <w:r w:rsidRPr="00D22405">
        <w:t xml:space="preserve">strengths include use of exposure data from </w:t>
      </w:r>
      <w:r w:rsidR="00A01230">
        <w:t xml:space="preserve">a </w:t>
      </w:r>
      <w:r w:rsidRPr="00D22405">
        <w:t>nationally representative survey with high participation rates, and complete and high-quality cancer data from the NCRI.</w:t>
      </w:r>
      <w:r w:rsidRPr="00494BC7">
        <w:rPr>
          <w:rFonts w:ascii="Segoe UI" w:hAnsi="Segoe UI" w:cs="Segoe UI"/>
          <w:sz w:val="18"/>
          <w:szCs w:val="18"/>
        </w:rPr>
        <w:t xml:space="preserve"> </w:t>
      </w:r>
    </w:p>
    <w:p w14:paraId="1DA763B9" w14:textId="77777777" w:rsidR="00A27215" w:rsidRDefault="00A27215" w:rsidP="00A27215">
      <w:pPr>
        <w:spacing w:after="0" w:line="240" w:lineRule="auto"/>
      </w:pPr>
    </w:p>
    <w:p w14:paraId="39A9712C" w14:textId="77777777" w:rsidR="00A27215" w:rsidRDefault="00A27215" w:rsidP="00A27215">
      <w:pPr>
        <w:pStyle w:val="Heading2"/>
        <w:spacing w:before="0" w:after="0" w:line="240" w:lineRule="auto"/>
        <w:rPr>
          <w:shd w:val="clear" w:color="auto" w:fill="FFFFFF"/>
        </w:rPr>
      </w:pPr>
      <w:bookmarkStart w:id="417" w:name="_Toc196991633"/>
      <w:bookmarkStart w:id="418" w:name="_Toc197557195"/>
      <w:bookmarkStart w:id="419" w:name="_Toc201512586"/>
      <w:r>
        <w:rPr>
          <w:shd w:val="clear" w:color="auto" w:fill="FFFFFF"/>
        </w:rPr>
        <w:t>Policy implications</w:t>
      </w:r>
      <w:bookmarkEnd w:id="417"/>
      <w:bookmarkEnd w:id="418"/>
      <w:bookmarkEnd w:id="419"/>
    </w:p>
    <w:p w14:paraId="34676AF8" w14:textId="7EFDA3E9" w:rsidR="00A27215" w:rsidRPr="00827326" w:rsidRDefault="00A27215" w:rsidP="00A27215">
      <w:pPr>
        <w:spacing w:after="0" w:line="240" w:lineRule="auto"/>
      </w:pPr>
      <w:r w:rsidRPr="00631A27">
        <w:t xml:space="preserve">This report has shown that a large burden of cancer in Ireland could be avoided if smoking was eliminated. </w:t>
      </w:r>
      <w:r w:rsidRPr="00827326">
        <w:t>Ireland was one of the first countries in the world to set a tobacco endgame goal</w:t>
      </w:r>
      <w:r w:rsidR="006C492B">
        <w:t xml:space="preserve"> to reduce smoking prevalence to &lt;5%</w:t>
      </w:r>
      <w:r w:rsidR="00137325">
        <w:t xml:space="preserve"> by 2025</w:t>
      </w:r>
      <w:r>
        <w:t xml:space="preserve"> thereby effectively aiming </w:t>
      </w:r>
      <w:r w:rsidR="007535AF">
        <w:t xml:space="preserve">to </w:t>
      </w:r>
      <w:r>
        <w:t>eliminate tobacco use</w:t>
      </w:r>
      <w:r w:rsidRPr="00827326">
        <w:t>.</w:t>
      </w:r>
      <w:r>
        <w:fldChar w:fldCharType="begin"/>
      </w:r>
      <w:r w:rsidR="00A5309E">
        <w:instrText xml:space="preserve"> ADDIN ZOTERO_ITEM CSL_CITATION {"citationID":"Xd0akXDL","properties":{"formattedCitation":"(46)","plainCitation":"(46)","noteIndex":0},"citationItems":[{"id":57,"uris":["http://zotero.org/users/local/fxpU1WWH/items/BKSTYNUT"],"itemData":{"id":57,"type":"article-journal","abstract":"The European Union (EU) aims for a tobacco use prevalence of less than 5% by 2040 with its Tobacco-Free Generation goal, aligning with the tobacco endgame approach. In the Joint Action on Tobacco Control 2 (JATC-2) -project, we examined adopted and planned endgame goals and measures as well as preparedness to counter tobacco industry interference in the process. We surveyed key informants in 24 out of 50 countries in the WHO European Region (19 of the 27 EU Member States, MS). Altogether, eight countries (7 EU MS) had official governmental endgame goals, and an additional six EU MS had similar proposals from government, civil society or research entities. Movement towards tobacco endgame was most evident in retail-oriented and consumer-oriented policies. These include restricting the sales of tobacco and related products and raising the age limit above 18 years. Product standards were used especially to regulate flavours but no measures to substantially reduce addictiveness were reported. Market-oriented measures that tap into industry profits were predominantly missing, and countries often lacked concrete tools to prevent industry interference. Respondents' concerns around tobacco endgame were related to high smoking prevalence in some population groups, non-combustible and new nicotine products, cross-border marketing, political will, challenges with the existing regulations and industry interference. Results indicate both momentum and challenges in adopting and disseminating measures that facilitate achieving tobacco endgame goals. The EU goal can be used to advocate for national endgame goals and measures, and for the strengthened implementation of the WHO Framework Convention on Tobacco Control.","container-title":"Tobacco Control","DOI":"10.1136/tc-2024-058606","ISSN":"1468-3318","journalAbbreviation":"Tob Control","language":"eng","note":"PMID: 38886051","page":"tc-2024-058606","source":"PubMed","title":"Tobacco endgame goals and measures in Europe: current status and future directions","title-short":"Tobacco endgame goals and measures in Europe","author":[{"family":"Ollila","given":"Hanna"},{"family":"Ruokolainen","given":"Otto"},{"family":"Laatikainen","given":"Tiina"},{"family":"Koprivnikar","given":"Helena"},{"literal":"and JATC-2 WP9 co-authors"}],"issued":{"date-parts":[["2024",6,17]]}}}],"schema":"https://github.com/citation-style-language/schema/raw/master/csl-citation.json"} </w:instrText>
      </w:r>
      <w:r>
        <w:fldChar w:fldCharType="separate"/>
      </w:r>
      <w:r w:rsidR="00A5309E" w:rsidRPr="00A5309E">
        <w:rPr>
          <w:rFonts w:ascii="Aptos" w:hAnsi="Aptos"/>
        </w:rPr>
        <w:t>(46)</w:t>
      </w:r>
      <w:r>
        <w:fldChar w:fldCharType="end"/>
      </w:r>
      <w:r w:rsidRPr="00827326">
        <w:t xml:space="preserve"> Overall, however, progress towards achieving this target has slowed</w:t>
      </w:r>
      <w:r>
        <w:t xml:space="preserve"> with smoking prevalence stalled at 17%</w:t>
      </w:r>
      <w:r w:rsidRPr="00827326">
        <w:t xml:space="preserve">. </w:t>
      </w:r>
      <w:r>
        <w:t>Failure to meet the endgame goal</w:t>
      </w:r>
      <w:r w:rsidRPr="00827326">
        <w:t xml:space="preserve"> is important as many new cancer cases would</w:t>
      </w:r>
      <w:r>
        <w:t xml:space="preserve"> have</w:t>
      </w:r>
      <w:r w:rsidRPr="00827326">
        <w:t xml:space="preserve"> be</w:t>
      </w:r>
      <w:r>
        <w:t>en</w:t>
      </w:r>
      <w:r w:rsidRPr="00827326">
        <w:t xml:space="preserve"> prevented over the coming decades</w:t>
      </w:r>
      <w:r w:rsidRPr="00AB0B3E">
        <w:t xml:space="preserve"> if </w:t>
      </w:r>
      <w:r>
        <w:t xml:space="preserve">the </w:t>
      </w:r>
      <w:r w:rsidRPr="00AB0B3E">
        <w:t>target</w:t>
      </w:r>
      <w:r>
        <w:t>ed</w:t>
      </w:r>
      <w:r w:rsidRPr="00AB0B3E">
        <w:t xml:space="preserve"> reductions in</w:t>
      </w:r>
      <w:r>
        <w:t xml:space="preserve"> the</w:t>
      </w:r>
      <w:r w:rsidRPr="00AB0B3E">
        <w:t xml:space="preserve"> </w:t>
      </w:r>
      <w:r w:rsidRPr="00827326">
        <w:t>prevalence of tobacco smoking</w:t>
      </w:r>
      <w:r w:rsidRPr="00AB0B3E">
        <w:t xml:space="preserve"> we</w:t>
      </w:r>
      <w:r w:rsidRPr="009900DA">
        <w:t>re achieved.</w:t>
      </w:r>
      <w:r w:rsidRPr="009900DA">
        <w:fldChar w:fldCharType="begin"/>
      </w:r>
      <w:r w:rsidR="00A5309E">
        <w:instrText xml:space="preserve"> ADDIN ZOTERO_ITEM CSL_CITATION {"citationID":"GLAhOJf1","properties":{"formattedCitation":"(5,84)","plainCitation":"(5,84)","noteIndex":0},"citationItems":[{"id":4,"uris":["http://zotero.org/users/local/fxpU1WWH/items/U3SVGNQA"],"itemData":{"id":4,"type":"webpage","abstract":"This profile identifies strengths, challenges and specific areas of action on cancer prevention and care as part of the European Cancer Inequalities Registry, a flagship initiative of Europe’s Beating Cancer Plan. It provides a short synthesis of: the national cancer burden; risk factors for cancer (focusing on behavioural and environmental risk factors); early detection programmes; and cancer care performance (focusing on accessibility, care quality, costs and quality of life).","container-title":"OECD","language":"en","title":"EU Country Cancer Profile: Ireland 2025","title-short":"EU Country Cancer Profile","URL":"https://www.oecd.org/en/publications/eu-country-cancer-profile-ireland-2025_7d8d0798-en.html","accessed":{"date-parts":[["2025",4,29]]},"issued":{"date-parts":[["2025",2,3]]}}},{"id":186,"uris":["http://zotero.org/users/local/fxpU1WWH/items/EDGX7U48"],"itemData":{"id":186,"type":"article-journal","abstract":"BACKGROUND: Smoking is the leading behavioural risk factor for mortality globally, accounting for more than 175 million deaths and nearly 4·30 billion years of life lost (YLLs) from 1990 to 2021. The pace of decline in smoking prevalence has slowed in recent years for many countries, and although strategies have recently been proposed to achieve tobacco-free generations, none have been implemented to date. Assessing what could happen if current trends in smoking prevalence persist, and what could happen if additional smoking prevalence reductions occur, is important for communicating the effect of potential smoking policies.\nMETHODS: In this analysis, we use the Institute for Health Metrics and Evaluation's Future Health Scenarios platform to forecast the effects of three smoking prevalence scenarios on all-cause and cause-specific YLLs and life expectancy at birth until 2050. YLLs were computed for each scenario using the Global Burden of Disease Study 2021 reference life table and forecasts of cause-specific mortality under each scenario. The reference scenario forecasts what could occur if past smoking prevalence and other risk factor trends continue, the Tobacco Smoking Elimination as of 2023 (Elimination-2023) scenario quantifies the maximum potential future health benefits from assuming zero percent smoking prevalence from 2023 onwards, whereas the Tobacco Smoking Elimination by 2050 (Elimination-2050) scenario provides estimates for countries considering policies to steadily reduce smoking prevalence to 5%. Together, these scenarios underscore the magnitude of health benefits that could be reached by 2050 if countries take decisive action to eliminate smoking. The 95% uncertainty interval (UI) of estimates is based on the 2·5th and 97·5th percentile of draws that were carried through the multistage computational framework.\nFINDINGS: Global age-standardised smoking prevalence was estimated to be 28·5% (95% UI 27·9-29·1) among males and 5·96% (5·76-6·21) among females in 2022. In the reference scenario, smoking prevalence declined by 25·9% (25·2-26·6) among males, and 30·0% (26·1-32·1) among females from 2022 to 2050. Under this scenario, we forecast a cumulative 29·3 billion (95% UI 26·8-32·4) overall YLLs among males and 22·2 billion (20·1-24·6) YLLs among females over this period. Life expectancy at birth under this scenario would increase from 73·6 years (95% UI 72·8-74·4) in 2022 to 78·3 years (75·9-80·3) in 2050. Under our Elimination-2023 scenario, we forecast 2·04 billion (95% UI 1·90-2·21) fewer cumulative YLLs by 2050 compared with the reference scenario, and life expectancy at birth would increase to 77·6 years (95% UI 75·1-79·6) among males and 81·0 years (78·5-83·1) among females. Under our Elimination-2050 scenario, we forecast 735 million (675-808) and 141 million (131-154) cumulative YLLs would be avoided among males and females, respectively. Life expectancy in 2050 would increase to 77·1 years (95% UI 74·6-79·0) among males and 80·8 years (78·3-82·9) among females.\nINTERPRETATION: Existing tobacco policies must be maintained if smoking prevalence is to continue to decline as forecast by the reference scenario. In addition, substantial smoking-attributable burden can be avoided by accelerating the pace of smoking elimination. Implementation of new tobacco control policies are crucial in avoiding additional smoking-attributable burden in the coming decades and to ensure that the gains won over the past three decades are not lost.\nFUNDING: Bloomberg Philanthropies and the Bill &amp; Melinda Gates Foundation.","container-title":"The Lancet. Public Health","DOI":"10.1016/S2468-2667(24)00166-X","ISSN":"2468-2667","issue":"10","journalAbbreviation":"Lancet Public Health","language":"eng","note":"PMID: 39366729\nPMCID: PMC11447278","page":"e729-e744","source":"PubMed","title":"Forecasting the effects of smoking prevalence scenarios on years of life lost and life expectancy from 2022 to 2050: a systematic analysis for the Global Burden of Disease Study 2021","title-short":"Forecasting the effects of smoking prevalence scenarios on years of life lost and life expectancy from 2022 to 2050","volume":"9","author":[{"literal":"GBD 2021 Tobacco Forecasting Collaborators"}],"issued":{"date-parts":[["2024",10]]}}}],"schema":"https://github.com/citation-style-language/schema/raw/master/csl-citation.json"} </w:instrText>
      </w:r>
      <w:r w:rsidRPr="009900DA">
        <w:fldChar w:fldCharType="separate"/>
      </w:r>
      <w:r w:rsidR="00A5309E" w:rsidRPr="00A5309E">
        <w:rPr>
          <w:rFonts w:ascii="Aptos" w:hAnsi="Aptos"/>
        </w:rPr>
        <w:t>(5,84)</w:t>
      </w:r>
      <w:r w:rsidRPr="009900DA">
        <w:fldChar w:fldCharType="end"/>
      </w:r>
      <w:r w:rsidRPr="009900DA">
        <w:t xml:space="preserve"> A 2020 NCRI report estimated that if</w:t>
      </w:r>
      <w:r w:rsidR="00A01230" w:rsidRPr="009900DA">
        <w:t xml:space="preserve"> the</w:t>
      </w:r>
      <w:r w:rsidRPr="009900DA">
        <w:t xml:space="preserve"> endgame goal were to have been achieved</w:t>
      </w:r>
      <w:r w:rsidR="00A01230" w:rsidRPr="009900DA">
        <w:t xml:space="preserve"> by </w:t>
      </w:r>
      <w:r w:rsidRPr="009900DA">
        <w:t xml:space="preserve">2025 this would have resulted in 1,097 fewer cancers </w:t>
      </w:r>
      <w:r w:rsidR="005F36A1" w:rsidRPr="006C1190">
        <w:t>in</w:t>
      </w:r>
      <w:r w:rsidRPr="009900DA">
        <w:t xml:space="preserve"> 2035.</w:t>
      </w:r>
      <w:r w:rsidR="009900DA" w:rsidRPr="006C1190">
        <w:fldChar w:fldCharType="begin"/>
      </w:r>
      <w:r w:rsidR="00A5309E">
        <w:instrText xml:space="preserve"> ADDIN ZOTERO_ITEM CSL_CITATION {"citationID":"a2aqm4ldpiu","properties":{"formattedCitation":"(33)","plainCitation":"(33)","noteIndex":0},"citationItems":[{"id":20,"uris":["http://zotero.org/users/local/fxpU1WWH/items/CGIH3JT2"],"itemData":{"id":20,"type":"webpage","title":"Modifiable risk factors and cancer in Ireland | National Cancer Registry Ireland","URL":"https://www.ncri.ie/publications/statistical-reports/modifiable-risk-factors-and-cancer-ireland","accessed":{"date-parts":[["2025",4,30]]}}}],"schema":"https://github.com/citation-style-language/schema/raw/master/csl-citation.json"} </w:instrText>
      </w:r>
      <w:r w:rsidR="009900DA" w:rsidRPr="006C1190">
        <w:fldChar w:fldCharType="separate"/>
      </w:r>
      <w:r w:rsidR="00A5309E" w:rsidRPr="00A5309E">
        <w:rPr>
          <w:rFonts w:ascii="Aptos" w:hAnsi="Aptos"/>
        </w:rPr>
        <w:t>(33)</w:t>
      </w:r>
      <w:r w:rsidR="009900DA" w:rsidRPr="006C1190">
        <w:fldChar w:fldCharType="end"/>
      </w:r>
    </w:p>
    <w:p w14:paraId="7E7F7898" w14:textId="77777777" w:rsidR="00A27215" w:rsidRPr="00AB0B3E" w:rsidRDefault="00A27215" w:rsidP="00A27215">
      <w:pPr>
        <w:spacing w:after="0" w:line="240" w:lineRule="auto"/>
      </w:pPr>
    </w:p>
    <w:p w14:paraId="7B424A83" w14:textId="77777777" w:rsidR="00A27215" w:rsidRDefault="00A27215" w:rsidP="00A27215">
      <w:pPr>
        <w:spacing w:after="0" w:line="240" w:lineRule="auto"/>
        <w:rPr>
          <w:b/>
          <w:bCs/>
        </w:rPr>
      </w:pPr>
      <w:r w:rsidRPr="2CD7DE35">
        <w:rPr>
          <w:b/>
          <w:bCs/>
        </w:rPr>
        <w:t>Tobacco Control</w:t>
      </w:r>
    </w:p>
    <w:p w14:paraId="393187FD" w14:textId="0F6C50C3" w:rsidR="00A27215" w:rsidRPr="00827326" w:rsidRDefault="00A27215" w:rsidP="00A27215">
      <w:pPr>
        <w:spacing w:after="0" w:line="240" w:lineRule="auto"/>
      </w:pPr>
      <w:r w:rsidRPr="00827326">
        <w:t>Despite having had an endgame target in place since 2013</w:t>
      </w:r>
      <w:r>
        <w:t>,</w:t>
      </w:r>
      <w:r w:rsidRPr="00827326">
        <w:t xml:space="preserve"> a recent </w:t>
      </w:r>
      <w:r>
        <w:t xml:space="preserve">international </w:t>
      </w:r>
      <w:r w:rsidRPr="00827326">
        <w:t xml:space="preserve">analysis suggested that with smoking prevalence above 15% and </w:t>
      </w:r>
      <w:r>
        <w:t>as yet still</w:t>
      </w:r>
      <w:r w:rsidRPr="00827326">
        <w:t xml:space="preserve"> incomplete</w:t>
      </w:r>
      <w:r>
        <w:t xml:space="preserve"> implementation of the recommendations of the WHO Framework Convention on Tobacco Control (FCTC) </w:t>
      </w:r>
      <w:r w:rsidRPr="00827326">
        <w:t xml:space="preserve">Ireland should be considered </w:t>
      </w:r>
      <w:r>
        <w:t>as part of</w:t>
      </w:r>
      <w:r w:rsidRPr="00827326">
        <w:t xml:space="preserve"> a group of countries </w:t>
      </w:r>
      <w:r>
        <w:t>which are</w:t>
      </w:r>
      <w:r w:rsidRPr="00827326">
        <w:t xml:space="preserve"> ‘almost’ endgame ready.</w:t>
      </w:r>
      <w:r>
        <w:fldChar w:fldCharType="begin"/>
      </w:r>
      <w:r w:rsidR="00A5309E">
        <w:instrText xml:space="preserve"> ADDIN ZOTERO_ITEM CSL_CITATION {"citationID":"teNZUnXO","properties":{"formattedCitation":"(85)","plainCitation":"(85)","noteIndex":0},"citationItems":[{"id":174,"uris":["http://zotero.org/users/local/fxpU1WWH/items/4E4IBXGD"],"itemData":{"id":174,"type":"article-journal","container-title":"The Lancet Global Health","DOI":"10.1016/S2214-109X(24)00085-8","ISSN":"2214-109X","issue":"6","journalAbbreviation":"The Lancet Global Health","language":"English","note":"publisher: Elsevier\nPMID: 38762285","page":"e1049-e1058","source":"www.thelancet.com","title":"Which countries are ready for a tobacco endgame? A scoping review and cluster analysis","title-short":"Which countries are ready for a tobacco endgame?","volume":"12","author":[{"family":"Selvan","given":"Sahaana Tamil"},{"family":"Yeo","given":"Xue Xin"},{"family":"Eijk","given":"Yvette","dropping-particle":"van der"}],"issued":{"date-parts":[["2024",6,1]]}}}],"schema":"https://github.com/citation-style-language/schema/raw/master/csl-citation.json"} </w:instrText>
      </w:r>
      <w:r>
        <w:fldChar w:fldCharType="separate"/>
      </w:r>
      <w:r w:rsidR="00A5309E" w:rsidRPr="00A5309E">
        <w:rPr>
          <w:rFonts w:ascii="Aptos" w:hAnsi="Aptos"/>
        </w:rPr>
        <w:t>(85)</w:t>
      </w:r>
      <w:r>
        <w:fldChar w:fldCharType="end"/>
      </w:r>
      <w:r>
        <w:t xml:space="preserve"> Ireland ranked b</w:t>
      </w:r>
      <w:r w:rsidRPr="00827326">
        <w:t xml:space="preserve">ehind countries such as </w:t>
      </w:r>
      <w:r>
        <w:t xml:space="preserve">the UK </w:t>
      </w:r>
      <w:r w:rsidRPr="00827326">
        <w:t xml:space="preserve"> and </w:t>
      </w:r>
      <w:r>
        <w:t>Brazil in endgame measures.</w:t>
      </w:r>
      <w:r>
        <w:fldChar w:fldCharType="begin"/>
      </w:r>
      <w:r w:rsidR="00A5309E">
        <w:instrText xml:space="preserve"> ADDIN ZOTERO_ITEM CSL_CITATION {"citationID":"lc4ECJxu","properties":{"formattedCitation":"(85)","plainCitation":"(85)","noteIndex":0},"citationItems":[{"id":174,"uris":["http://zotero.org/users/local/fxpU1WWH/items/4E4IBXGD"],"itemData":{"id":174,"type":"article-journal","container-title":"The Lancet Global Health","DOI":"10.1016/S2214-109X(24)00085-8","ISSN":"2214-109X","issue":"6","journalAbbreviation":"The Lancet Global Health","language":"English","note":"publisher: Elsevier\nPMID: 38762285","page":"e1049-e1058","source":"www.thelancet.com","title":"Which countries are ready for a tobacco endgame? A scoping review and cluster analysis","title-short":"Which countries are ready for a tobacco endgame?","volume":"12","author":[{"family":"Selvan","given":"Sahaana Tamil"},{"family":"Yeo","given":"Xue Xin"},{"family":"Eijk","given":"Yvette","dropping-particle":"van der"}],"issued":{"date-parts":[["2024",6,1]]}}}],"schema":"https://github.com/citation-style-language/schema/raw/master/csl-citation.json"} </w:instrText>
      </w:r>
      <w:r>
        <w:fldChar w:fldCharType="separate"/>
      </w:r>
      <w:r w:rsidR="00A5309E" w:rsidRPr="00A5309E">
        <w:rPr>
          <w:rFonts w:ascii="Aptos" w:hAnsi="Aptos"/>
        </w:rPr>
        <w:t>(85)</w:t>
      </w:r>
      <w:r>
        <w:fldChar w:fldCharType="end"/>
      </w:r>
      <w:r w:rsidR="00C05236" w:rsidRPr="00C05236">
        <w:t xml:space="preserve"> </w:t>
      </w:r>
      <w:r w:rsidR="00C05236" w:rsidRPr="00DB44D9">
        <w:t xml:space="preserve">While the </w:t>
      </w:r>
      <w:r w:rsidR="00C05236" w:rsidRPr="00C05236">
        <w:t xml:space="preserve">prevalence of </w:t>
      </w:r>
      <w:r w:rsidR="00C05236" w:rsidRPr="00DB44D9">
        <w:t>smok</w:t>
      </w:r>
      <w:r w:rsidR="00C05236" w:rsidRPr="00C05236">
        <w:t>ing</w:t>
      </w:r>
      <w:r w:rsidR="00C05236" w:rsidRPr="00DB44D9">
        <w:t xml:space="preserve"> </w:t>
      </w:r>
      <w:r w:rsidR="00C05236" w:rsidRPr="00C05236">
        <w:t>has</w:t>
      </w:r>
      <w:r w:rsidR="00C05236" w:rsidRPr="00DB44D9">
        <w:t xml:space="preserve"> decreas</w:t>
      </w:r>
      <w:r w:rsidR="00C05236" w:rsidRPr="00C05236">
        <w:t>ed</w:t>
      </w:r>
      <w:r w:rsidR="00933C1D">
        <w:t xml:space="preserve"> in recent decades</w:t>
      </w:r>
      <w:r w:rsidR="00C05236" w:rsidRPr="00DB44D9">
        <w:t>,</w:t>
      </w:r>
      <w:r w:rsidR="00C05236" w:rsidRPr="00C05236">
        <w:t xml:space="preserve"> due to population growth</w:t>
      </w:r>
      <w:r w:rsidR="00C05236" w:rsidRPr="00DB44D9">
        <w:t xml:space="preserve"> the absolute number of </w:t>
      </w:r>
      <w:r w:rsidR="00C05236" w:rsidRPr="00C05236">
        <w:t xml:space="preserve">people who </w:t>
      </w:r>
      <w:r w:rsidR="00C05236" w:rsidRPr="00DB44D9">
        <w:t xml:space="preserve">smoke </w:t>
      </w:r>
      <w:r w:rsidR="00C05236" w:rsidRPr="00C05236">
        <w:t>remains high. T</w:t>
      </w:r>
      <w:r w:rsidR="00C05236" w:rsidRPr="00DB44D9">
        <w:t>he WHO emphasi</w:t>
      </w:r>
      <w:r w:rsidR="00C05236" w:rsidRPr="00C05236">
        <w:t>s</w:t>
      </w:r>
      <w:r w:rsidR="00C05236" w:rsidRPr="00DB44D9">
        <w:t>es the need for stronger action to combat the tobacco epidemic</w:t>
      </w:r>
      <w:r w:rsidR="00C05236" w:rsidRPr="00C05236">
        <w:t>. Without such action</w:t>
      </w:r>
      <w:r w:rsidR="009F720F">
        <w:t>,</w:t>
      </w:r>
      <w:r w:rsidR="00C05236" w:rsidRPr="00C05236">
        <w:t xml:space="preserve"> the burden of tobacco-related cancer will continue to be substantial in the coming decades, reflecting</w:t>
      </w:r>
      <w:r w:rsidR="00C05236" w:rsidRPr="00DB44D9">
        <w:t> </w:t>
      </w:r>
      <w:r w:rsidR="00C05236" w:rsidRPr="00C05236">
        <w:t>the latency between tobacco-smoking and cancer</w:t>
      </w:r>
      <w:r w:rsidR="005241B9">
        <w:t>.</w:t>
      </w:r>
    </w:p>
    <w:p w14:paraId="3C3ACD40" w14:textId="77777777" w:rsidR="00A27215" w:rsidRPr="00827326" w:rsidRDefault="00A27215" w:rsidP="00A27215">
      <w:pPr>
        <w:spacing w:after="0" w:line="240" w:lineRule="auto"/>
      </w:pPr>
    </w:p>
    <w:p w14:paraId="36E0F002" w14:textId="3CC3A3D0" w:rsidR="00A27215" w:rsidRDefault="00A27215" w:rsidP="00A27215">
      <w:pPr>
        <w:spacing w:after="0" w:line="240" w:lineRule="auto"/>
      </w:pPr>
      <w:r>
        <w:t xml:space="preserve">The </w:t>
      </w:r>
      <w:r w:rsidRPr="00833A58">
        <w:t xml:space="preserve">WHO </w:t>
      </w:r>
      <w:r>
        <w:t>provide clear,</w:t>
      </w:r>
      <w:r w:rsidRPr="00833A58">
        <w:t xml:space="preserve"> evidence-based polic</w:t>
      </w:r>
      <w:r>
        <w:t>ies</w:t>
      </w:r>
      <w:r w:rsidRPr="00833A58">
        <w:t xml:space="preserve"> which set out effective user-focused, product-focused and supply-focused </w:t>
      </w:r>
      <w:r>
        <w:t>measures to better enable tobacco</w:t>
      </w:r>
      <w:r w:rsidR="00664417">
        <w:t>-</w:t>
      </w:r>
      <w:r>
        <w:t>control.</w:t>
      </w:r>
      <w:r>
        <w:fldChar w:fldCharType="begin"/>
      </w:r>
      <w:r w:rsidR="00A5309E">
        <w:instrText xml:space="preserve"> ADDIN ZOTERO_ITEM CSL_CITATION {"citationID":"TKAPbqbm","properties":{"formattedCitation":"(43,86)","plainCitation":"(43,86)","noteIndex":0},"citationItems":[{"id":177,"uris":["http://zotero.org/users/local/fxpU1WWH/items/9SF95SJN"],"itemData":{"id":177,"type":"webpage","language":"en","title":"WHO Framework Convention on Tobacco Control (WHO FCTC)","URL":"https://www.who.int/europe/teams/tobacco/who-framework-convention-on-tobacco-control-(who-fctc)","accessed":{"date-parts":[["2025",5,7]]}}},{"id":179,"uris":["http://zotero.org/users/local/fxpU1WWH/items/WZ2H2V3Z"],"itemData":{"id":179,"type":"webpage","abstract":"The WHO Framework Convention on Tobacco Control (WHO FCTC) and its guidelines provide the foundation for countries to implement and manage tobacco control. To help make this a reality, WHO introduced the MPOWER measures. These measures are intended to assist in the country-level implementation of effective interventions to reduce the demand for tobacco, contained in the WHO FCTC.","language":"en","title":"MPOWER","URL":"https://www.who.int/initiatives/mpower","accessed":{"date-parts":[["2025",5,7]]}}}],"schema":"https://github.com/citation-style-language/schema/raw/master/csl-citation.json"} </w:instrText>
      </w:r>
      <w:r>
        <w:fldChar w:fldCharType="separate"/>
      </w:r>
      <w:r w:rsidR="00A5309E" w:rsidRPr="00A5309E">
        <w:rPr>
          <w:rFonts w:ascii="Aptos" w:hAnsi="Aptos"/>
        </w:rPr>
        <w:t>(43,86)</w:t>
      </w:r>
      <w:r>
        <w:fldChar w:fldCharType="end"/>
      </w:r>
      <w:r>
        <w:t xml:space="preserve"> Further innovative ‘endgame’ measures </w:t>
      </w:r>
      <w:r w:rsidR="00BA5964">
        <w:t>including</w:t>
      </w:r>
      <w:r>
        <w:t xml:space="preserve"> reducing tobacco product nicotine content and phasing out tobacco sales have high levels of support among the Irish population.</w:t>
      </w:r>
      <w:r>
        <w:fldChar w:fldCharType="begin"/>
      </w:r>
      <w:r w:rsidR="00A5309E">
        <w:instrText xml:space="preserve"> ADDIN ZOTERO_ITEM CSL_CITATION {"citationID":"cyDunJs5","properties":{"formattedCitation":"(87)","plainCitation":"(87)","noteIndex":0},"citationItems":[{"id":181,"uris":["http://zotero.org/users/local/fxpU1WWH/items/4Z986WWV"],"itemData":{"id":181,"type":"article-journal","abstract":"AIM: Ireland will not meet the tobacco endgame goal set in its 2013 Tobacco-Free Ireland (TFI) policy of reducing smoking prevalence to less than 5% by 2025. Public opinion on tobacco endgame, a key lever to realise this goal, is uncharted in Ireland. This study aimed to measure public knowledge and attitudes to tobacco endgame.\nMETHODS: A telephone-administered cross-sectional survey of 1000 randomly dialled members of the general public was conducted in 2022. Prevalence of awareness, perceived achievability and support for the TFI goal and tobacco endgame measures was calculated and compared across tobacco product use status. Logistic regression identified factors independently associated with goal support.\nFINDINGS: Although TFI goal awareness was low (34.0%), support was high (74.6%), although most (60.2%) believed it achievable beyond 2025. Product-focused measures were popular while support for supply-focused measures was mixed: for example, 86.1% supported nicotine content reduction while 40.3% supported user licencing. Phasing out tobacco sales was highly supported (82.8%); for most, this was contingent on support for currently addicted users. TFI goal support was independently associated with female sex (adjusted odds ratio (aOR) 1.47, 95% CI 1.05 to 2.07), higher education (aOR 1.80, 95%</w:instrText>
      </w:r>
      <w:r w:rsidR="00A5309E">
        <w:rPr>
          <w:rFonts w:ascii="Arial" w:hAnsi="Arial" w:cs="Arial"/>
        </w:rPr>
        <w:instrText> </w:instrText>
      </w:r>
      <w:r w:rsidR="00A5309E">
        <w:instrText>CI 1.21 to 2.66) and non-tobacco product use (aOR 2.67, 95%</w:instrText>
      </w:r>
      <w:r w:rsidR="00A5309E">
        <w:rPr>
          <w:rFonts w:ascii="Arial" w:hAnsi="Arial" w:cs="Arial"/>
        </w:rPr>
        <w:instrText> </w:instrText>
      </w:r>
      <w:r w:rsidR="00A5309E">
        <w:instrText xml:space="preserve">CI 1.66 to 4.30).\nCONCLUSIONS: Despite low awareness, tobacco endgame support is strong in Ireland. Public appetite for radically reducing tobacco product appeal and availability combined with public views on endgame achievability subject to extended timelines should be used to re-invigorate tobacco endgame discussion and planning in countries at risk of failing to meet declared targets.","container-title":"Tobacco Control","DOI":"10.1136/tc-2023-057958","ISSN":"1468-3318","issue":"6","journalAbbreviation":"Tob Control","language":"eng","note":"PMID: 37236784\nPMCID: PMC11503116","page":"807-812","source":"PubMed","title":"Is the public ready for a tobacco-free Ireland? A national survey of public knowledge and attitudes to tobacco endgame in Ireland","title-short":"Is the public ready for a tobacco-free Ireland?","volume":"33","author":[{"family":"Cosgrave","given":"Ellen Juliet"},{"family":"Blake","given":"Martina"},{"family":"Murphy","given":"Edward"},{"family":"Sheridan","given":"Aishling"},{"family":"Doyle","given":"Frank"},{"family":"Kavanagh","given":"Paul"}],"issued":{"date-parts":[["2024",10,19]]}}}],"schema":"https://github.com/citation-style-language/schema/raw/master/csl-citation.json"} </w:instrText>
      </w:r>
      <w:r>
        <w:fldChar w:fldCharType="separate"/>
      </w:r>
      <w:r w:rsidR="00A5309E" w:rsidRPr="00A5309E">
        <w:rPr>
          <w:rFonts w:ascii="Aptos" w:hAnsi="Aptos"/>
        </w:rPr>
        <w:t>(87)</w:t>
      </w:r>
      <w:r>
        <w:fldChar w:fldCharType="end"/>
      </w:r>
      <w:r>
        <w:t xml:space="preserve"> If implemented, s</w:t>
      </w:r>
      <w:r w:rsidRPr="00827326">
        <w:t xml:space="preserve">uch measures would build on </w:t>
      </w:r>
      <w:r>
        <w:t>important legislative change such as</w:t>
      </w:r>
      <w:r w:rsidRPr="00827326">
        <w:t xml:space="preserve"> increas</w:t>
      </w:r>
      <w:r>
        <w:t>ing</w:t>
      </w:r>
      <w:r w:rsidRPr="00827326">
        <w:t xml:space="preserve"> the age </w:t>
      </w:r>
      <w:r w:rsidR="00023460">
        <w:t>limit for</w:t>
      </w:r>
      <w:r w:rsidRPr="00827326">
        <w:t xml:space="preserve"> sale of tobacco to 21</w:t>
      </w:r>
      <w:r>
        <w:t>.</w:t>
      </w:r>
      <w:r>
        <w:fldChar w:fldCharType="begin"/>
      </w:r>
      <w:r w:rsidR="00A5309E">
        <w:instrText xml:space="preserve"> ADDIN ZOTERO_ITEM CSL_CITATION {"citationID":"ReME3Cd2","properties":{"formattedCitation":"(88)","plainCitation":"(88)","noteIndex":0},"citationItems":[{"id":184,"uris":["http://zotero.org/users/local/fxpU1WWH/items/ZMRGBRXV"],"itemData":{"id":184,"type":"webpage","abstract":"The measure is being introduced in order to accelerate the decline in adult smoking prevalence","container-title":"gov.ie","language":"en","title":"Government approves legislation to increase the minimum legal age of sale of tobacco products to 21","URL":"https://gov.ie/en/department-of-health/press-releases/government-approves-legislation-to-increase-the-minimum-legal-age-of-sale-of-tobacco-products-to-21/","accessed":{"date-parts":[["2025",5,7]]}}}],"schema":"https://github.com/citation-style-language/schema/raw/master/csl-citation.json"} </w:instrText>
      </w:r>
      <w:r>
        <w:fldChar w:fldCharType="separate"/>
      </w:r>
      <w:r w:rsidR="00A5309E" w:rsidRPr="00A5309E">
        <w:rPr>
          <w:rFonts w:ascii="Aptos" w:hAnsi="Aptos"/>
        </w:rPr>
        <w:t>(88)</w:t>
      </w:r>
      <w:r>
        <w:fldChar w:fldCharType="end"/>
      </w:r>
    </w:p>
    <w:p w14:paraId="6E645BCF" w14:textId="77777777" w:rsidR="00A27215" w:rsidRPr="00827326" w:rsidRDefault="00A27215" w:rsidP="00A27215">
      <w:pPr>
        <w:spacing w:after="0" w:line="240" w:lineRule="auto"/>
      </w:pPr>
    </w:p>
    <w:p w14:paraId="1B23014C" w14:textId="77777777" w:rsidR="00A27215" w:rsidRPr="00291A96" w:rsidRDefault="00A27215" w:rsidP="00A27215">
      <w:pPr>
        <w:spacing w:after="0" w:line="240" w:lineRule="auto"/>
        <w:rPr>
          <w:b/>
          <w:bCs/>
        </w:rPr>
      </w:pPr>
      <w:r w:rsidRPr="00291A96">
        <w:rPr>
          <w:b/>
          <w:bCs/>
        </w:rPr>
        <w:t>Cancer Control</w:t>
      </w:r>
    </w:p>
    <w:p w14:paraId="28F58612" w14:textId="22FEFA33" w:rsidR="00A27215" w:rsidRPr="00827326" w:rsidRDefault="00A27215" w:rsidP="00A27215">
      <w:pPr>
        <w:spacing w:after="0" w:line="240" w:lineRule="auto"/>
      </w:pPr>
      <w:r>
        <w:t xml:space="preserve">The findings of this report underscore the centrality of tobacco-control to cancer control in Ireland. The current </w:t>
      </w:r>
      <w:r w:rsidR="00A01230">
        <w:t>N</w:t>
      </w:r>
      <w:r>
        <w:t xml:space="preserve">ational </w:t>
      </w:r>
      <w:r w:rsidR="00A01230">
        <w:t>C</w:t>
      </w:r>
      <w:r>
        <w:t xml:space="preserve">ancer </w:t>
      </w:r>
      <w:r w:rsidR="00A01230">
        <w:t>S</w:t>
      </w:r>
      <w:r>
        <w:t>trategy published in 2017 committed to the tobacco endgame target. This target was endorsed at European level in 2021 as part of Europe’s Beating Cancer Plan. The development of any new national cancer strategy must be used to commit to accelerating efforts to achieve the tobacco endgame in Ireland. Further, service measures such as improving provision and uptake of existing evidence</w:t>
      </w:r>
      <w:r w:rsidRPr="2CD7DE35">
        <w:rPr>
          <w:rFonts w:ascii="Cambria Math" w:hAnsi="Cambria Math" w:cs="Cambria Math"/>
        </w:rPr>
        <w:t>‐</w:t>
      </w:r>
      <w:r>
        <w:t xml:space="preserve">based smoking cessation support </w:t>
      </w:r>
      <w:r w:rsidR="00A01230">
        <w:t>(</w:t>
      </w:r>
      <w:r>
        <w:t>and ensuring these are responsive to the needs of vulnerable populations</w:t>
      </w:r>
      <w:r w:rsidR="00A01230">
        <w:t>)</w:t>
      </w:r>
      <w:r>
        <w:t xml:space="preserve"> should be a focus of investment.</w:t>
      </w:r>
    </w:p>
    <w:p w14:paraId="6E2522A0" w14:textId="77777777" w:rsidR="00A27215" w:rsidRDefault="00A27215" w:rsidP="00A27215">
      <w:pPr>
        <w:spacing w:after="0" w:line="240" w:lineRule="auto"/>
        <w:rPr>
          <w:b/>
          <w:bCs/>
        </w:rPr>
      </w:pPr>
    </w:p>
    <w:p w14:paraId="21AE35E9" w14:textId="77777777" w:rsidR="00A27215" w:rsidRPr="00291A96" w:rsidRDefault="00A27215" w:rsidP="00A27215">
      <w:pPr>
        <w:spacing w:after="0" w:line="240" w:lineRule="auto"/>
        <w:rPr>
          <w:b/>
          <w:bCs/>
        </w:rPr>
      </w:pPr>
      <w:r w:rsidRPr="2CD7DE35">
        <w:rPr>
          <w:b/>
          <w:bCs/>
        </w:rPr>
        <w:t>Tackling health inequalities</w:t>
      </w:r>
    </w:p>
    <w:p w14:paraId="3356E0C5" w14:textId="3BA86823" w:rsidR="00A27215" w:rsidRDefault="00A27215" w:rsidP="00A27215">
      <w:pPr>
        <w:spacing w:after="0" w:line="240" w:lineRule="auto"/>
      </w:pPr>
      <w:r>
        <w:t xml:space="preserve">This report </w:t>
      </w:r>
      <w:r w:rsidRPr="002069D1">
        <w:t>highlight</w:t>
      </w:r>
      <w:r>
        <w:t>s</w:t>
      </w:r>
      <w:r w:rsidRPr="002069D1">
        <w:t xml:space="preserve"> inequalities </w:t>
      </w:r>
      <w:r>
        <w:t>in tobacco-related cancer incidence by</w:t>
      </w:r>
      <w:r w:rsidRPr="002069D1">
        <w:t xml:space="preserve"> </w:t>
      </w:r>
      <w:r>
        <w:t>sex</w:t>
      </w:r>
      <w:r w:rsidRPr="002069D1">
        <w:t xml:space="preserve"> and area-level socioeconomic deprivation</w:t>
      </w:r>
      <w:r>
        <w:t xml:space="preserve">. These disparities generally mirror </w:t>
      </w:r>
      <w:r w:rsidRPr="00AB0B3E">
        <w:t xml:space="preserve">disparities in cigarette smoking prevalence by </w:t>
      </w:r>
      <w:r>
        <w:t>gender</w:t>
      </w:r>
      <w:r w:rsidRPr="00AB0B3E">
        <w:t xml:space="preserve"> and socioeconomic </w:t>
      </w:r>
      <w:r>
        <w:t xml:space="preserve">position. The </w:t>
      </w:r>
      <w:r w:rsidR="00A01230">
        <w:t>N</w:t>
      </w:r>
      <w:r>
        <w:t xml:space="preserve">ational </w:t>
      </w:r>
      <w:r w:rsidR="00A01230">
        <w:t>C</w:t>
      </w:r>
      <w:r>
        <w:t xml:space="preserve">ancer </w:t>
      </w:r>
      <w:r w:rsidR="00A01230">
        <w:t>S</w:t>
      </w:r>
      <w:r>
        <w:t>trategy placed tackling inequalities in incidence and survival at the heart of cancer control policy. Such inequalities may also be effectively targeted through accelerated efforts to advance tobacco control. The evidence base supports a pro-equity effect for price increases on tobacco products and targeted smoking cessation support.</w:t>
      </w:r>
      <w:r>
        <w:fldChar w:fldCharType="begin"/>
      </w:r>
      <w:r w:rsidR="00A5309E">
        <w:instrText xml:space="preserve"> ADDIN ZOTERO_ITEM CSL_CITATION {"citationID":"CuSCUv6Q","properties":{"formattedCitation":"(89)","plainCitation":"(89)","noteIndex":0},"citationItems":[{"id":211,"uris":["http://zotero.org/users/local/fxpU1WWH/items/EYYHNJAB"],"itemData":{"id":211,"type":"article-journal","abstract":"BACKGROUND: While price increases and targeted cessation support have been found to reduce inequalities in smoking by socioeconomic status (SES), evidence on other measures is mixed. We aimed to update the most recent (2014) previous review by identifying and appraising evidence published since 2013 on the equity impact of population tobacco control measures.\nMETHODS: Systematic searching of 10 electronic databases and hand-searching of four key journals identified 68 primary research articles published since 2013 that sought to examine the equity impact of population tobacco control measures in high-income countries with a negative socioeconomic gradient in smoking. Reported equity impacts were categorised as positive (greater impact among lower SES), neutral (no difference by SES), negative (greater impact among higher SES) or mixed/unclear.\nRESULTS: There was substantial growth in research seeking to evaluate the equity impact of tobacco control interventions, but the majority of new studies showed mixed/unclear results. Findings for price increases and targeted cessation support continue to suggest an equity-positive impact, but limitations in the available evidence make further assessment difficult. Substantial differences in the context, scale and implementation of tobacco control policies make straightforward comparison of findings from the previous 2014 and current reviews problematic.\nCONCLUSION: Researchers need to adopt more sophisticated, multidisciplinary approaches in evaluating the equity impact of tobacco control measures-developing robust measures of equity effect and using frameworks that take account of context, existing systems/processes and the likely mechanisms of action. Socioeconomic differences in intervention impact within low-income and middle-income countries require evaluation.","container-title":"Tobacco Control","DOI":"10.1136/tobaccocontrol-2020-055874","ISSN":"1468-3318","issue":"e2","journalAbbreviation":"Tob Control","language":"eng","note":"PMID: 32994297\nPMCID: PMC8666809","page":"e87-95","source":"PubMed","title":"Impact of population tobacco control interventions on socioeconomic inequalities in smoking: a systematic review and appraisal of future research directions","title-short":"Impact of population tobacco control interventions on socioeconomic inequalities in smoking","volume":"30","author":[{"family":"Smith","given":"Caroline E."},{"family":"Hill","given":"Sarah E."},{"family":"Amos","given":"Amanda"}],"issued":{"date-parts":[["2020",9,29]]}}}],"schema":"https://github.com/citation-style-language/schema/raw/master/csl-citation.json"} </w:instrText>
      </w:r>
      <w:r>
        <w:fldChar w:fldCharType="separate"/>
      </w:r>
      <w:r w:rsidR="00A5309E" w:rsidRPr="00A5309E">
        <w:rPr>
          <w:rFonts w:ascii="Aptos" w:hAnsi="Aptos"/>
        </w:rPr>
        <w:t>(89)</w:t>
      </w:r>
      <w:r>
        <w:fldChar w:fldCharType="end"/>
      </w:r>
      <w:r>
        <w:t xml:space="preserve"> Further, inequalities in tobacco-smoking and cancer incidence by sex</w:t>
      </w:r>
      <w:r w:rsidRPr="00884FAE">
        <w:t xml:space="preserve"> highlight the need for gender-specific – and indeed </w:t>
      </w:r>
      <w:r>
        <w:t>‘</w:t>
      </w:r>
      <w:r w:rsidRPr="00884FAE">
        <w:t>gender responsive</w:t>
      </w:r>
      <w:r>
        <w:t>’</w:t>
      </w:r>
      <w:r w:rsidRPr="00884FAE">
        <w:t xml:space="preserve"> </w:t>
      </w:r>
      <w:r>
        <w:t>- s</w:t>
      </w:r>
      <w:r w:rsidRPr="00EA642E">
        <w:t>moking prevention and smoking cessation strategies as advocated for in the European region by the WHO.</w:t>
      </w:r>
      <w:r>
        <w:fldChar w:fldCharType="begin"/>
      </w:r>
      <w:r w:rsidR="00A5309E">
        <w:instrText xml:space="preserve"> ADDIN ZOTERO_ITEM CSL_CITATION {"citationID":"dzDRTXfO","properties":{"formattedCitation":"(12,13)","plainCitation":"(12,13)","noteIndex":0},"citationItems":[{"id":82,"uris":["http://zotero.org/users/local/fxpU1WWH/items/C9MZN9NT"],"itemData":{"id":82,"type":"webpage","container-title":"HSE.ie","language":"en","title":"Tobacco Free Ireland Programme","URL":"https://www.hse.ie/eng/about/who/tobaccocontrol/tobaccocontrolprogramme.html","accessed":{"date-parts":[["2025",4,30]]}}},{"id":68,"uris":["http://zotero.org/users/local/fxpU1WWH/items/3CU82PT3"],"itemData":{"id":68,"type":"report","abstract":"Publicaciones de la Organización Mundial de la Salud","language":"en","title":"Through a gender lens: women and tobacco in the WHO European Region","title-short":"Through a gender lens","URL":"https://www.who.int/europe/publications/i/item/WHO-EURO-2021-1847-41598-56811","author":[{"literal":"WHO"}],"accessed":{"date-parts":[["2025",4,30]]},"issued":{"date-parts":[["2021"]]}}}],"schema":"https://github.com/citation-style-language/schema/raw/master/csl-citation.json"} </w:instrText>
      </w:r>
      <w:r>
        <w:fldChar w:fldCharType="separate"/>
      </w:r>
      <w:r w:rsidR="00A5309E" w:rsidRPr="00A5309E">
        <w:rPr>
          <w:rFonts w:ascii="Aptos" w:hAnsi="Aptos"/>
        </w:rPr>
        <w:t>(12,13)</w:t>
      </w:r>
      <w:r>
        <w:fldChar w:fldCharType="end"/>
      </w:r>
      <w:r w:rsidRPr="00EA642E">
        <w:t xml:space="preserve">  </w:t>
      </w:r>
    </w:p>
    <w:p w14:paraId="26F9B717" w14:textId="77777777" w:rsidR="00A27215" w:rsidRDefault="00A27215" w:rsidP="00A27215">
      <w:pPr>
        <w:spacing w:after="0" w:line="240" w:lineRule="auto"/>
      </w:pPr>
    </w:p>
    <w:p w14:paraId="54F1B8CF" w14:textId="741095FA" w:rsidR="00A27215" w:rsidRDefault="00A27215" w:rsidP="00A27215">
      <w:pPr>
        <w:pStyle w:val="Heading1"/>
        <w:spacing w:before="0" w:after="0" w:line="240" w:lineRule="auto"/>
        <w:rPr>
          <w:lang w:eastAsia="en-GB"/>
        </w:rPr>
      </w:pPr>
      <w:bookmarkStart w:id="420" w:name="_Toc196991634"/>
      <w:bookmarkStart w:id="421" w:name="_Toc197557196"/>
      <w:bookmarkStart w:id="422" w:name="_Toc201512587"/>
      <w:r>
        <w:rPr>
          <w:lang w:eastAsia="en-GB"/>
        </w:rPr>
        <w:t>Conclusion</w:t>
      </w:r>
      <w:bookmarkEnd w:id="420"/>
      <w:bookmarkEnd w:id="421"/>
      <w:bookmarkEnd w:id="422"/>
    </w:p>
    <w:p w14:paraId="584BB3AA" w14:textId="323219F0" w:rsidR="00A27215" w:rsidRPr="000A29A2" w:rsidRDefault="00A27215" w:rsidP="00A27215">
      <w:pPr>
        <w:pStyle w:val="NormalWeb"/>
        <w:spacing w:before="0" w:beforeAutospacing="0" w:after="0" w:afterAutospacing="0"/>
        <w:rPr>
          <w:rFonts w:asciiTheme="minorHAnsi" w:eastAsiaTheme="minorHAnsi" w:hAnsiTheme="minorHAnsi" w:cstheme="minorBidi"/>
          <w:kern w:val="2"/>
          <w:lang w:eastAsia="en-US"/>
          <w14:ligatures w14:val="standardContextual"/>
        </w:rPr>
      </w:pPr>
      <w:r w:rsidRPr="00C43548">
        <w:rPr>
          <w:rFonts w:asciiTheme="minorHAnsi" w:eastAsiaTheme="minorHAnsi" w:hAnsiTheme="minorHAnsi" w:cstheme="minorBidi"/>
          <w:kern w:val="2"/>
          <w:lang w:eastAsia="en-US"/>
          <w14:ligatures w14:val="standardContextual"/>
        </w:rPr>
        <w:t xml:space="preserve">In common with other high-income settings, the findings of this report underscore the extent to which tobacco remains the leading </w:t>
      </w:r>
      <w:r w:rsidR="00A01230">
        <w:rPr>
          <w:rFonts w:asciiTheme="minorHAnsi" w:eastAsiaTheme="minorHAnsi" w:hAnsiTheme="minorHAnsi" w:cstheme="minorBidi"/>
          <w:kern w:val="2"/>
          <w:lang w:eastAsia="en-US"/>
          <w14:ligatures w14:val="standardContextual"/>
        </w:rPr>
        <w:t xml:space="preserve">preventable </w:t>
      </w:r>
      <w:r w:rsidRPr="00C43548">
        <w:rPr>
          <w:rFonts w:asciiTheme="minorHAnsi" w:eastAsiaTheme="minorHAnsi" w:hAnsiTheme="minorHAnsi" w:cstheme="minorBidi"/>
          <w:kern w:val="2"/>
          <w:lang w:eastAsia="en-US"/>
          <w14:ligatures w14:val="standardContextual"/>
        </w:rPr>
        <w:t>cause of cancer incidence</w:t>
      </w:r>
      <w:r>
        <w:rPr>
          <w:rFonts w:asciiTheme="minorHAnsi" w:eastAsiaTheme="minorHAnsi" w:hAnsiTheme="minorHAnsi" w:cstheme="minorBidi"/>
          <w:kern w:val="2"/>
          <w:lang w:eastAsia="en-US"/>
          <w14:ligatures w14:val="standardContextual"/>
        </w:rPr>
        <w:t xml:space="preserve"> in Ireland.</w:t>
      </w:r>
      <w:r w:rsidRPr="000A29A2">
        <w:rPr>
          <w:rFonts w:asciiTheme="minorHAnsi" w:eastAsiaTheme="minorHAnsi" w:hAnsiTheme="minorHAnsi" w:cstheme="minorBidi"/>
          <w:kern w:val="2"/>
          <w:lang w:eastAsia="en-US"/>
          <w14:ligatures w14:val="standardContextual"/>
        </w:rPr>
        <w:t xml:space="preserve"> These results highlight the </w:t>
      </w:r>
      <w:r>
        <w:rPr>
          <w:rFonts w:asciiTheme="minorHAnsi" w:eastAsiaTheme="minorHAnsi" w:hAnsiTheme="minorHAnsi" w:cstheme="minorBidi"/>
          <w:kern w:val="2"/>
          <w:lang w:eastAsia="en-US"/>
          <w14:ligatures w14:val="standardContextual"/>
        </w:rPr>
        <w:t>primacy</w:t>
      </w:r>
      <w:r w:rsidRPr="000A29A2">
        <w:rPr>
          <w:rFonts w:asciiTheme="minorHAnsi" w:eastAsiaTheme="minorHAnsi" w:hAnsiTheme="minorHAnsi" w:cstheme="minorBidi"/>
          <w:kern w:val="2"/>
          <w:lang w:eastAsia="en-US"/>
          <w14:ligatures w14:val="standardContextual"/>
        </w:rPr>
        <w:t xml:space="preserve"> of continued</w:t>
      </w:r>
      <w:r w:rsidR="00A01230">
        <w:rPr>
          <w:rFonts w:asciiTheme="minorHAnsi" w:eastAsiaTheme="minorHAnsi" w:hAnsiTheme="minorHAnsi" w:cstheme="minorBidi"/>
          <w:kern w:val="2"/>
          <w:lang w:eastAsia="en-US"/>
          <w14:ligatures w14:val="standardContextual"/>
        </w:rPr>
        <w:t xml:space="preserve">, </w:t>
      </w:r>
      <w:r>
        <w:rPr>
          <w:rFonts w:asciiTheme="minorHAnsi" w:eastAsiaTheme="minorHAnsi" w:hAnsiTheme="minorHAnsi" w:cstheme="minorBidi"/>
          <w:kern w:val="2"/>
          <w:lang w:eastAsia="en-US"/>
          <w14:ligatures w14:val="standardContextual"/>
        </w:rPr>
        <w:t>and accelerated</w:t>
      </w:r>
      <w:r w:rsidR="00A01230">
        <w:rPr>
          <w:rFonts w:asciiTheme="minorHAnsi" w:eastAsiaTheme="minorHAnsi" w:hAnsiTheme="minorHAnsi" w:cstheme="minorBidi"/>
          <w:kern w:val="2"/>
          <w:lang w:eastAsia="en-US"/>
          <w14:ligatures w14:val="standardContextual"/>
        </w:rPr>
        <w:t>,</w:t>
      </w:r>
      <w:r>
        <w:rPr>
          <w:rFonts w:asciiTheme="minorHAnsi" w:eastAsiaTheme="minorHAnsi" w:hAnsiTheme="minorHAnsi" w:cstheme="minorBidi"/>
          <w:kern w:val="2"/>
          <w:lang w:eastAsia="en-US"/>
          <w14:ligatures w14:val="standardContextual"/>
        </w:rPr>
        <w:t xml:space="preserve"> </w:t>
      </w:r>
      <w:r w:rsidRPr="000A29A2">
        <w:rPr>
          <w:rFonts w:asciiTheme="minorHAnsi" w:eastAsiaTheme="minorHAnsi" w:hAnsiTheme="minorHAnsi" w:cstheme="minorBidi"/>
          <w:kern w:val="2"/>
          <w:lang w:eastAsia="en-US"/>
          <w14:ligatures w14:val="standardContextual"/>
        </w:rPr>
        <w:t>efforts to reduce tobacco smoking in Ireland</w:t>
      </w:r>
      <w:r>
        <w:rPr>
          <w:rFonts w:asciiTheme="minorHAnsi" w:eastAsiaTheme="minorHAnsi" w:hAnsiTheme="minorHAnsi" w:cstheme="minorBidi"/>
          <w:kern w:val="2"/>
          <w:lang w:eastAsia="en-US"/>
          <w14:ligatures w14:val="standardContextual"/>
        </w:rPr>
        <w:t xml:space="preserve"> to achieve cancer control in Ireland.</w:t>
      </w:r>
    </w:p>
    <w:p w14:paraId="6B38721F" w14:textId="77777777" w:rsidR="00A27215" w:rsidRPr="00C82D4D" w:rsidRDefault="00A27215" w:rsidP="00A27215">
      <w:pPr>
        <w:rPr>
          <w:rFonts w:ascii="Merriweather" w:hAnsi="Merriweather"/>
          <w:color w:val="2A2A2A"/>
          <w:sz w:val="23"/>
          <w:szCs w:val="23"/>
          <w:shd w:val="clear" w:color="auto" w:fill="FFFFFF"/>
        </w:rPr>
      </w:pPr>
    </w:p>
    <w:p w14:paraId="6F7F08A5" w14:textId="77777777" w:rsidR="00A27215" w:rsidRPr="00904C34" w:rsidRDefault="00A27215" w:rsidP="00A27215">
      <w:pPr>
        <w:sectPr w:rsidR="00A27215" w:rsidRPr="00904C34" w:rsidSect="002746C0">
          <w:pgSz w:w="11906" w:h="16838"/>
          <w:pgMar w:top="1440" w:right="1440" w:bottom="1440" w:left="1440" w:header="708" w:footer="708" w:gutter="0"/>
          <w:cols w:space="708"/>
          <w:docGrid w:linePitch="360"/>
        </w:sectPr>
      </w:pPr>
    </w:p>
    <w:p w14:paraId="777B85AB" w14:textId="77777777" w:rsidR="00A27215" w:rsidRPr="00585DAD" w:rsidRDefault="00A27215" w:rsidP="00C13E0E">
      <w:pPr>
        <w:pStyle w:val="Heading1"/>
        <w:spacing w:before="0"/>
      </w:pPr>
      <w:bookmarkStart w:id="423" w:name="_Toc194488681"/>
      <w:bookmarkStart w:id="424" w:name="_Toc196991635"/>
      <w:bookmarkStart w:id="425" w:name="_Toc197557197"/>
      <w:bookmarkStart w:id="426" w:name="_Toc201512588"/>
      <w:r w:rsidRPr="00585DAD">
        <w:t>References</w:t>
      </w:r>
      <w:bookmarkEnd w:id="423"/>
      <w:bookmarkEnd w:id="424"/>
      <w:bookmarkEnd w:id="425"/>
      <w:bookmarkEnd w:id="426"/>
    </w:p>
    <w:p w14:paraId="64BA3173" w14:textId="77777777" w:rsidR="00A5309E" w:rsidRDefault="00C80DB4" w:rsidP="00CD71C7">
      <w:pPr>
        <w:pStyle w:val="Bibliography"/>
      </w:pPr>
      <w:r>
        <w:fldChar w:fldCharType="begin"/>
      </w:r>
      <w:r w:rsidR="00A5309E">
        <w:instrText xml:space="preserve"> ADDIN ZOTERO_BIBL {"uncited":[],"omitted":[],"custom":[]} CSL_BIBLIOGRAPHY </w:instrText>
      </w:r>
      <w:r>
        <w:fldChar w:fldCharType="separate"/>
      </w:r>
      <w:r w:rsidR="00A5309E">
        <w:t>1.</w:t>
      </w:r>
      <w:r w:rsidR="00A5309E">
        <w:tab/>
        <w:t>World Cancer Day: know the facts – tobacco and alcohol both cause cancer [Internet]. [cited 2025 Apr 30]. Available from: https://www.who.int/europe/news/item/03-02-2021-world-cancer-day-know-the-facts-tobacco-and-alcohol-both-cause-cancer</w:t>
      </w:r>
    </w:p>
    <w:p w14:paraId="560801B6" w14:textId="77777777" w:rsidR="00A5309E" w:rsidRDefault="00A5309E" w:rsidP="00CD71C7">
      <w:pPr>
        <w:pStyle w:val="Bibliography"/>
      </w:pPr>
      <w:r>
        <w:t>2.</w:t>
      </w:r>
      <w:r>
        <w:tab/>
        <w:t>gov.ie [Internet]. [cited 2025 Apr 30]. Healthy Ireland Survey 2024. Available from: https://gov.ie/en/healthy-ireland/publications/healthy-ireland-survey-2024/</w:t>
      </w:r>
    </w:p>
    <w:p w14:paraId="0C368367" w14:textId="77777777" w:rsidR="00A5309E" w:rsidRDefault="00A5309E" w:rsidP="00CD71C7">
      <w:pPr>
        <w:pStyle w:val="Bibliography"/>
      </w:pPr>
      <w:r>
        <w:t>3.</w:t>
      </w:r>
      <w:r>
        <w:tab/>
        <w:t>Smoking Prevalence and Cigarette Consumption in 187 Countries, 1980-2012 | Tobacco and e-Cigarettes | JAMA | JAMA Network [Internet]. [cited 2025 Apr 30]. Available from: https://jamanetwork.com/journals/jama/fullarticle/1812960</w:t>
      </w:r>
    </w:p>
    <w:p w14:paraId="225BC98E" w14:textId="77777777" w:rsidR="00A5309E" w:rsidRDefault="00A5309E" w:rsidP="00CD71C7">
      <w:pPr>
        <w:pStyle w:val="Bibliography"/>
      </w:pPr>
      <w:r>
        <w:t>4.</w:t>
      </w:r>
      <w:r>
        <w:tab/>
        <w:t>Healthy Ireland survey 2023 - summary report. [Internet]. Dublin: Healthy Ireland, Department of Health; 2023 Nov [cited 2025 Apr 30]. Available from: https://www.drugsandalcohol.ie/39977/</w:t>
      </w:r>
    </w:p>
    <w:p w14:paraId="36501CD6" w14:textId="77777777" w:rsidR="00A5309E" w:rsidRDefault="00A5309E" w:rsidP="00CD71C7">
      <w:pPr>
        <w:pStyle w:val="Bibliography"/>
      </w:pPr>
      <w:r>
        <w:t>5.</w:t>
      </w:r>
      <w:r>
        <w:tab/>
        <w:t>OECD [Internet]. 2025 [cited 2025 Apr 29]. EU Country Cancer Profile: Ireland 2025. Available from: https://www.oecd.org/en/publications/eu-country-cancer-profile-ireland-2025_7d8d0798-en.html</w:t>
      </w:r>
    </w:p>
    <w:p w14:paraId="3A6F05D3" w14:textId="77777777" w:rsidR="00A5309E" w:rsidRDefault="00A5309E" w:rsidP="00CD71C7">
      <w:pPr>
        <w:pStyle w:val="Bibliography"/>
      </w:pPr>
      <w:r>
        <w:t>6.</w:t>
      </w:r>
      <w:r>
        <w:tab/>
        <w:t>Tobacco consumption statistics [Internet]. [cited 2025 Apr 30]. Available from: https://ec.europa.eu/eurostat/statistics-explained/index.php?title=Tobacco_consumption_statistics</w:t>
      </w:r>
    </w:p>
    <w:p w14:paraId="503F3F73" w14:textId="77777777" w:rsidR="00A5309E" w:rsidRDefault="00A5309E" w:rsidP="00CD71C7">
      <w:pPr>
        <w:pStyle w:val="Bibliography"/>
      </w:pPr>
      <w:r>
        <w:t>7.</w:t>
      </w:r>
      <w:r>
        <w:tab/>
        <w:t>Cancer Incidence Projections for Ireland 2020-2045 | National Cancer Registry Ireland [Internet]. 2019 [cited 2025 Jun 22]. Available from: https://www.ncri.ie/en/reports-publications/reports/cancer-incidence-projections-for-ireland-2020-2045</w:t>
      </w:r>
    </w:p>
    <w:p w14:paraId="257209C7" w14:textId="77777777" w:rsidR="00A5309E" w:rsidRDefault="00A5309E" w:rsidP="00CD71C7">
      <w:pPr>
        <w:pStyle w:val="Bibliography"/>
      </w:pPr>
      <w:r>
        <w:t>8.</w:t>
      </w:r>
      <w:r>
        <w:tab/>
        <w:t>Society Measuring Ireland’s Progress 2023 - Central Statistics Office [Internet]. CSO; 2025 [cited 2025 Jun 22]. Available from: https://www.cso.ie/en/releasesandpublications/ep/p-mip/measuringirelandsprogress2023/society/</w:t>
      </w:r>
    </w:p>
    <w:p w14:paraId="22EDD975" w14:textId="77777777" w:rsidR="00A5309E" w:rsidRDefault="00A5309E" w:rsidP="00CD71C7">
      <w:pPr>
        <w:pStyle w:val="Bibliography"/>
      </w:pPr>
      <w:r>
        <w:t>9.</w:t>
      </w:r>
      <w:r>
        <w:tab/>
        <w:t>Global Burden of Disease Collaborative Network. Global Burden of Disease Study 2019 (GBD 2019) Smoking Tobacco Use Prevalence 1990-2019 [Internet]. Institute for Health Metrics and Evaluation (IHME); 2021 [cited 2025 Apr 30]. Available from: http://ghdx.healthdata.org/record/ihme-data/gbd-2019-smoking-tobacco-use-prevalence-1990-2019</w:t>
      </w:r>
    </w:p>
    <w:p w14:paraId="19BC1FE5" w14:textId="77777777" w:rsidR="00A5309E" w:rsidRDefault="00A5309E" w:rsidP="00CD71C7">
      <w:pPr>
        <w:pStyle w:val="Bibliography"/>
      </w:pPr>
      <w:r>
        <w:t>10.</w:t>
      </w:r>
      <w:r>
        <w:tab/>
        <w:t>Healthy Ireland survey 2019 summary of findings. [Internet]. Dublin: Government Publications; 2019 Nov [cited 2025 Jun 5]. Available from: https://www.drugsandalcohol.ie/31349/</w:t>
      </w:r>
    </w:p>
    <w:p w14:paraId="6120451E" w14:textId="77777777" w:rsidR="00A5309E" w:rsidRDefault="00A5309E" w:rsidP="00CD71C7">
      <w:pPr>
        <w:pStyle w:val="Bibliography"/>
      </w:pPr>
      <w:r>
        <w:t>11.</w:t>
      </w:r>
      <w:r>
        <w:tab/>
        <w:t>Freedman ND, Thun MJ, Phillips DH, Sauvaget C. Tobacco products. In: World Cancer Report: Cancer research for cancer prevention [Internet]. International Agency for Research on Cancer; 2020 [cited 2025 Apr 30]. Available from: https://www.ncbi.nlm.nih.gov/books/NBK606465/</w:t>
      </w:r>
    </w:p>
    <w:p w14:paraId="2E088131" w14:textId="77777777" w:rsidR="00A5309E" w:rsidRDefault="00A5309E" w:rsidP="00CD71C7">
      <w:pPr>
        <w:pStyle w:val="Bibliography"/>
      </w:pPr>
      <w:r>
        <w:t>12.</w:t>
      </w:r>
      <w:r>
        <w:tab/>
        <w:t>HSE.ie [Internet]. [cited 2025 Apr 30]. Tobacco Free Ireland Programme. Available from: https://www.hse.ie/eng/about/who/tobaccocontrol/tobaccocontrolprogramme.html</w:t>
      </w:r>
    </w:p>
    <w:p w14:paraId="175100DB" w14:textId="77777777" w:rsidR="00A5309E" w:rsidRDefault="00A5309E" w:rsidP="00CD71C7">
      <w:pPr>
        <w:pStyle w:val="Bibliography"/>
      </w:pPr>
      <w:r>
        <w:t>13.</w:t>
      </w:r>
      <w:r>
        <w:tab/>
        <w:t>WHO. Through a gender lens: women and tobacco in the WHO European Region [Internet]. 2021 [cited 2025 Apr 30]. Available from: https://www.who.int/europe/publications/i/item/WHO-EURO-2021-1847-41598-56811</w:t>
      </w:r>
    </w:p>
    <w:p w14:paraId="199A930C" w14:textId="77777777" w:rsidR="00A5309E" w:rsidRDefault="00A5309E" w:rsidP="00CD71C7">
      <w:pPr>
        <w:pStyle w:val="Bibliography"/>
      </w:pPr>
      <w:r>
        <w:t>14.</w:t>
      </w:r>
      <w:r>
        <w:tab/>
        <w:t>Smoking Profile - Smoking and inequalities | Fingertips | Department of Health and Social Care [Internet]. [cited 2025 Jun 4]. Available from: https://fingertips.phe.org.uk/profile/tobacco-control/supporting-information/smokingandinequalities</w:t>
      </w:r>
    </w:p>
    <w:p w14:paraId="5A0803C2" w14:textId="77777777" w:rsidR="00A5309E" w:rsidRDefault="00A5309E" w:rsidP="00CD71C7">
      <w:pPr>
        <w:pStyle w:val="Bibliography"/>
      </w:pPr>
      <w:r>
        <w:t>15.</w:t>
      </w:r>
      <w:r>
        <w:tab/>
        <w:t xml:space="preserve">Valentelyte G, Sheridan A, Kavanagh P, Doyle F, Sorensen J. Socioeconomic Variation in Tobacco Smoking Among the Adult Population in Ireland. Nicotine Tob Res. 2024 Nov 21;ntae245. </w:t>
      </w:r>
    </w:p>
    <w:p w14:paraId="0084FF80" w14:textId="77777777" w:rsidR="00A5309E" w:rsidRDefault="00A5309E" w:rsidP="00CD71C7">
      <w:pPr>
        <w:pStyle w:val="Bibliography"/>
      </w:pPr>
      <w:r>
        <w:t>16.</w:t>
      </w:r>
      <w:r>
        <w:tab/>
        <w:t>McEvoy O, Layte R. Bringing the group back in: Social class and resistance in adolescent smoking. Sociol Health Illn [Internet]. 2025 Feb [cited 2025 Apr 30];47(2). Available from: https://onlinelibrary.wiley.com/doi/10.1111/1467-9566.13858</w:t>
      </w:r>
    </w:p>
    <w:p w14:paraId="094A72B2" w14:textId="77777777" w:rsidR="00A5309E" w:rsidRDefault="00A5309E" w:rsidP="00CD71C7">
      <w:pPr>
        <w:pStyle w:val="Bibliography"/>
      </w:pPr>
      <w:r>
        <w:t>17.</w:t>
      </w:r>
      <w:r>
        <w:tab/>
        <w:t xml:space="preserve">Currie C, Molcho M, Boyce W, Holstein B, Torsheim T, Richter M. Researching health inequalities in adolescents: the development of the Health Behaviour in School-Aged Children (HBSC) family affluence scale. Soc Sci Med 1982. 2008 Mar;66(6):1429–36. </w:t>
      </w:r>
    </w:p>
    <w:p w14:paraId="081EDC0D" w14:textId="77777777" w:rsidR="00A5309E" w:rsidRDefault="00A5309E" w:rsidP="00CD71C7">
      <w:pPr>
        <w:pStyle w:val="Bibliography"/>
      </w:pPr>
      <w:r>
        <w:t>18.</w:t>
      </w:r>
      <w:r>
        <w:tab/>
        <w:t>gov.ie [Internet]. [cited 2025 Jun 5]. Healthy Ireland Survey 2023. Available from: https://gov.ie/en/healthy-ireland/publications/healthy-ireland-survey-2023/</w:t>
      </w:r>
    </w:p>
    <w:p w14:paraId="22ECA558" w14:textId="77777777" w:rsidR="00A5309E" w:rsidRDefault="00A5309E" w:rsidP="00CD71C7">
      <w:pPr>
        <w:pStyle w:val="Bibliography"/>
      </w:pPr>
      <w:r>
        <w:t>19.</w:t>
      </w:r>
      <w:r>
        <w:tab/>
        <w:t>Generation Vape? E-cigarette use among children on the island of Ireland – insights from official data | Institute of Public Health [Internet]. [cited 2025 Jun 5]. Available from: https://www.publichealth.ie/blog/generation-vape-e-cigarette-use-among-children-island-ireland-insights-official-data</w:t>
      </w:r>
    </w:p>
    <w:p w14:paraId="6B8FEF27" w14:textId="77777777" w:rsidR="00A5309E" w:rsidRDefault="00A5309E" w:rsidP="00CD71C7">
      <w:pPr>
        <w:pStyle w:val="Bibliography"/>
      </w:pPr>
      <w:r>
        <w:t>20.</w:t>
      </w:r>
      <w:r>
        <w:tab/>
        <w:t>Tobacco: E-cigarettes [Internet]. [cited 2025 Jun 5]. Available from: https://www.who.int/news-room/questions-and-answers/item/tobacco-e-cigarettes</w:t>
      </w:r>
    </w:p>
    <w:p w14:paraId="0BD6ACFC" w14:textId="77777777" w:rsidR="00A5309E" w:rsidRDefault="00A5309E" w:rsidP="00CD71C7">
      <w:pPr>
        <w:pStyle w:val="Bibliography"/>
      </w:pPr>
      <w:r>
        <w:t>21.</w:t>
      </w:r>
      <w:r>
        <w:tab/>
        <w:t xml:space="preserve">Braillon A, Lang AE. The International Agency for Research on Cancer and e-cigarette carcinogenicity: time for an evaluation. Eur J Epidemiol. 2023 Apr;38(4):391. </w:t>
      </w:r>
    </w:p>
    <w:p w14:paraId="45B6FA84" w14:textId="77777777" w:rsidR="00A5309E" w:rsidRDefault="00A5309E" w:rsidP="00CD71C7">
      <w:pPr>
        <w:pStyle w:val="Bibliography"/>
      </w:pPr>
      <w:r>
        <w:t>22.</w:t>
      </w:r>
      <w:r>
        <w:tab/>
        <w:t xml:space="preserve">Kosmider L, Cox S, Zaciera M, Kurek J, Goniewicz ML, McRobbie H, et al. Daily exposure to formaldehyde and acetaldehyde and potential health risk associated with use of high and low nicotine e-liquid concentrations. Sci Rep. 2020 Apr 16;10(1):6546. </w:t>
      </w:r>
    </w:p>
    <w:p w14:paraId="17B571EC" w14:textId="77777777" w:rsidR="00A5309E" w:rsidRDefault="00A5309E" w:rsidP="00CD71C7">
      <w:pPr>
        <w:pStyle w:val="Bibliography"/>
      </w:pPr>
      <w:r>
        <w:t>23.</w:t>
      </w:r>
      <w:r>
        <w:tab/>
        <w:t xml:space="preserve">Bowe AK, Doyle F, Stanistreet D, O’Connell E, Durcan M, Major E, et al. E-Cigarette-Only and Dual Use among Adolescents in Ireland: Emerging Behaviours with Different Risk Profiles. Int J Environ Res Public Health. 2021 Jan 5;18(1):332. </w:t>
      </w:r>
    </w:p>
    <w:p w14:paraId="26E027A7" w14:textId="77777777" w:rsidR="00A5309E" w:rsidRDefault="00A5309E" w:rsidP="00CD71C7">
      <w:pPr>
        <w:pStyle w:val="Bibliography"/>
      </w:pPr>
      <w:r>
        <w:t>24.</w:t>
      </w:r>
      <w:r>
        <w:tab/>
        <w:t>Larsson SC, Burgess S. Appraising the causal role of smoking in multiple diseases: A systematic review and meta-analysis of Mendelian randomization studies. EBioMedicine [Internet]. 2022 [cited 2025 Apr 30];82. Available from: https://www.thelancet.com/journals/ebiom/article/PIIS2352-3964(22)00335-8/fulltext</w:t>
      </w:r>
    </w:p>
    <w:p w14:paraId="005DFF00" w14:textId="77777777" w:rsidR="00A5309E" w:rsidRDefault="00A5309E" w:rsidP="00CD71C7">
      <w:pPr>
        <w:pStyle w:val="Bibliography"/>
      </w:pPr>
      <w:r>
        <w:t>25.</w:t>
      </w:r>
      <w:r>
        <w:tab/>
        <w:t xml:space="preserve">Hecht SS, Hatsukami DK. Smokeless tobacco and cigarette smoking: chemical mechanisms and cancer prevention. Nat Rev Cancer. 2022;22(3):143–55. </w:t>
      </w:r>
    </w:p>
    <w:p w14:paraId="310C417F" w14:textId="77777777" w:rsidR="00A5309E" w:rsidRDefault="00A5309E" w:rsidP="00CD71C7">
      <w:pPr>
        <w:pStyle w:val="Bibliography"/>
      </w:pPr>
      <w:r>
        <w:t>26.</w:t>
      </w:r>
      <w:r>
        <w:tab/>
        <w:t>Hecht SS, DeMarini DM. Tobacco smoke and its constituents. In: Baan RA, Stewart BW, Straif K, editors. Tumour Site Concordance and Mechanisms of Carcinogenesis [Internet]. Lyon (FR): International Agency for Research on Cancer; 2019 [cited 2025 Apr 30]. (IARC Scientific Publications). Available from: http://www.ncbi.nlm.nih.gov/books/NBK570328/</w:t>
      </w:r>
    </w:p>
    <w:p w14:paraId="3E397C35" w14:textId="77777777" w:rsidR="00A5309E" w:rsidRDefault="00A5309E" w:rsidP="00CD71C7">
      <w:pPr>
        <w:pStyle w:val="Bibliography"/>
      </w:pPr>
      <w:r>
        <w:t>27.</w:t>
      </w:r>
      <w:r>
        <w:tab/>
        <w:t>Lushniak BD, Samet JM, Pechacek TF, Norman LA, Taylor PA. The health consequences of smoking—50 years of progress: A report of the surgeon general. 2014 [cited 2025 Apr 30]; Available from: https://stacks.cdc.gov/view/cdc/21569</w:t>
      </w:r>
    </w:p>
    <w:p w14:paraId="3E5EC1AA" w14:textId="77777777" w:rsidR="00A5309E" w:rsidRDefault="00A5309E" w:rsidP="00CD71C7">
      <w:pPr>
        <w:pStyle w:val="Bibliography"/>
      </w:pPr>
      <w:r>
        <w:t>28.</w:t>
      </w:r>
      <w:r>
        <w:tab/>
        <w:t xml:space="preserve">Humans IWG on the E of CR to. Personal Habits and Indoor Combustions. International Agency for Research on Cancer; 2012. </w:t>
      </w:r>
    </w:p>
    <w:p w14:paraId="54386A60" w14:textId="77777777" w:rsidR="00A5309E" w:rsidRDefault="00A5309E" w:rsidP="00CD71C7">
      <w:pPr>
        <w:pStyle w:val="Bibliography"/>
      </w:pPr>
      <w:r>
        <w:t>29.</w:t>
      </w:r>
      <w:r>
        <w:tab/>
        <w:t xml:space="preserve">Collaborators G 2019 T. Spatial, temporal, and demographic patterns in prevalence of smoking tobacco use and attributable disease burden in 204 countries and territories, 1990–2019: a systematic analysis from the Global Burden of Disease Study 2019. Lancet Lond Engl. 2021;397(10292):2337. </w:t>
      </w:r>
    </w:p>
    <w:p w14:paraId="1355D9FE" w14:textId="77777777" w:rsidR="00A5309E" w:rsidRDefault="00A5309E" w:rsidP="00CD71C7">
      <w:pPr>
        <w:pStyle w:val="Bibliography"/>
      </w:pPr>
      <w:r>
        <w:t>30.</w:t>
      </w:r>
      <w:r>
        <w:tab/>
        <w:t>The global burden of cancer attributable to risk factors, 2010–19: a systematic analysis for the Global Burden of Disease Study 2019 - The Lancet [Internet]. [cited 2025 Apr 30]. Available from: https://www.thelancet.com/journals/lancet/article/PIIS0140-6736(22)01438-6/fulltext?rss=yes&amp;fbclid=IwAR2KDpBYEg-eCLbhblAnv1aLJa3t_4mcGZbrz7zdGf5_kbnc5Mzkw1T5IXc</w:t>
      </w:r>
    </w:p>
    <w:p w14:paraId="5F989513" w14:textId="77777777" w:rsidR="00A5309E" w:rsidRDefault="00A5309E" w:rsidP="00CD71C7">
      <w:pPr>
        <w:pStyle w:val="Bibliography"/>
      </w:pPr>
      <w:r>
        <w:t>31.</w:t>
      </w:r>
      <w:r>
        <w:tab/>
        <w:t>World Cancer Research Fund [Internet]. [cited 2025 Apr 30]. Smoking and cancer. Available from: https://www.wcrf.org/preventing-cancer/topics/smoking-and-cancer/</w:t>
      </w:r>
    </w:p>
    <w:p w14:paraId="7B9BF5C1" w14:textId="77777777" w:rsidR="00A5309E" w:rsidRDefault="00A5309E" w:rsidP="00CD71C7">
      <w:pPr>
        <w:pStyle w:val="Bibliography"/>
      </w:pPr>
      <w:r>
        <w:t>32.</w:t>
      </w:r>
      <w:r>
        <w:tab/>
        <w:t>Betts K. Cancer Research UK - Cancer News. 2024 [cited 2025 Apr 30]. Breast cancer and smoking: What is the link? Available from: https://news.cancerresearchuk.org/2024/07/09/breast-cancer-smoking-link/</w:t>
      </w:r>
    </w:p>
    <w:p w14:paraId="292FF6FC" w14:textId="77777777" w:rsidR="00A5309E" w:rsidRDefault="00A5309E" w:rsidP="00CD71C7">
      <w:pPr>
        <w:pStyle w:val="Bibliography"/>
      </w:pPr>
      <w:r>
        <w:t>33.</w:t>
      </w:r>
      <w:r>
        <w:tab/>
        <w:t>Modifiable risk factors and cancer in Ireland | National Cancer Registry Ireland [Internet]. [cited 2025 Apr 30]. Available from: https://www.ncri.ie/publications/statistical-reports/modifiable-risk-factors-and-cancer-ireland</w:t>
      </w:r>
    </w:p>
    <w:p w14:paraId="3022DD6A" w14:textId="77777777" w:rsidR="00A5309E" w:rsidRDefault="00A5309E" w:rsidP="00CD71C7">
      <w:pPr>
        <w:pStyle w:val="Bibliography"/>
      </w:pPr>
      <w:r>
        <w:t>34.</w:t>
      </w:r>
      <w:r>
        <w:tab/>
        <w:t>Annual report | National Cancer Registry Ireland [Internet]. [cited 2025 Apr 30]. Available from: https://www.ncri.ie/tags/annual-report</w:t>
      </w:r>
    </w:p>
    <w:p w14:paraId="44950A5E" w14:textId="77777777" w:rsidR="00A5309E" w:rsidRDefault="00A5309E" w:rsidP="00CD71C7">
      <w:pPr>
        <w:pStyle w:val="Bibliography"/>
      </w:pPr>
      <w:r>
        <w:t>35.</w:t>
      </w:r>
      <w:r>
        <w:tab/>
        <w:t>National Cancer Control Programme. National Survey on Cancer Awareness and Attitudes [Internet]. 2022 [cited 2025 Apr 30]. Available from: https://www.hse.ie/eng/services/list/5/cancer/prevention/nccp-national-survey-on-cancer-awareness-and-attitudes-report.pdf</w:t>
      </w:r>
    </w:p>
    <w:p w14:paraId="24BB9057" w14:textId="77777777" w:rsidR="00A5309E" w:rsidRDefault="00A5309E" w:rsidP="00CD71C7">
      <w:pPr>
        <w:pStyle w:val="Bibliography"/>
      </w:pPr>
      <w:r>
        <w:t>36.</w:t>
      </w:r>
      <w:r>
        <w:tab/>
        <w:t xml:space="preserve">Layte R, Whelan CT. Explaining Social Class Inequalities in Smoking: The Role of Education, Self-Efficacy, and Deprivation. Eur Sociol Rev. 2009 Aug 1;25(4):399–410. </w:t>
      </w:r>
    </w:p>
    <w:p w14:paraId="4A9D2B6D" w14:textId="77777777" w:rsidR="00A5309E" w:rsidRDefault="00A5309E" w:rsidP="00CD71C7">
      <w:pPr>
        <w:pStyle w:val="Bibliography"/>
      </w:pPr>
      <w:r>
        <w:t>37.</w:t>
      </w:r>
      <w:r>
        <w:tab/>
        <w:t>Gredner T, Mons U, Niedermaier T, Brenner H, Soerjomataram I. Impact of tobacco control policies implementation on future lung cancer incidence in Europe: an international, population-based modeling study. Lancet Reg Heal [Internet]. 2021 [cited 2025 Apr 30];4. Available from: https://www.thelancet.com/journals/lanepe/article/PIIS2666-7762(21)00051-X/fulltext</w:t>
      </w:r>
    </w:p>
    <w:p w14:paraId="0A97DBED" w14:textId="77777777" w:rsidR="00A5309E" w:rsidRDefault="00A5309E" w:rsidP="00CD71C7">
      <w:pPr>
        <w:pStyle w:val="Bibliography"/>
      </w:pPr>
      <w:r>
        <w:t>38.</w:t>
      </w:r>
      <w:r>
        <w:tab/>
        <w:t xml:space="preserve">Madathil S, Rousseau MC, Joseph L, Coutlée F, Schlecht NF, Franco E, et al. Latency of tobacco smoking for head and neck cancer among HPV-positive and HPV-negative individuals. Int J Cancer. 2020;147(1):56–64. </w:t>
      </w:r>
    </w:p>
    <w:p w14:paraId="7EDCD914" w14:textId="77777777" w:rsidR="00A5309E" w:rsidRDefault="00A5309E" w:rsidP="00CD71C7">
      <w:pPr>
        <w:pStyle w:val="Bibliography"/>
      </w:pPr>
      <w:r>
        <w:t>39.</w:t>
      </w:r>
      <w:r>
        <w:tab/>
        <w:t xml:space="preserve">Chen J. A Comparative Analysis of Lung Cancer Incidence and Tobacco Consumption in Canada, Norway and Sweden: A Population-Based Study. Int J Environ Res Public Health. 2023 Oct 17;20(20):6930. </w:t>
      </w:r>
    </w:p>
    <w:p w14:paraId="7980C721" w14:textId="77777777" w:rsidR="00A5309E" w:rsidRDefault="00A5309E" w:rsidP="00CD71C7">
      <w:pPr>
        <w:pStyle w:val="Bibliography"/>
      </w:pPr>
      <w:r>
        <w:t>40.</w:t>
      </w:r>
      <w:r>
        <w:tab/>
        <w:t xml:space="preserve">Collatuzzo G, Malvezzi M, Mangiaterra S, Di Maso M, Turati F, Parazzini F, et al. Cancers attributable to tobacco smoking in Italy in 2020. Cancer Epidemiol. 2024 Oct 1;92:102623. </w:t>
      </w:r>
    </w:p>
    <w:p w14:paraId="5C64285C" w14:textId="77777777" w:rsidR="00A5309E" w:rsidRDefault="00A5309E" w:rsidP="00CD71C7">
      <w:pPr>
        <w:pStyle w:val="Bibliography"/>
      </w:pPr>
      <w:r>
        <w:t>41.</w:t>
      </w:r>
      <w:r>
        <w:tab/>
        <w:t xml:space="preserve">La Vecchia C, Negri E, Carioli G. Progress in cancer epidemiology: avoided deaths in Europe over the last three decades. Eur J Cancer Prev. 2022 Jul;31(4):388–92. </w:t>
      </w:r>
    </w:p>
    <w:p w14:paraId="096D3681" w14:textId="77777777" w:rsidR="00A5309E" w:rsidRDefault="00A5309E" w:rsidP="00CD71C7">
      <w:pPr>
        <w:pStyle w:val="Bibliography"/>
      </w:pPr>
      <w:r>
        <w:t>42.</w:t>
      </w:r>
      <w:r>
        <w:tab/>
        <w:t xml:space="preserve">Allwright S. Republic of Ireland’s indoor workplace smoking ban. Br J Gen Pract. 2004 Nov 1;54(508):811–2. </w:t>
      </w:r>
    </w:p>
    <w:p w14:paraId="3DD0A79D" w14:textId="77777777" w:rsidR="00A5309E" w:rsidRDefault="00A5309E" w:rsidP="00CD71C7">
      <w:pPr>
        <w:pStyle w:val="Bibliography"/>
      </w:pPr>
      <w:r>
        <w:t>43.</w:t>
      </w:r>
      <w:r>
        <w:tab/>
        <w:t>WHO Framework Convention on Tobacco Control (WHO FCTC) [Internet]. [cited 2025 May 7]. Available from: https://www.who.int/europe/teams/tobacco/who-framework-convention-on-tobacco-control-(who-fctc)</w:t>
      </w:r>
    </w:p>
    <w:p w14:paraId="08BB0715" w14:textId="77777777" w:rsidR="00A5309E" w:rsidRDefault="00A5309E" w:rsidP="00CD71C7">
      <w:pPr>
        <w:pStyle w:val="Bibliography"/>
      </w:pPr>
      <w:r>
        <w:t>44.</w:t>
      </w:r>
      <w:r>
        <w:tab/>
        <w:t xml:space="preserve">Currie LM, Blackman K, Clancy L, Levy DT. The effect of tobacco control policies on smoking prevalence and smoking-attributable deaths in Ireland using the IrelandSS simulation model. Tob Control. 2013 May;22(e1):e25-32. </w:t>
      </w:r>
    </w:p>
    <w:p w14:paraId="0A0B6A54" w14:textId="77777777" w:rsidR="00A5309E" w:rsidRDefault="00A5309E" w:rsidP="00CD71C7">
      <w:pPr>
        <w:pStyle w:val="Bibliography"/>
      </w:pPr>
      <w:r>
        <w:t>45.</w:t>
      </w:r>
      <w:r>
        <w:tab/>
        <w:t xml:space="preserve">Thomson G, Edwards R, Wilson N, Blakely T. What are the elements of the tobacco endgame? Tob Control. 2012 Mar 1;21(2):293–5. </w:t>
      </w:r>
    </w:p>
    <w:p w14:paraId="72FAC6BE" w14:textId="77777777" w:rsidR="00A5309E" w:rsidRDefault="00A5309E" w:rsidP="00CD71C7">
      <w:pPr>
        <w:pStyle w:val="Bibliography"/>
      </w:pPr>
      <w:r>
        <w:t>46.</w:t>
      </w:r>
      <w:r>
        <w:tab/>
        <w:t xml:space="preserve">Ollila H, Ruokolainen O, Laatikainen T, Koprivnikar H, and JATC-2 WP9 co-authors. Tobacco endgame goals and measures in Europe: current status and future directions. Tob Control. 2024 Jun 17;tc-2024-058606. </w:t>
      </w:r>
    </w:p>
    <w:p w14:paraId="19A76A00" w14:textId="77777777" w:rsidR="00A5309E" w:rsidRDefault="00A5309E" w:rsidP="00CD71C7">
      <w:pPr>
        <w:pStyle w:val="Bibliography"/>
      </w:pPr>
      <w:r>
        <w:t>47.</w:t>
      </w:r>
      <w:r>
        <w:tab/>
        <w:t>gov.ie [Internet]. [cited 2025 Apr 30]. Tobacco Free Ireland. Available from: https://gov.ie/en/department-of-health/publications/tobacco-free-ireland/</w:t>
      </w:r>
    </w:p>
    <w:p w14:paraId="469A48F5" w14:textId="77777777" w:rsidR="00A5309E" w:rsidRDefault="00A5309E" w:rsidP="00CD71C7">
      <w:pPr>
        <w:pStyle w:val="Bibliography"/>
      </w:pPr>
      <w:r>
        <w:t>48.</w:t>
      </w:r>
      <w:r>
        <w:tab/>
        <w:t>gov.ie [Internet]. [cited 2025 Apr 30]. National Cancer Strategy 2017 - 2026. Available from: https://gov.ie/en/department-of-health/publications/national-cancer-strategy-2017-2026/</w:t>
      </w:r>
    </w:p>
    <w:p w14:paraId="27EDB95F" w14:textId="77777777" w:rsidR="00A5309E" w:rsidRDefault="00A5309E" w:rsidP="00CD71C7">
      <w:pPr>
        <w:pStyle w:val="Bibliography"/>
      </w:pPr>
      <w:r>
        <w:t>49.</w:t>
      </w:r>
      <w:r>
        <w:tab/>
        <w:t xml:space="preserve">Bray F, Soerjomataram I. Population attributable fractions continue to unmask the power of prevention. Br J Cancer. 2018;118(8):1031–2. </w:t>
      </w:r>
    </w:p>
    <w:p w14:paraId="65ED273C" w14:textId="77777777" w:rsidR="00A5309E" w:rsidRDefault="00A5309E" w:rsidP="00CD71C7">
      <w:pPr>
        <w:pStyle w:val="Bibliography"/>
      </w:pPr>
      <w:r>
        <w:t>50.</w:t>
      </w:r>
      <w:r>
        <w:tab/>
        <w:t>Databases - CSO - Central Statistics Office [Internet]. CSO; [cited 2025 Jun 22]. Available from: https://www.cso.ie/en/databases/</w:t>
      </w:r>
    </w:p>
    <w:p w14:paraId="56070BB4" w14:textId="77777777" w:rsidR="00A5309E" w:rsidRDefault="00A5309E" w:rsidP="00CD71C7">
      <w:pPr>
        <w:pStyle w:val="Bibliography"/>
      </w:pPr>
      <w:r>
        <w:t>51.</w:t>
      </w:r>
      <w:r>
        <w:tab/>
        <w:t xml:space="preserve">Haase T, Pratschke J. The 2016 Pobal HP deprivation index for small areas (SA). 2017. 2020. </w:t>
      </w:r>
    </w:p>
    <w:p w14:paraId="6758C93C" w14:textId="77777777" w:rsidR="00A5309E" w:rsidRDefault="00A5309E" w:rsidP="00CD71C7">
      <w:pPr>
        <w:pStyle w:val="Bibliography"/>
      </w:pPr>
      <w:r>
        <w:t>52.</w:t>
      </w:r>
      <w:r>
        <w:tab/>
        <w:t xml:space="preserve">Brown KF, Rumgay H, Dunlop C, Ryan M, Quartly F, Cox A, et al. The fraction of cancer attributable to modifiable risk factors in England, Wales, Scotland, Northern Ireland, and the United Kingdom in 2015. Br J Cancer. 2018 Apr;118(8):1130–41. </w:t>
      </w:r>
    </w:p>
    <w:p w14:paraId="542D02A0" w14:textId="77777777" w:rsidR="00A5309E" w:rsidRDefault="00A5309E" w:rsidP="00CD71C7">
      <w:pPr>
        <w:pStyle w:val="Bibliography"/>
      </w:pPr>
      <w:r>
        <w:t>53.</w:t>
      </w:r>
      <w:r>
        <w:tab/>
        <w:t xml:space="preserve">Berstad P, Haugan K, Knudsen MD, Nygård M, Ghiasvand R, Robsahm TE. Cancers attributed to modifiable factors in Norway 2016-2020. Eur J Cancer Oxf Engl 1990. 2025 Feb 25;217:115232. </w:t>
      </w:r>
    </w:p>
    <w:p w14:paraId="5DCA8951" w14:textId="77777777" w:rsidR="00A5309E" w:rsidRDefault="00A5309E" w:rsidP="00CD71C7">
      <w:pPr>
        <w:pStyle w:val="Bibliography"/>
      </w:pPr>
      <w:r>
        <w:t>54.</w:t>
      </w:r>
      <w:r>
        <w:tab/>
        <w:t xml:space="preserve">Tybjerg AJ, Friis S, Brown K, Nilbert MC, Morch L, Køster B. Updated fraction of cancer attributable to lifestyle and environmental factors in Denmark in 2018. Sci Rep. 2022 Jan 11;12(1):549. </w:t>
      </w:r>
    </w:p>
    <w:p w14:paraId="3E02D66C" w14:textId="77777777" w:rsidR="00A5309E" w:rsidRDefault="00A5309E" w:rsidP="00CD71C7">
      <w:pPr>
        <w:pStyle w:val="Bibliography"/>
      </w:pPr>
      <w:r>
        <w:t>55.</w:t>
      </w:r>
      <w:r>
        <w:tab/>
        <w:t>Hiding in plain sight: Treating tobacco dependency in the NHS [Internet]. [cited 2025 Jun 5]. Available from: https://www.rcp.ac.uk/improving-care/resources/hiding-in-plain-sight-treating-tobacco-dependency-in-the-nhs/</w:t>
      </w:r>
    </w:p>
    <w:p w14:paraId="0DE8B997" w14:textId="77777777" w:rsidR="00A5309E" w:rsidRDefault="00A5309E" w:rsidP="00CD71C7">
      <w:pPr>
        <w:pStyle w:val="Bibliography"/>
      </w:pPr>
      <w:r>
        <w:t>56.</w:t>
      </w:r>
      <w:r>
        <w:tab/>
        <w:t>Cancer Research UK [Internet]. 2015 [cited 2025 Jun 5]. Tobacco statistics. Available from: https://www.cancerresearchuk.org/health-professional/cancer-statistics/risk/tobacco</w:t>
      </w:r>
    </w:p>
    <w:p w14:paraId="34248CDB" w14:textId="77777777" w:rsidR="00A5309E" w:rsidRDefault="00A5309E" w:rsidP="00CD71C7">
      <w:pPr>
        <w:pStyle w:val="Bibliography"/>
      </w:pPr>
      <w:r>
        <w:t>57.</w:t>
      </w:r>
      <w:r>
        <w:tab/>
        <w:t xml:space="preserve">Colamesta V, D’Aguanno S, Breccia M, Bruffa S, Cartoni C, La Torre G. Do the smoking intensity and duration, the years since quitting, the methodological quality and the year of publication of the studies affect the results of the meta-analysis on cigarette smoking and Acute Myeloid Leukemia (AML) in adults? Crit Rev Oncol Hematol. 2016 Mar 1;99:376–88. </w:t>
      </w:r>
    </w:p>
    <w:p w14:paraId="793C6D78" w14:textId="77777777" w:rsidR="00A5309E" w:rsidRDefault="00A5309E" w:rsidP="00CD71C7">
      <w:pPr>
        <w:pStyle w:val="Bibliography"/>
      </w:pPr>
      <w:r>
        <w:t>58.</w:t>
      </w:r>
      <w:r>
        <w:tab/>
        <w:t xml:space="preserve">Parkin DM, Boyd L, Walker LC. 16. The fraction of cancer attributable to lifestyle and environmental factors in the UK in 2010: Summary and conclusions. Br J Cancer. 2011 Dec;105(S2):S77–81. </w:t>
      </w:r>
    </w:p>
    <w:p w14:paraId="1E40927A" w14:textId="77777777" w:rsidR="00A5309E" w:rsidRDefault="00A5309E" w:rsidP="00CD71C7">
      <w:pPr>
        <w:pStyle w:val="Bibliography"/>
      </w:pPr>
      <w:r>
        <w:t>59.</w:t>
      </w:r>
      <w:r>
        <w:tab/>
        <w:t>Press Statement Older Persons Information Hub 2024 - CSO - Central Statistics Office [Internet]. CSO; 2024 [cited 2025 Jun 5]. Available from: https://www.cso.ie/en/csolatestnews/pressreleases/2024pressreleases/pressstatementolderpersonsinformationhub2024/</w:t>
      </w:r>
    </w:p>
    <w:p w14:paraId="2E400BCB" w14:textId="77777777" w:rsidR="00A5309E" w:rsidRDefault="00A5309E" w:rsidP="00CD71C7">
      <w:pPr>
        <w:pStyle w:val="Bibliography"/>
      </w:pPr>
      <w:r>
        <w:t>60.</w:t>
      </w:r>
      <w:r>
        <w:tab/>
        <w:t>Cancer in Ireland 1994-2017 with estimates for 2017-2019: Annual Report of the National Cancer Registry | National Cancer Registry Ireland [Internet]. 2019 [cited 2025 Jun 5]. Available from: https://www.ncri.ie/en/reports-publications/reports/cancer-in-ireland-1994-2017-with-estimates-for-2017-2019-annual-report</w:t>
      </w:r>
    </w:p>
    <w:p w14:paraId="6A112A6F" w14:textId="77777777" w:rsidR="00A5309E" w:rsidRDefault="00A5309E" w:rsidP="00CD71C7">
      <w:pPr>
        <w:pStyle w:val="Bibliography"/>
      </w:pPr>
      <w:r>
        <w:t>61.</w:t>
      </w:r>
      <w:r>
        <w:tab/>
        <w:t>Society Measuring Ireland’s Progress 2023 - Central Statistics Office [Internet]. CSO; 2025 [cited 2025 Jun 5]. Available from: https://www.cso.ie/en/releasesandpublications/ep/p-mip/measuringirelandsprogress2023/society/</w:t>
      </w:r>
    </w:p>
    <w:p w14:paraId="2F95CD4D" w14:textId="77777777" w:rsidR="00A5309E" w:rsidRDefault="00A5309E" w:rsidP="00CD71C7">
      <w:pPr>
        <w:pStyle w:val="Bibliography"/>
      </w:pPr>
      <w:r>
        <w:t>62.</w:t>
      </w:r>
      <w:r>
        <w:tab/>
        <w:t>Cancer in Ireland 1994-2022: Annual statistical report of the National Cancer Registry (2024) | National Cancer Registry Ireland [Internet]. 2024 [cited 2025 Jun 5]. Available from: https://www.ncri.ie/en/reports-publications/reports/cancer-in-ireland-1994-2022-annual-statistical-report-of-the-national</w:t>
      </w:r>
    </w:p>
    <w:p w14:paraId="20F1C8CF" w14:textId="77777777" w:rsidR="00A5309E" w:rsidRDefault="00A5309E" w:rsidP="00CD71C7">
      <w:pPr>
        <w:pStyle w:val="Bibliography"/>
      </w:pPr>
      <w:r>
        <w:t>63.</w:t>
      </w:r>
      <w:r>
        <w:tab/>
        <w:t xml:space="preserve">Arnold M, Abnet CC, Neale RE, Vignat J, Giovannucci EL, McGlynn KA, et al. Global Burden of 5 Major Types of Gastrointestinal Cancer. Gastroenterology. 2020 Jul 1;159(1):335-349.e15. </w:t>
      </w:r>
    </w:p>
    <w:p w14:paraId="76B16BC3" w14:textId="77777777" w:rsidR="00A5309E" w:rsidRDefault="00A5309E" w:rsidP="00CD71C7">
      <w:pPr>
        <w:pStyle w:val="Bibliography"/>
      </w:pPr>
      <w:r>
        <w:t>64.</w:t>
      </w:r>
      <w:r>
        <w:tab/>
        <w:t>Bray F. Cancer trends in the UK. 2024 Mar 13 [cited 2025 Apr 30]; Available from: https://www.bmj.com/content/384/bmj.q504</w:t>
      </w:r>
    </w:p>
    <w:p w14:paraId="0F800B62" w14:textId="77777777" w:rsidR="00A5309E" w:rsidRDefault="00A5309E" w:rsidP="00CD71C7">
      <w:pPr>
        <w:pStyle w:val="Bibliography"/>
      </w:pPr>
      <w:r>
        <w:t>65.</w:t>
      </w:r>
      <w:r>
        <w:tab/>
        <w:t xml:space="preserve">Gormley M, Creaney G, Schache A, Ingarfield K, Conway DI. Reviewing the epidemiology of head and neck cancer: definitions, trends and risk factors. Br Dent J. 2022 Nov;233(9):780–6. </w:t>
      </w:r>
    </w:p>
    <w:p w14:paraId="3E4165AD" w14:textId="77777777" w:rsidR="00A5309E" w:rsidRDefault="00A5309E" w:rsidP="00CD71C7">
      <w:pPr>
        <w:pStyle w:val="Bibliography"/>
      </w:pPr>
      <w:r>
        <w:t>66.</w:t>
      </w:r>
      <w:r>
        <w:tab/>
        <w:t>Cancer Research UK [Internet]. 2017 [cited 2025 May 8]. Head and neck cancers incidence statistics. Available from: https://www.cancerresearchuk.org/health-professional/cancer-statistics/statistics-by-cancer-type/head-and-neck-cancers/incidence</w:t>
      </w:r>
    </w:p>
    <w:p w14:paraId="6DE664BA" w14:textId="77777777" w:rsidR="00A5309E" w:rsidRDefault="00A5309E" w:rsidP="00CD71C7">
      <w:pPr>
        <w:pStyle w:val="Bibliography"/>
      </w:pPr>
      <w:r>
        <w:t>67.</w:t>
      </w:r>
      <w:r>
        <w:tab/>
        <w:t>Cancer Trends 38 - Breast, cervical and colorectal cancer 1994-2019 | National Cancer Registry Ireland [Internet]. [cited 2025 May 7]. Available from: https://www.ncri.ie/publications/cancer-trends-and-projections/cancer-trends-38-breast-cervical-and-colorectal-cancer</w:t>
      </w:r>
    </w:p>
    <w:p w14:paraId="3AB32D54" w14:textId="77777777" w:rsidR="00A5309E" w:rsidRDefault="00A5309E" w:rsidP="00CD71C7">
      <w:pPr>
        <w:pStyle w:val="Bibliography"/>
      </w:pPr>
      <w:r>
        <w:t>68.</w:t>
      </w:r>
      <w:r>
        <w:tab/>
        <w:t>Cancer Trends 40 - HPV Associated Cancers | National Cancer Registry Ireland [Internet]. [cited 2025 May 7]. Available from: https://www.ncri.ie/publications/cancer-trends-and-projections/cancer-trends-40-hpv-associated-cancers</w:t>
      </w:r>
    </w:p>
    <w:p w14:paraId="06DECFCD" w14:textId="77777777" w:rsidR="00A5309E" w:rsidRDefault="00A5309E" w:rsidP="00CD71C7">
      <w:pPr>
        <w:pStyle w:val="Bibliography"/>
      </w:pPr>
      <w:r>
        <w:t>69.</w:t>
      </w:r>
      <w:r>
        <w:tab/>
        <w:t>Global strategy to accelerate the elimination of cervical cancer as a public health problem [Internet]. [cited 2025 May 6]. Available from: https://www.who.int/publications/i/item/9789240014107</w:t>
      </w:r>
    </w:p>
    <w:p w14:paraId="2CD6AE9C" w14:textId="77777777" w:rsidR="00A5309E" w:rsidRDefault="00A5309E" w:rsidP="00CD71C7">
      <w:pPr>
        <w:pStyle w:val="Bibliography"/>
      </w:pPr>
      <w:r>
        <w:t>70.</w:t>
      </w:r>
      <w:r>
        <w:tab/>
        <w:t>Corporate [Internet]. [cited 2025 May 7]. Cervical Cancer Elimination. Available from: https://www2.healthservice.hse.ie/organisation/nss/cervical-cancer-elimination/</w:t>
      </w:r>
    </w:p>
    <w:p w14:paraId="42F566EC" w14:textId="77777777" w:rsidR="00A5309E" w:rsidRDefault="00A5309E" w:rsidP="00CD71C7">
      <w:pPr>
        <w:pStyle w:val="Bibliography"/>
      </w:pPr>
      <w:r>
        <w:t>71.</w:t>
      </w:r>
      <w:r>
        <w:tab/>
        <w:t>Cancer inequalities in Ireland by deprivation, 2004-2018 | National Cancer Registry Ireland [Internet]. [cited 2025 May 7]. Available from: https://www.ncri.ie/publications/statistical-reports/cancer-inequalities-ireland-deprivation-2004-2018</w:t>
      </w:r>
    </w:p>
    <w:p w14:paraId="5B7A33D0" w14:textId="77777777" w:rsidR="00A5309E" w:rsidRDefault="00A5309E" w:rsidP="00CD71C7">
      <w:pPr>
        <w:pStyle w:val="Bibliography"/>
      </w:pPr>
      <w:r>
        <w:t>72.</w:t>
      </w:r>
      <w:r>
        <w:tab/>
        <w:t>Webster L, Angus C, Brennan A, Gillespie D. Smoking attributable fractions for adult diseases in England. 2019 Jun 4 [cited 2025 May 7]; Available from: https://orda.shef.ac.uk/articles/journal_contribution/Smoking_attributable_fractions_for_adult_diseases_in_England/8181524/1</w:t>
      </w:r>
    </w:p>
    <w:p w14:paraId="7A22A8B9" w14:textId="77777777" w:rsidR="00A5309E" w:rsidRDefault="00A5309E" w:rsidP="00CD71C7">
      <w:pPr>
        <w:pStyle w:val="Bibliography"/>
      </w:pPr>
      <w:r>
        <w:t>73.</w:t>
      </w:r>
      <w:r>
        <w:tab/>
        <w:t>Leeming G, Angus C, Gillespie D. Alcohol and Tobacco Attributable Fractions for Scotland [Internet]. The University of Sheffield; 2023 Nov [cited 2025 May 7]. Available from: https://orda.shef.ac.uk/articles/report/_b_Alcohol_and_Tobacco_Attributable_Fractions_for_Scotland_b_/24543343/1</w:t>
      </w:r>
    </w:p>
    <w:p w14:paraId="1EAFAC35" w14:textId="77777777" w:rsidR="00A5309E" w:rsidRDefault="00A5309E" w:rsidP="00CD71C7">
      <w:pPr>
        <w:pStyle w:val="Bibliography"/>
      </w:pPr>
      <w:r>
        <w:t>74.</w:t>
      </w:r>
      <w:r>
        <w:tab/>
        <w:t>Henley SJ. Vital Signs: Disparities in Tobacco-Related Cancer Incidence and Mortality — United States, 2004–2013. MMWR Morb Mortal Wkly Rep [Internet]. 2016 [cited 2025 May 7];65. Available from: https://www.cdc.gov/mmwr/volumes/65/wr/mm6544a3.htm</w:t>
      </w:r>
    </w:p>
    <w:p w14:paraId="546E2F6A" w14:textId="77777777" w:rsidR="00A5309E" w:rsidRDefault="00A5309E" w:rsidP="00CD71C7">
      <w:pPr>
        <w:pStyle w:val="Bibliography"/>
      </w:pPr>
      <w:r>
        <w:t>75.</w:t>
      </w:r>
      <w:r>
        <w:tab/>
        <w:t xml:space="preserve">Cinciripini PM, Kypriotakis G, Blalock JA, Karam-Hage M, Beneventi DM, Robinson JD, et al. Survival Outcomes of an Early Intervention Smoking Cessation Treatment After a Cancer Diagnosis. JAMA Oncol. 2024 Dec 1;10(12):1689–96. </w:t>
      </w:r>
    </w:p>
    <w:p w14:paraId="221DDE42" w14:textId="77777777" w:rsidR="00A5309E" w:rsidRDefault="00A5309E" w:rsidP="00CD71C7">
      <w:pPr>
        <w:pStyle w:val="Bibliography"/>
      </w:pPr>
      <w:r>
        <w:t>76.</w:t>
      </w:r>
      <w:r>
        <w:tab/>
        <w:t>Allemani C, Matsuda T, Di Carlo V, Harewood R, Matz M, Nikšić M, et al. Global surveillance of trends in cancer survival 2000-14 (CONCORD-3): analysis of individual records for 37</w:t>
      </w:r>
      <w:r>
        <w:rPr>
          <w:rFonts w:ascii="Arial" w:hAnsi="Arial" w:cs="Arial"/>
        </w:rPr>
        <w:t> </w:t>
      </w:r>
      <w:r>
        <w:t>513</w:t>
      </w:r>
      <w:r>
        <w:rPr>
          <w:rFonts w:ascii="Arial" w:hAnsi="Arial" w:cs="Arial"/>
        </w:rPr>
        <w:t> </w:t>
      </w:r>
      <w:r>
        <w:t>025 patients diagnosed with one of 18 cancers from 322 population-based registries in 71 countries. Lancet Lond Engl. 2018 Mar 17;391(10125):1023</w:t>
      </w:r>
      <w:r>
        <w:rPr>
          <w:rFonts w:ascii="Aptos" w:hAnsi="Aptos" w:cs="Aptos"/>
        </w:rPr>
        <w:t>–</w:t>
      </w:r>
      <w:r>
        <w:t xml:space="preserve">75. </w:t>
      </w:r>
    </w:p>
    <w:p w14:paraId="6EE46144" w14:textId="77777777" w:rsidR="00A5309E" w:rsidRDefault="00A5309E" w:rsidP="00CD71C7">
      <w:pPr>
        <w:pStyle w:val="Bibliography"/>
      </w:pPr>
      <w:r>
        <w:t>77.</w:t>
      </w:r>
      <w:r>
        <w:tab/>
        <w:t>Cancer in Ireland 1994-2018 with Estimates for 2018-2020: Annual Report of the National Cancer Registry | National Cancer Registry Ireland [Internet]. [cited 2025 May 7]. Available from: https://www.ncri.ie/publications/statistical-reports/cancer-ireland-1994-2018-estimates-2018-2020-annual-report-national</w:t>
      </w:r>
    </w:p>
    <w:p w14:paraId="4A745EFF" w14:textId="77777777" w:rsidR="00A5309E" w:rsidRDefault="00A5309E" w:rsidP="00CD71C7">
      <w:pPr>
        <w:pStyle w:val="Bibliography"/>
      </w:pPr>
      <w:r>
        <w:t>78.</w:t>
      </w:r>
      <w:r>
        <w:tab/>
        <w:t>NHS England Digital [Internet]. [cited 2025 May 7]. Cancer Survival in England. Available from: https://digital.nhs.uk/data-and-information/publications/statistical/cancer-survival-in-england</w:t>
      </w:r>
    </w:p>
    <w:p w14:paraId="6D6D28B0" w14:textId="77777777" w:rsidR="00A5309E" w:rsidRDefault="00A5309E" w:rsidP="00CD71C7">
      <w:pPr>
        <w:pStyle w:val="Bibliography"/>
      </w:pPr>
      <w:r>
        <w:t>79.</w:t>
      </w:r>
      <w:r>
        <w:tab/>
        <w:t>Safiri S, Nejadghaderi SA, Abdollahi M, Carson</w:t>
      </w:r>
      <w:r>
        <w:rPr>
          <w:rFonts w:ascii="Cambria Math" w:hAnsi="Cambria Math" w:cs="Cambria Math"/>
        </w:rPr>
        <w:t>‐</w:t>
      </w:r>
      <w:r>
        <w:t>Chahhoud K, Kaufman JS, Bragazzi NL, et al. Global, regional, and national burden of cancers attributable to tobacco smoking in 204 countries and territories, 1990</w:t>
      </w:r>
      <w:r>
        <w:rPr>
          <w:rFonts w:ascii="Aptos" w:hAnsi="Aptos" w:cs="Aptos"/>
        </w:rPr>
        <w:t>–</w:t>
      </w:r>
      <w:r>
        <w:t>2019. Cancer Med. 2022 May 27;11(13):2662</w:t>
      </w:r>
      <w:r>
        <w:rPr>
          <w:rFonts w:ascii="Aptos" w:hAnsi="Aptos" w:cs="Aptos"/>
        </w:rPr>
        <w:t>–</w:t>
      </w:r>
      <w:r>
        <w:t xml:space="preserve">78. </w:t>
      </w:r>
    </w:p>
    <w:p w14:paraId="0FBECFCB" w14:textId="77777777" w:rsidR="00A5309E" w:rsidRDefault="00A5309E" w:rsidP="00CD71C7">
      <w:pPr>
        <w:pStyle w:val="Bibliography"/>
      </w:pPr>
      <w:r>
        <w:t>80.</w:t>
      </w:r>
      <w:r>
        <w:tab/>
        <w:t xml:space="preserve">Jiang X, Pestoni G, Vinci L, Suter F, Lorez M, Rohrmann S, et al. Cancer cases attributable to modifiable lifestyle risk factors in Switzerland between 2015 and 2019. Int J Cancer. 2024 Apr 1;154(7):1221–34. </w:t>
      </w:r>
    </w:p>
    <w:p w14:paraId="263648EF" w14:textId="77777777" w:rsidR="00A5309E" w:rsidRDefault="00A5309E" w:rsidP="00CD71C7">
      <w:pPr>
        <w:pStyle w:val="Bibliography"/>
      </w:pPr>
      <w:r>
        <w:t>81.</w:t>
      </w:r>
      <w:r>
        <w:tab/>
        <w:t xml:space="preserve">Islami F, Marlow EC, Thomson B, McCullough ML, Rumgay H, Gapstur SM, et al. Proportion and number of cancer cases and deaths attributable to potentially modifiable risk factors in the United States, 2019. CA Cancer J Clin. 2024;74(5):405–32. </w:t>
      </w:r>
    </w:p>
    <w:p w14:paraId="0B98B66B" w14:textId="77777777" w:rsidR="00A5309E" w:rsidRDefault="00A5309E" w:rsidP="00CD71C7">
      <w:pPr>
        <w:pStyle w:val="Bibliography"/>
      </w:pPr>
      <w:r>
        <w:t>82.</w:t>
      </w:r>
      <w:r>
        <w:tab/>
        <w:t xml:space="preserve">Islami F, Goding Sauer A, Miller KD, Siegel RL, Fedewa SA, Jacobs EJ, et al. Proportion and number of cancer cases and deaths attributable to potentially modifiable risk factors in the United States. CA Cancer J Clin. 2018 Jan;68(1):31–54. </w:t>
      </w:r>
    </w:p>
    <w:p w14:paraId="7C9AE62F" w14:textId="77777777" w:rsidR="00A5309E" w:rsidRDefault="00A5309E" w:rsidP="00CD71C7">
      <w:pPr>
        <w:pStyle w:val="Bibliography"/>
      </w:pPr>
      <w:r>
        <w:t>83.</w:t>
      </w:r>
      <w:r>
        <w:tab/>
        <w:t>H R, St N, R S, J V, O AY, P C, et al. Global burden of oral cancer in 2022 attributable to smokeless tobacco and areca nut consumption: a population attributable fraction analysis. Lancet Oncol [Internet]. 2024 Nov [cited 2025 Jun 5];25(11). Available from: https://pubmed.ncbi.nlm.nih.gov/39393386/</w:t>
      </w:r>
    </w:p>
    <w:p w14:paraId="5D7D8592" w14:textId="77777777" w:rsidR="00A5309E" w:rsidRDefault="00A5309E" w:rsidP="00CD71C7">
      <w:pPr>
        <w:pStyle w:val="Bibliography"/>
      </w:pPr>
      <w:r>
        <w:t>84.</w:t>
      </w:r>
      <w:r>
        <w:tab/>
        <w:t xml:space="preserve">GBD 2021 Tobacco Forecasting Collaborators. Forecasting the effects of smoking prevalence scenarios on years of life lost and life expectancy from 2022 to 2050: a systematic analysis for the Global Burden of Disease Study 2021. Lancet Public Health. 2024 Oct;9(10):e729–44. </w:t>
      </w:r>
    </w:p>
    <w:p w14:paraId="337A0C7B" w14:textId="77777777" w:rsidR="00A5309E" w:rsidRDefault="00A5309E" w:rsidP="00CD71C7">
      <w:pPr>
        <w:pStyle w:val="Bibliography"/>
      </w:pPr>
      <w:r>
        <w:t>85.</w:t>
      </w:r>
      <w:r>
        <w:tab/>
        <w:t xml:space="preserve">Selvan ST, Yeo XX, Eijk Y van der. Which countries are ready for a tobacco endgame? A scoping review and cluster analysis. Lancet Glob Health. 2024 Jun 1;12(6):e1049–58. </w:t>
      </w:r>
    </w:p>
    <w:p w14:paraId="6C3D8760" w14:textId="77777777" w:rsidR="00A5309E" w:rsidRDefault="00A5309E" w:rsidP="00CD71C7">
      <w:pPr>
        <w:pStyle w:val="Bibliography"/>
      </w:pPr>
      <w:r>
        <w:t>86.</w:t>
      </w:r>
      <w:r>
        <w:tab/>
        <w:t>MPOWER [Internet]. [cited 2025 May 7]. Available from: https://www.who.int/initiatives/mpower</w:t>
      </w:r>
    </w:p>
    <w:p w14:paraId="0F7F4CAA" w14:textId="77777777" w:rsidR="00A5309E" w:rsidRDefault="00A5309E" w:rsidP="00CD71C7">
      <w:pPr>
        <w:pStyle w:val="Bibliography"/>
      </w:pPr>
      <w:r>
        <w:t>87.</w:t>
      </w:r>
      <w:r>
        <w:tab/>
        <w:t xml:space="preserve">Cosgrave EJ, Blake M, Murphy E, Sheridan A, Doyle F, Kavanagh P. Is the public ready for a tobacco-free Ireland? A national survey of public knowledge and attitudes to tobacco endgame in Ireland. Tob Control. 2024 Oct 19;33(6):807–12. </w:t>
      </w:r>
    </w:p>
    <w:p w14:paraId="21ACC0B2" w14:textId="77777777" w:rsidR="00A5309E" w:rsidRDefault="00A5309E" w:rsidP="00CD71C7">
      <w:pPr>
        <w:pStyle w:val="Bibliography"/>
      </w:pPr>
      <w:r>
        <w:t>88.</w:t>
      </w:r>
      <w:r>
        <w:tab/>
        <w:t>gov.ie [Internet]. [cited 2025 May 7]. Government approves legislation to increase the minimum legal age of sale of tobacco products to 21. Available from: https://gov.ie/en/department-of-health/press-releases/government-approves-legislation-to-increase-the-minimum-legal-age-of-sale-of-tobacco-products-to-21/</w:t>
      </w:r>
    </w:p>
    <w:p w14:paraId="7B692335" w14:textId="77777777" w:rsidR="00A5309E" w:rsidRDefault="00A5309E" w:rsidP="00CD71C7">
      <w:pPr>
        <w:pStyle w:val="Bibliography"/>
      </w:pPr>
      <w:r>
        <w:t>89.</w:t>
      </w:r>
      <w:r>
        <w:tab/>
        <w:t xml:space="preserve">Smith CE, Hill SE, Amos A. Impact of population tobacco control interventions on socioeconomic inequalities in smoking: a systematic review and appraisal of future research directions. Tob Control. 2020 Sep 29;30(e2):e87-95. </w:t>
      </w:r>
    </w:p>
    <w:p w14:paraId="13004CDD" w14:textId="303C52BC" w:rsidR="00A27215" w:rsidRDefault="00C80DB4" w:rsidP="00CD71C7">
      <w:pPr>
        <w:spacing w:line="240" w:lineRule="auto"/>
        <w:sectPr w:rsidR="00A27215" w:rsidSect="002746C0">
          <w:footerReference w:type="default" r:id="rId296"/>
          <w:pgSz w:w="11906" w:h="16838"/>
          <w:pgMar w:top="1440" w:right="1440" w:bottom="1440" w:left="1440" w:header="708" w:footer="708" w:gutter="0"/>
          <w:cols w:space="708"/>
          <w:docGrid w:linePitch="360"/>
        </w:sectPr>
      </w:pPr>
      <w:r>
        <w:rPr>
          <w:rFonts w:ascii="Aptos" w:hAnsi="Aptos"/>
        </w:rPr>
        <w:fldChar w:fldCharType="end"/>
      </w:r>
    </w:p>
    <w:p w14:paraId="7A721692" w14:textId="77777777" w:rsidR="00A27215" w:rsidRPr="00A27215" w:rsidRDefault="00A27215" w:rsidP="00A27215">
      <w:pPr>
        <w:keepNext/>
        <w:keepLines/>
        <w:spacing w:before="360" w:after="80"/>
        <w:ind w:left="432" w:hanging="432"/>
        <w:outlineLvl w:val="0"/>
        <w:rPr>
          <w:rFonts w:asciiTheme="majorHAnsi" w:eastAsiaTheme="majorEastAsia" w:hAnsiTheme="majorHAnsi" w:cstheme="majorBidi"/>
          <w:color w:val="0F4761" w:themeColor="accent1" w:themeShade="BF"/>
          <w:sz w:val="40"/>
          <w:szCs w:val="40"/>
        </w:rPr>
      </w:pPr>
      <w:bookmarkStart w:id="427" w:name="_Toc197557198"/>
      <w:bookmarkStart w:id="428" w:name="_Toc201512589"/>
      <w:r w:rsidRPr="00A27215">
        <w:rPr>
          <w:rFonts w:asciiTheme="majorHAnsi" w:eastAsiaTheme="majorEastAsia" w:hAnsiTheme="majorHAnsi" w:cstheme="majorBidi"/>
          <w:color w:val="0F4761" w:themeColor="accent1" w:themeShade="BF"/>
          <w:sz w:val="40"/>
          <w:szCs w:val="40"/>
        </w:rPr>
        <w:t>Appendix 1</w:t>
      </w:r>
      <w:bookmarkEnd w:id="427"/>
      <w:bookmarkEnd w:id="428"/>
    </w:p>
    <w:tbl>
      <w:tblPr>
        <w:tblStyle w:val="TableGrid"/>
        <w:tblW w:w="0" w:type="auto"/>
        <w:tblInd w:w="-147" w:type="dxa"/>
        <w:tblLook w:val="04A0" w:firstRow="1" w:lastRow="0" w:firstColumn="1" w:lastColumn="0" w:noHBand="0" w:noVBand="1"/>
      </w:tblPr>
      <w:tblGrid>
        <w:gridCol w:w="1927"/>
        <w:gridCol w:w="627"/>
        <w:gridCol w:w="627"/>
        <w:gridCol w:w="630"/>
        <w:gridCol w:w="542"/>
        <w:gridCol w:w="542"/>
        <w:gridCol w:w="630"/>
        <w:gridCol w:w="542"/>
        <w:gridCol w:w="542"/>
        <w:gridCol w:w="630"/>
        <w:gridCol w:w="542"/>
        <w:gridCol w:w="542"/>
        <w:gridCol w:w="630"/>
        <w:gridCol w:w="542"/>
        <w:gridCol w:w="542"/>
        <w:gridCol w:w="630"/>
        <w:gridCol w:w="542"/>
        <w:gridCol w:w="542"/>
        <w:gridCol w:w="630"/>
        <w:gridCol w:w="542"/>
        <w:gridCol w:w="542"/>
        <w:gridCol w:w="630"/>
      </w:tblGrid>
      <w:tr w:rsidR="00A27215" w:rsidRPr="00A27215" w14:paraId="6AC58D08" w14:textId="77777777">
        <w:trPr>
          <w:trHeight w:val="113"/>
          <w:tblHeader/>
        </w:trPr>
        <w:tc>
          <w:tcPr>
            <w:tcW w:w="0" w:type="auto"/>
            <w:gridSpan w:val="22"/>
            <w:shd w:val="clear" w:color="auto" w:fill="0E2841" w:themeFill="text2"/>
            <w:tcMar>
              <w:left w:w="57" w:type="dxa"/>
              <w:right w:w="57" w:type="dxa"/>
            </w:tcMar>
          </w:tcPr>
          <w:p w14:paraId="05D8D73A" w14:textId="16969BB9" w:rsidR="00A27215" w:rsidRPr="00A27215" w:rsidRDefault="00B46098" w:rsidP="00A27215">
            <w:pPr>
              <w:rPr>
                <w:rFonts w:asciiTheme="minorHAnsi" w:hAnsiTheme="minorHAnsi" w:cs="Calibri"/>
                <w:color w:val="FFFFFF" w:themeColor="background1"/>
                <w:sz w:val="16"/>
                <w:szCs w:val="16"/>
              </w:rPr>
            </w:pPr>
            <w:r w:rsidRPr="00A27215">
              <w:rPr>
                <w:rFonts w:asciiTheme="minorHAnsi" w:hAnsiTheme="minorHAnsi" w:cs="Calibri"/>
                <w:color w:val="FFFFFF" w:themeColor="background1"/>
                <w:sz w:val="16"/>
                <w:szCs w:val="16"/>
              </w:rPr>
              <w:t xml:space="preserve">Table </w:t>
            </w:r>
            <w:r>
              <w:rPr>
                <w:rFonts w:asciiTheme="minorHAnsi" w:hAnsiTheme="minorHAnsi" w:cs="Calibri"/>
                <w:color w:val="FFFFFF" w:themeColor="background1"/>
                <w:sz w:val="16"/>
                <w:szCs w:val="16"/>
              </w:rPr>
              <w:t>A.1</w:t>
            </w:r>
            <w:r w:rsidR="00A27215" w:rsidRPr="00A27215">
              <w:rPr>
                <w:rFonts w:asciiTheme="minorHAnsi" w:hAnsiTheme="minorHAnsi" w:cs="Calibri"/>
                <w:color w:val="FFFFFF" w:themeColor="background1"/>
                <w:sz w:val="16"/>
                <w:szCs w:val="16"/>
              </w:rPr>
              <w:t xml:space="preserve">: Cases numbers by sex for </w:t>
            </w:r>
            <w:r w:rsidR="00CD2A49" w:rsidRPr="00A27215">
              <w:rPr>
                <w:rFonts w:asciiTheme="minorHAnsi" w:hAnsiTheme="minorHAnsi" w:cs="Calibri"/>
                <w:color w:val="FFFFFF" w:themeColor="background1"/>
                <w:sz w:val="16"/>
                <w:szCs w:val="16"/>
              </w:rPr>
              <w:t>5-year</w:t>
            </w:r>
            <w:r w:rsidR="00A27215" w:rsidRPr="00A27215">
              <w:rPr>
                <w:rFonts w:asciiTheme="minorHAnsi" w:hAnsiTheme="minorHAnsi" w:cs="Calibri"/>
                <w:color w:val="FFFFFF" w:themeColor="background1"/>
                <w:sz w:val="16"/>
                <w:szCs w:val="16"/>
              </w:rPr>
              <w:t xml:space="preserve"> time periods</w:t>
            </w:r>
          </w:p>
        </w:tc>
      </w:tr>
      <w:tr w:rsidR="00A27215" w:rsidRPr="00A27215" w14:paraId="1F412538" w14:textId="77777777">
        <w:trPr>
          <w:trHeight w:val="113"/>
          <w:tblHeader/>
        </w:trPr>
        <w:tc>
          <w:tcPr>
            <w:tcW w:w="0" w:type="auto"/>
            <w:vMerge w:val="restart"/>
            <w:tcMar>
              <w:left w:w="57" w:type="dxa"/>
              <w:right w:w="57" w:type="dxa"/>
            </w:tcMar>
          </w:tcPr>
          <w:p w14:paraId="37C05841" w14:textId="77777777" w:rsidR="00A27215" w:rsidRPr="00A27215" w:rsidRDefault="00A27215" w:rsidP="00A27215">
            <w:pPr>
              <w:jc w:val="center"/>
              <w:rPr>
                <w:rFonts w:asciiTheme="minorHAnsi" w:hAnsiTheme="minorHAnsi" w:cs="Calibri"/>
                <w:sz w:val="16"/>
                <w:szCs w:val="16"/>
              </w:rPr>
            </w:pPr>
            <w:r w:rsidRPr="00A27215">
              <w:rPr>
                <w:rFonts w:asciiTheme="minorHAnsi" w:hAnsiTheme="minorHAnsi" w:cs="Calibri"/>
                <w:sz w:val="16"/>
                <w:szCs w:val="16"/>
              </w:rPr>
              <w:t>Cancer type</w:t>
            </w:r>
          </w:p>
        </w:tc>
        <w:tc>
          <w:tcPr>
            <w:tcW w:w="0" w:type="auto"/>
            <w:gridSpan w:val="3"/>
            <w:tcMar>
              <w:left w:w="57" w:type="dxa"/>
              <w:right w:w="57" w:type="dxa"/>
            </w:tcMar>
          </w:tcPr>
          <w:p w14:paraId="69068243" w14:textId="77777777" w:rsidR="00A27215" w:rsidRPr="00A27215" w:rsidRDefault="00A27215" w:rsidP="00A27215">
            <w:pPr>
              <w:jc w:val="center"/>
              <w:rPr>
                <w:rFonts w:asciiTheme="minorHAnsi" w:hAnsiTheme="minorHAnsi" w:cs="Calibri"/>
                <w:sz w:val="16"/>
                <w:szCs w:val="16"/>
              </w:rPr>
            </w:pPr>
            <w:r w:rsidRPr="00A27215">
              <w:rPr>
                <w:rFonts w:asciiTheme="minorHAnsi" w:hAnsiTheme="minorHAnsi" w:cs="Calibri"/>
                <w:sz w:val="16"/>
                <w:szCs w:val="16"/>
              </w:rPr>
              <w:t>Overall</w:t>
            </w:r>
          </w:p>
        </w:tc>
        <w:tc>
          <w:tcPr>
            <w:tcW w:w="0" w:type="auto"/>
            <w:gridSpan w:val="3"/>
            <w:tcMar>
              <w:left w:w="57" w:type="dxa"/>
              <w:right w:w="57" w:type="dxa"/>
            </w:tcMar>
          </w:tcPr>
          <w:p w14:paraId="39C03D93" w14:textId="77777777" w:rsidR="00A27215" w:rsidRPr="00A27215" w:rsidRDefault="00A27215" w:rsidP="00A27215">
            <w:pPr>
              <w:jc w:val="center"/>
              <w:rPr>
                <w:rFonts w:asciiTheme="minorHAnsi" w:hAnsiTheme="minorHAnsi" w:cs="Calibri"/>
                <w:sz w:val="16"/>
                <w:szCs w:val="16"/>
              </w:rPr>
            </w:pPr>
            <w:r w:rsidRPr="00A27215">
              <w:rPr>
                <w:rFonts w:asciiTheme="minorHAnsi" w:hAnsiTheme="minorHAnsi" w:cs="Calibri"/>
                <w:sz w:val="16"/>
                <w:szCs w:val="16"/>
              </w:rPr>
              <w:t>1994-1998</w:t>
            </w:r>
          </w:p>
        </w:tc>
        <w:tc>
          <w:tcPr>
            <w:tcW w:w="0" w:type="auto"/>
            <w:gridSpan w:val="3"/>
            <w:tcMar>
              <w:left w:w="57" w:type="dxa"/>
              <w:right w:w="57" w:type="dxa"/>
            </w:tcMar>
          </w:tcPr>
          <w:p w14:paraId="1F070633" w14:textId="77777777" w:rsidR="00A27215" w:rsidRPr="00A27215" w:rsidRDefault="00A27215" w:rsidP="00A27215">
            <w:pPr>
              <w:jc w:val="center"/>
              <w:rPr>
                <w:rFonts w:asciiTheme="minorHAnsi" w:hAnsiTheme="minorHAnsi" w:cs="Calibri"/>
                <w:sz w:val="16"/>
                <w:szCs w:val="16"/>
              </w:rPr>
            </w:pPr>
            <w:r w:rsidRPr="00A27215">
              <w:rPr>
                <w:rFonts w:asciiTheme="minorHAnsi" w:hAnsiTheme="minorHAnsi" w:cs="Calibri"/>
                <w:sz w:val="16"/>
                <w:szCs w:val="16"/>
              </w:rPr>
              <w:t>1999-2003</w:t>
            </w:r>
          </w:p>
        </w:tc>
        <w:tc>
          <w:tcPr>
            <w:tcW w:w="0" w:type="auto"/>
            <w:gridSpan w:val="3"/>
            <w:tcMar>
              <w:left w:w="57" w:type="dxa"/>
              <w:right w:w="57" w:type="dxa"/>
            </w:tcMar>
          </w:tcPr>
          <w:p w14:paraId="6B85852D" w14:textId="77777777" w:rsidR="00A27215" w:rsidRPr="00A27215" w:rsidRDefault="00A27215" w:rsidP="00A27215">
            <w:pPr>
              <w:jc w:val="center"/>
              <w:rPr>
                <w:rFonts w:asciiTheme="minorHAnsi" w:hAnsiTheme="minorHAnsi" w:cs="Calibri"/>
                <w:sz w:val="16"/>
                <w:szCs w:val="16"/>
              </w:rPr>
            </w:pPr>
            <w:r w:rsidRPr="00A27215">
              <w:rPr>
                <w:rFonts w:asciiTheme="minorHAnsi" w:hAnsiTheme="minorHAnsi" w:cs="Calibri"/>
                <w:sz w:val="16"/>
                <w:szCs w:val="16"/>
              </w:rPr>
              <w:t>2004-2008</w:t>
            </w:r>
          </w:p>
        </w:tc>
        <w:tc>
          <w:tcPr>
            <w:tcW w:w="0" w:type="auto"/>
            <w:gridSpan w:val="3"/>
            <w:tcMar>
              <w:left w:w="57" w:type="dxa"/>
              <w:right w:w="57" w:type="dxa"/>
            </w:tcMar>
          </w:tcPr>
          <w:p w14:paraId="7C530774" w14:textId="77777777" w:rsidR="00A27215" w:rsidRPr="00A27215" w:rsidRDefault="00A27215" w:rsidP="00A27215">
            <w:pPr>
              <w:jc w:val="center"/>
              <w:rPr>
                <w:rFonts w:asciiTheme="minorHAnsi" w:hAnsiTheme="minorHAnsi" w:cs="Calibri"/>
                <w:sz w:val="16"/>
                <w:szCs w:val="16"/>
              </w:rPr>
            </w:pPr>
            <w:r w:rsidRPr="00A27215">
              <w:rPr>
                <w:rFonts w:asciiTheme="minorHAnsi" w:hAnsiTheme="minorHAnsi" w:cs="Calibri"/>
                <w:sz w:val="16"/>
                <w:szCs w:val="16"/>
              </w:rPr>
              <w:t>2009-2013</w:t>
            </w:r>
          </w:p>
        </w:tc>
        <w:tc>
          <w:tcPr>
            <w:tcW w:w="0" w:type="auto"/>
            <w:gridSpan w:val="3"/>
            <w:tcMar>
              <w:left w:w="57" w:type="dxa"/>
              <w:right w:w="57" w:type="dxa"/>
            </w:tcMar>
          </w:tcPr>
          <w:p w14:paraId="1851F3F0" w14:textId="77777777" w:rsidR="00A27215" w:rsidRPr="00A27215" w:rsidRDefault="00A27215" w:rsidP="00A27215">
            <w:pPr>
              <w:jc w:val="center"/>
              <w:rPr>
                <w:rFonts w:asciiTheme="minorHAnsi" w:hAnsiTheme="minorHAnsi" w:cs="Calibri"/>
                <w:sz w:val="16"/>
                <w:szCs w:val="16"/>
              </w:rPr>
            </w:pPr>
            <w:r w:rsidRPr="00A27215">
              <w:rPr>
                <w:rFonts w:asciiTheme="minorHAnsi" w:hAnsiTheme="minorHAnsi" w:cs="Calibri"/>
                <w:sz w:val="16"/>
                <w:szCs w:val="16"/>
              </w:rPr>
              <w:t>2014-2018</w:t>
            </w:r>
          </w:p>
        </w:tc>
        <w:tc>
          <w:tcPr>
            <w:tcW w:w="0" w:type="auto"/>
            <w:gridSpan w:val="3"/>
            <w:tcMar>
              <w:left w:w="57" w:type="dxa"/>
              <w:right w:w="57" w:type="dxa"/>
            </w:tcMar>
          </w:tcPr>
          <w:p w14:paraId="1B080F56" w14:textId="77777777" w:rsidR="00A27215" w:rsidRPr="00A27215" w:rsidRDefault="00A27215" w:rsidP="00A27215">
            <w:pPr>
              <w:jc w:val="center"/>
              <w:rPr>
                <w:rFonts w:asciiTheme="minorHAnsi" w:hAnsiTheme="minorHAnsi" w:cs="Calibri"/>
                <w:sz w:val="16"/>
                <w:szCs w:val="16"/>
              </w:rPr>
            </w:pPr>
            <w:r w:rsidRPr="00A27215">
              <w:rPr>
                <w:rFonts w:asciiTheme="minorHAnsi" w:hAnsiTheme="minorHAnsi" w:cs="Calibri"/>
                <w:sz w:val="16"/>
                <w:szCs w:val="16"/>
              </w:rPr>
              <w:t>2019-2022</w:t>
            </w:r>
          </w:p>
        </w:tc>
      </w:tr>
      <w:tr w:rsidR="00A27215" w:rsidRPr="00A27215" w14:paraId="2F4687F7" w14:textId="77777777">
        <w:trPr>
          <w:trHeight w:val="113"/>
          <w:tblHeader/>
        </w:trPr>
        <w:tc>
          <w:tcPr>
            <w:tcW w:w="0" w:type="auto"/>
            <w:vMerge/>
            <w:tcMar>
              <w:left w:w="57" w:type="dxa"/>
              <w:right w:w="57" w:type="dxa"/>
            </w:tcMar>
          </w:tcPr>
          <w:p w14:paraId="213D9A0E" w14:textId="77777777" w:rsidR="00A27215" w:rsidRPr="00A27215" w:rsidRDefault="00A27215" w:rsidP="00A27215">
            <w:pPr>
              <w:rPr>
                <w:rFonts w:asciiTheme="minorHAnsi" w:hAnsiTheme="minorHAnsi" w:cs="Calibri"/>
                <w:sz w:val="16"/>
                <w:szCs w:val="16"/>
              </w:rPr>
            </w:pPr>
          </w:p>
        </w:tc>
        <w:tc>
          <w:tcPr>
            <w:tcW w:w="0" w:type="auto"/>
            <w:tcMar>
              <w:left w:w="57" w:type="dxa"/>
              <w:right w:w="57" w:type="dxa"/>
            </w:tcMar>
          </w:tcPr>
          <w:p w14:paraId="534BD43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Total</w:t>
            </w:r>
          </w:p>
        </w:tc>
        <w:tc>
          <w:tcPr>
            <w:tcW w:w="0" w:type="auto"/>
            <w:tcMar>
              <w:left w:w="57" w:type="dxa"/>
              <w:right w:w="57" w:type="dxa"/>
            </w:tcMar>
          </w:tcPr>
          <w:p w14:paraId="1F19269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Male</w:t>
            </w:r>
          </w:p>
        </w:tc>
        <w:tc>
          <w:tcPr>
            <w:tcW w:w="0" w:type="auto"/>
            <w:tcMar>
              <w:left w:w="57" w:type="dxa"/>
              <w:right w:w="57" w:type="dxa"/>
            </w:tcMar>
          </w:tcPr>
          <w:p w14:paraId="22EB065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Female</w:t>
            </w:r>
          </w:p>
        </w:tc>
        <w:tc>
          <w:tcPr>
            <w:tcW w:w="0" w:type="auto"/>
            <w:tcMar>
              <w:left w:w="57" w:type="dxa"/>
              <w:right w:w="57" w:type="dxa"/>
            </w:tcMar>
          </w:tcPr>
          <w:p w14:paraId="2D5EFF0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Total</w:t>
            </w:r>
          </w:p>
        </w:tc>
        <w:tc>
          <w:tcPr>
            <w:tcW w:w="0" w:type="auto"/>
            <w:tcMar>
              <w:left w:w="57" w:type="dxa"/>
              <w:right w:w="57" w:type="dxa"/>
            </w:tcMar>
          </w:tcPr>
          <w:p w14:paraId="3069F3E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Male</w:t>
            </w:r>
          </w:p>
        </w:tc>
        <w:tc>
          <w:tcPr>
            <w:tcW w:w="0" w:type="auto"/>
            <w:tcMar>
              <w:left w:w="57" w:type="dxa"/>
              <w:right w:w="57" w:type="dxa"/>
            </w:tcMar>
          </w:tcPr>
          <w:p w14:paraId="6BBEA84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Female</w:t>
            </w:r>
          </w:p>
        </w:tc>
        <w:tc>
          <w:tcPr>
            <w:tcW w:w="0" w:type="auto"/>
            <w:tcMar>
              <w:left w:w="57" w:type="dxa"/>
              <w:right w:w="57" w:type="dxa"/>
            </w:tcMar>
          </w:tcPr>
          <w:p w14:paraId="0C4A90F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Total</w:t>
            </w:r>
          </w:p>
        </w:tc>
        <w:tc>
          <w:tcPr>
            <w:tcW w:w="0" w:type="auto"/>
            <w:tcMar>
              <w:left w:w="57" w:type="dxa"/>
              <w:right w:w="57" w:type="dxa"/>
            </w:tcMar>
          </w:tcPr>
          <w:p w14:paraId="23A7762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Male</w:t>
            </w:r>
          </w:p>
        </w:tc>
        <w:tc>
          <w:tcPr>
            <w:tcW w:w="0" w:type="auto"/>
            <w:tcMar>
              <w:left w:w="57" w:type="dxa"/>
              <w:right w:w="57" w:type="dxa"/>
            </w:tcMar>
          </w:tcPr>
          <w:p w14:paraId="6A6C484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Female</w:t>
            </w:r>
          </w:p>
        </w:tc>
        <w:tc>
          <w:tcPr>
            <w:tcW w:w="0" w:type="auto"/>
            <w:tcMar>
              <w:left w:w="57" w:type="dxa"/>
              <w:right w:w="57" w:type="dxa"/>
            </w:tcMar>
          </w:tcPr>
          <w:p w14:paraId="571E8A2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Total</w:t>
            </w:r>
          </w:p>
        </w:tc>
        <w:tc>
          <w:tcPr>
            <w:tcW w:w="0" w:type="auto"/>
            <w:tcMar>
              <w:left w:w="57" w:type="dxa"/>
              <w:right w:w="57" w:type="dxa"/>
            </w:tcMar>
          </w:tcPr>
          <w:p w14:paraId="49A73F1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Male</w:t>
            </w:r>
          </w:p>
        </w:tc>
        <w:tc>
          <w:tcPr>
            <w:tcW w:w="0" w:type="auto"/>
            <w:tcMar>
              <w:left w:w="57" w:type="dxa"/>
              <w:right w:w="57" w:type="dxa"/>
            </w:tcMar>
          </w:tcPr>
          <w:p w14:paraId="302BC998"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Female</w:t>
            </w:r>
          </w:p>
        </w:tc>
        <w:tc>
          <w:tcPr>
            <w:tcW w:w="0" w:type="auto"/>
            <w:tcMar>
              <w:left w:w="57" w:type="dxa"/>
              <w:right w:w="57" w:type="dxa"/>
            </w:tcMar>
          </w:tcPr>
          <w:p w14:paraId="1AE1923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Total</w:t>
            </w:r>
          </w:p>
        </w:tc>
        <w:tc>
          <w:tcPr>
            <w:tcW w:w="0" w:type="auto"/>
            <w:tcMar>
              <w:left w:w="57" w:type="dxa"/>
              <w:right w:w="57" w:type="dxa"/>
            </w:tcMar>
          </w:tcPr>
          <w:p w14:paraId="5AB2A16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Male</w:t>
            </w:r>
          </w:p>
        </w:tc>
        <w:tc>
          <w:tcPr>
            <w:tcW w:w="0" w:type="auto"/>
            <w:tcMar>
              <w:left w:w="57" w:type="dxa"/>
              <w:right w:w="57" w:type="dxa"/>
            </w:tcMar>
          </w:tcPr>
          <w:p w14:paraId="11E664A1"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Female</w:t>
            </w:r>
          </w:p>
        </w:tc>
        <w:tc>
          <w:tcPr>
            <w:tcW w:w="0" w:type="auto"/>
            <w:tcMar>
              <w:left w:w="57" w:type="dxa"/>
              <w:right w:w="57" w:type="dxa"/>
            </w:tcMar>
          </w:tcPr>
          <w:p w14:paraId="4EAF2C2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Total</w:t>
            </w:r>
          </w:p>
        </w:tc>
        <w:tc>
          <w:tcPr>
            <w:tcW w:w="0" w:type="auto"/>
            <w:tcMar>
              <w:left w:w="57" w:type="dxa"/>
              <w:right w:w="57" w:type="dxa"/>
            </w:tcMar>
          </w:tcPr>
          <w:p w14:paraId="313DF92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Male</w:t>
            </w:r>
          </w:p>
        </w:tc>
        <w:tc>
          <w:tcPr>
            <w:tcW w:w="0" w:type="auto"/>
            <w:tcMar>
              <w:left w:w="57" w:type="dxa"/>
              <w:right w:w="57" w:type="dxa"/>
            </w:tcMar>
          </w:tcPr>
          <w:p w14:paraId="318C72B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Female</w:t>
            </w:r>
          </w:p>
        </w:tc>
        <w:tc>
          <w:tcPr>
            <w:tcW w:w="0" w:type="auto"/>
            <w:tcMar>
              <w:left w:w="57" w:type="dxa"/>
              <w:right w:w="57" w:type="dxa"/>
            </w:tcMar>
          </w:tcPr>
          <w:p w14:paraId="741886C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Total</w:t>
            </w:r>
          </w:p>
        </w:tc>
        <w:tc>
          <w:tcPr>
            <w:tcW w:w="0" w:type="auto"/>
            <w:tcMar>
              <w:left w:w="57" w:type="dxa"/>
              <w:right w:w="57" w:type="dxa"/>
            </w:tcMar>
          </w:tcPr>
          <w:p w14:paraId="6BF76D0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Male</w:t>
            </w:r>
          </w:p>
        </w:tc>
        <w:tc>
          <w:tcPr>
            <w:tcW w:w="0" w:type="auto"/>
            <w:tcMar>
              <w:left w:w="57" w:type="dxa"/>
              <w:right w:w="57" w:type="dxa"/>
            </w:tcMar>
          </w:tcPr>
          <w:p w14:paraId="0E1DFB8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Female</w:t>
            </w:r>
          </w:p>
        </w:tc>
      </w:tr>
      <w:tr w:rsidR="00A27215" w:rsidRPr="00A27215" w14:paraId="7E8E9A79" w14:textId="77777777">
        <w:trPr>
          <w:trHeight w:val="113"/>
        </w:trPr>
        <w:tc>
          <w:tcPr>
            <w:tcW w:w="0" w:type="auto"/>
            <w:tcMar>
              <w:left w:w="57" w:type="dxa"/>
              <w:right w:w="57" w:type="dxa"/>
            </w:tcMar>
          </w:tcPr>
          <w:p w14:paraId="3FDACB1F" w14:textId="0889135D" w:rsidR="00A27215" w:rsidRPr="00A27215" w:rsidRDefault="00A27215" w:rsidP="00A27215">
            <w:pPr>
              <w:rPr>
                <w:rFonts w:asciiTheme="minorHAnsi" w:hAnsiTheme="minorHAnsi" w:cs="Calibri"/>
                <w:sz w:val="16"/>
                <w:szCs w:val="16"/>
              </w:rPr>
            </w:pPr>
            <w:r w:rsidRPr="00A27215">
              <w:rPr>
                <w:rFonts w:asciiTheme="minorHAnsi" w:hAnsiTheme="minorHAnsi" w:cs="Calibri"/>
                <w:sz w:val="16"/>
                <w:szCs w:val="16"/>
              </w:rPr>
              <w:t>All tobacco</w:t>
            </w:r>
            <w:r w:rsidR="00B20C1E">
              <w:rPr>
                <w:rFonts w:asciiTheme="minorHAnsi" w:hAnsiTheme="minorHAnsi" w:cs="Calibri"/>
                <w:sz w:val="16"/>
                <w:szCs w:val="16"/>
              </w:rPr>
              <w:t>-</w:t>
            </w:r>
            <w:r w:rsidRPr="00A27215">
              <w:rPr>
                <w:rFonts w:asciiTheme="minorHAnsi" w:hAnsiTheme="minorHAnsi" w:cs="Calibri"/>
                <w:sz w:val="16"/>
                <w:szCs w:val="16"/>
              </w:rPr>
              <w:t>related</w:t>
            </w:r>
          </w:p>
        </w:tc>
        <w:tc>
          <w:tcPr>
            <w:tcW w:w="0" w:type="auto"/>
            <w:tcMar>
              <w:left w:w="57" w:type="dxa"/>
              <w:right w:w="57" w:type="dxa"/>
            </w:tcMar>
          </w:tcPr>
          <w:p w14:paraId="47AF4D8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305914</w:t>
            </w:r>
          </w:p>
        </w:tc>
        <w:tc>
          <w:tcPr>
            <w:tcW w:w="0" w:type="auto"/>
            <w:tcMar>
              <w:left w:w="57" w:type="dxa"/>
              <w:right w:w="57" w:type="dxa"/>
            </w:tcMar>
          </w:tcPr>
          <w:p w14:paraId="2B3E627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136268</w:t>
            </w:r>
          </w:p>
        </w:tc>
        <w:tc>
          <w:tcPr>
            <w:tcW w:w="0" w:type="auto"/>
            <w:tcMar>
              <w:left w:w="57" w:type="dxa"/>
              <w:right w:w="57" w:type="dxa"/>
            </w:tcMar>
          </w:tcPr>
          <w:p w14:paraId="1354B6C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169646</w:t>
            </w:r>
          </w:p>
        </w:tc>
        <w:tc>
          <w:tcPr>
            <w:tcW w:w="0" w:type="auto"/>
            <w:tcMar>
              <w:left w:w="57" w:type="dxa"/>
              <w:right w:w="57" w:type="dxa"/>
            </w:tcMar>
          </w:tcPr>
          <w:p w14:paraId="33F44BE1"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37578</w:t>
            </w:r>
          </w:p>
        </w:tc>
        <w:tc>
          <w:tcPr>
            <w:tcW w:w="0" w:type="auto"/>
            <w:tcMar>
              <w:left w:w="57" w:type="dxa"/>
              <w:right w:w="57" w:type="dxa"/>
            </w:tcMar>
          </w:tcPr>
          <w:p w14:paraId="3E0FC5F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17711</w:t>
            </w:r>
          </w:p>
        </w:tc>
        <w:tc>
          <w:tcPr>
            <w:tcW w:w="0" w:type="auto"/>
            <w:tcMar>
              <w:left w:w="57" w:type="dxa"/>
              <w:right w:w="57" w:type="dxa"/>
            </w:tcMar>
          </w:tcPr>
          <w:p w14:paraId="7E2961C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19867</w:t>
            </w:r>
          </w:p>
        </w:tc>
        <w:tc>
          <w:tcPr>
            <w:tcW w:w="0" w:type="auto"/>
            <w:tcMar>
              <w:left w:w="57" w:type="dxa"/>
              <w:right w:w="57" w:type="dxa"/>
            </w:tcMar>
          </w:tcPr>
          <w:p w14:paraId="1499D89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41870</w:t>
            </w:r>
          </w:p>
        </w:tc>
        <w:tc>
          <w:tcPr>
            <w:tcW w:w="0" w:type="auto"/>
            <w:tcMar>
              <w:left w:w="57" w:type="dxa"/>
              <w:right w:w="57" w:type="dxa"/>
            </w:tcMar>
          </w:tcPr>
          <w:p w14:paraId="6D1771C5"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18822</w:t>
            </w:r>
          </w:p>
        </w:tc>
        <w:tc>
          <w:tcPr>
            <w:tcW w:w="0" w:type="auto"/>
            <w:tcMar>
              <w:left w:w="57" w:type="dxa"/>
              <w:right w:w="57" w:type="dxa"/>
            </w:tcMar>
          </w:tcPr>
          <w:p w14:paraId="37748D0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23048</w:t>
            </w:r>
          </w:p>
        </w:tc>
        <w:tc>
          <w:tcPr>
            <w:tcW w:w="0" w:type="auto"/>
            <w:tcMar>
              <w:left w:w="57" w:type="dxa"/>
              <w:right w:w="57" w:type="dxa"/>
            </w:tcMar>
          </w:tcPr>
          <w:p w14:paraId="0D520B5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48860</w:t>
            </w:r>
          </w:p>
        </w:tc>
        <w:tc>
          <w:tcPr>
            <w:tcW w:w="0" w:type="auto"/>
            <w:tcMar>
              <w:left w:w="57" w:type="dxa"/>
              <w:right w:w="57" w:type="dxa"/>
            </w:tcMar>
          </w:tcPr>
          <w:p w14:paraId="1F8A20B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21573</w:t>
            </w:r>
          </w:p>
        </w:tc>
        <w:tc>
          <w:tcPr>
            <w:tcW w:w="0" w:type="auto"/>
            <w:tcMar>
              <w:left w:w="57" w:type="dxa"/>
              <w:right w:w="57" w:type="dxa"/>
            </w:tcMar>
          </w:tcPr>
          <w:p w14:paraId="1115B59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27287</w:t>
            </w:r>
          </w:p>
        </w:tc>
        <w:tc>
          <w:tcPr>
            <w:tcW w:w="0" w:type="auto"/>
            <w:tcMar>
              <w:left w:w="57" w:type="dxa"/>
              <w:right w:w="57" w:type="dxa"/>
            </w:tcMar>
          </w:tcPr>
          <w:p w14:paraId="08E53D8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57748</w:t>
            </w:r>
          </w:p>
        </w:tc>
        <w:tc>
          <w:tcPr>
            <w:tcW w:w="0" w:type="auto"/>
            <w:tcMar>
              <w:left w:w="57" w:type="dxa"/>
              <w:right w:w="57" w:type="dxa"/>
            </w:tcMar>
          </w:tcPr>
          <w:p w14:paraId="5D76105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25549</w:t>
            </w:r>
          </w:p>
        </w:tc>
        <w:tc>
          <w:tcPr>
            <w:tcW w:w="0" w:type="auto"/>
            <w:tcMar>
              <w:left w:w="57" w:type="dxa"/>
              <w:right w:w="57" w:type="dxa"/>
            </w:tcMar>
          </w:tcPr>
          <w:p w14:paraId="155D2768"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32199</w:t>
            </w:r>
          </w:p>
        </w:tc>
        <w:tc>
          <w:tcPr>
            <w:tcW w:w="0" w:type="auto"/>
            <w:tcMar>
              <w:left w:w="57" w:type="dxa"/>
              <w:right w:w="57" w:type="dxa"/>
            </w:tcMar>
          </w:tcPr>
          <w:p w14:paraId="31BD7FC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64710</w:t>
            </w:r>
          </w:p>
        </w:tc>
        <w:tc>
          <w:tcPr>
            <w:tcW w:w="0" w:type="auto"/>
            <w:tcMar>
              <w:left w:w="57" w:type="dxa"/>
              <w:right w:w="57" w:type="dxa"/>
            </w:tcMar>
          </w:tcPr>
          <w:p w14:paraId="4DDC85B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28615</w:t>
            </w:r>
          </w:p>
        </w:tc>
        <w:tc>
          <w:tcPr>
            <w:tcW w:w="0" w:type="auto"/>
            <w:tcMar>
              <w:left w:w="57" w:type="dxa"/>
              <w:right w:w="57" w:type="dxa"/>
            </w:tcMar>
          </w:tcPr>
          <w:p w14:paraId="200341D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36095</w:t>
            </w:r>
          </w:p>
        </w:tc>
        <w:tc>
          <w:tcPr>
            <w:tcW w:w="0" w:type="auto"/>
            <w:tcMar>
              <w:left w:w="57" w:type="dxa"/>
              <w:right w:w="57" w:type="dxa"/>
            </w:tcMar>
          </w:tcPr>
          <w:p w14:paraId="3802501E"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55148</w:t>
            </w:r>
          </w:p>
        </w:tc>
        <w:tc>
          <w:tcPr>
            <w:tcW w:w="0" w:type="auto"/>
            <w:tcMar>
              <w:left w:w="57" w:type="dxa"/>
              <w:right w:w="57" w:type="dxa"/>
            </w:tcMar>
          </w:tcPr>
          <w:p w14:paraId="4BC85568"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23998</w:t>
            </w:r>
          </w:p>
        </w:tc>
        <w:tc>
          <w:tcPr>
            <w:tcW w:w="0" w:type="auto"/>
            <w:tcMar>
              <w:left w:w="57" w:type="dxa"/>
              <w:right w:w="57" w:type="dxa"/>
            </w:tcMar>
          </w:tcPr>
          <w:p w14:paraId="5F814DB2"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31150</w:t>
            </w:r>
          </w:p>
        </w:tc>
      </w:tr>
      <w:tr w:rsidR="00A27215" w:rsidRPr="00A27215" w14:paraId="1BFC29A8" w14:textId="77777777">
        <w:trPr>
          <w:trHeight w:val="113"/>
        </w:trPr>
        <w:tc>
          <w:tcPr>
            <w:tcW w:w="0" w:type="auto"/>
            <w:tcMar>
              <w:left w:w="57" w:type="dxa"/>
              <w:right w:w="57" w:type="dxa"/>
            </w:tcMar>
          </w:tcPr>
          <w:p w14:paraId="3FC91AFA" w14:textId="77777777" w:rsidR="00A27215" w:rsidRPr="00A27215" w:rsidRDefault="00A27215" w:rsidP="00A27215">
            <w:pPr>
              <w:rPr>
                <w:rFonts w:asciiTheme="minorHAnsi" w:hAnsiTheme="minorHAnsi" w:cs="Calibri"/>
                <w:sz w:val="16"/>
                <w:szCs w:val="16"/>
              </w:rPr>
            </w:pPr>
            <w:r w:rsidRPr="00A27215">
              <w:rPr>
                <w:rFonts w:asciiTheme="minorHAnsi" w:hAnsiTheme="minorHAnsi" w:cs="Calibri"/>
                <w:sz w:val="16"/>
                <w:szCs w:val="16"/>
              </w:rPr>
              <w:t>C00-06 oral cavity</w:t>
            </w:r>
          </w:p>
        </w:tc>
        <w:tc>
          <w:tcPr>
            <w:tcW w:w="0" w:type="auto"/>
            <w:tcMar>
              <w:left w:w="57" w:type="dxa"/>
              <w:right w:w="57" w:type="dxa"/>
            </w:tcMar>
          </w:tcPr>
          <w:p w14:paraId="211CCEF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6078</w:t>
            </w:r>
          </w:p>
        </w:tc>
        <w:tc>
          <w:tcPr>
            <w:tcW w:w="0" w:type="auto"/>
            <w:tcMar>
              <w:left w:w="57" w:type="dxa"/>
              <w:right w:w="57" w:type="dxa"/>
            </w:tcMar>
          </w:tcPr>
          <w:p w14:paraId="693C09D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4163</w:t>
            </w:r>
          </w:p>
        </w:tc>
        <w:tc>
          <w:tcPr>
            <w:tcW w:w="0" w:type="auto"/>
            <w:tcMar>
              <w:left w:w="57" w:type="dxa"/>
              <w:right w:w="57" w:type="dxa"/>
            </w:tcMar>
          </w:tcPr>
          <w:p w14:paraId="3F52FEA2"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1915</w:t>
            </w:r>
          </w:p>
        </w:tc>
        <w:tc>
          <w:tcPr>
            <w:tcW w:w="0" w:type="auto"/>
            <w:tcMar>
              <w:left w:w="57" w:type="dxa"/>
              <w:right w:w="57" w:type="dxa"/>
            </w:tcMar>
          </w:tcPr>
          <w:p w14:paraId="6DFF722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845</w:t>
            </w:r>
          </w:p>
        </w:tc>
        <w:tc>
          <w:tcPr>
            <w:tcW w:w="0" w:type="auto"/>
            <w:tcMar>
              <w:left w:w="57" w:type="dxa"/>
              <w:right w:w="57" w:type="dxa"/>
            </w:tcMar>
          </w:tcPr>
          <w:p w14:paraId="7BCB322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641</w:t>
            </w:r>
          </w:p>
        </w:tc>
        <w:tc>
          <w:tcPr>
            <w:tcW w:w="0" w:type="auto"/>
            <w:tcMar>
              <w:left w:w="57" w:type="dxa"/>
              <w:right w:w="57" w:type="dxa"/>
            </w:tcMar>
          </w:tcPr>
          <w:p w14:paraId="3D512432"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204</w:t>
            </w:r>
          </w:p>
        </w:tc>
        <w:tc>
          <w:tcPr>
            <w:tcW w:w="0" w:type="auto"/>
            <w:tcMar>
              <w:left w:w="57" w:type="dxa"/>
              <w:right w:w="57" w:type="dxa"/>
            </w:tcMar>
          </w:tcPr>
          <w:p w14:paraId="6CE6540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699</w:t>
            </w:r>
          </w:p>
        </w:tc>
        <w:tc>
          <w:tcPr>
            <w:tcW w:w="0" w:type="auto"/>
            <w:tcMar>
              <w:left w:w="57" w:type="dxa"/>
              <w:right w:w="57" w:type="dxa"/>
            </w:tcMar>
          </w:tcPr>
          <w:p w14:paraId="5B325D6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494</w:t>
            </w:r>
          </w:p>
        </w:tc>
        <w:tc>
          <w:tcPr>
            <w:tcW w:w="0" w:type="auto"/>
            <w:tcMar>
              <w:left w:w="57" w:type="dxa"/>
              <w:right w:w="57" w:type="dxa"/>
            </w:tcMar>
          </w:tcPr>
          <w:p w14:paraId="3636B9C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205</w:t>
            </w:r>
          </w:p>
        </w:tc>
        <w:tc>
          <w:tcPr>
            <w:tcW w:w="0" w:type="auto"/>
            <w:tcMar>
              <w:left w:w="57" w:type="dxa"/>
              <w:right w:w="57" w:type="dxa"/>
            </w:tcMar>
          </w:tcPr>
          <w:p w14:paraId="6C829E7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873</w:t>
            </w:r>
          </w:p>
        </w:tc>
        <w:tc>
          <w:tcPr>
            <w:tcW w:w="0" w:type="auto"/>
            <w:tcMar>
              <w:left w:w="57" w:type="dxa"/>
              <w:right w:w="57" w:type="dxa"/>
            </w:tcMar>
          </w:tcPr>
          <w:p w14:paraId="6A06803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577</w:t>
            </w:r>
          </w:p>
        </w:tc>
        <w:tc>
          <w:tcPr>
            <w:tcW w:w="0" w:type="auto"/>
            <w:tcMar>
              <w:left w:w="57" w:type="dxa"/>
              <w:right w:w="57" w:type="dxa"/>
            </w:tcMar>
          </w:tcPr>
          <w:p w14:paraId="1671AC5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296</w:t>
            </w:r>
          </w:p>
        </w:tc>
        <w:tc>
          <w:tcPr>
            <w:tcW w:w="0" w:type="auto"/>
            <w:tcMar>
              <w:left w:w="57" w:type="dxa"/>
              <w:right w:w="57" w:type="dxa"/>
            </w:tcMar>
          </w:tcPr>
          <w:p w14:paraId="21EDC18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1141</w:t>
            </w:r>
          </w:p>
        </w:tc>
        <w:tc>
          <w:tcPr>
            <w:tcW w:w="0" w:type="auto"/>
            <w:tcMar>
              <w:left w:w="57" w:type="dxa"/>
              <w:right w:w="57" w:type="dxa"/>
            </w:tcMar>
          </w:tcPr>
          <w:p w14:paraId="392620C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738</w:t>
            </w:r>
          </w:p>
        </w:tc>
        <w:tc>
          <w:tcPr>
            <w:tcW w:w="0" w:type="auto"/>
            <w:tcMar>
              <w:left w:w="57" w:type="dxa"/>
              <w:right w:w="57" w:type="dxa"/>
            </w:tcMar>
          </w:tcPr>
          <w:p w14:paraId="06C51A4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403</w:t>
            </w:r>
          </w:p>
        </w:tc>
        <w:tc>
          <w:tcPr>
            <w:tcW w:w="0" w:type="auto"/>
            <w:tcMar>
              <w:left w:w="57" w:type="dxa"/>
              <w:right w:w="57" w:type="dxa"/>
            </w:tcMar>
          </w:tcPr>
          <w:p w14:paraId="528D423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1321</w:t>
            </w:r>
          </w:p>
        </w:tc>
        <w:tc>
          <w:tcPr>
            <w:tcW w:w="0" w:type="auto"/>
            <w:tcMar>
              <w:left w:w="57" w:type="dxa"/>
              <w:right w:w="57" w:type="dxa"/>
            </w:tcMar>
          </w:tcPr>
          <w:p w14:paraId="103356C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908</w:t>
            </w:r>
          </w:p>
        </w:tc>
        <w:tc>
          <w:tcPr>
            <w:tcW w:w="0" w:type="auto"/>
            <w:tcMar>
              <w:left w:w="57" w:type="dxa"/>
              <w:right w:w="57" w:type="dxa"/>
            </w:tcMar>
          </w:tcPr>
          <w:p w14:paraId="1C95261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413</w:t>
            </w:r>
          </w:p>
        </w:tc>
        <w:tc>
          <w:tcPr>
            <w:tcW w:w="0" w:type="auto"/>
            <w:tcMar>
              <w:left w:w="57" w:type="dxa"/>
              <w:right w:w="57" w:type="dxa"/>
            </w:tcMar>
          </w:tcPr>
          <w:p w14:paraId="20E28491"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1199</w:t>
            </w:r>
          </w:p>
        </w:tc>
        <w:tc>
          <w:tcPr>
            <w:tcW w:w="0" w:type="auto"/>
            <w:tcMar>
              <w:left w:w="57" w:type="dxa"/>
              <w:right w:w="57" w:type="dxa"/>
            </w:tcMar>
          </w:tcPr>
          <w:p w14:paraId="2D04641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805</w:t>
            </w:r>
          </w:p>
        </w:tc>
        <w:tc>
          <w:tcPr>
            <w:tcW w:w="0" w:type="auto"/>
            <w:tcMar>
              <w:left w:w="57" w:type="dxa"/>
              <w:right w:w="57" w:type="dxa"/>
            </w:tcMar>
          </w:tcPr>
          <w:p w14:paraId="1C81007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394</w:t>
            </w:r>
          </w:p>
        </w:tc>
      </w:tr>
      <w:tr w:rsidR="00A27215" w:rsidRPr="00A27215" w14:paraId="7D0FCBDC" w14:textId="77777777">
        <w:trPr>
          <w:trHeight w:val="113"/>
        </w:trPr>
        <w:tc>
          <w:tcPr>
            <w:tcW w:w="0" w:type="auto"/>
            <w:tcMar>
              <w:left w:w="57" w:type="dxa"/>
              <w:right w:w="57" w:type="dxa"/>
            </w:tcMar>
          </w:tcPr>
          <w:p w14:paraId="33D6C3A3" w14:textId="2AE0D78F" w:rsidR="00A27215" w:rsidRPr="00A27215" w:rsidRDefault="00A27215" w:rsidP="00A27215">
            <w:pPr>
              <w:rPr>
                <w:rFonts w:asciiTheme="minorHAnsi" w:hAnsiTheme="minorHAnsi" w:cs="Calibri"/>
                <w:sz w:val="16"/>
                <w:szCs w:val="16"/>
              </w:rPr>
            </w:pPr>
            <w:r w:rsidRPr="00A27215">
              <w:rPr>
                <w:rFonts w:asciiTheme="minorHAnsi" w:hAnsiTheme="minorHAnsi" w:cs="Calibri"/>
                <w:sz w:val="16"/>
                <w:szCs w:val="16"/>
              </w:rPr>
              <w:t>C09-</w:t>
            </w:r>
            <w:r w:rsidR="007535AF" w:rsidRPr="00A27215">
              <w:rPr>
                <w:rFonts w:asciiTheme="minorHAnsi" w:hAnsiTheme="minorHAnsi" w:cs="Calibri"/>
                <w:sz w:val="16"/>
                <w:szCs w:val="16"/>
              </w:rPr>
              <w:t>10, C</w:t>
            </w:r>
            <w:r w:rsidRPr="00A27215">
              <w:rPr>
                <w:rFonts w:asciiTheme="minorHAnsi" w:hAnsiTheme="minorHAnsi" w:cs="Calibri"/>
                <w:sz w:val="16"/>
                <w:szCs w:val="16"/>
              </w:rPr>
              <w:t>12-14 pharynx</w:t>
            </w:r>
          </w:p>
        </w:tc>
        <w:tc>
          <w:tcPr>
            <w:tcW w:w="0" w:type="auto"/>
            <w:tcMar>
              <w:left w:w="57" w:type="dxa"/>
              <w:right w:w="57" w:type="dxa"/>
            </w:tcMar>
          </w:tcPr>
          <w:p w14:paraId="511C0121"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3512</w:t>
            </w:r>
          </w:p>
        </w:tc>
        <w:tc>
          <w:tcPr>
            <w:tcW w:w="0" w:type="auto"/>
            <w:tcMar>
              <w:left w:w="57" w:type="dxa"/>
              <w:right w:w="57" w:type="dxa"/>
            </w:tcMar>
          </w:tcPr>
          <w:p w14:paraId="3A6442AE"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2691</w:t>
            </w:r>
          </w:p>
        </w:tc>
        <w:tc>
          <w:tcPr>
            <w:tcW w:w="0" w:type="auto"/>
            <w:tcMar>
              <w:left w:w="57" w:type="dxa"/>
              <w:right w:w="57" w:type="dxa"/>
            </w:tcMar>
          </w:tcPr>
          <w:p w14:paraId="335ED212"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821</w:t>
            </w:r>
          </w:p>
        </w:tc>
        <w:tc>
          <w:tcPr>
            <w:tcW w:w="0" w:type="auto"/>
            <w:tcMar>
              <w:left w:w="57" w:type="dxa"/>
              <w:right w:w="57" w:type="dxa"/>
            </w:tcMar>
          </w:tcPr>
          <w:p w14:paraId="57ADD39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391</w:t>
            </w:r>
          </w:p>
        </w:tc>
        <w:tc>
          <w:tcPr>
            <w:tcW w:w="0" w:type="auto"/>
            <w:tcMar>
              <w:left w:w="57" w:type="dxa"/>
              <w:right w:w="57" w:type="dxa"/>
            </w:tcMar>
          </w:tcPr>
          <w:p w14:paraId="429BBDB2"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288</w:t>
            </w:r>
          </w:p>
        </w:tc>
        <w:tc>
          <w:tcPr>
            <w:tcW w:w="0" w:type="auto"/>
            <w:tcMar>
              <w:left w:w="57" w:type="dxa"/>
              <w:right w:w="57" w:type="dxa"/>
            </w:tcMar>
          </w:tcPr>
          <w:p w14:paraId="6BC92E1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103</w:t>
            </w:r>
          </w:p>
        </w:tc>
        <w:tc>
          <w:tcPr>
            <w:tcW w:w="0" w:type="auto"/>
            <w:tcMar>
              <w:left w:w="57" w:type="dxa"/>
              <w:right w:w="57" w:type="dxa"/>
            </w:tcMar>
          </w:tcPr>
          <w:p w14:paraId="1FF99BF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362</w:t>
            </w:r>
          </w:p>
        </w:tc>
        <w:tc>
          <w:tcPr>
            <w:tcW w:w="0" w:type="auto"/>
            <w:tcMar>
              <w:left w:w="57" w:type="dxa"/>
              <w:right w:w="57" w:type="dxa"/>
            </w:tcMar>
          </w:tcPr>
          <w:p w14:paraId="45E23A5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266</w:t>
            </w:r>
          </w:p>
        </w:tc>
        <w:tc>
          <w:tcPr>
            <w:tcW w:w="0" w:type="auto"/>
            <w:tcMar>
              <w:left w:w="57" w:type="dxa"/>
              <w:right w:w="57" w:type="dxa"/>
            </w:tcMar>
          </w:tcPr>
          <w:p w14:paraId="12E3DD2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96</w:t>
            </w:r>
          </w:p>
        </w:tc>
        <w:tc>
          <w:tcPr>
            <w:tcW w:w="0" w:type="auto"/>
            <w:tcMar>
              <w:left w:w="57" w:type="dxa"/>
              <w:right w:w="57" w:type="dxa"/>
            </w:tcMar>
          </w:tcPr>
          <w:p w14:paraId="4AA76BE5"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461</w:t>
            </w:r>
          </w:p>
        </w:tc>
        <w:tc>
          <w:tcPr>
            <w:tcW w:w="0" w:type="auto"/>
            <w:tcMar>
              <w:left w:w="57" w:type="dxa"/>
              <w:right w:w="57" w:type="dxa"/>
            </w:tcMar>
          </w:tcPr>
          <w:p w14:paraId="13E3046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359</w:t>
            </w:r>
          </w:p>
        </w:tc>
        <w:tc>
          <w:tcPr>
            <w:tcW w:w="0" w:type="auto"/>
            <w:tcMar>
              <w:left w:w="57" w:type="dxa"/>
              <w:right w:w="57" w:type="dxa"/>
            </w:tcMar>
          </w:tcPr>
          <w:p w14:paraId="072D1048"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102</w:t>
            </w:r>
          </w:p>
        </w:tc>
        <w:tc>
          <w:tcPr>
            <w:tcW w:w="0" w:type="auto"/>
            <w:tcMar>
              <w:left w:w="57" w:type="dxa"/>
              <w:right w:w="57" w:type="dxa"/>
            </w:tcMar>
          </w:tcPr>
          <w:p w14:paraId="66D64F5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660</w:t>
            </w:r>
          </w:p>
        </w:tc>
        <w:tc>
          <w:tcPr>
            <w:tcW w:w="0" w:type="auto"/>
            <w:tcMar>
              <w:left w:w="57" w:type="dxa"/>
              <w:right w:w="57" w:type="dxa"/>
            </w:tcMar>
          </w:tcPr>
          <w:p w14:paraId="46AF2E8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514</w:t>
            </w:r>
          </w:p>
        </w:tc>
        <w:tc>
          <w:tcPr>
            <w:tcW w:w="0" w:type="auto"/>
            <w:tcMar>
              <w:left w:w="57" w:type="dxa"/>
              <w:right w:w="57" w:type="dxa"/>
            </w:tcMar>
          </w:tcPr>
          <w:p w14:paraId="49999E8E"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146</w:t>
            </w:r>
          </w:p>
        </w:tc>
        <w:tc>
          <w:tcPr>
            <w:tcW w:w="0" w:type="auto"/>
            <w:tcMar>
              <w:left w:w="57" w:type="dxa"/>
              <w:right w:w="57" w:type="dxa"/>
            </w:tcMar>
          </w:tcPr>
          <w:p w14:paraId="2564846E"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838</w:t>
            </w:r>
          </w:p>
        </w:tc>
        <w:tc>
          <w:tcPr>
            <w:tcW w:w="0" w:type="auto"/>
            <w:tcMar>
              <w:left w:w="57" w:type="dxa"/>
              <w:right w:w="57" w:type="dxa"/>
            </w:tcMar>
          </w:tcPr>
          <w:p w14:paraId="1C393772"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638</w:t>
            </w:r>
          </w:p>
        </w:tc>
        <w:tc>
          <w:tcPr>
            <w:tcW w:w="0" w:type="auto"/>
            <w:tcMar>
              <w:left w:w="57" w:type="dxa"/>
              <w:right w:w="57" w:type="dxa"/>
            </w:tcMar>
          </w:tcPr>
          <w:p w14:paraId="5A10CED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200</w:t>
            </w:r>
          </w:p>
        </w:tc>
        <w:tc>
          <w:tcPr>
            <w:tcW w:w="0" w:type="auto"/>
            <w:tcMar>
              <w:left w:w="57" w:type="dxa"/>
              <w:right w:w="57" w:type="dxa"/>
            </w:tcMar>
          </w:tcPr>
          <w:p w14:paraId="51DB809E"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800</w:t>
            </w:r>
          </w:p>
        </w:tc>
        <w:tc>
          <w:tcPr>
            <w:tcW w:w="0" w:type="auto"/>
            <w:tcMar>
              <w:left w:w="57" w:type="dxa"/>
              <w:right w:w="57" w:type="dxa"/>
            </w:tcMar>
          </w:tcPr>
          <w:p w14:paraId="6CE212E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626</w:t>
            </w:r>
          </w:p>
        </w:tc>
        <w:tc>
          <w:tcPr>
            <w:tcW w:w="0" w:type="auto"/>
            <w:tcMar>
              <w:left w:w="57" w:type="dxa"/>
              <w:right w:w="57" w:type="dxa"/>
            </w:tcMar>
          </w:tcPr>
          <w:p w14:paraId="37FCECA8"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174</w:t>
            </w:r>
          </w:p>
        </w:tc>
      </w:tr>
      <w:tr w:rsidR="00A27215" w:rsidRPr="00A27215" w14:paraId="36896FE8" w14:textId="77777777">
        <w:trPr>
          <w:trHeight w:val="113"/>
        </w:trPr>
        <w:tc>
          <w:tcPr>
            <w:tcW w:w="0" w:type="auto"/>
            <w:tcMar>
              <w:left w:w="57" w:type="dxa"/>
              <w:right w:w="57" w:type="dxa"/>
            </w:tcMar>
          </w:tcPr>
          <w:p w14:paraId="620CA72A" w14:textId="77777777" w:rsidR="00A27215" w:rsidRPr="00A27215" w:rsidRDefault="00A27215" w:rsidP="00A27215">
            <w:pPr>
              <w:rPr>
                <w:rFonts w:asciiTheme="minorHAnsi" w:hAnsiTheme="minorHAnsi" w:cs="Calibri"/>
                <w:sz w:val="16"/>
                <w:szCs w:val="16"/>
              </w:rPr>
            </w:pPr>
            <w:r w:rsidRPr="00A27215">
              <w:rPr>
                <w:rFonts w:asciiTheme="minorHAnsi" w:hAnsiTheme="minorHAnsi" w:cs="Calibri"/>
                <w:sz w:val="16"/>
                <w:szCs w:val="16"/>
              </w:rPr>
              <w:t>C11 nasopharynx</w:t>
            </w:r>
          </w:p>
        </w:tc>
        <w:tc>
          <w:tcPr>
            <w:tcW w:w="0" w:type="auto"/>
            <w:tcMar>
              <w:left w:w="57" w:type="dxa"/>
              <w:right w:w="57" w:type="dxa"/>
            </w:tcMar>
          </w:tcPr>
          <w:p w14:paraId="1A75D3F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468</w:t>
            </w:r>
          </w:p>
        </w:tc>
        <w:tc>
          <w:tcPr>
            <w:tcW w:w="0" w:type="auto"/>
            <w:tcMar>
              <w:left w:w="57" w:type="dxa"/>
              <w:right w:w="57" w:type="dxa"/>
            </w:tcMar>
          </w:tcPr>
          <w:p w14:paraId="35529A08"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355</w:t>
            </w:r>
          </w:p>
        </w:tc>
        <w:tc>
          <w:tcPr>
            <w:tcW w:w="0" w:type="auto"/>
            <w:tcMar>
              <w:left w:w="57" w:type="dxa"/>
              <w:right w:w="57" w:type="dxa"/>
            </w:tcMar>
          </w:tcPr>
          <w:p w14:paraId="3CEBE7D1"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113</w:t>
            </w:r>
          </w:p>
        </w:tc>
        <w:tc>
          <w:tcPr>
            <w:tcW w:w="0" w:type="auto"/>
            <w:tcMar>
              <w:left w:w="57" w:type="dxa"/>
              <w:right w:w="57" w:type="dxa"/>
            </w:tcMar>
          </w:tcPr>
          <w:p w14:paraId="41291EA2"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63</w:t>
            </w:r>
          </w:p>
        </w:tc>
        <w:tc>
          <w:tcPr>
            <w:tcW w:w="0" w:type="auto"/>
            <w:tcMar>
              <w:left w:w="57" w:type="dxa"/>
              <w:right w:w="57" w:type="dxa"/>
            </w:tcMar>
          </w:tcPr>
          <w:p w14:paraId="6189014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54</w:t>
            </w:r>
          </w:p>
        </w:tc>
        <w:tc>
          <w:tcPr>
            <w:tcW w:w="0" w:type="auto"/>
            <w:tcMar>
              <w:left w:w="57" w:type="dxa"/>
              <w:right w:w="57" w:type="dxa"/>
            </w:tcMar>
          </w:tcPr>
          <w:p w14:paraId="60038F48"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w:t>
            </w:r>
          </w:p>
        </w:tc>
        <w:tc>
          <w:tcPr>
            <w:tcW w:w="0" w:type="auto"/>
            <w:tcMar>
              <w:left w:w="57" w:type="dxa"/>
              <w:right w:w="57" w:type="dxa"/>
            </w:tcMar>
          </w:tcPr>
          <w:p w14:paraId="039CB2B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66</w:t>
            </w:r>
          </w:p>
        </w:tc>
        <w:tc>
          <w:tcPr>
            <w:tcW w:w="0" w:type="auto"/>
            <w:tcMar>
              <w:left w:w="57" w:type="dxa"/>
              <w:right w:w="57" w:type="dxa"/>
            </w:tcMar>
          </w:tcPr>
          <w:p w14:paraId="2D81167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51</w:t>
            </w:r>
          </w:p>
        </w:tc>
        <w:tc>
          <w:tcPr>
            <w:tcW w:w="0" w:type="auto"/>
            <w:tcMar>
              <w:left w:w="57" w:type="dxa"/>
              <w:right w:w="57" w:type="dxa"/>
            </w:tcMar>
          </w:tcPr>
          <w:p w14:paraId="4C4769A2"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15</w:t>
            </w:r>
          </w:p>
        </w:tc>
        <w:tc>
          <w:tcPr>
            <w:tcW w:w="0" w:type="auto"/>
            <w:tcMar>
              <w:left w:w="57" w:type="dxa"/>
              <w:right w:w="57" w:type="dxa"/>
            </w:tcMar>
          </w:tcPr>
          <w:p w14:paraId="6AAC519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71</w:t>
            </w:r>
          </w:p>
        </w:tc>
        <w:tc>
          <w:tcPr>
            <w:tcW w:w="0" w:type="auto"/>
            <w:tcMar>
              <w:left w:w="57" w:type="dxa"/>
              <w:right w:w="57" w:type="dxa"/>
            </w:tcMar>
          </w:tcPr>
          <w:p w14:paraId="6FC37468"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58</w:t>
            </w:r>
          </w:p>
        </w:tc>
        <w:tc>
          <w:tcPr>
            <w:tcW w:w="0" w:type="auto"/>
            <w:tcMar>
              <w:left w:w="57" w:type="dxa"/>
              <w:right w:w="57" w:type="dxa"/>
            </w:tcMar>
          </w:tcPr>
          <w:p w14:paraId="3855B67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13</w:t>
            </w:r>
          </w:p>
        </w:tc>
        <w:tc>
          <w:tcPr>
            <w:tcW w:w="0" w:type="auto"/>
            <w:tcMar>
              <w:left w:w="57" w:type="dxa"/>
              <w:right w:w="57" w:type="dxa"/>
            </w:tcMar>
          </w:tcPr>
          <w:p w14:paraId="4B45B04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90</w:t>
            </w:r>
          </w:p>
        </w:tc>
        <w:tc>
          <w:tcPr>
            <w:tcW w:w="0" w:type="auto"/>
            <w:tcMar>
              <w:left w:w="57" w:type="dxa"/>
              <w:right w:w="57" w:type="dxa"/>
            </w:tcMar>
          </w:tcPr>
          <w:p w14:paraId="4B892ED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66</w:t>
            </w:r>
          </w:p>
        </w:tc>
        <w:tc>
          <w:tcPr>
            <w:tcW w:w="0" w:type="auto"/>
            <w:tcMar>
              <w:left w:w="57" w:type="dxa"/>
              <w:right w:w="57" w:type="dxa"/>
            </w:tcMar>
          </w:tcPr>
          <w:p w14:paraId="68D803F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24</w:t>
            </w:r>
          </w:p>
        </w:tc>
        <w:tc>
          <w:tcPr>
            <w:tcW w:w="0" w:type="auto"/>
            <w:tcMar>
              <w:left w:w="57" w:type="dxa"/>
              <w:right w:w="57" w:type="dxa"/>
            </w:tcMar>
          </w:tcPr>
          <w:p w14:paraId="421DFF1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99</w:t>
            </w:r>
          </w:p>
        </w:tc>
        <w:tc>
          <w:tcPr>
            <w:tcW w:w="0" w:type="auto"/>
            <w:tcMar>
              <w:left w:w="57" w:type="dxa"/>
              <w:right w:w="57" w:type="dxa"/>
            </w:tcMar>
          </w:tcPr>
          <w:p w14:paraId="13CFEAB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68</w:t>
            </w:r>
          </w:p>
        </w:tc>
        <w:tc>
          <w:tcPr>
            <w:tcW w:w="0" w:type="auto"/>
            <w:tcMar>
              <w:left w:w="57" w:type="dxa"/>
              <w:right w:w="57" w:type="dxa"/>
            </w:tcMar>
          </w:tcPr>
          <w:p w14:paraId="2A6BAA9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31</w:t>
            </w:r>
          </w:p>
        </w:tc>
        <w:tc>
          <w:tcPr>
            <w:tcW w:w="0" w:type="auto"/>
            <w:tcMar>
              <w:left w:w="57" w:type="dxa"/>
              <w:right w:w="57" w:type="dxa"/>
            </w:tcMar>
          </w:tcPr>
          <w:p w14:paraId="7F7C73B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79</w:t>
            </w:r>
          </w:p>
        </w:tc>
        <w:tc>
          <w:tcPr>
            <w:tcW w:w="0" w:type="auto"/>
            <w:tcMar>
              <w:left w:w="57" w:type="dxa"/>
              <w:right w:w="57" w:type="dxa"/>
            </w:tcMar>
          </w:tcPr>
          <w:p w14:paraId="646F2B6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58</w:t>
            </w:r>
          </w:p>
        </w:tc>
        <w:tc>
          <w:tcPr>
            <w:tcW w:w="0" w:type="auto"/>
            <w:tcMar>
              <w:left w:w="57" w:type="dxa"/>
              <w:right w:w="57" w:type="dxa"/>
            </w:tcMar>
          </w:tcPr>
          <w:p w14:paraId="17E13A62"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21</w:t>
            </w:r>
          </w:p>
        </w:tc>
      </w:tr>
      <w:tr w:rsidR="00A27215" w:rsidRPr="00A27215" w14:paraId="0EB60EA0" w14:textId="77777777">
        <w:trPr>
          <w:trHeight w:val="113"/>
        </w:trPr>
        <w:tc>
          <w:tcPr>
            <w:tcW w:w="0" w:type="auto"/>
            <w:tcMar>
              <w:left w:w="57" w:type="dxa"/>
              <w:right w:w="57" w:type="dxa"/>
            </w:tcMar>
          </w:tcPr>
          <w:p w14:paraId="5196FADC" w14:textId="77777777" w:rsidR="00A27215" w:rsidRPr="00A27215" w:rsidRDefault="00A27215" w:rsidP="00A27215">
            <w:pPr>
              <w:rPr>
                <w:rFonts w:asciiTheme="minorHAnsi" w:hAnsiTheme="minorHAnsi" w:cs="Calibri"/>
                <w:sz w:val="16"/>
                <w:szCs w:val="16"/>
              </w:rPr>
            </w:pPr>
            <w:r w:rsidRPr="00A27215">
              <w:rPr>
                <w:rFonts w:asciiTheme="minorHAnsi" w:hAnsiTheme="minorHAnsi" w:cs="Calibri"/>
                <w:sz w:val="16"/>
                <w:szCs w:val="16"/>
              </w:rPr>
              <w:t>C15 oesophagus adenocarcinoma</w:t>
            </w:r>
          </w:p>
        </w:tc>
        <w:tc>
          <w:tcPr>
            <w:tcW w:w="0" w:type="auto"/>
            <w:tcMar>
              <w:left w:w="57" w:type="dxa"/>
              <w:right w:w="57" w:type="dxa"/>
            </w:tcMar>
          </w:tcPr>
          <w:p w14:paraId="2822B31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5212</w:t>
            </w:r>
          </w:p>
        </w:tc>
        <w:tc>
          <w:tcPr>
            <w:tcW w:w="0" w:type="auto"/>
            <w:tcMar>
              <w:left w:w="57" w:type="dxa"/>
              <w:right w:w="57" w:type="dxa"/>
            </w:tcMar>
          </w:tcPr>
          <w:p w14:paraId="563E870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4152</w:t>
            </w:r>
          </w:p>
        </w:tc>
        <w:tc>
          <w:tcPr>
            <w:tcW w:w="0" w:type="auto"/>
            <w:tcMar>
              <w:left w:w="57" w:type="dxa"/>
              <w:right w:w="57" w:type="dxa"/>
            </w:tcMar>
          </w:tcPr>
          <w:p w14:paraId="37CDE391"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1060</w:t>
            </w:r>
          </w:p>
        </w:tc>
        <w:tc>
          <w:tcPr>
            <w:tcW w:w="0" w:type="auto"/>
            <w:tcMar>
              <w:left w:w="57" w:type="dxa"/>
              <w:right w:w="57" w:type="dxa"/>
            </w:tcMar>
          </w:tcPr>
          <w:p w14:paraId="709FFFF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510</w:t>
            </w:r>
          </w:p>
        </w:tc>
        <w:tc>
          <w:tcPr>
            <w:tcW w:w="0" w:type="auto"/>
            <w:tcMar>
              <w:left w:w="57" w:type="dxa"/>
              <w:right w:w="57" w:type="dxa"/>
            </w:tcMar>
          </w:tcPr>
          <w:p w14:paraId="452BEC8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389</w:t>
            </w:r>
          </w:p>
        </w:tc>
        <w:tc>
          <w:tcPr>
            <w:tcW w:w="0" w:type="auto"/>
            <w:tcMar>
              <w:left w:w="57" w:type="dxa"/>
              <w:right w:w="57" w:type="dxa"/>
            </w:tcMar>
          </w:tcPr>
          <w:p w14:paraId="411E585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121</w:t>
            </w:r>
          </w:p>
        </w:tc>
        <w:tc>
          <w:tcPr>
            <w:tcW w:w="0" w:type="auto"/>
            <w:tcMar>
              <w:left w:w="57" w:type="dxa"/>
              <w:right w:w="57" w:type="dxa"/>
            </w:tcMar>
          </w:tcPr>
          <w:p w14:paraId="443055F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661</w:t>
            </w:r>
          </w:p>
        </w:tc>
        <w:tc>
          <w:tcPr>
            <w:tcW w:w="0" w:type="auto"/>
            <w:tcMar>
              <w:left w:w="57" w:type="dxa"/>
              <w:right w:w="57" w:type="dxa"/>
            </w:tcMar>
          </w:tcPr>
          <w:p w14:paraId="0D5E42A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520</w:t>
            </w:r>
          </w:p>
        </w:tc>
        <w:tc>
          <w:tcPr>
            <w:tcW w:w="0" w:type="auto"/>
            <w:tcMar>
              <w:left w:w="57" w:type="dxa"/>
              <w:right w:w="57" w:type="dxa"/>
            </w:tcMar>
          </w:tcPr>
          <w:p w14:paraId="742F4E9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141</w:t>
            </w:r>
          </w:p>
        </w:tc>
        <w:tc>
          <w:tcPr>
            <w:tcW w:w="0" w:type="auto"/>
            <w:tcMar>
              <w:left w:w="57" w:type="dxa"/>
              <w:right w:w="57" w:type="dxa"/>
            </w:tcMar>
          </w:tcPr>
          <w:p w14:paraId="55E7D05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845</w:t>
            </w:r>
          </w:p>
        </w:tc>
        <w:tc>
          <w:tcPr>
            <w:tcW w:w="0" w:type="auto"/>
            <w:tcMar>
              <w:left w:w="57" w:type="dxa"/>
              <w:right w:w="57" w:type="dxa"/>
            </w:tcMar>
          </w:tcPr>
          <w:p w14:paraId="3930D52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668</w:t>
            </w:r>
          </w:p>
        </w:tc>
        <w:tc>
          <w:tcPr>
            <w:tcW w:w="0" w:type="auto"/>
            <w:tcMar>
              <w:left w:w="57" w:type="dxa"/>
              <w:right w:w="57" w:type="dxa"/>
            </w:tcMar>
          </w:tcPr>
          <w:p w14:paraId="216E0572"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177</w:t>
            </w:r>
          </w:p>
        </w:tc>
        <w:tc>
          <w:tcPr>
            <w:tcW w:w="0" w:type="auto"/>
            <w:tcMar>
              <w:left w:w="57" w:type="dxa"/>
              <w:right w:w="57" w:type="dxa"/>
            </w:tcMar>
          </w:tcPr>
          <w:p w14:paraId="14D3BCC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951</w:t>
            </w:r>
          </w:p>
        </w:tc>
        <w:tc>
          <w:tcPr>
            <w:tcW w:w="0" w:type="auto"/>
            <w:tcMar>
              <w:left w:w="57" w:type="dxa"/>
              <w:right w:w="57" w:type="dxa"/>
            </w:tcMar>
          </w:tcPr>
          <w:p w14:paraId="19FF153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758</w:t>
            </w:r>
          </w:p>
        </w:tc>
        <w:tc>
          <w:tcPr>
            <w:tcW w:w="0" w:type="auto"/>
            <w:tcMar>
              <w:left w:w="57" w:type="dxa"/>
              <w:right w:w="57" w:type="dxa"/>
            </w:tcMar>
          </w:tcPr>
          <w:p w14:paraId="69DE75F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193</w:t>
            </w:r>
          </w:p>
        </w:tc>
        <w:tc>
          <w:tcPr>
            <w:tcW w:w="0" w:type="auto"/>
            <w:tcMar>
              <w:left w:w="57" w:type="dxa"/>
              <w:right w:w="57" w:type="dxa"/>
            </w:tcMar>
          </w:tcPr>
          <w:p w14:paraId="165F5B8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1122</w:t>
            </w:r>
          </w:p>
        </w:tc>
        <w:tc>
          <w:tcPr>
            <w:tcW w:w="0" w:type="auto"/>
            <w:tcMar>
              <w:left w:w="57" w:type="dxa"/>
              <w:right w:w="57" w:type="dxa"/>
            </w:tcMar>
          </w:tcPr>
          <w:p w14:paraId="6347B7C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895</w:t>
            </w:r>
          </w:p>
        </w:tc>
        <w:tc>
          <w:tcPr>
            <w:tcW w:w="0" w:type="auto"/>
            <w:tcMar>
              <w:left w:w="57" w:type="dxa"/>
              <w:right w:w="57" w:type="dxa"/>
            </w:tcMar>
          </w:tcPr>
          <w:p w14:paraId="5162A77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227</w:t>
            </w:r>
          </w:p>
        </w:tc>
        <w:tc>
          <w:tcPr>
            <w:tcW w:w="0" w:type="auto"/>
            <w:tcMar>
              <w:left w:w="57" w:type="dxa"/>
              <w:right w:w="57" w:type="dxa"/>
            </w:tcMar>
          </w:tcPr>
          <w:p w14:paraId="50C0177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1123</w:t>
            </w:r>
          </w:p>
        </w:tc>
        <w:tc>
          <w:tcPr>
            <w:tcW w:w="0" w:type="auto"/>
            <w:tcMar>
              <w:left w:w="57" w:type="dxa"/>
              <w:right w:w="57" w:type="dxa"/>
            </w:tcMar>
          </w:tcPr>
          <w:p w14:paraId="7451EF4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922</w:t>
            </w:r>
          </w:p>
        </w:tc>
        <w:tc>
          <w:tcPr>
            <w:tcW w:w="0" w:type="auto"/>
            <w:tcMar>
              <w:left w:w="57" w:type="dxa"/>
              <w:right w:w="57" w:type="dxa"/>
            </w:tcMar>
          </w:tcPr>
          <w:p w14:paraId="06553A9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201</w:t>
            </w:r>
          </w:p>
        </w:tc>
      </w:tr>
      <w:tr w:rsidR="00A27215" w:rsidRPr="00A27215" w14:paraId="3F7EE1A9" w14:textId="77777777">
        <w:trPr>
          <w:trHeight w:val="113"/>
        </w:trPr>
        <w:tc>
          <w:tcPr>
            <w:tcW w:w="0" w:type="auto"/>
            <w:tcMar>
              <w:left w:w="57" w:type="dxa"/>
              <w:right w:w="57" w:type="dxa"/>
            </w:tcMar>
          </w:tcPr>
          <w:p w14:paraId="795BBA15" w14:textId="77777777" w:rsidR="00A27215" w:rsidRPr="00A27215" w:rsidRDefault="00A27215" w:rsidP="00A27215">
            <w:pPr>
              <w:rPr>
                <w:rFonts w:asciiTheme="minorHAnsi" w:hAnsiTheme="minorHAnsi" w:cs="Calibri"/>
                <w:sz w:val="16"/>
                <w:szCs w:val="16"/>
              </w:rPr>
            </w:pPr>
            <w:r w:rsidRPr="00A27215">
              <w:rPr>
                <w:rFonts w:asciiTheme="minorHAnsi" w:hAnsiTheme="minorHAnsi" w:cs="Calibri"/>
                <w:sz w:val="16"/>
                <w:szCs w:val="16"/>
              </w:rPr>
              <w:t>C15 squamous cell carcinoma</w:t>
            </w:r>
          </w:p>
        </w:tc>
        <w:tc>
          <w:tcPr>
            <w:tcW w:w="0" w:type="auto"/>
            <w:tcMar>
              <w:left w:w="57" w:type="dxa"/>
              <w:right w:w="57" w:type="dxa"/>
            </w:tcMar>
          </w:tcPr>
          <w:p w14:paraId="4EFEAD0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4467</w:t>
            </w:r>
          </w:p>
        </w:tc>
        <w:tc>
          <w:tcPr>
            <w:tcW w:w="0" w:type="auto"/>
            <w:tcMar>
              <w:left w:w="57" w:type="dxa"/>
              <w:right w:w="57" w:type="dxa"/>
            </w:tcMar>
          </w:tcPr>
          <w:p w14:paraId="1B414AC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2227</w:t>
            </w:r>
          </w:p>
        </w:tc>
        <w:tc>
          <w:tcPr>
            <w:tcW w:w="0" w:type="auto"/>
            <w:tcMar>
              <w:left w:w="57" w:type="dxa"/>
              <w:right w:w="57" w:type="dxa"/>
            </w:tcMar>
          </w:tcPr>
          <w:p w14:paraId="32DD73B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2240</w:t>
            </w:r>
          </w:p>
        </w:tc>
        <w:tc>
          <w:tcPr>
            <w:tcW w:w="0" w:type="auto"/>
            <w:tcMar>
              <w:left w:w="57" w:type="dxa"/>
              <w:right w:w="57" w:type="dxa"/>
            </w:tcMar>
          </w:tcPr>
          <w:p w14:paraId="74AD877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669</w:t>
            </w:r>
          </w:p>
        </w:tc>
        <w:tc>
          <w:tcPr>
            <w:tcW w:w="0" w:type="auto"/>
            <w:tcMar>
              <w:left w:w="57" w:type="dxa"/>
              <w:right w:w="57" w:type="dxa"/>
            </w:tcMar>
          </w:tcPr>
          <w:p w14:paraId="403241A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329</w:t>
            </w:r>
          </w:p>
        </w:tc>
        <w:tc>
          <w:tcPr>
            <w:tcW w:w="0" w:type="auto"/>
            <w:tcMar>
              <w:left w:w="57" w:type="dxa"/>
              <w:right w:w="57" w:type="dxa"/>
            </w:tcMar>
          </w:tcPr>
          <w:p w14:paraId="630DC60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340</w:t>
            </w:r>
          </w:p>
        </w:tc>
        <w:tc>
          <w:tcPr>
            <w:tcW w:w="0" w:type="auto"/>
            <w:tcMar>
              <w:left w:w="57" w:type="dxa"/>
              <w:right w:w="57" w:type="dxa"/>
            </w:tcMar>
          </w:tcPr>
          <w:p w14:paraId="227338B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655</w:t>
            </w:r>
          </w:p>
        </w:tc>
        <w:tc>
          <w:tcPr>
            <w:tcW w:w="0" w:type="auto"/>
            <w:tcMar>
              <w:left w:w="57" w:type="dxa"/>
              <w:right w:w="57" w:type="dxa"/>
            </w:tcMar>
          </w:tcPr>
          <w:p w14:paraId="3953781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312</w:t>
            </w:r>
          </w:p>
        </w:tc>
        <w:tc>
          <w:tcPr>
            <w:tcW w:w="0" w:type="auto"/>
            <w:tcMar>
              <w:left w:w="57" w:type="dxa"/>
              <w:right w:w="57" w:type="dxa"/>
            </w:tcMar>
          </w:tcPr>
          <w:p w14:paraId="5233836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343</w:t>
            </w:r>
          </w:p>
        </w:tc>
        <w:tc>
          <w:tcPr>
            <w:tcW w:w="0" w:type="auto"/>
            <w:tcMar>
              <w:left w:w="57" w:type="dxa"/>
              <w:right w:w="57" w:type="dxa"/>
            </w:tcMar>
          </w:tcPr>
          <w:p w14:paraId="1D457105"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730</w:t>
            </w:r>
          </w:p>
        </w:tc>
        <w:tc>
          <w:tcPr>
            <w:tcW w:w="0" w:type="auto"/>
            <w:tcMar>
              <w:left w:w="57" w:type="dxa"/>
              <w:right w:w="57" w:type="dxa"/>
            </w:tcMar>
          </w:tcPr>
          <w:p w14:paraId="0C0D9BC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350</w:t>
            </w:r>
          </w:p>
        </w:tc>
        <w:tc>
          <w:tcPr>
            <w:tcW w:w="0" w:type="auto"/>
            <w:tcMar>
              <w:left w:w="57" w:type="dxa"/>
              <w:right w:w="57" w:type="dxa"/>
            </w:tcMar>
          </w:tcPr>
          <w:p w14:paraId="011E7F7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380</w:t>
            </w:r>
          </w:p>
        </w:tc>
        <w:tc>
          <w:tcPr>
            <w:tcW w:w="0" w:type="auto"/>
            <w:tcMar>
              <w:left w:w="57" w:type="dxa"/>
              <w:right w:w="57" w:type="dxa"/>
            </w:tcMar>
          </w:tcPr>
          <w:p w14:paraId="0A0C74A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768</w:t>
            </w:r>
          </w:p>
        </w:tc>
        <w:tc>
          <w:tcPr>
            <w:tcW w:w="0" w:type="auto"/>
            <w:tcMar>
              <w:left w:w="57" w:type="dxa"/>
              <w:right w:w="57" w:type="dxa"/>
            </w:tcMar>
          </w:tcPr>
          <w:p w14:paraId="1AE34F7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388</w:t>
            </w:r>
          </w:p>
        </w:tc>
        <w:tc>
          <w:tcPr>
            <w:tcW w:w="0" w:type="auto"/>
            <w:tcMar>
              <w:left w:w="57" w:type="dxa"/>
              <w:right w:w="57" w:type="dxa"/>
            </w:tcMar>
          </w:tcPr>
          <w:p w14:paraId="1D6D04D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380</w:t>
            </w:r>
          </w:p>
        </w:tc>
        <w:tc>
          <w:tcPr>
            <w:tcW w:w="0" w:type="auto"/>
            <w:tcMar>
              <w:left w:w="57" w:type="dxa"/>
              <w:right w:w="57" w:type="dxa"/>
            </w:tcMar>
          </w:tcPr>
          <w:p w14:paraId="7A5FF53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852</w:t>
            </w:r>
          </w:p>
        </w:tc>
        <w:tc>
          <w:tcPr>
            <w:tcW w:w="0" w:type="auto"/>
            <w:tcMar>
              <w:left w:w="57" w:type="dxa"/>
              <w:right w:w="57" w:type="dxa"/>
            </w:tcMar>
          </w:tcPr>
          <w:p w14:paraId="4E50767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426</w:t>
            </w:r>
          </w:p>
        </w:tc>
        <w:tc>
          <w:tcPr>
            <w:tcW w:w="0" w:type="auto"/>
            <w:tcMar>
              <w:left w:w="57" w:type="dxa"/>
              <w:right w:w="57" w:type="dxa"/>
            </w:tcMar>
          </w:tcPr>
          <w:p w14:paraId="7FDDD67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426</w:t>
            </w:r>
          </w:p>
        </w:tc>
        <w:tc>
          <w:tcPr>
            <w:tcW w:w="0" w:type="auto"/>
            <w:tcMar>
              <w:left w:w="57" w:type="dxa"/>
              <w:right w:w="57" w:type="dxa"/>
            </w:tcMar>
          </w:tcPr>
          <w:p w14:paraId="7C7ABE78"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793</w:t>
            </w:r>
          </w:p>
        </w:tc>
        <w:tc>
          <w:tcPr>
            <w:tcW w:w="0" w:type="auto"/>
            <w:tcMar>
              <w:left w:w="57" w:type="dxa"/>
              <w:right w:w="57" w:type="dxa"/>
            </w:tcMar>
          </w:tcPr>
          <w:p w14:paraId="0BE9F70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422</w:t>
            </w:r>
          </w:p>
        </w:tc>
        <w:tc>
          <w:tcPr>
            <w:tcW w:w="0" w:type="auto"/>
            <w:tcMar>
              <w:left w:w="57" w:type="dxa"/>
              <w:right w:w="57" w:type="dxa"/>
            </w:tcMar>
          </w:tcPr>
          <w:p w14:paraId="29B5D37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371</w:t>
            </w:r>
          </w:p>
        </w:tc>
      </w:tr>
      <w:tr w:rsidR="00A27215" w:rsidRPr="00A27215" w14:paraId="6A305B3B" w14:textId="77777777">
        <w:trPr>
          <w:trHeight w:val="113"/>
        </w:trPr>
        <w:tc>
          <w:tcPr>
            <w:tcW w:w="0" w:type="auto"/>
            <w:tcMar>
              <w:left w:w="57" w:type="dxa"/>
              <w:right w:w="57" w:type="dxa"/>
            </w:tcMar>
          </w:tcPr>
          <w:p w14:paraId="01A3F148" w14:textId="77777777" w:rsidR="00A27215" w:rsidRPr="00A27215" w:rsidRDefault="00A27215" w:rsidP="00A27215">
            <w:pPr>
              <w:rPr>
                <w:rFonts w:asciiTheme="minorHAnsi" w:hAnsiTheme="minorHAnsi" w:cs="Calibri"/>
                <w:sz w:val="16"/>
                <w:szCs w:val="16"/>
              </w:rPr>
            </w:pPr>
            <w:r w:rsidRPr="00A27215">
              <w:rPr>
                <w:rFonts w:asciiTheme="minorHAnsi" w:hAnsiTheme="minorHAnsi" w:cs="Calibri"/>
                <w:sz w:val="16"/>
                <w:szCs w:val="16"/>
              </w:rPr>
              <w:t>C16 stomach</w:t>
            </w:r>
          </w:p>
        </w:tc>
        <w:tc>
          <w:tcPr>
            <w:tcW w:w="0" w:type="auto"/>
            <w:tcMar>
              <w:left w:w="57" w:type="dxa"/>
              <w:right w:w="57" w:type="dxa"/>
            </w:tcMar>
          </w:tcPr>
          <w:p w14:paraId="096C0551"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15068</w:t>
            </w:r>
          </w:p>
        </w:tc>
        <w:tc>
          <w:tcPr>
            <w:tcW w:w="0" w:type="auto"/>
            <w:tcMar>
              <w:left w:w="57" w:type="dxa"/>
              <w:right w:w="57" w:type="dxa"/>
            </w:tcMar>
          </w:tcPr>
          <w:p w14:paraId="1014A3B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9486</w:t>
            </w:r>
          </w:p>
        </w:tc>
        <w:tc>
          <w:tcPr>
            <w:tcW w:w="0" w:type="auto"/>
            <w:tcMar>
              <w:left w:w="57" w:type="dxa"/>
              <w:right w:w="57" w:type="dxa"/>
            </w:tcMar>
          </w:tcPr>
          <w:p w14:paraId="02D92D5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5582</w:t>
            </w:r>
          </w:p>
        </w:tc>
        <w:tc>
          <w:tcPr>
            <w:tcW w:w="0" w:type="auto"/>
            <w:tcMar>
              <w:left w:w="57" w:type="dxa"/>
              <w:right w:w="57" w:type="dxa"/>
            </w:tcMar>
          </w:tcPr>
          <w:p w14:paraId="60ACFE8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2441</w:t>
            </w:r>
          </w:p>
        </w:tc>
        <w:tc>
          <w:tcPr>
            <w:tcW w:w="0" w:type="auto"/>
            <w:tcMar>
              <w:left w:w="57" w:type="dxa"/>
              <w:right w:w="57" w:type="dxa"/>
            </w:tcMar>
          </w:tcPr>
          <w:p w14:paraId="67ACEDF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1524</w:t>
            </w:r>
          </w:p>
        </w:tc>
        <w:tc>
          <w:tcPr>
            <w:tcW w:w="0" w:type="auto"/>
            <w:tcMar>
              <w:left w:w="57" w:type="dxa"/>
              <w:right w:w="57" w:type="dxa"/>
            </w:tcMar>
          </w:tcPr>
          <w:p w14:paraId="703264B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917</w:t>
            </w:r>
          </w:p>
        </w:tc>
        <w:tc>
          <w:tcPr>
            <w:tcW w:w="0" w:type="auto"/>
            <w:tcMar>
              <w:left w:w="57" w:type="dxa"/>
              <w:right w:w="57" w:type="dxa"/>
            </w:tcMar>
          </w:tcPr>
          <w:p w14:paraId="584E929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2309</w:t>
            </w:r>
          </w:p>
        </w:tc>
        <w:tc>
          <w:tcPr>
            <w:tcW w:w="0" w:type="auto"/>
            <w:tcMar>
              <w:left w:w="57" w:type="dxa"/>
              <w:right w:w="57" w:type="dxa"/>
            </w:tcMar>
          </w:tcPr>
          <w:p w14:paraId="595AFAC8"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1397</w:t>
            </w:r>
          </w:p>
        </w:tc>
        <w:tc>
          <w:tcPr>
            <w:tcW w:w="0" w:type="auto"/>
            <w:tcMar>
              <w:left w:w="57" w:type="dxa"/>
              <w:right w:w="57" w:type="dxa"/>
            </w:tcMar>
          </w:tcPr>
          <w:p w14:paraId="1253A685"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912</w:t>
            </w:r>
          </w:p>
        </w:tc>
        <w:tc>
          <w:tcPr>
            <w:tcW w:w="0" w:type="auto"/>
            <w:tcMar>
              <w:left w:w="57" w:type="dxa"/>
              <w:right w:w="57" w:type="dxa"/>
            </w:tcMar>
          </w:tcPr>
          <w:p w14:paraId="2E280A51"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2413</w:t>
            </w:r>
          </w:p>
        </w:tc>
        <w:tc>
          <w:tcPr>
            <w:tcW w:w="0" w:type="auto"/>
            <w:tcMar>
              <w:left w:w="57" w:type="dxa"/>
              <w:right w:w="57" w:type="dxa"/>
            </w:tcMar>
          </w:tcPr>
          <w:p w14:paraId="5120A2A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1527</w:t>
            </w:r>
          </w:p>
        </w:tc>
        <w:tc>
          <w:tcPr>
            <w:tcW w:w="0" w:type="auto"/>
            <w:tcMar>
              <w:left w:w="57" w:type="dxa"/>
              <w:right w:w="57" w:type="dxa"/>
            </w:tcMar>
          </w:tcPr>
          <w:p w14:paraId="6C0C1F8E"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886</w:t>
            </w:r>
          </w:p>
        </w:tc>
        <w:tc>
          <w:tcPr>
            <w:tcW w:w="0" w:type="auto"/>
            <w:tcMar>
              <w:left w:w="57" w:type="dxa"/>
              <w:right w:w="57" w:type="dxa"/>
            </w:tcMar>
          </w:tcPr>
          <w:p w14:paraId="28236A5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2738</w:t>
            </w:r>
          </w:p>
        </w:tc>
        <w:tc>
          <w:tcPr>
            <w:tcW w:w="0" w:type="auto"/>
            <w:tcMar>
              <w:left w:w="57" w:type="dxa"/>
              <w:right w:w="57" w:type="dxa"/>
            </w:tcMar>
          </w:tcPr>
          <w:p w14:paraId="71B3913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1734</w:t>
            </w:r>
          </w:p>
        </w:tc>
        <w:tc>
          <w:tcPr>
            <w:tcW w:w="0" w:type="auto"/>
            <w:tcMar>
              <w:left w:w="57" w:type="dxa"/>
              <w:right w:w="57" w:type="dxa"/>
            </w:tcMar>
          </w:tcPr>
          <w:p w14:paraId="10D64C9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1004</w:t>
            </w:r>
          </w:p>
        </w:tc>
        <w:tc>
          <w:tcPr>
            <w:tcW w:w="0" w:type="auto"/>
            <w:tcMar>
              <w:left w:w="57" w:type="dxa"/>
              <w:right w:w="57" w:type="dxa"/>
            </w:tcMar>
          </w:tcPr>
          <w:p w14:paraId="0843EDA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2844</w:t>
            </w:r>
          </w:p>
        </w:tc>
        <w:tc>
          <w:tcPr>
            <w:tcW w:w="0" w:type="auto"/>
            <w:tcMar>
              <w:left w:w="57" w:type="dxa"/>
              <w:right w:w="57" w:type="dxa"/>
            </w:tcMar>
          </w:tcPr>
          <w:p w14:paraId="3101FCF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1840</w:t>
            </w:r>
          </w:p>
        </w:tc>
        <w:tc>
          <w:tcPr>
            <w:tcW w:w="0" w:type="auto"/>
            <w:tcMar>
              <w:left w:w="57" w:type="dxa"/>
              <w:right w:w="57" w:type="dxa"/>
            </w:tcMar>
          </w:tcPr>
          <w:p w14:paraId="3453220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1004</w:t>
            </w:r>
          </w:p>
        </w:tc>
        <w:tc>
          <w:tcPr>
            <w:tcW w:w="0" w:type="auto"/>
            <w:tcMar>
              <w:left w:w="57" w:type="dxa"/>
              <w:right w:w="57" w:type="dxa"/>
            </w:tcMar>
          </w:tcPr>
          <w:p w14:paraId="744DD94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2323</w:t>
            </w:r>
          </w:p>
        </w:tc>
        <w:tc>
          <w:tcPr>
            <w:tcW w:w="0" w:type="auto"/>
            <w:tcMar>
              <w:left w:w="57" w:type="dxa"/>
              <w:right w:w="57" w:type="dxa"/>
            </w:tcMar>
          </w:tcPr>
          <w:p w14:paraId="69969951"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1464</w:t>
            </w:r>
          </w:p>
        </w:tc>
        <w:tc>
          <w:tcPr>
            <w:tcW w:w="0" w:type="auto"/>
            <w:tcMar>
              <w:left w:w="57" w:type="dxa"/>
              <w:right w:w="57" w:type="dxa"/>
            </w:tcMar>
          </w:tcPr>
          <w:p w14:paraId="5184AEB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859</w:t>
            </w:r>
          </w:p>
        </w:tc>
      </w:tr>
      <w:tr w:rsidR="00A27215" w:rsidRPr="00A27215" w14:paraId="11CF1A76" w14:textId="77777777">
        <w:trPr>
          <w:trHeight w:val="113"/>
        </w:trPr>
        <w:tc>
          <w:tcPr>
            <w:tcW w:w="0" w:type="auto"/>
            <w:tcMar>
              <w:left w:w="57" w:type="dxa"/>
              <w:right w:w="57" w:type="dxa"/>
            </w:tcMar>
          </w:tcPr>
          <w:p w14:paraId="5C28C6B7" w14:textId="77777777" w:rsidR="00A27215" w:rsidRPr="00A27215" w:rsidRDefault="00A27215" w:rsidP="00A27215">
            <w:pPr>
              <w:rPr>
                <w:rFonts w:asciiTheme="minorHAnsi" w:hAnsiTheme="minorHAnsi" w:cs="Calibri"/>
                <w:sz w:val="16"/>
                <w:szCs w:val="16"/>
              </w:rPr>
            </w:pPr>
            <w:r w:rsidRPr="00A27215">
              <w:rPr>
                <w:rFonts w:asciiTheme="minorHAnsi" w:hAnsiTheme="minorHAnsi" w:cs="Calibri"/>
                <w:sz w:val="16"/>
                <w:szCs w:val="16"/>
              </w:rPr>
              <w:t>C18-19 colon &amp; rectosigmoid junction</w:t>
            </w:r>
          </w:p>
        </w:tc>
        <w:tc>
          <w:tcPr>
            <w:tcW w:w="0" w:type="auto"/>
            <w:tcMar>
              <w:left w:w="57" w:type="dxa"/>
              <w:right w:w="57" w:type="dxa"/>
            </w:tcMar>
          </w:tcPr>
          <w:p w14:paraId="235C43F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47422</w:t>
            </w:r>
          </w:p>
        </w:tc>
        <w:tc>
          <w:tcPr>
            <w:tcW w:w="0" w:type="auto"/>
            <w:tcMar>
              <w:left w:w="57" w:type="dxa"/>
              <w:right w:w="57" w:type="dxa"/>
            </w:tcMar>
          </w:tcPr>
          <w:p w14:paraId="25A8C46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25884</w:t>
            </w:r>
          </w:p>
        </w:tc>
        <w:tc>
          <w:tcPr>
            <w:tcW w:w="0" w:type="auto"/>
            <w:tcMar>
              <w:left w:w="57" w:type="dxa"/>
              <w:right w:w="57" w:type="dxa"/>
            </w:tcMar>
          </w:tcPr>
          <w:p w14:paraId="56849E6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21538</w:t>
            </w:r>
          </w:p>
        </w:tc>
        <w:tc>
          <w:tcPr>
            <w:tcW w:w="0" w:type="auto"/>
            <w:tcMar>
              <w:left w:w="57" w:type="dxa"/>
              <w:right w:w="57" w:type="dxa"/>
            </w:tcMar>
          </w:tcPr>
          <w:p w14:paraId="38BDCB95"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6458</w:t>
            </w:r>
          </w:p>
        </w:tc>
        <w:tc>
          <w:tcPr>
            <w:tcW w:w="0" w:type="auto"/>
            <w:tcMar>
              <w:left w:w="57" w:type="dxa"/>
              <w:right w:w="57" w:type="dxa"/>
            </w:tcMar>
          </w:tcPr>
          <w:p w14:paraId="6437D7C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3415</w:t>
            </w:r>
          </w:p>
        </w:tc>
        <w:tc>
          <w:tcPr>
            <w:tcW w:w="0" w:type="auto"/>
            <w:tcMar>
              <w:left w:w="57" w:type="dxa"/>
              <w:right w:w="57" w:type="dxa"/>
            </w:tcMar>
          </w:tcPr>
          <w:p w14:paraId="4D5D3C5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3043</w:t>
            </w:r>
          </w:p>
        </w:tc>
        <w:tc>
          <w:tcPr>
            <w:tcW w:w="0" w:type="auto"/>
            <w:tcMar>
              <w:left w:w="57" w:type="dxa"/>
              <w:right w:w="57" w:type="dxa"/>
            </w:tcMar>
          </w:tcPr>
          <w:p w14:paraId="0CE1A48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6774</w:t>
            </w:r>
          </w:p>
        </w:tc>
        <w:tc>
          <w:tcPr>
            <w:tcW w:w="0" w:type="auto"/>
            <w:tcMar>
              <w:left w:w="57" w:type="dxa"/>
              <w:right w:w="57" w:type="dxa"/>
            </w:tcMar>
          </w:tcPr>
          <w:p w14:paraId="4771F31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3581</w:t>
            </w:r>
          </w:p>
        </w:tc>
        <w:tc>
          <w:tcPr>
            <w:tcW w:w="0" w:type="auto"/>
            <w:tcMar>
              <w:left w:w="57" w:type="dxa"/>
              <w:right w:w="57" w:type="dxa"/>
            </w:tcMar>
          </w:tcPr>
          <w:p w14:paraId="798677B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3193</w:t>
            </w:r>
          </w:p>
        </w:tc>
        <w:tc>
          <w:tcPr>
            <w:tcW w:w="0" w:type="auto"/>
            <w:tcMar>
              <w:left w:w="57" w:type="dxa"/>
              <w:right w:w="57" w:type="dxa"/>
            </w:tcMar>
          </w:tcPr>
          <w:p w14:paraId="36AC801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8039</w:t>
            </w:r>
          </w:p>
        </w:tc>
        <w:tc>
          <w:tcPr>
            <w:tcW w:w="0" w:type="auto"/>
            <w:tcMar>
              <w:left w:w="57" w:type="dxa"/>
              <w:right w:w="57" w:type="dxa"/>
            </w:tcMar>
          </w:tcPr>
          <w:p w14:paraId="12BA40D5"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4401</w:t>
            </w:r>
          </w:p>
        </w:tc>
        <w:tc>
          <w:tcPr>
            <w:tcW w:w="0" w:type="auto"/>
            <w:tcMar>
              <w:left w:w="57" w:type="dxa"/>
              <w:right w:w="57" w:type="dxa"/>
            </w:tcMar>
          </w:tcPr>
          <w:p w14:paraId="0E55DC6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3638</w:t>
            </w:r>
          </w:p>
        </w:tc>
        <w:tc>
          <w:tcPr>
            <w:tcW w:w="0" w:type="auto"/>
            <w:tcMar>
              <w:left w:w="57" w:type="dxa"/>
              <w:right w:w="57" w:type="dxa"/>
            </w:tcMar>
          </w:tcPr>
          <w:p w14:paraId="0EF46D8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8970</w:t>
            </w:r>
          </w:p>
        </w:tc>
        <w:tc>
          <w:tcPr>
            <w:tcW w:w="0" w:type="auto"/>
            <w:tcMar>
              <w:left w:w="57" w:type="dxa"/>
              <w:right w:w="57" w:type="dxa"/>
            </w:tcMar>
          </w:tcPr>
          <w:p w14:paraId="52198F6E"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4980</w:t>
            </w:r>
          </w:p>
        </w:tc>
        <w:tc>
          <w:tcPr>
            <w:tcW w:w="0" w:type="auto"/>
            <w:tcMar>
              <w:left w:w="57" w:type="dxa"/>
              <w:right w:w="57" w:type="dxa"/>
            </w:tcMar>
          </w:tcPr>
          <w:p w14:paraId="39A0573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3990</w:t>
            </w:r>
          </w:p>
        </w:tc>
        <w:tc>
          <w:tcPr>
            <w:tcW w:w="0" w:type="auto"/>
            <w:tcMar>
              <w:left w:w="57" w:type="dxa"/>
              <w:right w:w="57" w:type="dxa"/>
            </w:tcMar>
          </w:tcPr>
          <w:p w14:paraId="573D995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9634</w:t>
            </w:r>
          </w:p>
        </w:tc>
        <w:tc>
          <w:tcPr>
            <w:tcW w:w="0" w:type="auto"/>
            <w:tcMar>
              <w:left w:w="57" w:type="dxa"/>
              <w:right w:w="57" w:type="dxa"/>
            </w:tcMar>
          </w:tcPr>
          <w:p w14:paraId="712F79D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5376</w:t>
            </w:r>
          </w:p>
        </w:tc>
        <w:tc>
          <w:tcPr>
            <w:tcW w:w="0" w:type="auto"/>
            <w:tcMar>
              <w:left w:w="57" w:type="dxa"/>
              <w:right w:w="57" w:type="dxa"/>
            </w:tcMar>
          </w:tcPr>
          <w:p w14:paraId="4561F68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4258</w:t>
            </w:r>
          </w:p>
        </w:tc>
        <w:tc>
          <w:tcPr>
            <w:tcW w:w="0" w:type="auto"/>
            <w:tcMar>
              <w:left w:w="57" w:type="dxa"/>
              <w:right w:w="57" w:type="dxa"/>
            </w:tcMar>
          </w:tcPr>
          <w:p w14:paraId="5A3BBFE8"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7547</w:t>
            </w:r>
          </w:p>
        </w:tc>
        <w:tc>
          <w:tcPr>
            <w:tcW w:w="0" w:type="auto"/>
            <w:tcMar>
              <w:left w:w="57" w:type="dxa"/>
              <w:right w:w="57" w:type="dxa"/>
            </w:tcMar>
          </w:tcPr>
          <w:p w14:paraId="413E14D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4131</w:t>
            </w:r>
          </w:p>
        </w:tc>
        <w:tc>
          <w:tcPr>
            <w:tcW w:w="0" w:type="auto"/>
            <w:tcMar>
              <w:left w:w="57" w:type="dxa"/>
              <w:right w:w="57" w:type="dxa"/>
            </w:tcMar>
          </w:tcPr>
          <w:p w14:paraId="05B1D1E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3416</w:t>
            </w:r>
          </w:p>
        </w:tc>
      </w:tr>
      <w:tr w:rsidR="00A27215" w:rsidRPr="00A27215" w14:paraId="71E3E9AE" w14:textId="77777777">
        <w:trPr>
          <w:trHeight w:val="113"/>
        </w:trPr>
        <w:tc>
          <w:tcPr>
            <w:tcW w:w="0" w:type="auto"/>
            <w:tcMar>
              <w:left w:w="57" w:type="dxa"/>
              <w:right w:w="57" w:type="dxa"/>
            </w:tcMar>
          </w:tcPr>
          <w:p w14:paraId="5136DE88" w14:textId="77777777" w:rsidR="00A27215" w:rsidRPr="00A27215" w:rsidRDefault="00A27215" w:rsidP="00A27215">
            <w:pPr>
              <w:rPr>
                <w:rFonts w:asciiTheme="minorHAnsi" w:hAnsiTheme="minorHAnsi" w:cs="Calibri"/>
                <w:sz w:val="16"/>
                <w:szCs w:val="16"/>
              </w:rPr>
            </w:pPr>
            <w:r w:rsidRPr="00A27215">
              <w:rPr>
                <w:rFonts w:asciiTheme="minorHAnsi" w:hAnsiTheme="minorHAnsi" w:cs="Calibri"/>
                <w:sz w:val="16"/>
                <w:szCs w:val="16"/>
              </w:rPr>
              <w:t>C20 rectum</w:t>
            </w:r>
          </w:p>
        </w:tc>
        <w:tc>
          <w:tcPr>
            <w:tcW w:w="0" w:type="auto"/>
            <w:tcMar>
              <w:left w:w="57" w:type="dxa"/>
              <w:right w:w="57" w:type="dxa"/>
            </w:tcMar>
          </w:tcPr>
          <w:p w14:paraId="4103F40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18150</w:t>
            </w:r>
          </w:p>
        </w:tc>
        <w:tc>
          <w:tcPr>
            <w:tcW w:w="0" w:type="auto"/>
            <w:tcMar>
              <w:left w:w="57" w:type="dxa"/>
              <w:right w:w="57" w:type="dxa"/>
            </w:tcMar>
          </w:tcPr>
          <w:p w14:paraId="4FB67F1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11857</w:t>
            </w:r>
          </w:p>
        </w:tc>
        <w:tc>
          <w:tcPr>
            <w:tcW w:w="0" w:type="auto"/>
            <w:tcMar>
              <w:left w:w="57" w:type="dxa"/>
              <w:right w:w="57" w:type="dxa"/>
            </w:tcMar>
          </w:tcPr>
          <w:p w14:paraId="2736BCE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6293</w:t>
            </w:r>
          </w:p>
        </w:tc>
        <w:tc>
          <w:tcPr>
            <w:tcW w:w="0" w:type="auto"/>
            <w:tcMar>
              <w:left w:w="57" w:type="dxa"/>
              <w:right w:w="57" w:type="dxa"/>
            </w:tcMar>
          </w:tcPr>
          <w:p w14:paraId="79F97CB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2477</w:t>
            </w:r>
          </w:p>
        </w:tc>
        <w:tc>
          <w:tcPr>
            <w:tcW w:w="0" w:type="auto"/>
            <w:tcMar>
              <w:left w:w="57" w:type="dxa"/>
              <w:right w:w="57" w:type="dxa"/>
            </w:tcMar>
          </w:tcPr>
          <w:p w14:paraId="7332B5B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1595</w:t>
            </w:r>
          </w:p>
        </w:tc>
        <w:tc>
          <w:tcPr>
            <w:tcW w:w="0" w:type="auto"/>
            <w:tcMar>
              <w:left w:w="57" w:type="dxa"/>
              <w:right w:w="57" w:type="dxa"/>
            </w:tcMar>
          </w:tcPr>
          <w:p w14:paraId="7B7359FE"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882</w:t>
            </w:r>
          </w:p>
        </w:tc>
        <w:tc>
          <w:tcPr>
            <w:tcW w:w="0" w:type="auto"/>
            <w:tcMar>
              <w:left w:w="57" w:type="dxa"/>
              <w:right w:w="57" w:type="dxa"/>
            </w:tcMar>
          </w:tcPr>
          <w:p w14:paraId="13505DF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2795</w:t>
            </w:r>
          </w:p>
        </w:tc>
        <w:tc>
          <w:tcPr>
            <w:tcW w:w="0" w:type="auto"/>
            <w:tcMar>
              <w:left w:w="57" w:type="dxa"/>
              <w:right w:w="57" w:type="dxa"/>
            </w:tcMar>
          </w:tcPr>
          <w:p w14:paraId="0D325801"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1841</w:t>
            </w:r>
          </w:p>
        </w:tc>
        <w:tc>
          <w:tcPr>
            <w:tcW w:w="0" w:type="auto"/>
            <w:tcMar>
              <w:left w:w="57" w:type="dxa"/>
              <w:right w:w="57" w:type="dxa"/>
            </w:tcMar>
          </w:tcPr>
          <w:p w14:paraId="5F66CE7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954</w:t>
            </w:r>
          </w:p>
        </w:tc>
        <w:tc>
          <w:tcPr>
            <w:tcW w:w="0" w:type="auto"/>
            <w:tcMar>
              <w:left w:w="57" w:type="dxa"/>
              <w:right w:w="57" w:type="dxa"/>
            </w:tcMar>
          </w:tcPr>
          <w:p w14:paraId="060B9C9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3019</w:t>
            </w:r>
          </w:p>
        </w:tc>
        <w:tc>
          <w:tcPr>
            <w:tcW w:w="0" w:type="auto"/>
            <w:tcMar>
              <w:left w:w="57" w:type="dxa"/>
              <w:right w:w="57" w:type="dxa"/>
            </w:tcMar>
          </w:tcPr>
          <w:p w14:paraId="06836C9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1943</w:t>
            </w:r>
          </w:p>
        </w:tc>
        <w:tc>
          <w:tcPr>
            <w:tcW w:w="0" w:type="auto"/>
            <w:tcMar>
              <w:left w:w="57" w:type="dxa"/>
              <w:right w:w="57" w:type="dxa"/>
            </w:tcMar>
          </w:tcPr>
          <w:p w14:paraId="7AEA33A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1076</w:t>
            </w:r>
          </w:p>
        </w:tc>
        <w:tc>
          <w:tcPr>
            <w:tcW w:w="0" w:type="auto"/>
            <w:tcMar>
              <w:left w:w="57" w:type="dxa"/>
              <w:right w:w="57" w:type="dxa"/>
            </w:tcMar>
          </w:tcPr>
          <w:p w14:paraId="05CD44A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3364</w:t>
            </w:r>
          </w:p>
        </w:tc>
        <w:tc>
          <w:tcPr>
            <w:tcW w:w="0" w:type="auto"/>
            <w:tcMar>
              <w:left w:w="57" w:type="dxa"/>
              <w:right w:w="57" w:type="dxa"/>
            </w:tcMar>
          </w:tcPr>
          <w:p w14:paraId="2ECE5A6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2236</w:t>
            </w:r>
          </w:p>
        </w:tc>
        <w:tc>
          <w:tcPr>
            <w:tcW w:w="0" w:type="auto"/>
            <w:tcMar>
              <w:left w:w="57" w:type="dxa"/>
              <w:right w:w="57" w:type="dxa"/>
            </w:tcMar>
          </w:tcPr>
          <w:p w14:paraId="3D6F2F08"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1128</w:t>
            </w:r>
          </w:p>
        </w:tc>
        <w:tc>
          <w:tcPr>
            <w:tcW w:w="0" w:type="auto"/>
            <w:tcMar>
              <w:left w:w="57" w:type="dxa"/>
              <w:right w:w="57" w:type="dxa"/>
            </w:tcMar>
          </w:tcPr>
          <w:p w14:paraId="6D6C2B48"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3506</w:t>
            </w:r>
          </w:p>
        </w:tc>
        <w:tc>
          <w:tcPr>
            <w:tcW w:w="0" w:type="auto"/>
            <w:tcMar>
              <w:left w:w="57" w:type="dxa"/>
              <w:right w:w="57" w:type="dxa"/>
            </w:tcMar>
          </w:tcPr>
          <w:p w14:paraId="69C5602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2320</w:t>
            </w:r>
          </w:p>
        </w:tc>
        <w:tc>
          <w:tcPr>
            <w:tcW w:w="0" w:type="auto"/>
            <w:tcMar>
              <w:left w:w="57" w:type="dxa"/>
              <w:right w:w="57" w:type="dxa"/>
            </w:tcMar>
          </w:tcPr>
          <w:p w14:paraId="5406300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1186</w:t>
            </w:r>
          </w:p>
        </w:tc>
        <w:tc>
          <w:tcPr>
            <w:tcW w:w="0" w:type="auto"/>
            <w:tcMar>
              <w:left w:w="57" w:type="dxa"/>
              <w:right w:w="57" w:type="dxa"/>
            </w:tcMar>
          </w:tcPr>
          <w:p w14:paraId="0C6C518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2989</w:t>
            </w:r>
          </w:p>
        </w:tc>
        <w:tc>
          <w:tcPr>
            <w:tcW w:w="0" w:type="auto"/>
            <w:tcMar>
              <w:left w:w="57" w:type="dxa"/>
              <w:right w:w="57" w:type="dxa"/>
            </w:tcMar>
          </w:tcPr>
          <w:p w14:paraId="3281A175"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1922</w:t>
            </w:r>
          </w:p>
        </w:tc>
        <w:tc>
          <w:tcPr>
            <w:tcW w:w="0" w:type="auto"/>
            <w:tcMar>
              <w:left w:w="57" w:type="dxa"/>
              <w:right w:w="57" w:type="dxa"/>
            </w:tcMar>
          </w:tcPr>
          <w:p w14:paraId="321BDC6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1067</w:t>
            </w:r>
          </w:p>
        </w:tc>
      </w:tr>
      <w:tr w:rsidR="00A27215" w:rsidRPr="00A27215" w14:paraId="213B9C6A" w14:textId="77777777">
        <w:trPr>
          <w:trHeight w:val="113"/>
        </w:trPr>
        <w:tc>
          <w:tcPr>
            <w:tcW w:w="0" w:type="auto"/>
            <w:tcMar>
              <w:left w:w="57" w:type="dxa"/>
              <w:right w:w="57" w:type="dxa"/>
            </w:tcMar>
          </w:tcPr>
          <w:p w14:paraId="4F88BF3B" w14:textId="77777777" w:rsidR="00A27215" w:rsidRPr="00A27215" w:rsidRDefault="00A27215" w:rsidP="00A27215">
            <w:pPr>
              <w:rPr>
                <w:rFonts w:asciiTheme="minorHAnsi" w:hAnsiTheme="minorHAnsi" w:cs="Calibri"/>
                <w:sz w:val="16"/>
                <w:szCs w:val="16"/>
              </w:rPr>
            </w:pPr>
            <w:r w:rsidRPr="00A27215">
              <w:rPr>
                <w:rFonts w:asciiTheme="minorHAnsi" w:hAnsiTheme="minorHAnsi" w:cs="Calibri"/>
                <w:sz w:val="16"/>
                <w:szCs w:val="16"/>
              </w:rPr>
              <w:t>C22 liver</w:t>
            </w:r>
          </w:p>
        </w:tc>
        <w:tc>
          <w:tcPr>
            <w:tcW w:w="0" w:type="auto"/>
            <w:tcMar>
              <w:left w:w="57" w:type="dxa"/>
              <w:right w:w="57" w:type="dxa"/>
            </w:tcMar>
          </w:tcPr>
          <w:p w14:paraId="4C1D208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5701</w:t>
            </w:r>
          </w:p>
        </w:tc>
        <w:tc>
          <w:tcPr>
            <w:tcW w:w="0" w:type="auto"/>
            <w:tcMar>
              <w:left w:w="57" w:type="dxa"/>
              <w:right w:w="57" w:type="dxa"/>
            </w:tcMar>
          </w:tcPr>
          <w:p w14:paraId="1476FDE5"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3867</w:t>
            </w:r>
          </w:p>
        </w:tc>
        <w:tc>
          <w:tcPr>
            <w:tcW w:w="0" w:type="auto"/>
            <w:tcMar>
              <w:left w:w="57" w:type="dxa"/>
              <w:right w:w="57" w:type="dxa"/>
            </w:tcMar>
          </w:tcPr>
          <w:p w14:paraId="33F6FBE8"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1834</w:t>
            </w:r>
          </w:p>
        </w:tc>
        <w:tc>
          <w:tcPr>
            <w:tcW w:w="0" w:type="auto"/>
            <w:tcMar>
              <w:left w:w="57" w:type="dxa"/>
              <w:right w:w="57" w:type="dxa"/>
            </w:tcMar>
          </w:tcPr>
          <w:p w14:paraId="252AB23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318</w:t>
            </w:r>
          </w:p>
        </w:tc>
        <w:tc>
          <w:tcPr>
            <w:tcW w:w="0" w:type="auto"/>
            <w:tcMar>
              <w:left w:w="57" w:type="dxa"/>
              <w:right w:w="57" w:type="dxa"/>
            </w:tcMar>
          </w:tcPr>
          <w:p w14:paraId="7203FE5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207</w:t>
            </w:r>
          </w:p>
        </w:tc>
        <w:tc>
          <w:tcPr>
            <w:tcW w:w="0" w:type="auto"/>
            <w:tcMar>
              <w:left w:w="57" w:type="dxa"/>
              <w:right w:w="57" w:type="dxa"/>
            </w:tcMar>
          </w:tcPr>
          <w:p w14:paraId="1E41FE78"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111</w:t>
            </w:r>
          </w:p>
        </w:tc>
        <w:tc>
          <w:tcPr>
            <w:tcW w:w="0" w:type="auto"/>
            <w:tcMar>
              <w:left w:w="57" w:type="dxa"/>
              <w:right w:w="57" w:type="dxa"/>
            </w:tcMar>
          </w:tcPr>
          <w:p w14:paraId="64CBFC8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500</w:t>
            </w:r>
          </w:p>
        </w:tc>
        <w:tc>
          <w:tcPr>
            <w:tcW w:w="0" w:type="auto"/>
            <w:tcMar>
              <w:left w:w="57" w:type="dxa"/>
              <w:right w:w="57" w:type="dxa"/>
            </w:tcMar>
          </w:tcPr>
          <w:p w14:paraId="00A4F848"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332</w:t>
            </w:r>
          </w:p>
        </w:tc>
        <w:tc>
          <w:tcPr>
            <w:tcW w:w="0" w:type="auto"/>
            <w:tcMar>
              <w:left w:w="57" w:type="dxa"/>
              <w:right w:w="57" w:type="dxa"/>
            </w:tcMar>
          </w:tcPr>
          <w:p w14:paraId="53D59F12"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168</w:t>
            </w:r>
          </w:p>
        </w:tc>
        <w:tc>
          <w:tcPr>
            <w:tcW w:w="0" w:type="auto"/>
            <w:tcMar>
              <w:left w:w="57" w:type="dxa"/>
              <w:right w:w="57" w:type="dxa"/>
            </w:tcMar>
          </w:tcPr>
          <w:p w14:paraId="4544693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789</w:t>
            </w:r>
          </w:p>
        </w:tc>
        <w:tc>
          <w:tcPr>
            <w:tcW w:w="0" w:type="auto"/>
            <w:tcMar>
              <w:left w:w="57" w:type="dxa"/>
              <w:right w:w="57" w:type="dxa"/>
            </w:tcMar>
          </w:tcPr>
          <w:p w14:paraId="6C85CCC1"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511</w:t>
            </w:r>
          </w:p>
        </w:tc>
        <w:tc>
          <w:tcPr>
            <w:tcW w:w="0" w:type="auto"/>
            <w:tcMar>
              <w:left w:w="57" w:type="dxa"/>
              <w:right w:w="57" w:type="dxa"/>
            </w:tcMar>
          </w:tcPr>
          <w:p w14:paraId="640CFD8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278</w:t>
            </w:r>
          </w:p>
        </w:tc>
        <w:tc>
          <w:tcPr>
            <w:tcW w:w="0" w:type="auto"/>
            <w:tcMar>
              <w:left w:w="57" w:type="dxa"/>
              <w:right w:w="57" w:type="dxa"/>
            </w:tcMar>
          </w:tcPr>
          <w:p w14:paraId="6166EFC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1148</w:t>
            </w:r>
          </w:p>
        </w:tc>
        <w:tc>
          <w:tcPr>
            <w:tcW w:w="0" w:type="auto"/>
            <w:tcMar>
              <w:left w:w="57" w:type="dxa"/>
              <w:right w:w="57" w:type="dxa"/>
            </w:tcMar>
          </w:tcPr>
          <w:p w14:paraId="450A311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791</w:t>
            </w:r>
          </w:p>
        </w:tc>
        <w:tc>
          <w:tcPr>
            <w:tcW w:w="0" w:type="auto"/>
            <w:tcMar>
              <w:left w:w="57" w:type="dxa"/>
              <w:right w:w="57" w:type="dxa"/>
            </w:tcMar>
          </w:tcPr>
          <w:p w14:paraId="3309F9E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357</w:t>
            </w:r>
          </w:p>
        </w:tc>
        <w:tc>
          <w:tcPr>
            <w:tcW w:w="0" w:type="auto"/>
            <w:tcMar>
              <w:left w:w="57" w:type="dxa"/>
              <w:right w:w="57" w:type="dxa"/>
            </w:tcMar>
          </w:tcPr>
          <w:p w14:paraId="20C3DAE5"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1600</w:t>
            </w:r>
          </w:p>
        </w:tc>
        <w:tc>
          <w:tcPr>
            <w:tcW w:w="0" w:type="auto"/>
            <w:tcMar>
              <w:left w:w="57" w:type="dxa"/>
              <w:right w:w="57" w:type="dxa"/>
            </w:tcMar>
          </w:tcPr>
          <w:p w14:paraId="14B158D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1121</w:t>
            </w:r>
          </w:p>
        </w:tc>
        <w:tc>
          <w:tcPr>
            <w:tcW w:w="0" w:type="auto"/>
            <w:tcMar>
              <w:left w:w="57" w:type="dxa"/>
              <w:right w:w="57" w:type="dxa"/>
            </w:tcMar>
          </w:tcPr>
          <w:p w14:paraId="72A9D4D1"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479</w:t>
            </w:r>
          </w:p>
        </w:tc>
        <w:tc>
          <w:tcPr>
            <w:tcW w:w="0" w:type="auto"/>
            <w:tcMar>
              <w:left w:w="57" w:type="dxa"/>
              <w:right w:w="57" w:type="dxa"/>
            </w:tcMar>
          </w:tcPr>
          <w:p w14:paraId="7856564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1346</w:t>
            </w:r>
          </w:p>
        </w:tc>
        <w:tc>
          <w:tcPr>
            <w:tcW w:w="0" w:type="auto"/>
            <w:tcMar>
              <w:left w:w="57" w:type="dxa"/>
              <w:right w:w="57" w:type="dxa"/>
            </w:tcMar>
          </w:tcPr>
          <w:p w14:paraId="2338C17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905</w:t>
            </w:r>
          </w:p>
        </w:tc>
        <w:tc>
          <w:tcPr>
            <w:tcW w:w="0" w:type="auto"/>
            <w:tcMar>
              <w:left w:w="57" w:type="dxa"/>
              <w:right w:w="57" w:type="dxa"/>
            </w:tcMar>
          </w:tcPr>
          <w:p w14:paraId="53633D8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441</w:t>
            </w:r>
          </w:p>
        </w:tc>
      </w:tr>
      <w:tr w:rsidR="00A27215" w:rsidRPr="00A27215" w14:paraId="6F6568BA" w14:textId="77777777">
        <w:trPr>
          <w:trHeight w:val="113"/>
        </w:trPr>
        <w:tc>
          <w:tcPr>
            <w:tcW w:w="0" w:type="auto"/>
            <w:tcMar>
              <w:left w:w="57" w:type="dxa"/>
              <w:right w:w="57" w:type="dxa"/>
            </w:tcMar>
          </w:tcPr>
          <w:p w14:paraId="06EC4F79" w14:textId="77777777" w:rsidR="00A27215" w:rsidRPr="00A27215" w:rsidRDefault="00A27215" w:rsidP="00A27215">
            <w:pPr>
              <w:rPr>
                <w:rFonts w:asciiTheme="minorHAnsi" w:hAnsiTheme="minorHAnsi" w:cs="Calibri"/>
                <w:sz w:val="16"/>
                <w:szCs w:val="16"/>
              </w:rPr>
            </w:pPr>
            <w:r w:rsidRPr="00A27215">
              <w:rPr>
                <w:rFonts w:asciiTheme="minorHAnsi" w:hAnsiTheme="minorHAnsi" w:cs="Calibri"/>
                <w:sz w:val="16"/>
                <w:szCs w:val="16"/>
              </w:rPr>
              <w:t>C25 pancreas</w:t>
            </w:r>
          </w:p>
        </w:tc>
        <w:tc>
          <w:tcPr>
            <w:tcW w:w="0" w:type="auto"/>
            <w:tcMar>
              <w:left w:w="57" w:type="dxa"/>
              <w:right w:w="57" w:type="dxa"/>
            </w:tcMar>
          </w:tcPr>
          <w:p w14:paraId="32B19AF1"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13671</w:t>
            </w:r>
          </w:p>
        </w:tc>
        <w:tc>
          <w:tcPr>
            <w:tcW w:w="0" w:type="auto"/>
            <w:tcMar>
              <w:left w:w="57" w:type="dxa"/>
              <w:right w:w="57" w:type="dxa"/>
            </w:tcMar>
          </w:tcPr>
          <w:p w14:paraId="6291DC0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6982</w:t>
            </w:r>
          </w:p>
        </w:tc>
        <w:tc>
          <w:tcPr>
            <w:tcW w:w="0" w:type="auto"/>
            <w:tcMar>
              <w:left w:w="57" w:type="dxa"/>
              <w:right w:w="57" w:type="dxa"/>
            </w:tcMar>
          </w:tcPr>
          <w:p w14:paraId="10B3CA0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6689</w:t>
            </w:r>
          </w:p>
        </w:tc>
        <w:tc>
          <w:tcPr>
            <w:tcW w:w="0" w:type="auto"/>
            <w:tcMar>
              <w:left w:w="57" w:type="dxa"/>
              <w:right w:w="57" w:type="dxa"/>
            </w:tcMar>
          </w:tcPr>
          <w:p w14:paraId="5C59FFD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1699</w:t>
            </w:r>
          </w:p>
        </w:tc>
        <w:tc>
          <w:tcPr>
            <w:tcW w:w="0" w:type="auto"/>
            <w:tcMar>
              <w:left w:w="57" w:type="dxa"/>
              <w:right w:w="57" w:type="dxa"/>
            </w:tcMar>
          </w:tcPr>
          <w:p w14:paraId="03B9267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841</w:t>
            </w:r>
          </w:p>
        </w:tc>
        <w:tc>
          <w:tcPr>
            <w:tcW w:w="0" w:type="auto"/>
            <w:tcMar>
              <w:left w:w="57" w:type="dxa"/>
              <w:right w:w="57" w:type="dxa"/>
            </w:tcMar>
          </w:tcPr>
          <w:p w14:paraId="710555A8"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858</w:t>
            </w:r>
          </w:p>
        </w:tc>
        <w:tc>
          <w:tcPr>
            <w:tcW w:w="0" w:type="auto"/>
            <w:tcMar>
              <w:left w:w="57" w:type="dxa"/>
              <w:right w:w="57" w:type="dxa"/>
            </w:tcMar>
          </w:tcPr>
          <w:p w14:paraId="74B3F13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1881</w:t>
            </w:r>
          </w:p>
        </w:tc>
        <w:tc>
          <w:tcPr>
            <w:tcW w:w="0" w:type="auto"/>
            <w:tcMar>
              <w:left w:w="57" w:type="dxa"/>
              <w:right w:w="57" w:type="dxa"/>
            </w:tcMar>
          </w:tcPr>
          <w:p w14:paraId="363A7785"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939</w:t>
            </w:r>
          </w:p>
        </w:tc>
        <w:tc>
          <w:tcPr>
            <w:tcW w:w="0" w:type="auto"/>
            <w:tcMar>
              <w:left w:w="57" w:type="dxa"/>
              <w:right w:w="57" w:type="dxa"/>
            </w:tcMar>
          </w:tcPr>
          <w:p w14:paraId="7C07F25E"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942</w:t>
            </w:r>
          </w:p>
        </w:tc>
        <w:tc>
          <w:tcPr>
            <w:tcW w:w="0" w:type="auto"/>
            <w:tcMar>
              <w:left w:w="57" w:type="dxa"/>
              <w:right w:w="57" w:type="dxa"/>
            </w:tcMar>
          </w:tcPr>
          <w:p w14:paraId="57EA042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2193</w:t>
            </w:r>
          </w:p>
        </w:tc>
        <w:tc>
          <w:tcPr>
            <w:tcW w:w="0" w:type="auto"/>
            <w:tcMar>
              <w:left w:w="57" w:type="dxa"/>
              <w:right w:w="57" w:type="dxa"/>
            </w:tcMar>
          </w:tcPr>
          <w:p w14:paraId="47AEE7E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1090</w:t>
            </w:r>
          </w:p>
        </w:tc>
        <w:tc>
          <w:tcPr>
            <w:tcW w:w="0" w:type="auto"/>
            <w:tcMar>
              <w:left w:w="57" w:type="dxa"/>
              <w:right w:w="57" w:type="dxa"/>
            </w:tcMar>
          </w:tcPr>
          <w:p w14:paraId="1C041DB5"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1103</w:t>
            </w:r>
          </w:p>
        </w:tc>
        <w:tc>
          <w:tcPr>
            <w:tcW w:w="0" w:type="auto"/>
            <w:tcMar>
              <w:left w:w="57" w:type="dxa"/>
              <w:right w:w="57" w:type="dxa"/>
            </w:tcMar>
          </w:tcPr>
          <w:p w14:paraId="64F45B7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2470</w:t>
            </w:r>
          </w:p>
        </w:tc>
        <w:tc>
          <w:tcPr>
            <w:tcW w:w="0" w:type="auto"/>
            <w:tcMar>
              <w:left w:w="57" w:type="dxa"/>
              <w:right w:w="57" w:type="dxa"/>
            </w:tcMar>
          </w:tcPr>
          <w:p w14:paraId="0D66566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1283</w:t>
            </w:r>
          </w:p>
        </w:tc>
        <w:tc>
          <w:tcPr>
            <w:tcW w:w="0" w:type="auto"/>
            <w:tcMar>
              <w:left w:w="57" w:type="dxa"/>
              <w:right w:w="57" w:type="dxa"/>
            </w:tcMar>
          </w:tcPr>
          <w:p w14:paraId="2A0D634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1187</w:t>
            </w:r>
          </w:p>
        </w:tc>
        <w:tc>
          <w:tcPr>
            <w:tcW w:w="0" w:type="auto"/>
            <w:tcMar>
              <w:left w:w="57" w:type="dxa"/>
              <w:right w:w="57" w:type="dxa"/>
            </w:tcMar>
          </w:tcPr>
          <w:p w14:paraId="5EA6FEB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2890</w:t>
            </w:r>
          </w:p>
        </w:tc>
        <w:tc>
          <w:tcPr>
            <w:tcW w:w="0" w:type="auto"/>
            <w:tcMar>
              <w:left w:w="57" w:type="dxa"/>
              <w:right w:w="57" w:type="dxa"/>
            </w:tcMar>
          </w:tcPr>
          <w:p w14:paraId="4786EE2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1517</w:t>
            </w:r>
          </w:p>
        </w:tc>
        <w:tc>
          <w:tcPr>
            <w:tcW w:w="0" w:type="auto"/>
            <w:tcMar>
              <w:left w:w="57" w:type="dxa"/>
              <w:right w:w="57" w:type="dxa"/>
            </w:tcMar>
          </w:tcPr>
          <w:p w14:paraId="1E6C0E9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1373</w:t>
            </w:r>
          </w:p>
        </w:tc>
        <w:tc>
          <w:tcPr>
            <w:tcW w:w="0" w:type="auto"/>
            <w:tcMar>
              <w:left w:w="57" w:type="dxa"/>
              <w:right w:w="57" w:type="dxa"/>
            </w:tcMar>
          </w:tcPr>
          <w:p w14:paraId="3277787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2538</w:t>
            </w:r>
          </w:p>
        </w:tc>
        <w:tc>
          <w:tcPr>
            <w:tcW w:w="0" w:type="auto"/>
            <w:tcMar>
              <w:left w:w="57" w:type="dxa"/>
              <w:right w:w="57" w:type="dxa"/>
            </w:tcMar>
          </w:tcPr>
          <w:p w14:paraId="2C55320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1312</w:t>
            </w:r>
          </w:p>
        </w:tc>
        <w:tc>
          <w:tcPr>
            <w:tcW w:w="0" w:type="auto"/>
            <w:tcMar>
              <w:left w:w="57" w:type="dxa"/>
              <w:right w:w="57" w:type="dxa"/>
            </w:tcMar>
          </w:tcPr>
          <w:p w14:paraId="5B6C938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1226</w:t>
            </w:r>
          </w:p>
        </w:tc>
      </w:tr>
      <w:tr w:rsidR="00A27215" w:rsidRPr="00A27215" w14:paraId="595A13B4" w14:textId="77777777">
        <w:trPr>
          <w:trHeight w:val="113"/>
        </w:trPr>
        <w:tc>
          <w:tcPr>
            <w:tcW w:w="0" w:type="auto"/>
            <w:tcMar>
              <w:left w:w="57" w:type="dxa"/>
              <w:right w:w="57" w:type="dxa"/>
            </w:tcMar>
          </w:tcPr>
          <w:p w14:paraId="206FA5FA" w14:textId="77777777" w:rsidR="00A27215" w:rsidRPr="00A27215" w:rsidRDefault="00A27215" w:rsidP="00A27215">
            <w:pPr>
              <w:rPr>
                <w:rFonts w:asciiTheme="minorHAnsi" w:hAnsiTheme="minorHAnsi" w:cs="Calibri"/>
                <w:sz w:val="16"/>
                <w:szCs w:val="16"/>
              </w:rPr>
            </w:pPr>
            <w:r w:rsidRPr="00A27215">
              <w:rPr>
                <w:rFonts w:asciiTheme="minorHAnsi" w:hAnsiTheme="minorHAnsi" w:cs="Calibri"/>
                <w:sz w:val="16"/>
                <w:szCs w:val="16"/>
              </w:rPr>
              <w:t>C30-31 sino-nasal</w:t>
            </w:r>
          </w:p>
        </w:tc>
        <w:tc>
          <w:tcPr>
            <w:tcW w:w="0" w:type="auto"/>
            <w:tcMar>
              <w:left w:w="57" w:type="dxa"/>
              <w:right w:w="57" w:type="dxa"/>
            </w:tcMar>
          </w:tcPr>
          <w:p w14:paraId="763F2BC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729</w:t>
            </w:r>
          </w:p>
        </w:tc>
        <w:tc>
          <w:tcPr>
            <w:tcW w:w="0" w:type="auto"/>
            <w:tcMar>
              <w:left w:w="57" w:type="dxa"/>
              <w:right w:w="57" w:type="dxa"/>
            </w:tcMar>
          </w:tcPr>
          <w:p w14:paraId="707F67D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424</w:t>
            </w:r>
          </w:p>
        </w:tc>
        <w:tc>
          <w:tcPr>
            <w:tcW w:w="0" w:type="auto"/>
            <w:tcMar>
              <w:left w:w="57" w:type="dxa"/>
              <w:right w:w="57" w:type="dxa"/>
            </w:tcMar>
          </w:tcPr>
          <w:p w14:paraId="62BF17A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305</w:t>
            </w:r>
          </w:p>
        </w:tc>
        <w:tc>
          <w:tcPr>
            <w:tcW w:w="0" w:type="auto"/>
            <w:tcMar>
              <w:left w:w="57" w:type="dxa"/>
              <w:right w:w="57" w:type="dxa"/>
            </w:tcMar>
          </w:tcPr>
          <w:p w14:paraId="57FAD082"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107</w:t>
            </w:r>
          </w:p>
        </w:tc>
        <w:tc>
          <w:tcPr>
            <w:tcW w:w="0" w:type="auto"/>
            <w:tcMar>
              <w:left w:w="57" w:type="dxa"/>
              <w:right w:w="57" w:type="dxa"/>
            </w:tcMar>
          </w:tcPr>
          <w:p w14:paraId="4C1DF49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68</w:t>
            </w:r>
          </w:p>
        </w:tc>
        <w:tc>
          <w:tcPr>
            <w:tcW w:w="0" w:type="auto"/>
            <w:tcMar>
              <w:left w:w="57" w:type="dxa"/>
              <w:right w:w="57" w:type="dxa"/>
            </w:tcMar>
          </w:tcPr>
          <w:p w14:paraId="343C941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39</w:t>
            </w:r>
          </w:p>
        </w:tc>
        <w:tc>
          <w:tcPr>
            <w:tcW w:w="0" w:type="auto"/>
            <w:tcMar>
              <w:left w:w="57" w:type="dxa"/>
              <w:right w:w="57" w:type="dxa"/>
            </w:tcMar>
          </w:tcPr>
          <w:p w14:paraId="13099398"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105</w:t>
            </w:r>
          </w:p>
        </w:tc>
        <w:tc>
          <w:tcPr>
            <w:tcW w:w="0" w:type="auto"/>
            <w:tcMar>
              <w:left w:w="57" w:type="dxa"/>
              <w:right w:w="57" w:type="dxa"/>
            </w:tcMar>
          </w:tcPr>
          <w:p w14:paraId="716FD6E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46</w:t>
            </w:r>
          </w:p>
        </w:tc>
        <w:tc>
          <w:tcPr>
            <w:tcW w:w="0" w:type="auto"/>
            <w:tcMar>
              <w:left w:w="57" w:type="dxa"/>
              <w:right w:w="57" w:type="dxa"/>
            </w:tcMar>
          </w:tcPr>
          <w:p w14:paraId="6A944DF5"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59</w:t>
            </w:r>
          </w:p>
        </w:tc>
        <w:tc>
          <w:tcPr>
            <w:tcW w:w="0" w:type="auto"/>
            <w:tcMar>
              <w:left w:w="57" w:type="dxa"/>
              <w:right w:w="57" w:type="dxa"/>
            </w:tcMar>
          </w:tcPr>
          <w:p w14:paraId="567F9B8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114</w:t>
            </w:r>
          </w:p>
        </w:tc>
        <w:tc>
          <w:tcPr>
            <w:tcW w:w="0" w:type="auto"/>
            <w:tcMar>
              <w:left w:w="57" w:type="dxa"/>
              <w:right w:w="57" w:type="dxa"/>
            </w:tcMar>
          </w:tcPr>
          <w:p w14:paraId="787E569E"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72</w:t>
            </w:r>
          </w:p>
        </w:tc>
        <w:tc>
          <w:tcPr>
            <w:tcW w:w="0" w:type="auto"/>
            <w:tcMar>
              <w:left w:w="57" w:type="dxa"/>
              <w:right w:w="57" w:type="dxa"/>
            </w:tcMar>
          </w:tcPr>
          <w:p w14:paraId="21CDDDA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42</w:t>
            </w:r>
          </w:p>
        </w:tc>
        <w:tc>
          <w:tcPr>
            <w:tcW w:w="0" w:type="auto"/>
            <w:tcMar>
              <w:left w:w="57" w:type="dxa"/>
              <w:right w:w="57" w:type="dxa"/>
            </w:tcMar>
          </w:tcPr>
          <w:p w14:paraId="71BD9CBE"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122</w:t>
            </w:r>
          </w:p>
        </w:tc>
        <w:tc>
          <w:tcPr>
            <w:tcW w:w="0" w:type="auto"/>
            <w:tcMar>
              <w:left w:w="57" w:type="dxa"/>
              <w:right w:w="57" w:type="dxa"/>
            </w:tcMar>
          </w:tcPr>
          <w:p w14:paraId="12332B0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68</w:t>
            </w:r>
          </w:p>
        </w:tc>
        <w:tc>
          <w:tcPr>
            <w:tcW w:w="0" w:type="auto"/>
            <w:tcMar>
              <w:left w:w="57" w:type="dxa"/>
              <w:right w:w="57" w:type="dxa"/>
            </w:tcMar>
          </w:tcPr>
          <w:p w14:paraId="500549C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54</w:t>
            </w:r>
          </w:p>
        </w:tc>
        <w:tc>
          <w:tcPr>
            <w:tcW w:w="0" w:type="auto"/>
            <w:tcMar>
              <w:left w:w="57" w:type="dxa"/>
              <w:right w:w="57" w:type="dxa"/>
            </w:tcMar>
          </w:tcPr>
          <w:p w14:paraId="75EC72FE"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163</w:t>
            </w:r>
          </w:p>
        </w:tc>
        <w:tc>
          <w:tcPr>
            <w:tcW w:w="0" w:type="auto"/>
            <w:tcMar>
              <w:left w:w="57" w:type="dxa"/>
              <w:right w:w="57" w:type="dxa"/>
            </w:tcMar>
          </w:tcPr>
          <w:p w14:paraId="0B04655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96</w:t>
            </w:r>
          </w:p>
        </w:tc>
        <w:tc>
          <w:tcPr>
            <w:tcW w:w="0" w:type="auto"/>
            <w:tcMar>
              <w:left w:w="57" w:type="dxa"/>
              <w:right w:w="57" w:type="dxa"/>
            </w:tcMar>
          </w:tcPr>
          <w:p w14:paraId="42B0D08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67</w:t>
            </w:r>
          </w:p>
        </w:tc>
        <w:tc>
          <w:tcPr>
            <w:tcW w:w="0" w:type="auto"/>
            <w:tcMar>
              <w:left w:w="57" w:type="dxa"/>
              <w:right w:w="57" w:type="dxa"/>
            </w:tcMar>
          </w:tcPr>
          <w:p w14:paraId="143D035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118</w:t>
            </w:r>
          </w:p>
        </w:tc>
        <w:tc>
          <w:tcPr>
            <w:tcW w:w="0" w:type="auto"/>
            <w:tcMar>
              <w:left w:w="57" w:type="dxa"/>
              <w:right w:w="57" w:type="dxa"/>
            </w:tcMar>
          </w:tcPr>
          <w:p w14:paraId="03B700B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74</w:t>
            </w:r>
          </w:p>
        </w:tc>
        <w:tc>
          <w:tcPr>
            <w:tcW w:w="0" w:type="auto"/>
            <w:tcMar>
              <w:left w:w="57" w:type="dxa"/>
              <w:right w:w="57" w:type="dxa"/>
            </w:tcMar>
          </w:tcPr>
          <w:p w14:paraId="1EA2747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44</w:t>
            </w:r>
          </w:p>
        </w:tc>
      </w:tr>
      <w:tr w:rsidR="00A27215" w:rsidRPr="00A27215" w14:paraId="04631DC1" w14:textId="77777777">
        <w:trPr>
          <w:trHeight w:val="113"/>
        </w:trPr>
        <w:tc>
          <w:tcPr>
            <w:tcW w:w="0" w:type="auto"/>
            <w:tcMar>
              <w:left w:w="57" w:type="dxa"/>
              <w:right w:w="57" w:type="dxa"/>
            </w:tcMar>
          </w:tcPr>
          <w:p w14:paraId="6FB2B582" w14:textId="77777777" w:rsidR="00A27215" w:rsidRPr="00A27215" w:rsidRDefault="00A27215" w:rsidP="00A27215">
            <w:pPr>
              <w:rPr>
                <w:rFonts w:asciiTheme="minorHAnsi" w:hAnsiTheme="minorHAnsi" w:cs="Calibri"/>
                <w:sz w:val="16"/>
                <w:szCs w:val="16"/>
              </w:rPr>
            </w:pPr>
            <w:r w:rsidRPr="00A27215">
              <w:rPr>
                <w:rFonts w:asciiTheme="minorHAnsi" w:hAnsiTheme="minorHAnsi" w:cs="Calibri"/>
                <w:sz w:val="16"/>
                <w:szCs w:val="16"/>
              </w:rPr>
              <w:t>C32 larynx</w:t>
            </w:r>
          </w:p>
        </w:tc>
        <w:tc>
          <w:tcPr>
            <w:tcW w:w="0" w:type="auto"/>
            <w:tcMar>
              <w:left w:w="57" w:type="dxa"/>
              <w:right w:w="57" w:type="dxa"/>
            </w:tcMar>
          </w:tcPr>
          <w:p w14:paraId="35EA2341"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4326</w:t>
            </w:r>
          </w:p>
        </w:tc>
        <w:tc>
          <w:tcPr>
            <w:tcW w:w="0" w:type="auto"/>
            <w:tcMar>
              <w:left w:w="57" w:type="dxa"/>
              <w:right w:w="57" w:type="dxa"/>
            </w:tcMar>
          </w:tcPr>
          <w:p w14:paraId="7257452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3646</w:t>
            </w:r>
          </w:p>
        </w:tc>
        <w:tc>
          <w:tcPr>
            <w:tcW w:w="0" w:type="auto"/>
            <w:tcMar>
              <w:left w:w="57" w:type="dxa"/>
              <w:right w:w="57" w:type="dxa"/>
            </w:tcMar>
          </w:tcPr>
          <w:p w14:paraId="190519D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680</w:t>
            </w:r>
          </w:p>
        </w:tc>
        <w:tc>
          <w:tcPr>
            <w:tcW w:w="0" w:type="auto"/>
            <w:tcMar>
              <w:left w:w="57" w:type="dxa"/>
              <w:right w:w="57" w:type="dxa"/>
            </w:tcMar>
          </w:tcPr>
          <w:p w14:paraId="73BD7FA8"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554</w:t>
            </w:r>
          </w:p>
        </w:tc>
        <w:tc>
          <w:tcPr>
            <w:tcW w:w="0" w:type="auto"/>
            <w:tcMar>
              <w:left w:w="57" w:type="dxa"/>
              <w:right w:w="57" w:type="dxa"/>
            </w:tcMar>
          </w:tcPr>
          <w:p w14:paraId="47D74A7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461</w:t>
            </w:r>
          </w:p>
        </w:tc>
        <w:tc>
          <w:tcPr>
            <w:tcW w:w="0" w:type="auto"/>
            <w:tcMar>
              <w:left w:w="57" w:type="dxa"/>
              <w:right w:w="57" w:type="dxa"/>
            </w:tcMar>
          </w:tcPr>
          <w:p w14:paraId="2950899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93</w:t>
            </w:r>
          </w:p>
        </w:tc>
        <w:tc>
          <w:tcPr>
            <w:tcW w:w="0" w:type="auto"/>
            <w:tcMar>
              <w:left w:w="57" w:type="dxa"/>
              <w:right w:w="57" w:type="dxa"/>
            </w:tcMar>
          </w:tcPr>
          <w:p w14:paraId="11BABE2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619</w:t>
            </w:r>
          </w:p>
        </w:tc>
        <w:tc>
          <w:tcPr>
            <w:tcW w:w="0" w:type="auto"/>
            <w:tcMar>
              <w:left w:w="57" w:type="dxa"/>
              <w:right w:w="57" w:type="dxa"/>
            </w:tcMar>
          </w:tcPr>
          <w:p w14:paraId="441D60F1"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511</w:t>
            </w:r>
          </w:p>
        </w:tc>
        <w:tc>
          <w:tcPr>
            <w:tcW w:w="0" w:type="auto"/>
            <w:tcMar>
              <w:left w:w="57" w:type="dxa"/>
              <w:right w:w="57" w:type="dxa"/>
            </w:tcMar>
          </w:tcPr>
          <w:p w14:paraId="361CCCA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108</w:t>
            </w:r>
          </w:p>
        </w:tc>
        <w:tc>
          <w:tcPr>
            <w:tcW w:w="0" w:type="auto"/>
            <w:tcMar>
              <w:left w:w="57" w:type="dxa"/>
              <w:right w:w="57" w:type="dxa"/>
            </w:tcMar>
          </w:tcPr>
          <w:p w14:paraId="09E4DB7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713</w:t>
            </w:r>
          </w:p>
        </w:tc>
        <w:tc>
          <w:tcPr>
            <w:tcW w:w="0" w:type="auto"/>
            <w:tcMar>
              <w:left w:w="57" w:type="dxa"/>
              <w:right w:w="57" w:type="dxa"/>
            </w:tcMar>
          </w:tcPr>
          <w:p w14:paraId="2BC5580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615</w:t>
            </w:r>
          </w:p>
        </w:tc>
        <w:tc>
          <w:tcPr>
            <w:tcW w:w="0" w:type="auto"/>
            <w:tcMar>
              <w:left w:w="57" w:type="dxa"/>
              <w:right w:w="57" w:type="dxa"/>
            </w:tcMar>
          </w:tcPr>
          <w:p w14:paraId="4CCEC38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98</w:t>
            </w:r>
          </w:p>
        </w:tc>
        <w:tc>
          <w:tcPr>
            <w:tcW w:w="0" w:type="auto"/>
            <w:tcMar>
              <w:left w:w="57" w:type="dxa"/>
              <w:right w:w="57" w:type="dxa"/>
            </w:tcMar>
          </w:tcPr>
          <w:p w14:paraId="3331159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808</w:t>
            </w:r>
          </w:p>
        </w:tc>
        <w:tc>
          <w:tcPr>
            <w:tcW w:w="0" w:type="auto"/>
            <w:tcMar>
              <w:left w:w="57" w:type="dxa"/>
              <w:right w:w="57" w:type="dxa"/>
            </w:tcMar>
          </w:tcPr>
          <w:p w14:paraId="7D156CF5"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691</w:t>
            </w:r>
          </w:p>
        </w:tc>
        <w:tc>
          <w:tcPr>
            <w:tcW w:w="0" w:type="auto"/>
            <w:tcMar>
              <w:left w:w="57" w:type="dxa"/>
              <w:right w:w="57" w:type="dxa"/>
            </w:tcMar>
          </w:tcPr>
          <w:p w14:paraId="3A01FAE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117</w:t>
            </w:r>
          </w:p>
        </w:tc>
        <w:tc>
          <w:tcPr>
            <w:tcW w:w="0" w:type="auto"/>
            <w:tcMar>
              <w:left w:w="57" w:type="dxa"/>
              <w:right w:w="57" w:type="dxa"/>
            </w:tcMar>
          </w:tcPr>
          <w:p w14:paraId="79041CC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875</w:t>
            </w:r>
          </w:p>
        </w:tc>
        <w:tc>
          <w:tcPr>
            <w:tcW w:w="0" w:type="auto"/>
            <w:tcMar>
              <w:left w:w="57" w:type="dxa"/>
              <w:right w:w="57" w:type="dxa"/>
            </w:tcMar>
          </w:tcPr>
          <w:p w14:paraId="2DCFFCF8"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731</w:t>
            </w:r>
          </w:p>
        </w:tc>
        <w:tc>
          <w:tcPr>
            <w:tcW w:w="0" w:type="auto"/>
            <w:tcMar>
              <w:left w:w="57" w:type="dxa"/>
              <w:right w:w="57" w:type="dxa"/>
            </w:tcMar>
          </w:tcPr>
          <w:p w14:paraId="1F287C7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144</w:t>
            </w:r>
          </w:p>
        </w:tc>
        <w:tc>
          <w:tcPr>
            <w:tcW w:w="0" w:type="auto"/>
            <w:tcMar>
              <w:left w:w="57" w:type="dxa"/>
              <w:right w:w="57" w:type="dxa"/>
            </w:tcMar>
          </w:tcPr>
          <w:p w14:paraId="6F3B371E"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757</w:t>
            </w:r>
          </w:p>
        </w:tc>
        <w:tc>
          <w:tcPr>
            <w:tcW w:w="0" w:type="auto"/>
            <w:tcMar>
              <w:left w:w="57" w:type="dxa"/>
              <w:right w:w="57" w:type="dxa"/>
            </w:tcMar>
          </w:tcPr>
          <w:p w14:paraId="4DBE76F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637</w:t>
            </w:r>
          </w:p>
        </w:tc>
        <w:tc>
          <w:tcPr>
            <w:tcW w:w="0" w:type="auto"/>
            <w:tcMar>
              <w:left w:w="57" w:type="dxa"/>
              <w:right w:w="57" w:type="dxa"/>
            </w:tcMar>
          </w:tcPr>
          <w:p w14:paraId="1EE64EA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120</w:t>
            </w:r>
          </w:p>
        </w:tc>
      </w:tr>
      <w:tr w:rsidR="00A27215" w:rsidRPr="00A27215" w14:paraId="71291BA3" w14:textId="77777777">
        <w:trPr>
          <w:trHeight w:val="113"/>
        </w:trPr>
        <w:tc>
          <w:tcPr>
            <w:tcW w:w="0" w:type="auto"/>
            <w:tcMar>
              <w:left w:w="57" w:type="dxa"/>
              <w:right w:w="57" w:type="dxa"/>
            </w:tcMar>
          </w:tcPr>
          <w:p w14:paraId="69792F7B" w14:textId="77777777" w:rsidR="00A27215" w:rsidRPr="00A27215" w:rsidRDefault="00A27215" w:rsidP="00A27215">
            <w:pPr>
              <w:rPr>
                <w:rFonts w:asciiTheme="minorHAnsi" w:hAnsiTheme="minorHAnsi" w:cs="Calibri"/>
                <w:sz w:val="16"/>
                <w:szCs w:val="16"/>
              </w:rPr>
            </w:pPr>
            <w:r w:rsidRPr="00A27215">
              <w:rPr>
                <w:rFonts w:asciiTheme="minorHAnsi" w:hAnsiTheme="minorHAnsi" w:cs="Calibri"/>
                <w:sz w:val="16"/>
                <w:szCs w:val="16"/>
              </w:rPr>
              <w:t>C33-34 lung</w:t>
            </w:r>
          </w:p>
        </w:tc>
        <w:tc>
          <w:tcPr>
            <w:tcW w:w="0" w:type="auto"/>
            <w:tcMar>
              <w:left w:w="57" w:type="dxa"/>
              <w:right w:w="57" w:type="dxa"/>
            </w:tcMar>
          </w:tcPr>
          <w:p w14:paraId="691F6EA1"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60635</w:t>
            </w:r>
          </w:p>
        </w:tc>
        <w:tc>
          <w:tcPr>
            <w:tcW w:w="0" w:type="auto"/>
            <w:tcMar>
              <w:left w:w="57" w:type="dxa"/>
              <w:right w:w="57" w:type="dxa"/>
            </w:tcMar>
          </w:tcPr>
          <w:p w14:paraId="75E3F45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35042</w:t>
            </w:r>
          </w:p>
        </w:tc>
        <w:tc>
          <w:tcPr>
            <w:tcW w:w="0" w:type="auto"/>
            <w:tcMar>
              <w:left w:w="57" w:type="dxa"/>
              <w:right w:w="57" w:type="dxa"/>
            </w:tcMar>
          </w:tcPr>
          <w:p w14:paraId="4522D13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25593</w:t>
            </w:r>
          </w:p>
        </w:tc>
        <w:tc>
          <w:tcPr>
            <w:tcW w:w="0" w:type="auto"/>
            <w:tcMar>
              <w:left w:w="57" w:type="dxa"/>
              <w:right w:w="57" w:type="dxa"/>
            </w:tcMar>
          </w:tcPr>
          <w:p w14:paraId="63C098E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7759</w:t>
            </w:r>
          </w:p>
        </w:tc>
        <w:tc>
          <w:tcPr>
            <w:tcW w:w="0" w:type="auto"/>
            <w:tcMar>
              <w:left w:w="57" w:type="dxa"/>
              <w:right w:w="57" w:type="dxa"/>
            </w:tcMar>
          </w:tcPr>
          <w:p w14:paraId="6EB7783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5074</w:t>
            </w:r>
          </w:p>
        </w:tc>
        <w:tc>
          <w:tcPr>
            <w:tcW w:w="0" w:type="auto"/>
            <w:tcMar>
              <w:left w:w="57" w:type="dxa"/>
              <w:right w:w="57" w:type="dxa"/>
            </w:tcMar>
          </w:tcPr>
          <w:p w14:paraId="0F8ABD3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2685</w:t>
            </w:r>
          </w:p>
        </w:tc>
        <w:tc>
          <w:tcPr>
            <w:tcW w:w="0" w:type="auto"/>
            <w:tcMar>
              <w:left w:w="57" w:type="dxa"/>
              <w:right w:w="57" w:type="dxa"/>
            </w:tcMar>
          </w:tcPr>
          <w:p w14:paraId="58893FC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8423</w:t>
            </w:r>
          </w:p>
        </w:tc>
        <w:tc>
          <w:tcPr>
            <w:tcW w:w="0" w:type="auto"/>
            <w:tcMar>
              <w:left w:w="57" w:type="dxa"/>
              <w:right w:w="57" w:type="dxa"/>
            </w:tcMar>
          </w:tcPr>
          <w:p w14:paraId="246128A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5229</w:t>
            </w:r>
          </w:p>
        </w:tc>
        <w:tc>
          <w:tcPr>
            <w:tcW w:w="0" w:type="auto"/>
            <w:tcMar>
              <w:left w:w="57" w:type="dxa"/>
              <w:right w:w="57" w:type="dxa"/>
            </w:tcMar>
          </w:tcPr>
          <w:p w14:paraId="3E61B40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3194</w:t>
            </w:r>
          </w:p>
        </w:tc>
        <w:tc>
          <w:tcPr>
            <w:tcW w:w="0" w:type="auto"/>
            <w:tcMar>
              <w:left w:w="57" w:type="dxa"/>
              <w:right w:w="57" w:type="dxa"/>
            </w:tcMar>
          </w:tcPr>
          <w:p w14:paraId="4544928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9575</w:t>
            </w:r>
          </w:p>
        </w:tc>
        <w:tc>
          <w:tcPr>
            <w:tcW w:w="0" w:type="auto"/>
            <w:tcMar>
              <w:left w:w="57" w:type="dxa"/>
              <w:right w:w="57" w:type="dxa"/>
            </w:tcMar>
          </w:tcPr>
          <w:p w14:paraId="72B686B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5628</w:t>
            </w:r>
          </w:p>
        </w:tc>
        <w:tc>
          <w:tcPr>
            <w:tcW w:w="0" w:type="auto"/>
            <w:tcMar>
              <w:left w:w="57" w:type="dxa"/>
              <w:right w:w="57" w:type="dxa"/>
            </w:tcMar>
          </w:tcPr>
          <w:p w14:paraId="5F5BA28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3947</w:t>
            </w:r>
          </w:p>
        </w:tc>
        <w:tc>
          <w:tcPr>
            <w:tcW w:w="0" w:type="auto"/>
            <w:tcMar>
              <w:left w:w="57" w:type="dxa"/>
              <w:right w:w="57" w:type="dxa"/>
            </w:tcMar>
          </w:tcPr>
          <w:p w14:paraId="5976F2C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11365</w:t>
            </w:r>
          </w:p>
        </w:tc>
        <w:tc>
          <w:tcPr>
            <w:tcW w:w="0" w:type="auto"/>
            <w:tcMar>
              <w:left w:w="57" w:type="dxa"/>
              <w:right w:w="57" w:type="dxa"/>
            </w:tcMar>
          </w:tcPr>
          <w:p w14:paraId="434C9F0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6458</w:t>
            </w:r>
          </w:p>
        </w:tc>
        <w:tc>
          <w:tcPr>
            <w:tcW w:w="0" w:type="auto"/>
            <w:tcMar>
              <w:left w:w="57" w:type="dxa"/>
              <w:right w:w="57" w:type="dxa"/>
            </w:tcMar>
          </w:tcPr>
          <w:p w14:paraId="6D7E78A2"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4907</w:t>
            </w:r>
          </w:p>
        </w:tc>
        <w:tc>
          <w:tcPr>
            <w:tcW w:w="0" w:type="auto"/>
            <w:tcMar>
              <w:left w:w="57" w:type="dxa"/>
              <w:right w:w="57" w:type="dxa"/>
            </w:tcMar>
          </w:tcPr>
          <w:p w14:paraId="27E6C08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12818</w:t>
            </w:r>
          </w:p>
        </w:tc>
        <w:tc>
          <w:tcPr>
            <w:tcW w:w="0" w:type="auto"/>
            <w:tcMar>
              <w:left w:w="57" w:type="dxa"/>
              <w:right w:w="57" w:type="dxa"/>
            </w:tcMar>
          </w:tcPr>
          <w:p w14:paraId="5A76026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6974</w:t>
            </w:r>
          </w:p>
        </w:tc>
        <w:tc>
          <w:tcPr>
            <w:tcW w:w="0" w:type="auto"/>
            <w:tcMar>
              <w:left w:w="57" w:type="dxa"/>
              <w:right w:w="57" w:type="dxa"/>
            </w:tcMar>
          </w:tcPr>
          <w:p w14:paraId="7C46AB5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5844</w:t>
            </w:r>
          </w:p>
        </w:tc>
        <w:tc>
          <w:tcPr>
            <w:tcW w:w="0" w:type="auto"/>
            <w:tcMar>
              <w:left w:w="57" w:type="dxa"/>
              <w:right w:w="57" w:type="dxa"/>
            </w:tcMar>
          </w:tcPr>
          <w:p w14:paraId="3E29045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10695</w:t>
            </w:r>
          </w:p>
        </w:tc>
        <w:tc>
          <w:tcPr>
            <w:tcW w:w="0" w:type="auto"/>
            <w:tcMar>
              <w:left w:w="57" w:type="dxa"/>
              <w:right w:w="57" w:type="dxa"/>
            </w:tcMar>
          </w:tcPr>
          <w:p w14:paraId="4698A405"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5679</w:t>
            </w:r>
          </w:p>
        </w:tc>
        <w:tc>
          <w:tcPr>
            <w:tcW w:w="0" w:type="auto"/>
            <w:tcMar>
              <w:left w:w="57" w:type="dxa"/>
              <w:right w:w="57" w:type="dxa"/>
            </w:tcMar>
          </w:tcPr>
          <w:p w14:paraId="68D93DE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5016</w:t>
            </w:r>
          </w:p>
        </w:tc>
      </w:tr>
      <w:tr w:rsidR="00A27215" w:rsidRPr="00A27215" w14:paraId="50789085" w14:textId="77777777">
        <w:trPr>
          <w:trHeight w:val="113"/>
        </w:trPr>
        <w:tc>
          <w:tcPr>
            <w:tcW w:w="0" w:type="auto"/>
            <w:tcMar>
              <w:left w:w="57" w:type="dxa"/>
              <w:right w:w="57" w:type="dxa"/>
            </w:tcMar>
          </w:tcPr>
          <w:p w14:paraId="5116300E" w14:textId="77777777" w:rsidR="00A27215" w:rsidRPr="00A27215" w:rsidRDefault="00A27215" w:rsidP="00A27215">
            <w:pPr>
              <w:rPr>
                <w:rFonts w:asciiTheme="minorHAnsi" w:hAnsiTheme="minorHAnsi" w:cs="Calibri"/>
                <w:sz w:val="16"/>
                <w:szCs w:val="16"/>
              </w:rPr>
            </w:pPr>
            <w:r w:rsidRPr="00A27215">
              <w:rPr>
                <w:rFonts w:asciiTheme="minorHAnsi" w:hAnsiTheme="minorHAnsi" w:cs="Calibri"/>
                <w:sz w:val="16"/>
                <w:szCs w:val="16"/>
              </w:rPr>
              <w:t>C50 breast</w:t>
            </w:r>
          </w:p>
        </w:tc>
        <w:tc>
          <w:tcPr>
            <w:tcW w:w="0" w:type="auto"/>
            <w:tcMar>
              <w:left w:w="57" w:type="dxa"/>
              <w:right w:w="57" w:type="dxa"/>
            </w:tcMar>
          </w:tcPr>
          <w:p w14:paraId="5B3E5C08"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75090</w:t>
            </w:r>
          </w:p>
        </w:tc>
        <w:tc>
          <w:tcPr>
            <w:tcW w:w="0" w:type="auto"/>
            <w:tcMar>
              <w:left w:w="57" w:type="dxa"/>
              <w:right w:w="57" w:type="dxa"/>
            </w:tcMar>
          </w:tcPr>
          <w:p w14:paraId="025D7BAC" w14:textId="77777777" w:rsidR="00A27215" w:rsidRPr="00A27215" w:rsidRDefault="00A27215" w:rsidP="00A27215">
            <w:pPr>
              <w:jc w:val="right"/>
              <w:rPr>
                <w:rFonts w:asciiTheme="minorHAnsi" w:hAnsiTheme="minorHAnsi" w:cs="Calibri"/>
                <w:sz w:val="16"/>
                <w:szCs w:val="16"/>
              </w:rPr>
            </w:pPr>
          </w:p>
        </w:tc>
        <w:tc>
          <w:tcPr>
            <w:tcW w:w="0" w:type="auto"/>
            <w:tcMar>
              <w:left w:w="57" w:type="dxa"/>
              <w:right w:w="57" w:type="dxa"/>
            </w:tcMar>
          </w:tcPr>
          <w:p w14:paraId="575E240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75090</w:t>
            </w:r>
          </w:p>
        </w:tc>
        <w:tc>
          <w:tcPr>
            <w:tcW w:w="0" w:type="auto"/>
            <w:tcMar>
              <w:left w:w="57" w:type="dxa"/>
              <w:right w:w="57" w:type="dxa"/>
            </w:tcMar>
          </w:tcPr>
          <w:p w14:paraId="51987F9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8136</w:t>
            </w:r>
          </w:p>
        </w:tc>
        <w:tc>
          <w:tcPr>
            <w:tcW w:w="0" w:type="auto"/>
            <w:tcMar>
              <w:left w:w="57" w:type="dxa"/>
              <w:right w:w="57" w:type="dxa"/>
            </w:tcMar>
          </w:tcPr>
          <w:p w14:paraId="62631E3D" w14:textId="77777777" w:rsidR="00A27215" w:rsidRPr="00A27215" w:rsidRDefault="00A27215" w:rsidP="00A27215">
            <w:pPr>
              <w:jc w:val="right"/>
              <w:rPr>
                <w:rFonts w:asciiTheme="minorHAnsi" w:hAnsiTheme="minorHAnsi" w:cs="Calibri"/>
                <w:sz w:val="16"/>
                <w:szCs w:val="16"/>
              </w:rPr>
            </w:pPr>
          </w:p>
        </w:tc>
        <w:tc>
          <w:tcPr>
            <w:tcW w:w="0" w:type="auto"/>
            <w:tcMar>
              <w:left w:w="57" w:type="dxa"/>
              <w:right w:w="57" w:type="dxa"/>
            </w:tcMar>
          </w:tcPr>
          <w:p w14:paraId="0F8C035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8136</w:t>
            </w:r>
          </w:p>
        </w:tc>
        <w:tc>
          <w:tcPr>
            <w:tcW w:w="0" w:type="auto"/>
            <w:tcMar>
              <w:left w:w="57" w:type="dxa"/>
              <w:right w:w="57" w:type="dxa"/>
            </w:tcMar>
          </w:tcPr>
          <w:p w14:paraId="09682F9E"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10154</w:t>
            </w:r>
          </w:p>
        </w:tc>
        <w:tc>
          <w:tcPr>
            <w:tcW w:w="0" w:type="auto"/>
            <w:tcMar>
              <w:left w:w="57" w:type="dxa"/>
              <w:right w:w="57" w:type="dxa"/>
            </w:tcMar>
          </w:tcPr>
          <w:p w14:paraId="7CF7772B" w14:textId="77777777" w:rsidR="00A27215" w:rsidRPr="00A27215" w:rsidRDefault="00A27215" w:rsidP="00A27215">
            <w:pPr>
              <w:jc w:val="right"/>
              <w:rPr>
                <w:rFonts w:asciiTheme="minorHAnsi" w:hAnsiTheme="minorHAnsi" w:cs="Calibri"/>
                <w:sz w:val="16"/>
                <w:szCs w:val="16"/>
              </w:rPr>
            </w:pPr>
          </w:p>
        </w:tc>
        <w:tc>
          <w:tcPr>
            <w:tcW w:w="0" w:type="auto"/>
            <w:tcMar>
              <w:left w:w="57" w:type="dxa"/>
              <w:right w:w="57" w:type="dxa"/>
            </w:tcMar>
          </w:tcPr>
          <w:p w14:paraId="3CA3A45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10154</w:t>
            </w:r>
          </w:p>
        </w:tc>
        <w:tc>
          <w:tcPr>
            <w:tcW w:w="0" w:type="auto"/>
            <w:tcMar>
              <w:left w:w="57" w:type="dxa"/>
              <w:right w:w="57" w:type="dxa"/>
            </w:tcMar>
          </w:tcPr>
          <w:p w14:paraId="6CE51B1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12002</w:t>
            </w:r>
          </w:p>
        </w:tc>
        <w:tc>
          <w:tcPr>
            <w:tcW w:w="0" w:type="auto"/>
            <w:tcMar>
              <w:left w:w="57" w:type="dxa"/>
              <w:right w:w="57" w:type="dxa"/>
            </w:tcMar>
          </w:tcPr>
          <w:p w14:paraId="2C4D07A4" w14:textId="77777777" w:rsidR="00A27215" w:rsidRPr="00A27215" w:rsidRDefault="00A27215" w:rsidP="00A27215">
            <w:pPr>
              <w:jc w:val="right"/>
              <w:rPr>
                <w:rFonts w:asciiTheme="minorHAnsi" w:hAnsiTheme="minorHAnsi" w:cs="Calibri"/>
                <w:sz w:val="16"/>
                <w:szCs w:val="16"/>
              </w:rPr>
            </w:pPr>
          </w:p>
        </w:tc>
        <w:tc>
          <w:tcPr>
            <w:tcW w:w="0" w:type="auto"/>
            <w:tcMar>
              <w:left w:w="57" w:type="dxa"/>
              <w:right w:w="57" w:type="dxa"/>
            </w:tcMar>
          </w:tcPr>
          <w:p w14:paraId="222AE0BE"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12002</w:t>
            </w:r>
          </w:p>
        </w:tc>
        <w:tc>
          <w:tcPr>
            <w:tcW w:w="0" w:type="auto"/>
            <w:tcMar>
              <w:left w:w="57" w:type="dxa"/>
              <w:right w:w="57" w:type="dxa"/>
            </w:tcMar>
          </w:tcPr>
          <w:p w14:paraId="61FC9B68"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14263</w:t>
            </w:r>
          </w:p>
        </w:tc>
        <w:tc>
          <w:tcPr>
            <w:tcW w:w="0" w:type="auto"/>
            <w:tcMar>
              <w:left w:w="57" w:type="dxa"/>
              <w:right w:w="57" w:type="dxa"/>
            </w:tcMar>
          </w:tcPr>
          <w:p w14:paraId="32E2E270" w14:textId="77777777" w:rsidR="00A27215" w:rsidRPr="00A27215" w:rsidRDefault="00A27215" w:rsidP="00A27215">
            <w:pPr>
              <w:jc w:val="right"/>
              <w:rPr>
                <w:rFonts w:asciiTheme="minorHAnsi" w:hAnsiTheme="minorHAnsi" w:cs="Calibri"/>
                <w:sz w:val="16"/>
                <w:szCs w:val="16"/>
              </w:rPr>
            </w:pPr>
          </w:p>
        </w:tc>
        <w:tc>
          <w:tcPr>
            <w:tcW w:w="0" w:type="auto"/>
            <w:tcMar>
              <w:left w:w="57" w:type="dxa"/>
              <w:right w:w="57" w:type="dxa"/>
            </w:tcMar>
          </w:tcPr>
          <w:p w14:paraId="4515AD9E"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14263</w:t>
            </w:r>
          </w:p>
        </w:tc>
        <w:tc>
          <w:tcPr>
            <w:tcW w:w="0" w:type="auto"/>
            <w:tcMar>
              <w:left w:w="57" w:type="dxa"/>
              <w:right w:w="57" w:type="dxa"/>
            </w:tcMar>
          </w:tcPr>
          <w:p w14:paraId="6BB2527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16188</w:t>
            </w:r>
          </w:p>
        </w:tc>
        <w:tc>
          <w:tcPr>
            <w:tcW w:w="0" w:type="auto"/>
            <w:tcMar>
              <w:left w:w="57" w:type="dxa"/>
              <w:right w:w="57" w:type="dxa"/>
            </w:tcMar>
          </w:tcPr>
          <w:p w14:paraId="3311EDA1" w14:textId="77777777" w:rsidR="00A27215" w:rsidRPr="00A27215" w:rsidRDefault="00A27215" w:rsidP="00A27215">
            <w:pPr>
              <w:jc w:val="right"/>
              <w:rPr>
                <w:rFonts w:asciiTheme="minorHAnsi" w:hAnsiTheme="minorHAnsi" w:cs="Calibri"/>
                <w:sz w:val="16"/>
                <w:szCs w:val="16"/>
              </w:rPr>
            </w:pPr>
          </w:p>
        </w:tc>
        <w:tc>
          <w:tcPr>
            <w:tcW w:w="0" w:type="auto"/>
            <w:tcMar>
              <w:left w:w="57" w:type="dxa"/>
              <w:right w:w="57" w:type="dxa"/>
            </w:tcMar>
          </w:tcPr>
          <w:p w14:paraId="51D60A0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16188</w:t>
            </w:r>
          </w:p>
        </w:tc>
        <w:tc>
          <w:tcPr>
            <w:tcW w:w="0" w:type="auto"/>
            <w:tcMar>
              <w:left w:w="57" w:type="dxa"/>
              <w:right w:w="57" w:type="dxa"/>
            </w:tcMar>
          </w:tcPr>
          <w:p w14:paraId="1B4BDF3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14347</w:t>
            </w:r>
          </w:p>
        </w:tc>
        <w:tc>
          <w:tcPr>
            <w:tcW w:w="0" w:type="auto"/>
            <w:tcMar>
              <w:left w:w="57" w:type="dxa"/>
              <w:right w:w="57" w:type="dxa"/>
            </w:tcMar>
          </w:tcPr>
          <w:p w14:paraId="48BF7362" w14:textId="77777777" w:rsidR="00A27215" w:rsidRPr="00A27215" w:rsidRDefault="00A27215" w:rsidP="00A27215">
            <w:pPr>
              <w:jc w:val="right"/>
              <w:rPr>
                <w:rFonts w:asciiTheme="minorHAnsi" w:hAnsiTheme="minorHAnsi" w:cs="Calibri"/>
                <w:sz w:val="16"/>
                <w:szCs w:val="16"/>
              </w:rPr>
            </w:pPr>
          </w:p>
        </w:tc>
        <w:tc>
          <w:tcPr>
            <w:tcW w:w="0" w:type="auto"/>
            <w:tcMar>
              <w:left w:w="57" w:type="dxa"/>
              <w:right w:w="57" w:type="dxa"/>
            </w:tcMar>
          </w:tcPr>
          <w:p w14:paraId="73BA6318"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14347</w:t>
            </w:r>
          </w:p>
        </w:tc>
      </w:tr>
      <w:tr w:rsidR="00A27215" w:rsidRPr="00A27215" w14:paraId="7FDE3606" w14:textId="77777777">
        <w:trPr>
          <w:trHeight w:val="113"/>
        </w:trPr>
        <w:tc>
          <w:tcPr>
            <w:tcW w:w="0" w:type="auto"/>
            <w:tcMar>
              <w:left w:w="57" w:type="dxa"/>
              <w:right w:w="57" w:type="dxa"/>
            </w:tcMar>
          </w:tcPr>
          <w:p w14:paraId="3C4D2172" w14:textId="77777777" w:rsidR="00A27215" w:rsidRPr="00A27215" w:rsidRDefault="00A27215" w:rsidP="00A27215">
            <w:pPr>
              <w:rPr>
                <w:rFonts w:asciiTheme="minorHAnsi" w:hAnsiTheme="minorHAnsi" w:cs="Calibri"/>
                <w:sz w:val="16"/>
                <w:szCs w:val="16"/>
              </w:rPr>
            </w:pPr>
            <w:r w:rsidRPr="00A27215">
              <w:rPr>
                <w:rFonts w:asciiTheme="minorHAnsi" w:hAnsiTheme="minorHAnsi" w:cs="Calibri"/>
                <w:sz w:val="16"/>
                <w:szCs w:val="16"/>
              </w:rPr>
              <w:t>C53 cervix</w:t>
            </w:r>
          </w:p>
        </w:tc>
        <w:tc>
          <w:tcPr>
            <w:tcW w:w="0" w:type="auto"/>
            <w:tcMar>
              <w:left w:w="57" w:type="dxa"/>
              <w:right w:w="57" w:type="dxa"/>
            </w:tcMar>
          </w:tcPr>
          <w:p w14:paraId="7608F82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7170</w:t>
            </w:r>
          </w:p>
        </w:tc>
        <w:tc>
          <w:tcPr>
            <w:tcW w:w="0" w:type="auto"/>
            <w:tcMar>
              <w:left w:w="57" w:type="dxa"/>
              <w:right w:w="57" w:type="dxa"/>
            </w:tcMar>
          </w:tcPr>
          <w:p w14:paraId="512556B9" w14:textId="77777777" w:rsidR="00A27215" w:rsidRPr="00A27215" w:rsidRDefault="00A27215" w:rsidP="00A27215">
            <w:pPr>
              <w:jc w:val="right"/>
              <w:rPr>
                <w:rFonts w:asciiTheme="minorHAnsi" w:hAnsiTheme="minorHAnsi" w:cs="Calibri"/>
                <w:sz w:val="16"/>
                <w:szCs w:val="16"/>
              </w:rPr>
            </w:pPr>
          </w:p>
        </w:tc>
        <w:tc>
          <w:tcPr>
            <w:tcW w:w="0" w:type="auto"/>
            <w:tcMar>
              <w:left w:w="57" w:type="dxa"/>
              <w:right w:w="57" w:type="dxa"/>
            </w:tcMar>
          </w:tcPr>
          <w:p w14:paraId="207CCD9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7170</w:t>
            </w:r>
          </w:p>
        </w:tc>
        <w:tc>
          <w:tcPr>
            <w:tcW w:w="0" w:type="auto"/>
            <w:tcMar>
              <w:left w:w="57" w:type="dxa"/>
              <w:right w:w="57" w:type="dxa"/>
            </w:tcMar>
          </w:tcPr>
          <w:p w14:paraId="6EE850F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906</w:t>
            </w:r>
          </w:p>
        </w:tc>
        <w:tc>
          <w:tcPr>
            <w:tcW w:w="0" w:type="auto"/>
            <w:tcMar>
              <w:left w:w="57" w:type="dxa"/>
              <w:right w:w="57" w:type="dxa"/>
            </w:tcMar>
          </w:tcPr>
          <w:p w14:paraId="61778453" w14:textId="77777777" w:rsidR="00A27215" w:rsidRPr="00A27215" w:rsidRDefault="00A27215" w:rsidP="00A27215">
            <w:pPr>
              <w:jc w:val="right"/>
              <w:rPr>
                <w:rFonts w:asciiTheme="minorHAnsi" w:hAnsiTheme="minorHAnsi" w:cs="Calibri"/>
                <w:sz w:val="16"/>
                <w:szCs w:val="16"/>
              </w:rPr>
            </w:pPr>
          </w:p>
        </w:tc>
        <w:tc>
          <w:tcPr>
            <w:tcW w:w="0" w:type="auto"/>
            <w:tcMar>
              <w:left w:w="57" w:type="dxa"/>
              <w:right w:w="57" w:type="dxa"/>
            </w:tcMar>
          </w:tcPr>
          <w:p w14:paraId="411C4795"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906</w:t>
            </w:r>
          </w:p>
        </w:tc>
        <w:tc>
          <w:tcPr>
            <w:tcW w:w="0" w:type="auto"/>
            <w:tcMar>
              <w:left w:w="57" w:type="dxa"/>
              <w:right w:w="57" w:type="dxa"/>
            </w:tcMar>
          </w:tcPr>
          <w:p w14:paraId="74F2FA6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949</w:t>
            </w:r>
          </w:p>
        </w:tc>
        <w:tc>
          <w:tcPr>
            <w:tcW w:w="0" w:type="auto"/>
            <w:tcMar>
              <w:left w:w="57" w:type="dxa"/>
              <w:right w:w="57" w:type="dxa"/>
            </w:tcMar>
          </w:tcPr>
          <w:p w14:paraId="287CB14F" w14:textId="77777777" w:rsidR="00A27215" w:rsidRPr="00A27215" w:rsidRDefault="00A27215" w:rsidP="00A27215">
            <w:pPr>
              <w:jc w:val="right"/>
              <w:rPr>
                <w:rFonts w:asciiTheme="minorHAnsi" w:hAnsiTheme="minorHAnsi" w:cs="Calibri"/>
                <w:sz w:val="16"/>
                <w:szCs w:val="16"/>
              </w:rPr>
            </w:pPr>
          </w:p>
        </w:tc>
        <w:tc>
          <w:tcPr>
            <w:tcW w:w="0" w:type="auto"/>
            <w:tcMar>
              <w:left w:w="57" w:type="dxa"/>
              <w:right w:w="57" w:type="dxa"/>
            </w:tcMar>
          </w:tcPr>
          <w:p w14:paraId="52AAFB9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949</w:t>
            </w:r>
          </w:p>
        </w:tc>
        <w:tc>
          <w:tcPr>
            <w:tcW w:w="0" w:type="auto"/>
            <w:tcMar>
              <w:left w:w="57" w:type="dxa"/>
              <w:right w:w="57" w:type="dxa"/>
            </w:tcMar>
          </w:tcPr>
          <w:p w14:paraId="0482AC2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1249</w:t>
            </w:r>
          </w:p>
        </w:tc>
        <w:tc>
          <w:tcPr>
            <w:tcW w:w="0" w:type="auto"/>
            <w:tcMar>
              <w:left w:w="57" w:type="dxa"/>
              <w:right w:w="57" w:type="dxa"/>
            </w:tcMar>
          </w:tcPr>
          <w:p w14:paraId="2413BF12" w14:textId="77777777" w:rsidR="00A27215" w:rsidRPr="00A27215" w:rsidRDefault="00A27215" w:rsidP="00A27215">
            <w:pPr>
              <w:jc w:val="right"/>
              <w:rPr>
                <w:rFonts w:asciiTheme="minorHAnsi" w:hAnsiTheme="minorHAnsi" w:cs="Calibri"/>
                <w:sz w:val="16"/>
                <w:szCs w:val="16"/>
              </w:rPr>
            </w:pPr>
          </w:p>
        </w:tc>
        <w:tc>
          <w:tcPr>
            <w:tcW w:w="0" w:type="auto"/>
            <w:tcMar>
              <w:left w:w="57" w:type="dxa"/>
              <w:right w:w="57" w:type="dxa"/>
            </w:tcMar>
          </w:tcPr>
          <w:p w14:paraId="2495DA0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1249</w:t>
            </w:r>
          </w:p>
        </w:tc>
        <w:tc>
          <w:tcPr>
            <w:tcW w:w="0" w:type="auto"/>
            <w:tcMar>
              <w:left w:w="57" w:type="dxa"/>
              <w:right w:w="57" w:type="dxa"/>
            </w:tcMar>
          </w:tcPr>
          <w:p w14:paraId="23D9F2C5"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1617</w:t>
            </w:r>
          </w:p>
        </w:tc>
        <w:tc>
          <w:tcPr>
            <w:tcW w:w="0" w:type="auto"/>
            <w:tcMar>
              <w:left w:w="57" w:type="dxa"/>
              <w:right w:w="57" w:type="dxa"/>
            </w:tcMar>
          </w:tcPr>
          <w:p w14:paraId="7B433A31" w14:textId="77777777" w:rsidR="00A27215" w:rsidRPr="00A27215" w:rsidRDefault="00A27215" w:rsidP="00A27215">
            <w:pPr>
              <w:jc w:val="right"/>
              <w:rPr>
                <w:rFonts w:asciiTheme="minorHAnsi" w:hAnsiTheme="minorHAnsi" w:cs="Calibri"/>
                <w:sz w:val="16"/>
                <w:szCs w:val="16"/>
              </w:rPr>
            </w:pPr>
          </w:p>
        </w:tc>
        <w:tc>
          <w:tcPr>
            <w:tcW w:w="0" w:type="auto"/>
            <w:tcMar>
              <w:left w:w="57" w:type="dxa"/>
              <w:right w:w="57" w:type="dxa"/>
            </w:tcMar>
          </w:tcPr>
          <w:p w14:paraId="5D1C66B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1617</w:t>
            </w:r>
          </w:p>
        </w:tc>
        <w:tc>
          <w:tcPr>
            <w:tcW w:w="0" w:type="auto"/>
            <w:tcMar>
              <w:left w:w="57" w:type="dxa"/>
              <w:right w:w="57" w:type="dxa"/>
            </w:tcMar>
          </w:tcPr>
          <w:p w14:paraId="259CFFC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1421</w:t>
            </w:r>
          </w:p>
        </w:tc>
        <w:tc>
          <w:tcPr>
            <w:tcW w:w="0" w:type="auto"/>
            <w:tcMar>
              <w:left w:w="57" w:type="dxa"/>
              <w:right w:w="57" w:type="dxa"/>
            </w:tcMar>
          </w:tcPr>
          <w:p w14:paraId="130E3158" w14:textId="77777777" w:rsidR="00A27215" w:rsidRPr="00A27215" w:rsidRDefault="00A27215" w:rsidP="00A27215">
            <w:pPr>
              <w:jc w:val="right"/>
              <w:rPr>
                <w:rFonts w:asciiTheme="minorHAnsi" w:hAnsiTheme="minorHAnsi" w:cs="Calibri"/>
                <w:sz w:val="16"/>
                <w:szCs w:val="16"/>
              </w:rPr>
            </w:pPr>
          </w:p>
        </w:tc>
        <w:tc>
          <w:tcPr>
            <w:tcW w:w="0" w:type="auto"/>
            <w:tcMar>
              <w:left w:w="57" w:type="dxa"/>
              <w:right w:w="57" w:type="dxa"/>
            </w:tcMar>
          </w:tcPr>
          <w:p w14:paraId="2287B69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1421</w:t>
            </w:r>
          </w:p>
        </w:tc>
        <w:tc>
          <w:tcPr>
            <w:tcW w:w="0" w:type="auto"/>
            <w:tcMar>
              <w:left w:w="57" w:type="dxa"/>
              <w:right w:w="57" w:type="dxa"/>
            </w:tcMar>
          </w:tcPr>
          <w:p w14:paraId="4B748C7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1028</w:t>
            </w:r>
          </w:p>
        </w:tc>
        <w:tc>
          <w:tcPr>
            <w:tcW w:w="0" w:type="auto"/>
            <w:tcMar>
              <w:left w:w="57" w:type="dxa"/>
              <w:right w:w="57" w:type="dxa"/>
            </w:tcMar>
          </w:tcPr>
          <w:p w14:paraId="513E2B6A" w14:textId="77777777" w:rsidR="00A27215" w:rsidRPr="00A27215" w:rsidRDefault="00A27215" w:rsidP="00A27215">
            <w:pPr>
              <w:jc w:val="right"/>
              <w:rPr>
                <w:rFonts w:asciiTheme="minorHAnsi" w:hAnsiTheme="minorHAnsi" w:cs="Calibri"/>
                <w:sz w:val="16"/>
                <w:szCs w:val="16"/>
              </w:rPr>
            </w:pPr>
          </w:p>
        </w:tc>
        <w:tc>
          <w:tcPr>
            <w:tcW w:w="0" w:type="auto"/>
            <w:tcMar>
              <w:left w:w="57" w:type="dxa"/>
              <w:right w:w="57" w:type="dxa"/>
            </w:tcMar>
          </w:tcPr>
          <w:p w14:paraId="59146E7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1028</w:t>
            </w:r>
          </w:p>
        </w:tc>
      </w:tr>
      <w:tr w:rsidR="00A27215" w:rsidRPr="00A27215" w14:paraId="1F6FD2E0" w14:textId="77777777">
        <w:trPr>
          <w:trHeight w:val="113"/>
        </w:trPr>
        <w:tc>
          <w:tcPr>
            <w:tcW w:w="0" w:type="auto"/>
            <w:tcMar>
              <w:left w:w="57" w:type="dxa"/>
              <w:right w:w="57" w:type="dxa"/>
            </w:tcMar>
          </w:tcPr>
          <w:p w14:paraId="0ACB74E0" w14:textId="77777777" w:rsidR="00A27215" w:rsidRPr="00A27215" w:rsidRDefault="00A27215" w:rsidP="00A27215">
            <w:pPr>
              <w:rPr>
                <w:rFonts w:asciiTheme="minorHAnsi" w:hAnsiTheme="minorHAnsi" w:cs="Calibri"/>
                <w:sz w:val="16"/>
                <w:szCs w:val="16"/>
              </w:rPr>
            </w:pPr>
            <w:r w:rsidRPr="00A27215">
              <w:rPr>
                <w:rFonts w:asciiTheme="minorHAnsi" w:hAnsiTheme="minorHAnsi" w:cs="Calibri"/>
                <w:sz w:val="16"/>
                <w:szCs w:val="16"/>
              </w:rPr>
              <w:t>C56-57, C48 ovary-mucinous</w:t>
            </w:r>
          </w:p>
        </w:tc>
        <w:tc>
          <w:tcPr>
            <w:tcW w:w="0" w:type="auto"/>
            <w:tcMar>
              <w:left w:w="57" w:type="dxa"/>
              <w:right w:w="57" w:type="dxa"/>
            </w:tcMar>
          </w:tcPr>
          <w:p w14:paraId="3A4F700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431</w:t>
            </w:r>
          </w:p>
        </w:tc>
        <w:tc>
          <w:tcPr>
            <w:tcW w:w="0" w:type="auto"/>
            <w:tcMar>
              <w:left w:w="57" w:type="dxa"/>
              <w:right w:w="57" w:type="dxa"/>
            </w:tcMar>
          </w:tcPr>
          <w:p w14:paraId="148A3874" w14:textId="77777777" w:rsidR="00A27215" w:rsidRPr="00A27215" w:rsidRDefault="00A27215" w:rsidP="00A27215">
            <w:pPr>
              <w:jc w:val="right"/>
              <w:rPr>
                <w:rFonts w:asciiTheme="minorHAnsi" w:hAnsiTheme="minorHAnsi" w:cs="Calibri"/>
                <w:sz w:val="16"/>
                <w:szCs w:val="16"/>
              </w:rPr>
            </w:pPr>
          </w:p>
        </w:tc>
        <w:tc>
          <w:tcPr>
            <w:tcW w:w="0" w:type="auto"/>
            <w:tcMar>
              <w:left w:w="57" w:type="dxa"/>
              <w:right w:w="57" w:type="dxa"/>
            </w:tcMar>
          </w:tcPr>
          <w:p w14:paraId="15A4878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431</w:t>
            </w:r>
          </w:p>
        </w:tc>
        <w:tc>
          <w:tcPr>
            <w:tcW w:w="0" w:type="auto"/>
            <w:tcMar>
              <w:left w:w="57" w:type="dxa"/>
              <w:right w:w="57" w:type="dxa"/>
            </w:tcMar>
          </w:tcPr>
          <w:p w14:paraId="63F0AB52"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55</w:t>
            </w:r>
          </w:p>
        </w:tc>
        <w:tc>
          <w:tcPr>
            <w:tcW w:w="0" w:type="auto"/>
            <w:tcMar>
              <w:left w:w="57" w:type="dxa"/>
              <w:right w:w="57" w:type="dxa"/>
            </w:tcMar>
          </w:tcPr>
          <w:p w14:paraId="22E9621A" w14:textId="77777777" w:rsidR="00A27215" w:rsidRPr="00A27215" w:rsidRDefault="00A27215" w:rsidP="00A27215">
            <w:pPr>
              <w:jc w:val="right"/>
              <w:rPr>
                <w:rFonts w:asciiTheme="minorHAnsi" w:hAnsiTheme="minorHAnsi" w:cs="Calibri"/>
                <w:sz w:val="16"/>
                <w:szCs w:val="16"/>
              </w:rPr>
            </w:pPr>
          </w:p>
        </w:tc>
        <w:tc>
          <w:tcPr>
            <w:tcW w:w="0" w:type="auto"/>
            <w:tcMar>
              <w:left w:w="57" w:type="dxa"/>
              <w:right w:w="57" w:type="dxa"/>
            </w:tcMar>
          </w:tcPr>
          <w:p w14:paraId="6E6535D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55</w:t>
            </w:r>
          </w:p>
        </w:tc>
        <w:tc>
          <w:tcPr>
            <w:tcW w:w="0" w:type="auto"/>
            <w:tcMar>
              <w:left w:w="57" w:type="dxa"/>
              <w:right w:w="57" w:type="dxa"/>
            </w:tcMar>
          </w:tcPr>
          <w:p w14:paraId="3BCF745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44</w:t>
            </w:r>
          </w:p>
        </w:tc>
        <w:tc>
          <w:tcPr>
            <w:tcW w:w="0" w:type="auto"/>
            <w:tcMar>
              <w:left w:w="57" w:type="dxa"/>
              <w:right w:w="57" w:type="dxa"/>
            </w:tcMar>
          </w:tcPr>
          <w:p w14:paraId="20AFE5FC" w14:textId="77777777" w:rsidR="00A27215" w:rsidRPr="00A27215" w:rsidRDefault="00A27215" w:rsidP="00A27215">
            <w:pPr>
              <w:jc w:val="right"/>
              <w:rPr>
                <w:rFonts w:asciiTheme="minorHAnsi" w:hAnsiTheme="minorHAnsi" w:cs="Calibri"/>
                <w:sz w:val="16"/>
                <w:szCs w:val="16"/>
              </w:rPr>
            </w:pPr>
          </w:p>
        </w:tc>
        <w:tc>
          <w:tcPr>
            <w:tcW w:w="0" w:type="auto"/>
            <w:tcMar>
              <w:left w:w="57" w:type="dxa"/>
              <w:right w:w="57" w:type="dxa"/>
            </w:tcMar>
          </w:tcPr>
          <w:p w14:paraId="1716B1FE"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44</w:t>
            </w:r>
          </w:p>
        </w:tc>
        <w:tc>
          <w:tcPr>
            <w:tcW w:w="0" w:type="auto"/>
            <w:tcMar>
              <w:left w:w="57" w:type="dxa"/>
              <w:right w:w="57" w:type="dxa"/>
            </w:tcMar>
          </w:tcPr>
          <w:p w14:paraId="5CB70EA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55</w:t>
            </w:r>
          </w:p>
        </w:tc>
        <w:tc>
          <w:tcPr>
            <w:tcW w:w="0" w:type="auto"/>
            <w:tcMar>
              <w:left w:w="57" w:type="dxa"/>
              <w:right w:w="57" w:type="dxa"/>
            </w:tcMar>
          </w:tcPr>
          <w:p w14:paraId="75B9EB0A" w14:textId="77777777" w:rsidR="00A27215" w:rsidRPr="00A27215" w:rsidRDefault="00A27215" w:rsidP="00A27215">
            <w:pPr>
              <w:jc w:val="right"/>
              <w:rPr>
                <w:rFonts w:asciiTheme="minorHAnsi" w:hAnsiTheme="minorHAnsi" w:cs="Calibri"/>
                <w:sz w:val="16"/>
                <w:szCs w:val="16"/>
              </w:rPr>
            </w:pPr>
          </w:p>
        </w:tc>
        <w:tc>
          <w:tcPr>
            <w:tcW w:w="0" w:type="auto"/>
            <w:tcMar>
              <w:left w:w="57" w:type="dxa"/>
              <w:right w:w="57" w:type="dxa"/>
            </w:tcMar>
          </w:tcPr>
          <w:p w14:paraId="787ADEA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55</w:t>
            </w:r>
          </w:p>
        </w:tc>
        <w:tc>
          <w:tcPr>
            <w:tcW w:w="0" w:type="auto"/>
            <w:tcMar>
              <w:left w:w="57" w:type="dxa"/>
              <w:right w:w="57" w:type="dxa"/>
            </w:tcMar>
          </w:tcPr>
          <w:p w14:paraId="1CBDC9C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79</w:t>
            </w:r>
          </w:p>
        </w:tc>
        <w:tc>
          <w:tcPr>
            <w:tcW w:w="0" w:type="auto"/>
            <w:tcMar>
              <w:left w:w="57" w:type="dxa"/>
              <w:right w:w="57" w:type="dxa"/>
            </w:tcMar>
          </w:tcPr>
          <w:p w14:paraId="37F18D10" w14:textId="77777777" w:rsidR="00A27215" w:rsidRPr="00A27215" w:rsidRDefault="00A27215" w:rsidP="00A27215">
            <w:pPr>
              <w:jc w:val="right"/>
              <w:rPr>
                <w:rFonts w:asciiTheme="minorHAnsi" w:hAnsiTheme="minorHAnsi" w:cs="Calibri"/>
                <w:sz w:val="16"/>
                <w:szCs w:val="16"/>
              </w:rPr>
            </w:pPr>
          </w:p>
        </w:tc>
        <w:tc>
          <w:tcPr>
            <w:tcW w:w="0" w:type="auto"/>
            <w:tcMar>
              <w:left w:w="57" w:type="dxa"/>
              <w:right w:w="57" w:type="dxa"/>
            </w:tcMar>
          </w:tcPr>
          <w:p w14:paraId="48BD6F2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79</w:t>
            </w:r>
          </w:p>
        </w:tc>
        <w:tc>
          <w:tcPr>
            <w:tcW w:w="0" w:type="auto"/>
            <w:tcMar>
              <w:left w:w="57" w:type="dxa"/>
              <w:right w:w="57" w:type="dxa"/>
            </w:tcMar>
          </w:tcPr>
          <w:p w14:paraId="265D60C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93</w:t>
            </w:r>
          </w:p>
        </w:tc>
        <w:tc>
          <w:tcPr>
            <w:tcW w:w="0" w:type="auto"/>
            <w:tcMar>
              <w:left w:w="57" w:type="dxa"/>
              <w:right w:w="57" w:type="dxa"/>
            </w:tcMar>
          </w:tcPr>
          <w:p w14:paraId="67560AE1" w14:textId="77777777" w:rsidR="00A27215" w:rsidRPr="00A27215" w:rsidRDefault="00A27215" w:rsidP="00A27215">
            <w:pPr>
              <w:jc w:val="right"/>
              <w:rPr>
                <w:rFonts w:asciiTheme="minorHAnsi" w:hAnsiTheme="minorHAnsi" w:cs="Calibri"/>
                <w:sz w:val="16"/>
                <w:szCs w:val="16"/>
              </w:rPr>
            </w:pPr>
          </w:p>
        </w:tc>
        <w:tc>
          <w:tcPr>
            <w:tcW w:w="0" w:type="auto"/>
            <w:tcMar>
              <w:left w:w="57" w:type="dxa"/>
              <w:right w:w="57" w:type="dxa"/>
            </w:tcMar>
          </w:tcPr>
          <w:p w14:paraId="6AEC451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93</w:t>
            </w:r>
          </w:p>
        </w:tc>
        <w:tc>
          <w:tcPr>
            <w:tcW w:w="0" w:type="auto"/>
            <w:tcMar>
              <w:left w:w="57" w:type="dxa"/>
              <w:right w:w="57" w:type="dxa"/>
            </w:tcMar>
          </w:tcPr>
          <w:p w14:paraId="0524282E"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105</w:t>
            </w:r>
          </w:p>
        </w:tc>
        <w:tc>
          <w:tcPr>
            <w:tcW w:w="0" w:type="auto"/>
            <w:tcMar>
              <w:left w:w="57" w:type="dxa"/>
              <w:right w:w="57" w:type="dxa"/>
            </w:tcMar>
          </w:tcPr>
          <w:p w14:paraId="57261A7E" w14:textId="77777777" w:rsidR="00A27215" w:rsidRPr="00A27215" w:rsidRDefault="00A27215" w:rsidP="00A27215">
            <w:pPr>
              <w:jc w:val="right"/>
              <w:rPr>
                <w:rFonts w:asciiTheme="minorHAnsi" w:hAnsiTheme="minorHAnsi" w:cs="Calibri"/>
                <w:sz w:val="16"/>
                <w:szCs w:val="16"/>
              </w:rPr>
            </w:pPr>
          </w:p>
        </w:tc>
        <w:tc>
          <w:tcPr>
            <w:tcW w:w="0" w:type="auto"/>
            <w:tcMar>
              <w:left w:w="57" w:type="dxa"/>
              <w:right w:w="57" w:type="dxa"/>
            </w:tcMar>
          </w:tcPr>
          <w:p w14:paraId="6BD32CF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105</w:t>
            </w:r>
          </w:p>
        </w:tc>
      </w:tr>
      <w:tr w:rsidR="00A27215" w:rsidRPr="00A27215" w14:paraId="525A2446" w14:textId="77777777">
        <w:trPr>
          <w:trHeight w:val="113"/>
        </w:trPr>
        <w:tc>
          <w:tcPr>
            <w:tcW w:w="0" w:type="auto"/>
            <w:tcMar>
              <w:left w:w="57" w:type="dxa"/>
              <w:right w:w="57" w:type="dxa"/>
            </w:tcMar>
          </w:tcPr>
          <w:p w14:paraId="1FF98D34" w14:textId="77777777" w:rsidR="00A27215" w:rsidRPr="00A27215" w:rsidRDefault="00A27215" w:rsidP="00A27215">
            <w:pPr>
              <w:rPr>
                <w:rFonts w:asciiTheme="minorHAnsi" w:hAnsiTheme="minorHAnsi" w:cs="Calibri"/>
                <w:sz w:val="16"/>
                <w:szCs w:val="16"/>
              </w:rPr>
            </w:pPr>
            <w:r w:rsidRPr="00A27215">
              <w:rPr>
                <w:rFonts w:asciiTheme="minorHAnsi" w:hAnsiTheme="minorHAnsi" w:cs="Calibri"/>
                <w:sz w:val="16"/>
                <w:szCs w:val="16"/>
              </w:rPr>
              <w:t>C64-66, C68 kidney</w:t>
            </w:r>
          </w:p>
        </w:tc>
        <w:tc>
          <w:tcPr>
            <w:tcW w:w="0" w:type="auto"/>
            <w:tcMar>
              <w:left w:w="57" w:type="dxa"/>
              <w:right w:w="57" w:type="dxa"/>
            </w:tcMar>
          </w:tcPr>
          <w:p w14:paraId="43AAD5B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15079</w:t>
            </w:r>
          </w:p>
        </w:tc>
        <w:tc>
          <w:tcPr>
            <w:tcW w:w="0" w:type="auto"/>
            <w:tcMar>
              <w:left w:w="57" w:type="dxa"/>
              <w:right w:w="57" w:type="dxa"/>
            </w:tcMar>
          </w:tcPr>
          <w:p w14:paraId="0BD58E72"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9622</w:t>
            </w:r>
          </w:p>
        </w:tc>
        <w:tc>
          <w:tcPr>
            <w:tcW w:w="0" w:type="auto"/>
            <w:tcMar>
              <w:left w:w="57" w:type="dxa"/>
              <w:right w:w="57" w:type="dxa"/>
            </w:tcMar>
          </w:tcPr>
          <w:p w14:paraId="1AC6716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5457</w:t>
            </w:r>
          </w:p>
        </w:tc>
        <w:tc>
          <w:tcPr>
            <w:tcW w:w="0" w:type="auto"/>
            <w:tcMar>
              <w:left w:w="57" w:type="dxa"/>
              <w:right w:w="57" w:type="dxa"/>
            </w:tcMar>
          </w:tcPr>
          <w:p w14:paraId="49F9228E"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1367</w:t>
            </w:r>
          </w:p>
        </w:tc>
        <w:tc>
          <w:tcPr>
            <w:tcW w:w="0" w:type="auto"/>
            <w:tcMar>
              <w:left w:w="57" w:type="dxa"/>
              <w:right w:w="57" w:type="dxa"/>
            </w:tcMar>
          </w:tcPr>
          <w:p w14:paraId="75AF8CE1"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865</w:t>
            </w:r>
          </w:p>
        </w:tc>
        <w:tc>
          <w:tcPr>
            <w:tcW w:w="0" w:type="auto"/>
            <w:tcMar>
              <w:left w:w="57" w:type="dxa"/>
              <w:right w:w="57" w:type="dxa"/>
            </w:tcMar>
          </w:tcPr>
          <w:p w14:paraId="6ABC9822"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502</w:t>
            </w:r>
          </w:p>
        </w:tc>
        <w:tc>
          <w:tcPr>
            <w:tcW w:w="0" w:type="auto"/>
            <w:tcMar>
              <w:left w:w="57" w:type="dxa"/>
              <w:right w:w="57" w:type="dxa"/>
            </w:tcMar>
          </w:tcPr>
          <w:p w14:paraId="60254F0E"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1768</w:t>
            </w:r>
          </w:p>
        </w:tc>
        <w:tc>
          <w:tcPr>
            <w:tcW w:w="0" w:type="auto"/>
            <w:tcMar>
              <w:left w:w="57" w:type="dxa"/>
              <w:right w:w="57" w:type="dxa"/>
            </w:tcMar>
          </w:tcPr>
          <w:p w14:paraId="1256ABD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1150</w:t>
            </w:r>
          </w:p>
        </w:tc>
        <w:tc>
          <w:tcPr>
            <w:tcW w:w="0" w:type="auto"/>
            <w:tcMar>
              <w:left w:w="57" w:type="dxa"/>
              <w:right w:w="57" w:type="dxa"/>
            </w:tcMar>
          </w:tcPr>
          <w:p w14:paraId="220B5C8E"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618</w:t>
            </w:r>
          </w:p>
        </w:tc>
        <w:tc>
          <w:tcPr>
            <w:tcW w:w="0" w:type="auto"/>
            <w:tcMar>
              <w:left w:w="57" w:type="dxa"/>
              <w:right w:w="57" w:type="dxa"/>
            </w:tcMar>
          </w:tcPr>
          <w:p w14:paraId="28EA7A52"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2245</w:t>
            </w:r>
          </w:p>
        </w:tc>
        <w:tc>
          <w:tcPr>
            <w:tcW w:w="0" w:type="auto"/>
            <w:tcMar>
              <w:left w:w="57" w:type="dxa"/>
              <w:right w:w="57" w:type="dxa"/>
            </w:tcMar>
          </w:tcPr>
          <w:p w14:paraId="4663613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1396</w:t>
            </w:r>
          </w:p>
        </w:tc>
        <w:tc>
          <w:tcPr>
            <w:tcW w:w="0" w:type="auto"/>
            <w:tcMar>
              <w:left w:w="57" w:type="dxa"/>
              <w:right w:w="57" w:type="dxa"/>
            </w:tcMar>
          </w:tcPr>
          <w:p w14:paraId="6D96965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849</w:t>
            </w:r>
          </w:p>
        </w:tc>
        <w:tc>
          <w:tcPr>
            <w:tcW w:w="0" w:type="auto"/>
            <w:tcMar>
              <w:left w:w="57" w:type="dxa"/>
              <w:right w:w="57" w:type="dxa"/>
            </w:tcMar>
          </w:tcPr>
          <w:p w14:paraId="4512430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3066</w:t>
            </w:r>
          </w:p>
        </w:tc>
        <w:tc>
          <w:tcPr>
            <w:tcW w:w="0" w:type="auto"/>
            <w:tcMar>
              <w:left w:w="57" w:type="dxa"/>
              <w:right w:w="57" w:type="dxa"/>
            </w:tcMar>
          </w:tcPr>
          <w:p w14:paraId="68A218A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1980</w:t>
            </w:r>
          </w:p>
        </w:tc>
        <w:tc>
          <w:tcPr>
            <w:tcW w:w="0" w:type="auto"/>
            <w:tcMar>
              <w:left w:w="57" w:type="dxa"/>
              <w:right w:w="57" w:type="dxa"/>
            </w:tcMar>
          </w:tcPr>
          <w:p w14:paraId="2D9929A5"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1086</w:t>
            </w:r>
          </w:p>
        </w:tc>
        <w:tc>
          <w:tcPr>
            <w:tcW w:w="0" w:type="auto"/>
            <w:tcMar>
              <w:left w:w="57" w:type="dxa"/>
              <w:right w:w="57" w:type="dxa"/>
            </w:tcMar>
          </w:tcPr>
          <w:p w14:paraId="67DF6A6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3625</w:t>
            </w:r>
          </w:p>
        </w:tc>
        <w:tc>
          <w:tcPr>
            <w:tcW w:w="0" w:type="auto"/>
            <w:tcMar>
              <w:left w:w="57" w:type="dxa"/>
              <w:right w:w="57" w:type="dxa"/>
            </w:tcMar>
          </w:tcPr>
          <w:p w14:paraId="01017B2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2310</w:t>
            </w:r>
          </w:p>
        </w:tc>
        <w:tc>
          <w:tcPr>
            <w:tcW w:w="0" w:type="auto"/>
            <w:tcMar>
              <w:left w:w="57" w:type="dxa"/>
              <w:right w:w="57" w:type="dxa"/>
            </w:tcMar>
          </w:tcPr>
          <w:p w14:paraId="30DE9EE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1315</w:t>
            </w:r>
          </w:p>
        </w:tc>
        <w:tc>
          <w:tcPr>
            <w:tcW w:w="0" w:type="auto"/>
            <w:tcMar>
              <w:left w:w="57" w:type="dxa"/>
              <w:right w:w="57" w:type="dxa"/>
            </w:tcMar>
          </w:tcPr>
          <w:p w14:paraId="6782B09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3008</w:t>
            </w:r>
          </w:p>
        </w:tc>
        <w:tc>
          <w:tcPr>
            <w:tcW w:w="0" w:type="auto"/>
            <w:tcMar>
              <w:left w:w="57" w:type="dxa"/>
              <w:right w:w="57" w:type="dxa"/>
            </w:tcMar>
          </w:tcPr>
          <w:p w14:paraId="1BBCE6A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1921</w:t>
            </w:r>
          </w:p>
        </w:tc>
        <w:tc>
          <w:tcPr>
            <w:tcW w:w="0" w:type="auto"/>
            <w:tcMar>
              <w:left w:w="57" w:type="dxa"/>
              <w:right w:w="57" w:type="dxa"/>
            </w:tcMar>
          </w:tcPr>
          <w:p w14:paraId="38E8B45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1087</w:t>
            </w:r>
          </w:p>
        </w:tc>
      </w:tr>
      <w:tr w:rsidR="00A27215" w:rsidRPr="00A27215" w14:paraId="5FA9EFDE" w14:textId="77777777">
        <w:trPr>
          <w:trHeight w:val="113"/>
        </w:trPr>
        <w:tc>
          <w:tcPr>
            <w:tcW w:w="0" w:type="auto"/>
            <w:tcMar>
              <w:left w:w="57" w:type="dxa"/>
              <w:right w:w="57" w:type="dxa"/>
            </w:tcMar>
          </w:tcPr>
          <w:p w14:paraId="672E68A5" w14:textId="0EBA4A24" w:rsidR="00A27215" w:rsidRPr="00A27215" w:rsidRDefault="00A27215" w:rsidP="00A27215">
            <w:pPr>
              <w:rPr>
                <w:rFonts w:asciiTheme="minorHAnsi" w:hAnsiTheme="minorHAnsi" w:cs="Calibri"/>
                <w:sz w:val="16"/>
                <w:szCs w:val="16"/>
              </w:rPr>
            </w:pPr>
            <w:r w:rsidRPr="00A27215">
              <w:rPr>
                <w:rFonts w:asciiTheme="minorHAnsi" w:hAnsiTheme="minorHAnsi" w:cs="Calibri"/>
                <w:sz w:val="16"/>
                <w:szCs w:val="16"/>
              </w:rPr>
              <w:t>C</w:t>
            </w:r>
            <w:r w:rsidR="007535AF" w:rsidRPr="00A27215">
              <w:rPr>
                <w:rFonts w:asciiTheme="minorHAnsi" w:hAnsiTheme="minorHAnsi" w:cs="Calibri"/>
                <w:sz w:val="16"/>
                <w:szCs w:val="16"/>
              </w:rPr>
              <w:t>67, D</w:t>
            </w:r>
            <w:r w:rsidRPr="00A27215">
              <w:rPr>
                <w:rFonts w:asciiTheme="minorHAnsi" w:hAnsiTheme="minorHAnsi" w:cs="Calibri"/>
                <w:sz w:val="16"/>
                <w:szCs w:val="16"/>
              </w:rPr>
              <w:t>090,</w:t>
            </w:r>
            <w:r w:rsidR="004E1368">
              <w:rPr>
                <w:rFonts w:asciiTheme="minorHAnsi" w:hAnsiTheme="minorHAnsi" w:cs="Calibri"/>
                <w:sz w:val="16"/>
                <w:szCs w:val="16"/>
              </w:rPr>
              <w:t xml:space="preserve"> </w:t>
            </w:r>
            <w:r w:rsidRPr="00A27215">
              <w:rPr>
                <w:rFonts w:asciiTheme="minorHAnsi" w:hAnsiTheme="minorHAnsi" w:cs="Calibri"/>
                <w:sz w:val="16"/>
                <w:szCs w:val="16"/>
              </w:rPr>
              <w:t>D414 bladder &amp; NMIBC</w:t>
            </w:r>
          </w:p>
        </w:tc>
        <w:tc>
          <w:tcPr>
            <w:tcW w:w="0" w:type="auto"/>
            <w:tcMar>
              <w:left w:w="57" w:type="dxa"/>
              <w:right w:w="57" w:type="dxa"/>
            </w:tcMar>
          </w:tcPr>
          <w:p w14:paraId="7A716C4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19524</w:t>
            </w:r>
          </w:p>
        </w:tc>
        <w:tc>
          <w:tcPr>
            <w:tcW w:w="0" w:type="auto"/>
            <w:tcMar>
              <w:left w:w="57" w:type="dxa"/>
              <w:right w:w="57" w:type="dxa"/>
            </w:tcMar>
          </w:tcPr>
          <w:p w14:paraId="6C533CE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14102</w:t>
            </w:r>
          </w:p>
        </w:tc>
        <w:tc>
          <w:tcPr>
            <w:tcW w:w="0" w:type="auto"/>
            <w:tcMar>
              <w:left w:w="57" w:type="dxa"/>
              <w:right w:w="57" w:type="dxa"/>
            </w:tcMar>
          </w:tcPr>
          <w:p w14:paraId="5053450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5422</w:t>
            </w:r>
          </w:p>
        </w:tc>
        <w:tc>
          <w:tcPr>
            <w:tcW w:w="0" w:type="auto"/>
            <w:tcMar>
              <w:left w:w="57" w:type="dxa"/>
              <w:right w:w="57" w:type="dxa"/>
            </w:tcMar>
          </w:tcPr>
          <w:p w14:paraId="258AF2E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2438</w:t>
            </w:r>
          </w:p>
        </w:tc>
        <w:tc>
          <w:tcPr>
            <w:tcW w:w="0" w:type="auto"/>
            <w:tcMar>
              <w:left w:w="57" w:type="dxa"/>
              <w:right w:w="57" w:type="dxa"/>
            </w:tcMar>
          </w:tcPr>
          <w:p w14:paraId="5E967DC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1759</w:t>
            </w:r>
          </w:p>
        </w:tc>
        <w:tc>
          <w:tcPr>
            <w:tcW w:w="0" w:type="auto"/>
            <w:tcMar>
              <w:left w:w="57" w:type="dxa"/>
              <w:right w:w="57" w:type="dxa"/>
            </w:tcMar>
          </w:tcPr>
          <w:p w14:paraId="4E6556E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679</w:t>
            </w:r>
          </w:p>
        </w:tc>
        <w:tc>
          <w:tcPr>
            <w:tcW w:w="0" w:type="auto"/>
            <w:tcMar>
              <w:left w:w="57" w:type="dxa"/>
              <w:right w:w="57" w:type="dxa"/>
            </w:tcMar>
          </w:tcPr>
          <w:p w14:paraId="20C29FB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2652</w:t>
            </w:r>
          </w:p>
        </w:tc>
        <w:tc>
          <w:tcPr>
            <w:tcW w:w="0" w:type="auto"/>
            <w:tcMar>
              <w:left w:w="57" w:type="dxa"/>
              <w:right w:w="57" w:type="dxa"/>
            </w:tcMar>
          </w:tcPr>
          <w:p w14:paraId="6575651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1895</w:t>
            </w:r>
          </w:p>
        </w:tc>
        <w:tc>
          <w:tcPr>
            <w:tcW w:w="0" w:type="auto"/>
            <w:tcMar>
              <w:left w:w="57" w:type="dxa"/>
              <w:right w:w="57" w:type="dxa"/>
            </w:tcMar>
          </w:tcPr>
          <w:p w14:paraId="63B37BF1"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757</w:t>
            </w:r>
          </w:p>
        </w:tc>
        <w:tc>
          <w:tcPr>
            <w:tcW w:w="0" w:type="auto"/>
            <w:tcMar>
              <w:left w:w="57" w:type="dxa"/>
              <w:right w:w="57" w:type="dxa"/>
            </w:tcMar>
          </w:tcPr>
          <w:p w14:paraId="77A6B7E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2956</w:t>
            </w:r>
          </w:p>
        </w:tc>
        <w:tc>
          <w:tcPr>
            <w:tcW w:w="0" w:type="auto"/>
            <w:tcMar>
              <w:left w:w="57" w:type="dxa"/>
              <w:right w:w="57" w:type="dxa"/>
            </w:tcMar>
          </w:tcPr>
          <w:p w14:paraId="51EABDB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2104</w:t>
            </w:r>
          </w:p>
        </w:tc>
        <w:tc>
          <w:tcPr>
            <w:tcW w:w="0" w:type="auto"/>
            <w:tcMar>
              <w:left w:w="57" w:type="dxa"/>
              <w:right w:w="57" w:type="dxa"/>
            </w:tcMar>
          </w:tcPr>
          <w:p w14:paraId="357DCFCE"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852</w:t>
            </w:r>
          </w:p>
        </w:tc>
        <w:tc>
          <w:tcPr>
            <w:tcW w:w="0" w:type="auto"/>
            <w:tcMar>
              <w:left w:w="57" w:type="dxa"/>
              <w:right w:w="57" w:type="dxa"/>
            </w:tcMar>
          </w:tcPr>
          <w:p w14:paraId="3699EB0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3526</w:t>
            </w:r>
          </w:p>
        </w:tc>
        <w:tc>
          <w:tcPr>
            <w:tcW w:w="0" w:type="auto"/>
            <w:tcMar>
              <w:left w:w="57" w:type="dxa"/>
              <w:right w:w="57" w:type="dxa"/>
            </w:tcMar>
          </w:tcPr>
          <w:p w14:paraId="49D93EA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2528</w:t>
            </w:r>
          </w:p>
        </w:tc>
        <w:tc>
          <w:tcPr>
            <w:tcW w:w="0" w:type="auto"/>
            <w:tcMar>
              <w:left w:w="57" w:type="dxa"/>
              <w:right w:w="57" w:type="dxa"/>
            </w:tcMar>
          </w:tcPr>
          <w:p w14:paraId="2E4697B1"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998</w:t>
            </w:r>
          </w:p>
        </w:tc>
        <w:tc>
          <w:tcPr>
            <w:tcW w:w="0" w:type="auto"/>
            <w:tcMar>
              <w:left w:w="57" w:type="dxa"/>
              <w:right w:w="57" w:type="dxa"/>
            </w:tcMar>
          </w:tcPr>
          <w:p w14:paraId="65362C2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4177</w:t>
            </w:r>
          </w:p>
        </w:tc>
        <w:tc>
          <w:tcPr>
            <w:tcW w:w="0" w:type="auto"/>
            <w:tcMar>
              <w:left w:w="57" w:type="dxa"/>
              <w:right w:w="57" w:type="dxa"/>
            </w:tcMar>
          </w:tcPr>
          <w:p w14:paraId="6A48BF9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3035</w:t>
            </w:r>
          </w:p>
        </w:tc>
        <w:tc>
          <w:tcPr>
            <w:tcW w:w="0" w:type="auto"/>
            <w:tcMar>
              <w:left w:w="57" w:type="dxa"/>
              <w:right w:w="57" w:type="dxa"/>
            </w:tcMar>
          </w:tcPr>
          <w:p w14:paraId="03EBD60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1142</w:t>
            </w:r>
          </w:p>
        </w:tc>
        <w:tc>
          <w:tcPr>
            <w:tcW w:w="0" w:type="auto"/>
            <w:tcMar>
              <w:left w:w="57" w:type="dxa"/>
              <w:right w:w="57" w:type="dxa"/>
            </w:tcMar>
          </w:tcPr>
          <w:p w14:paraId="097DDAC1"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3775</w:t>
            </w:r>
          </w:p>
        </w:tc>
        <w:tc>
          <w:tcPr>
            <w:tcW w:w="0" w:type="auto"/>
            <w:tcMar>
              <w:left w:w="57" w:type="dxa"/>
              <w:right w:w="57" w:type="dxa"/>
            </w:tcMar>
          </w:tcPr>
          <w:p w14:paraId="3C3DD14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2781</w:t>
            </w:r>
          </w:p>
        </w:tc>
        <w:tc>
          <w:tcPr>
            <w:tcW w:w="0" w:type="auto"/>
            <w:tcMar>
              <w:left w:w="57" w:type="dxa"/>
              <w:right w:w="57" w:type="dxa"/>
            </w:tcMar>
          </w:tcPr>
          <w:p w14:paraId="2A92E00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994</w:t>
            </w:r>
          </w:p>
        </w:tc>
      </w:tr>
      <w:tr w:rsidR="00A27215" w:rsidRPr="00A27215" w14:paraId="31799B96" w14:textId="77777777">
        <w:trPr>
          <w:trHeight w:val="113"/>
        </w:trPr>
        <w:tc>
          <w:tcPr>
            <w:tcW w:w="0" w:type="auto"/>
            <w:tcMar>
              <w:left w:w="57" w:type="dxa"/>
              <w:right w:w="57" w:type="dxa"/>
            </w:tcMar>
          </w:tcPr>
          <w:p w14:paraId="15640ABE" w14:textId="1BBAFB9B" w:rsidR="00A27215" w:rsidRPr="00A27215" w:rsidRDefault="00A27215" w:rsidP="00A27215">
            <w:pPr>
              <w:rPr>
                <w:rFonts w:asciiTheme="minorHAnsi" w:hAnsiTheme="minorHAnsi" w:cs="Calibri"/>
                <w:sz w:val="16"/>
                <w:szCs w:val="16"/>
              </w:rPr>
            </w:pPr>
            <w:r w:rsidRPr="00A27215">
              <w:rPr>
                <w:rFonts w:asciiTheme="minorHAnsi" w:hAnsiTheme="minorHAnsi" w:cs="Calibri"/>
                <w:sz w:val="16"/>
                <w:szCs w:val="16"/>
              </w:rPr>
              <w:t>C</w:t>
            </w:r>
            <w:r w:rsidR="007535AF" w:rsidRPr="00A27215">
              <w:rPr>
                <w:rFonts w:asciiTheme="minorHAnsi" w:hAnsiTheme="minorHAnsi" w:cs="Calibri"/>
                <w:sz w:val="16"/>
                <w:szCs w:val="16"/>
              </w:rPr>
              <w:t>920, C</w:t>
            </w:r>
            <w:r w:rsidRPr="00A27215">
              <w:rPr>
                <w:rFonts w:asciiTheme="minorHAnsi" w:hAnsiTheme="minorHAnsi" w:cs="Calibri"/>
                <w:sz w:val="16"/>
                <w:szCs w:val="16"/>
              </w:rPr>
              <w:t>924-C926, C928, C930, C940, C942 AML</w:t>
            </w:r>
          </w:p>
        </w:tc>
        <w:tc>
          <w:tcPr>
            <w:tcW w:w="0" w:type="auto"/>
            <w:tcMar>
              <w:left w:w="57" w:type="dxa"/>
              <w:right w:w="57" w:type="dxa"/>
            </w:tcMar>
          </w:tcPr>
          <w:p w14:paraId="39FCCE8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3181</w:t>
            </w:r>
          </w:p>
        </w:tc>
        <w:tc>
          <w:tcPr>
            <w:tcW w:w="0" w:type="auto"/>
            <w:tcMar>
              <w:left w:w="57" w:type="dxa"/>
              <w:right w:w="57" w:type="dxa"/>
            </w:tcMar>
          </w:tcPr>
          <w:p w14:paraId="328AD62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1768</w:t>
            </w:r>
          </w:p>
        </w:tc>
        <w:tc>
          <w:tcPr>
            <w:tcW w:w="0" w:type="auto"/>
            <w:tcMar>
              <w:left w:w="57" w:type="dxa"/>
              <w:right w:w="57" w:type="dxa"/>
            </w:tcMar>
          </w:tcPr>
          <w:p w14:paraId="13472F6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1413</w:t>
            </w:r>
          </w:p>
        </w:tc>
        <w:tc>
          <w:tcPr>
            <w:tcW w:w="0" w:type="auto"/>
            <w:tcMar>
              <w:left w:w="57" w:type="dxa"/>
              <w:right w:w="57" w:type="dxa"/>
            </w:tcMar>
          </w:tcPr>
          <w:p w14:paraId="2CF1441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385</w:t>
            </w:r>
          </w:p>
        </w:tc>
        <w:tc>
          <w:tcPr>
            <w:tcW w:w="0" w:type="auto"/>
            <w:tcMar>
              <w:left w:w="57" w:type="dxa"/>
              <w:right w:w="57" w:type="dxa"/>
            </w:tcMar>
          </w:tcPr>
          <w:p w14:paraId="3ECE653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201</w:t>
            </w:r>
          </w:p>
        </w:tc>
        <w:tc>
          <w:tcPr>
            <w:tcW w:w="0" w:type="auto"/>
            <w:tcMar>
              <w:left w:w="57" w:type="dxa"/>
              <w:right w:w="57" w:type="dxa"/>
            </w:tcMar>
          </w:tcPr>
          <w:p w14:paraId="0F0D2182"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184</w:t>
            </w:r>
          </w:p>
        </w:tc>
        <w:tc>
          <w:tcPr>
            <w:tcW w:w="0" w:type="auto"/>
            <w:tcMar>
              <w:left w:w="57" w:type="dxa"/>
              <w:right w:w="57" w:type="dxa"/>
            </w:tcMar>
          </w:tcPr>
          <w:p w14:paraId="05CB32C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454</w:t>
            </w:r>
          </w:p>
        </w:tc>
        <w:tc>
          <w:tcPr>
            <w:tcW w:w="0" w:type="auto"/>
            <w:tcMar>
              <w:left w:w="57" w:type="dxa"/>
              <w:right w:w="57" w:type="dxa"/>
            </w:tcMar>
          </w:tcPr>
          <w:p w14:paraId="5F669DE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258</w:t>
            </w:r>
          </w:p>
        </w:tc>
        <w:tc>
          <w:tcPr>
            <w:tcW w:w="0" w:type="auto"/>
            <w:tcMar>
              <w:left w:w="57" w:type="dxa"/>
              <w:right w:w="57" w:type="dxa"/>
            </w:tcMar>
          </w:tcPr>
          <w:p w14:paraId="7EC4A2E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196</w:t>
            </w:r>
          </w:p>
        </w:tc>
        <w:tc>
          <w:tcPr>
            <w:tcW w:w="0" w:type="auto"/>
            <w:tcMar>
              <w:left w:w="57" w:type="dxa"/>
              <w:right w:w="57" w:type="dxa"/>
            </w:tcMar>
          </w:tcPr>
          <w:p w14:paraId="58AB292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518</w:t>
            </w:r>
          </w:p>
        </w:tc>
        <w:tc>
          <w:tcPr>
            <w:tcW w:w="0" w:type="auto"/>
            <w:tcMar>
              <w:left w:w="57" w:type="dxa"/>
              <w:right w:w="57" w:type="dxa"/>
            </w:tcMar>
          </w:tcPr>
          <w:p w14:paraId="39577D7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274</w:t>
            </w:r>
          </w:p>
        </w:tc>
        <w:tc>
          <w:tcPr>
            <w:tcW w:w="0" w:type="auto"/>
            <w:tcMar>
              <w:left w:w="57" w:type="dxa"/>
              <w:right w:w="57" w:type="dxa"/>
            </w:tcMar>
          </w:tcPr>
          <w:p w14:paraId="6C75EB9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244</w:t>
            </w:r>
          </w:p>
        </w:tc>
        <w:tc>
          <w:tcPr>
            <w:tcW w:w="0" w:type="auto"/>
            <w:tcMar>
              <w:left w:w="57" w:type="dxa"/>
              <w:right w:w="57" w:type="dxa"/>
            </w:tcMar>
          </w:tcPr>
          <w:p w14:paraId="02DBEF21"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602</w:t>
            </w:r>
          </w:p>
        </w:tc>
        <w:tc>
          <w:tcPr>
            <w:tcW w:w="0" w:type="auto"/>
            <w:tcMar>
              <w:left w:w="57" w:type="dxa"/>
              <w:right w:w="57" w:type="dxa"/>
            </w:tcMar>
          </w:tcPr>
          <w:p w14:paraId="4A716E6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336</w:t>
            </w:r>
          </w:p>
        </w:tc>
        <w:tc>
          <w:tcPr>
            <w:tcW w:w="0" w:type="auto"/>
            <w:tcMar>
              <w:left w:w="57" w:type="dxa"/>
              <w:right w:w="57" w:type="dxa"/>
            </w:tcMar>
          </w:tcPr>
          <w:p w14:paraId="7CA6103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266</w:t>
            </w:r>
          </w:p>
        </w:tc>
        <w:tc>
          <w:tcPr>
            <w:tcW w:w="0" w:type="auto"/>
            <w:tcMar>
              <w:left w:w="57" w:type="dxa"/>
              <w:right w:w="57" w:type="dxa"/>
            </w:tcMar>
          </w:tcPr>
          <w:p w14:paraId="09C9A6F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644</w:t>
            </w:r>
          </w:p>
        </w:tc>
        <w:tc>
          <w:tcPr>
            <w:tcW w:w="0" w:type="auto"/>
            <w:tcMar>
              <w:left w:w="57" w:type="dxa"/>
              <w:right w:w="57" w:type="dxa"/>
            </w:tcMar>
          </w:tcPr>
          <w:p w14:paraId="18170B3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360</w:t>
            </w:r>
          </w:p>
        </w:tc>
        <w:tc>
          <w:tcPr>
            <w:tcW w:w="0" w:type="auto"/>
            <w:tcMar>
              <w:left w:w="57" w:type="dxa"/>
              <w:right w:w="57" w:type="dxa"/>
            </w:tcMar>
          </w:tcPr>
          <w:p w14:paraId="4715899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284</w:t>
            </w:r>
          </w:p>
        </w:tc>
        <w:tc>
          <w:tcPr>
            <w:tcW w:w="0" w:type="auto"/>
            <w:tcMar>
              <w:left w:w="57" w:type="dxa"/>
              <w:right w:w="57" w:type="dxa"/>
            </w:tcMar>
          </w:tcPr>
          <w:p w14:paraId="204BDBBE"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578</w:t>
            </w:r>
          </w:p>
        </w:tc>
        <w:tc>
          <w:tcPr>
            <w:tcW w:w="0" w:type="auto"/>
            <w:tcMar>
              <w:left w:w="57" w:type="dxa"/>
              <w:right w:w="57" w:type="dxa"/>
            </w:tcMar>
          </w:tcPr>
          <w:p w14:paraId="1939CDD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339</w:t>
            </w:r>
          </w:p>
        </w:tc>
        <w:tc>
          <w:tcPr>
            <w:tcW w:w="0" w:type="auto"/>
            <w:tcMar>
              <w:left w:w="57" w:type="dxa"/>
              <w:right w:w="57" w:type="dxa"/>
            </w:tcMar>
          </w:tcPr>
          <w:p w14:paraId="599B2F7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239</w:t>
            </w:r>
          </w:p>
        </w:tc>
      </w:tr>
    </w:tbl>
    <w:p w14:paraId="2152A6C8" w14:textId="77777777" w:rsidR="00A27215" w:rsidRPr="00A27215" w:rsidRDefault="00A27215" w:rsidP="00A27215">
      <w:pPr>
        <w:spacing w:line="240" w:lineRule="auto"/>
      </w:pPr>
    </w:p>
    <w:p w14:paraId="15020771" w14:textId="7C80DB98" w:rsidR="00D243F6" w:rsidRDefault="00D243F6" w:rsidP="00A27215"/>
    <w:sectPr w:rsidR="00D243F6" w:rsidSect="002746C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92CA93" w14:textId="77777777" w:rsidR="00695BBF" w:rsidRDefault="00695BBF">
      <w:pPr>
        <w:spacing w:after="0" w:line="240" w:lineRule="auto"/>
      </w:pPr>
      <w:r>
        <w:separator/>
      </w:r>
    </w:p>
  </w:endnote>
  <w:endnote w:type="continuationSeparator" w:id="0">
    <w:p w14:paraId="334DBEE4" w14:textId="77777777" w:rsidR="00695BBF" w:rsidRDefault="00695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Frutiger 45 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Flama-Light">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ource Sans Pro">
    <w:charset w:val="00"/>
    <w:family w:val="swiss"/>
    <w:pitch w:val="variable"/>
    <w:sig w:usb0="600002F7" w:usb1="02000001" w:usb2="00000000" w:usb3="00000000" w:csb0="0000019F" w:csb1="00000000"/>
  </w:font>
  <w:font w:name="OTNEJMQuadraat">
    <w:altName w:val="Yu Gothic"/>
    <w:panose1 w:val="00000000000000000000"/>
    <w:charset w:val="80"/>
    <w:family w:val="roman"/>
    <w:notTrueType/>
    <w:pitch w:val="default"/>
    <w:sig w:usb0="00000001" w:usb1="08070000" w:usb2="00000010" w:usb3="00000000" w:csb0="00020000" w:csb1="00000000"/>
  </w:font>
  <w:font w:name="Aptos Narrow">
    <w:charset w:val="00"/>
    <w:family w:val="swiss"/>
    <w:pitch w:val="variable"/>
    <w:sig w:usb0="20000287" w:usb1="00000003" w:usb2="00000000" w:usb3="00000000" w:csb0="0000019F" w:csb1="00000000"/>
  </w:font>
  <w:font w:name="Merriweather">
    <w:charset w:val="00"/>
    <w:family w:val="auto"/>
    <w:pitch w:val="variable"/>
    <w:sig w:usb0="20000207" w:usb1="00000002"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274970"/>
      <w:docPartObj>
        <w:docPartGallery w:val="Page Numbers (Bottom of Page)"/>
        <w:docPartUnique/>
      </w:docPartObj>
    </w:sdtPr>
    <w:sdtEndPr>
      <w:rPr>
        <w:noProof/>
      </w:rPr>
    </w:sdtEndPr>
    <w:sdtContent>
      <w:p w14:paraId="37E4DACB" w14:textId="77777777" w:rsidR="00F91B23" w:rsidRDefault="00A317B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1AA6DEB" w14:textId="77777777" w:rsidR="00F91B23" w:rsidRDefault="00F91B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5235565"/>
      <w:docPartObj>
        <w:docPartGallery w:val="Page Numbers (Bottom of Page)"/>
        <w:docPartUnique/>
      </w:docPartObj>
    </w:sdtPr>
    <w:sdtEndPr>
      <w:rPr>
        <w:noProof/>
      </w:rPr>
    </w:sdtEndPr>
    <w:sdtContent>
      <w:p w14:paraId="6321DF87" w14:textId="77777777" w:rsidR="00392601" w:rsidRDefault="0039260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589169C" w14:textId="77777777" w:rsidR="00392601" w:rsidRDefault="003926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0358379"/>
      <w:docPartObj>
        <w:docPartGallery w:val="Page Numbers (Bottom of Page)"/>
        <w:docPartUnique/>
      </w:docPartObj>
    </w:sdtPr>
    <w:sdtEndPr>
      <w:rPr>
        <w:noProof/>
      </w:rPr>
    </w:sdtEndPr>
    <w:sdtContent>
      <w:p w14:paraId="60EFCF69" w14:textId="77777777" w:rsidR="00392601" w:rsidRDefault="0039260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AF4D652" w14:textId="77777777" w:rsidR="00392601" w:rsidRDefault="0039260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655881"/>
      <w:docPartObj>
        <w:docPartGallery w:val="Page Numbers (Bottom of Page)"/>
        <w:docPartUnique/>
      </w:docPartObj>
    </w:sdtPr>
    <w:sdtEndPr>
      <w:rPr>
        <w:noProof/>
      </w:rPr>
    </w:sdtEndPr>
    <w:sdtContent>
      <w:p w14:paraId="3EFD865C" w14:textId="77777777" w:rsidR="00464E4B" w:rsidRDefault="00464E4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1844E6" w14:textId="77777777" w:rsidR="00464E4B" w:rsidRDefault="00464E4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4166622"/>
      <w:docPartObj>
        <w:docPartGallery w:val="Page Numbers (Bottom of Page)"/>
        <w:docPartUnique/>
      </w:docPartObj>
    </w:sdtPr>
    <w:sdtEndPr>
      <w:rPr>
        <w:noProof/>
      </w:rPr>
    </w:sdtEndPr>
    <w:sdtContent>
      <w:p w14:paraId="57843671" w14:textId="77777777" w:rsidR="00464E4B" w:rsidRDefault="00464E4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297728" w14:textId="77777777" w:rsidR="00464E4B" w:rsidRDefault="00464E4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2726567"/>
      <w:docPartObj>
        <w:docPartGallery w:val="Page Numbers (Bottom of Page)"/>
        <w:docPartUnique/>
      </w:docPartObj>
    </w:sdtPr>
    <w:sdtEndPr>
      <w:rPr>
        <w:noProof/>
      </w:rPr>
    </w:sdtEndPr>
    <w:sdtContent>
      <w:p w14:paraId="401EC11D" w14:textId="77777777" w:rsidR="00F55E6A" w:rsidRDefault="00F55E6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3585D" w14:textId="77777777" w:rsidR="00F55E6A" w:rsidRDefault="00F55E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1578646"/>
      <w:docPartObj>
        <w:docPartGallery w:val="Page Numbers (Bottom of Page)"/>
        <w:docPartUnique/>
      </w:docPartObj>
    </w:sdtPr>
    <w:sdtEndPr>
      <w:rPr>
        <w:noProof/>
      </w:rPr>
    </w:sdtEndPr>
    <w:sdtContent>
      <w:p w14:paraId="7863FB25" w14:textId="77777777" w:rsidR="00A27215" w:rsidRDefault="00A2721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A6BC25" w14:textId="77777777" w:rsidR="00A27215" w:rsidRDefault="00A2721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2766460"/>
      <w:docPartObj>
        <w:docPartGallery w:val="Page Numbers (Bottom of Page)"/>
        <w:docPartUnique/>
      </w:docPartObj>
    </w:sdtPr>
    <w:sdtEndPr>
      <w:rPr>
        <w:noProof/>
      </w:rPr>
    </w:sdtEndPr>
    <w:sdtContent>
      <w:p w14:paraId="25370973" w14:textId="77777777" w:rsidR="00323683" w:rsidRDefault="0032368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7237C6" w14:textId="77777777" w:rsidR="00323683" w:rsidRDefault="003236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20EB3D" w14:textId="77777777" w:rsidR="00695BBF" w:rsidRDefault="00695BBF">
      <w:pPr>
        <w:spacing w:after="0" w:line="240" w:lineRule="auto"/>
      </w:pPr>
      <w:r>
        <w:separator/>
      </w:r>
    </w:p>
  </w:footnote>
  <w:footnote w:type="continuationSeparator" w:id="0">
    <w:p w14:paraId="2C4E95B5" w14:textId="77777777" w:rsidR="00695BBF" w:rsidRDefault="00695BBF">
      <w:pPr>
        <w:spacing w:after="0" w:line="240" w:lineRule="auto"/>
      </w:pPr>
      <w:r>
        <w:continuationSeparator/>
      </w:r>
    </w:p>
  </w:footnote>
  <w:footnote w:id="1">
    <w:p w14:paraId="2EC90A04" w14:textId="2FEB3C65" w:rsidR="002324A7" w:rsidRDefault="002324A7" w:rsidP="002324A7">
      <w:pPr>
        <w:spacing w:after="0" w:line="240" w:lineRule="auto"/>
      </w:pPr>
      <w:r>
        <w:rPr>
          <w:rStyle w:val="FootnoteReference"/>
        </w:rPr>
        <w:footnoteRef/>
      </w:r>
      <w:r w:rsidRPr="0088553E">
        <w:rPr>
          <w:sz w:val="20"/>
          <w:szCs w:val="20"/>
        </w:rPr>
        <w:t>Mortality data from the CSO Ireland was only available for rectal cancer for 2007-2022 because in ICD9 (pre-2007), deaths due to cancer of the rectum (C20) could not be distinguished from deaths due to rectosigmoid junction (C19) or rectal cancer (C20). Rectal cancer mortality was coded as an individual term in ICD10 after 2007 and therefore only post 2007 mortality data after the implementation of ICD10</w:t>
      </w:r>
      <w:r w:rsidR="001F2300">
        <w:rPr>
          <w:sz w:val="20"/>
          <w:szCs w:val="20"/>
        </w:rPr>
        <w:t xml:space="preserve"> are available</w:t>
      </w:r>
      <w:r w:rsidRPr="0088553E">
        <w:rPr>
          <w:sz w:val="20"/>
          <w:szCs w:val="20"/>
        </w:rPr>
        <w:t>.</w:t>
      </w:r>
    </w:p>
    <w:p w14:paraId="71920747" w14:textId="77777777" w:rsidR="002324A7" w:rsidRDefault="002324A7" w:rsidP="002324A7">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96DF8"/>
    <w:multiLevelType w:val="hybridMultilevel"/>
    <w:tmpl w:val="0C24F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33A5F"/>
    <w:multiLevelType w:val="hybridMultilevel"/>
    <w:tmpl w:val="00C8469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834C15"/>
    <w:multiLevelType w:val="hybridMultilevel"/>
    <w:tmpl w:val="1996E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C946C4"/>
    <w:multiLevelType w:val="hybridMultilevel"/>
    <w:tmpl w:val="1EC4A9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DA80DF6"/>
    <w:multiLevelType w:val="hybridMultilevel"/>
    <w:tmpl w:val="80082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1B537B"/>
    <w:multiLevelType w:val="hybridMultilevel"/>
    <w:tmpl w:val="30B28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5506D7"/>
    <w:multiLevelType w:val="hybridMultilevel"/>
    <w:tmpl w:val="21C04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675ED1"/>
    <w:multiLevelType w:val="hybridMultilevel"/>
    <w:tmpl w:val="7AC0A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2834A2"/>
    <w:multiLevelType w:val="hybridMultilevel"/>
    <w:tmpl w:val="F6E07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BB2384"/>
    <w:multiLevelType w:val="hybridMultilevel"/>
    <w:tmpl w:val="4FC4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A35F44"/>
    <w:multiLevelType w:val="hybridMultilevel"/>
    <w:tmpl w:val="16E0E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25540B"/>
    <w:multiLevelType w:val="hybridMultilevel"/>
    <w:tmpl w:val="29D05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F57D24"/>
    <w:multiLevelType w:val="hybridMultilevel"/>
    <w:tmpl w:val="4A306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3340F6"/>
    <w:multiLevelType w:val="hybridMultilevel"/>
    <w:tmpl w:val="C5EEB314"/>
    <w:lvl w:ilvl="0" w:tplc="7D6C0DD4">
      <w:start w:val="1"/>
      <w:numFmt w:val="bullet"/>
      <w:lvlText w:val="•"/>
      <w:lvlJc w:val="left"/>
      <w:pPr>
        <w:tabs>
          <w:tab w:val="num" w:pos="720"/>
        </w:tabs>
        <w:ind w:left="720" w:hanging="360"/>
      </w:pPr>
      <w:rPr>
        <w:rFonts w:ascii="Arial" w:hAnsi="Arial" w:hint="default"/>
      </w:rPr>
    </w:lvl>
    <w:lvl w:ilvl="1" w:tplc="F3221484" w:tentative="1">
      <w:start w:val="1"/>
      <w:numFmt w:val="bullet"/>
      <w:lvlText w:val="•"/>
      <w:lvlJc w:val="left"/>
      <w:pPr>
        <w:tabs>
          <w:tab w:val="num" w:pos="1440"/>
        </w:tabs>
        <w:ind w:left="1440" w:hanging="360"/>
      </w:pPr>
      <w:rPr>
        <w:rFonts w:ascii="Arial" w:hAnsi="Arial" w:hint="default"/>
      </w:rPr>
    </w:lvl>
    <w:lvl w:ilvl="2" w:tplc="72189E08">
      <w:start w:val="1"/>
      <w:numFmt w:val="bullet"/>
      <w:lvlText w:val="•"/>
      <w:lvlJc w:val="left"/>
      <w:pPr>
        <w:tabs>
          <w:tab w:val="num" w:pos="2160"/>
        </w:tabs>
        <w:ind w:left="2160" w:hanging="360"/>
      </w:pPr>
      <w:rPr>
        <w:rFonts w:ascii="Arial" w:hAnsi="Arial" w:hint="default"/>
      </w:rPr>
    </w:lvl>
    <w:lvl w:ilvl="3" w:tplc="04020C06" w:tentative="1">
      <w:start w:val="1"/>
      <w:numFmt w:val="bullet"/>
      <w:lvlText w:val="•"/>
      <w:lvlJc w:val="left"/>
      <w:pPr>
        <w:tabs>
          <w:tab w:val="num" w:pos="2880"/>
        </w:tabs>
        <w:ind w:left="2880" w:hanging="360"/>
      </w:pPr>
      <w:rPr>
        <w:rFonts w:ascii="Arial" w:hAnsi="Arial" w:hint="default"/>
      </w:rPr>
    </w:lvl>
    <w:lvl w:ilvl="4" w:tplc="8A36DFA8" w:tentative="1">
      <w:start w:val="1"/>
      <w:numFmt w:val="bullet"/>
      <w:lvlText w:val="•"/>
      <w:lvlJc w:val="left"/>
      <w:pPr>
        <w:tabs>
          <w:tab w:val="num" w:pos="3600"/>
        </w:tabs>
        <w:ind w:left="3600" w:hanging="360"/>
      </w:pPr>
      <w:rPr>
        <w:rFonts w:ascii="Arial" w:hAnsi="Arial" w:hint="default"/>
      </w:rPr>
    </w:lvl>
    <w:lvl w:ilvl="5" w:tplc="B4C8131E" w:tentative="1">
      <w:start w:val="1"/>
      <w:numFmt w:val="bullet"/>
      <w:lvlText w:val="•"/>
      <w:lvlJc w:val="left"/>
      <w:pPr>
        <w:tabs>
          <w:tab w:val="num" w:pos="4320"/>
        </w:tabs>
        <w:ind w:left="4320" w:hanging="360"/>
      </w:pPr>
      <w:rPr>
        <w:rFonts w:ascii="Arial" w:hAnsi="Arial" w:hint="default"/>
      </w:rPr>
    </w:lvl>
    <w:lvl w:ilvl="6" w:tplc="C2C6B34A" w:tentative="1">
      <w:start w:val="1"/>
      <w:numFmt w:val="bullet"/>
      <w:lvlText w:val="•"/>
      <w:lvlJc w:val="left"/>
      <w:pPr>
        <w:tabs>
          <w:tab w:val="num" w:pos="5040"/>
        </w:tabs>
        <w:ind w:left="5040" w:hanging="360"/>
      </w:pPr>
      <w:rPr>
        <w:rFonts w:ascii="Arial" w:hAnsi="Arial" w:hint="default"/>
      </w:rPr>
    </w:lvl>
    <w:lvl w:ilvl="7" w:tplc="D3562864" w:tentative="1">
      <w:start w:val="1"/>
      <w:numFmt w:val="bullet"/>
      <w:lvlText w:val="•"/>
      <w:lvlJc w:val="left"/>
      <w:pPr>
        <w:tabs>
          <w:tab w:val="num" w:pos="5760"/>
        </w:tabs>
        <w:ind w:left="5760" w:hanging="360"/>
      </w:pPr>
      <w:rPr>
        <w:rFonts w:ascii="Arial" w:hAnsi="Arial" w:hint="default"/>
      </w:rPr>
    </w:lvl>
    <w:lvl w:ilvl="8" w:tplc="EFF07B4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C854C26"/>
    <w:multiLevelType w:val="hybridMultilevel"/>
    <w:tmpl w:val="26669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D12536"/>
    <w:multiLevelType w:val="hybridMultilevel"/>
    <w:tmpl w:val="AAEC8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415F0E"/>
    <w:multiLevelType w:val="hybridMultilevel"/>
    <w:tmpl w:val="E7F2E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FB4AA2"/>
    <w:multiLevelType w:val="hybridMultilevel"/>
    <w:tmpl w:val="CB3C6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6F3B90"/>
    <w:multiLevelType w:val="hybridMultilevel"/>
    <w:tmpl w:val="6164C8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23675490"/>
    <w:multiLevelType w:val="hybridMultilevel"/>
    <w:tmpl w:val="A9D85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F367A9"/>
    <w:multiLevelType w:val="hybridMultilevel"/>
    <w:tmpl w:val="4AD8C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CB5AE1"/>
    <w:multiLevelType w:val="hybridMultilevel"/>
    <w:tmpl w:val="ADA65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9644E3"/>
    <w:multiLevelType w:val="hybridMultilevel"/>
    <w:tmpl w:val="EC2E6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0AA33CB"/>
    <w:multiLevelType w:val="hybridMultilevel"/>
    <w:tmpl w:val="AEA46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456650"/>
    <w:multiLevelType w:val="hybridMultilevel"/>
    <w:tmpl w:val="A2A05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4E25F4"/>
    <w:multiLevelType w:val="hybridMultilevel"/>
    <w:tmpl w:val="7BA61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D75804"/>
    <w:multiLevelType w:val="hybridMultilevel"/>
    <w:tmpl w:val="DC8A4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F9788D"/>
    <w:multiLevelType w:val="hybridMultilevel"/>
    <w:tmpl w:val="1846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C0D7537"/>
    <w:multiLevelType w:val="hybridMultilevel"/>
    <w:tmpl w:val="E3E68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C2521DA"/>
    <w:multiLevelType w:val="hybridMultilevel"/>
    <w:tmpl w:val="10865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28C4534"/>
    <w:multiLevelType w:val="hybridMultilevel"/>
    <w:tmpl w:val="372E4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D61441"/>
    <w:multiLevelType w:val="hybridMultilevel"/>
    <w:tmpl w:val="C22EE4C2"/>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32" w15:restartNumberingAfterBreak="0">
    <w:nsid w:val="486B7498"/>
    <w:multiLevelType w:val="hybridMultilevel"/>
    <w:tmpl w:val="A192D2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4AA30C0F"/>
    <w:multiLevelType w:val="hybridMultilevel"/>
    <w:tmpl w:val="EADEF2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0F29A7"/>
    <w:multiLevelType w:val="hybridMultilevel"/>
    <w:tmpl w:val="68C47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60C52FB"/>
    <w:multiLevelType w:val="hybridMultilevel"/>
    <w:tmpl w:val="8222B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55418A"/>
    <w:multiLevelType w:val="hybridMultilevel"/>
    <w:tmpl w:val="F3EE8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B395C9C"/>
    <w:multiLevelType w:val="hybridMultilevel"/>
    <w:tmpl w:val="09045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665BF0"/>
    <w:multiLevelType w:val="hybridMultilevel"/>
    <w:tmpl w:val="95508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7873BC"/>
    <w:multiLevelType w:val="hybridMultilevel"/>
    <w:tmpl w:val="AC62D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7D3CDE"/>
    <w:multiLevelType w:val="multilevel"/>
    <w:tmpl w:val="78A4D252"/>
    <w:lvl w:ilvl="0">
      <w:start w:val="1"/>
      <w:numFmt w:val="decimal"/>
      <w:pStyle w:val="Heading1"/>
      <w:lvlText w:val="%1"/>
      <w:lvlJc w:val="left"/>
      <w:pPr>
        <w:ind w:left="432" w:hanging="432"/>
      </w:pPr>
    </w:lvl>
    <w:lvl w:ilvl="1">
      <w:start w:val="1"/>
      <w:numFmt w:val="decimal"/>
      <w:pStyle w:val="Heading2"/>
      <w:lvlText w:val="%1.%2"/>
      <w:lvlJc w:val="left"/>
      <w:pPr>
        <w:ind w:left="1852" w:hanging="576"/>
      </w:pPr>
      <w:rPr>
        <w:sz w:val="32"/>
        <w:szCs w:val="32"/>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71663597"/>
    <w:multiLevelType w:val="hybridMultilevel"/>
    <w:tmpl w:val="49968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E37EC6"/>
    <w:multiLevelType w:val="hybridMultilevel"/>
    <w:tmpl w:val="691A8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5A505A"/>
    <w:multiLevelType w:val="hybridMultilevel"/>
    <w:tmpl w:val="CAFEE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403F58"/>
    <w:multiLevelType w:val="hybridMultilevel"/>
    <w:tmpl w:val="B2D88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6892425">
    <w:abstractNumId w:val="1"/>
  </w:num>
  <w:num w:numId="2" w16cid:durableId="1114010939">
    <w:abstractNumId w:val="20"/>
  </w:num>
  <w:num w:numId="3" w16cid:durableId="756561578">
    <w:abstractNumId w:val="31"/>
  </w:num>
  <w:num w:numId="4" w16cid:durableId="660161467">
    <w:abstractNumId w:val="17"/>
  </w:num>
  <w:num w:numId="5" w16cid:durableId="613753562">
    <w:abstractNumId w:val="32"/>
  </w:num>
  <w:num w:numId="6" w16cid:durableId="846946104">
    <w:abstractNumId w:val="29"/>
  </w:num>
  <w:num w:numId="7" w16cid:durableId="1189680511">
    <w:abstractNumId w:val="37"/>
  </w:num>
  <w:num w:numId="8" w16cid:durableId="1110393078">
    <w:abstractNumId w:val="35"/>
  </w:num>
  <w:num w:numId="9" w16cid:durableId="414857918">
    <w:abstractNumId w:val="27"/>
  </w:num>
  <w:num w:numId="10" w16cid:durableId="1186405707">
    <w:abstractNumId w:val="4"/>
  </w:num>
  <w:num w:numId="11" w16cid:durableId="596908800">
    <w:abstractNumId w:val="10"/>
  </w:num>
  <w:num w:numId="12" w16cid:durableId="1492287286">
    <w:abstractNumId w:val="11"/>
  </w:num>
  <w:num w:numId="13" w16cid:durableId="1299382401">
    <w:abstractNumId w:val="8"/>
  </w:num>
  <w:num w:numId="14" w16cid:durableId="713696669">
    <w:abstractNumId w:val="26"/>
  </w:num>
  <w:num w:numId="15" w16cid:durableId="738526712">
    <w:abstractNumId w:val="25"/>
  </w:num>
  <w:num w:numId="16" w16cid:durableId="1204748631">
    <w:abstractNumId w:val="7"/>
  </w:num>
  <w:num w:numId="17" w16cid:durableId="669914038">
    <w:abstractNumId w:val="34"/>
  </w:num>
  <w:num w:numId="18" w16cid:durableId="538859887">
    <w:abstractNumId w:val="28"/>
  </w:num>
  <w:num w:numId="19" w16cid:durableId="440228830">
    <w:abstractNumId w:val="19"/>
  </w:num>
  <w:num w:numId="20" w16cid:durableId="548733487">
    <w:abstractNumId w:val="42"/>
  </w:num>
  <w:num w:numId="21" w16cid:durableId="2077894219">
    <w:abstractNumId w:val="33"/>
  </w:num>
  <w:num w:numId="22" w16cid:durableId="1857645742">
    <w:abstractNumId w:val="23"/>
  </w:num>
  <w:num w:numId="23" w16cid:durableId="713119025">
    <w:abstractNumId w:val="44"/>
  </w:num>
  <w:num w:numId="24" w16cid:durableId="788819946">
    <w:abstractNumId w:val="24"/>
  </w:num>
  <w:num w:numId="25" w16cid:durableId="1834448398">
    <w:abstractNumId w:val="30"/>
  </w:num>
  <w:num w:numId="26" w16cid:durableId="1663461582">
    <w:abstractNumId w:val="41"/>
  </w:num>
  <w:num w:numId="27" w16cid:durableId="1649704365">
    <w:abstractNumId w:val="15"/>
  </w:num>
  <w:num w:numId="28" w16cid:durableId="557474525">
    <w:abstractNumId w:val="6"/>
  </w:num>
  <w:num w:numId="29" w16cid:durableId="1772237988">
    <w:abstractNumId w:val="21"/>
  </w:num>
  <w:num w:numId="30" w16cid:durableId="240918100">
    <w:abstractNumId w:val="22"/>
  </w:num>
  <w:num w:numId="31" w16cid:durableId="1540128075">
    <w:abstractNumId w:val="38"/>
  </w:num>
  <w:num w:numId="32" w16cid:durableId="945038834">
    <w:abstractNumId w:val="43"/>
  </w:num>
  <w:num w:numId="33" w16cid:durableId="692197053">
    <w:abstractNumId w:val="2"/>
  </w:num>
  <w:num w:numId="34" w16cid:durableId="696546845">
    <w:abstractNumId w:val="12"/>
  </w:num>
  <w:num w:numId="35" w16cid:durableId="2124500086">
    <w:abstractNumId w:val="0"/>
  </w:num>
  <w:num w:numId="36" w16cid:durableId="359205251">
    <w:abstractNumId w:val="5"/>
  </w:num>
  <w:num w:numId="37" w16cid:durableId="69742398">
    <w:abstractNumId w:val="14"/>
  </w:num>
  <w:num w:numId="38" w16cid:durableId="453135935">
    <w:abstractNumId w:val="9"/>
  </w:num>
  <w:num w:numId="39" w16cid:durableId="1109549458">
    <w:abstractNumId w:val="36"/>
  </w:num>
  <w:num w:numId="40" w16cid:durableId="1794516842">
    <w:abstractNumId w:val="3"/>
  </w:num>
  <w:num w:numId="41" w16cid:durableId="526911468">
    <w:abstractNumId w:val="18"/>
  </w:num>
  <w:num w:numId="42" w16cid:durableId="21790264">
    <w:abstractNumId w:val="40"/>
  </w:num>
  <w:num w:numId="43" w16cid:durableId="1756629076">
    <w:abstractNumId w:val="16"/>
  </w:num>
  <w:num w:numId="44" w16cid:durableId="1336306805">
    <w:abstractNumId w:val="13"/>
  </w:num>
  <w:num w:numId="45" w16cid:durableId="1089350537">
    <w:abstractNumId w:val="3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932"/>
    <w:rsid w:val="000006DC"/>
    <w:rsid w:val="000011E5"/>
    <w:rsid w:val="00001A2D"/>
    <w:rsid w:val="00001C68"/>
    <w:rsid w:val="00002B62"/>
    <w:rsid w:val="00003922"/>
    <w:rsid w:val="00005575"/>
    <w:rsid w:val="000062F2"/>
    <w:rsid w:val="00006B0E"/>
    <w:rsid w:val="00011382"/>
    <w:rsid w:val="0001330A"/>
    <w:rsid w:val="0001359E"/>
    <w:rsid w:val="00023460"/>
    <w:rsid w:val="000254A1"/>
    <w:rsid w:val="000256D9"/>
    <w:rsid w:val="000307F1"/>
    <w:rsid w:val="0003127D"/>
    <w:rsid w:val="000314A3"/>
    <w:rsid w:val="00035231"/>
    <w:rsid w:val="00035D39"/>
    <w:rsid w:val="00041DE2"/>
    <w:rsid w:val="00042355"/>
    <w:rsid w:val="00042682"/>
    <w:rsid w:val="000426E7"/>
    <w:rsid w:val="0004335B"/>
    <w:rsid w:val="000433FD"/>
    <w:rsid w:val="0004379F"/>
    <w:rsid w:val="0004598E"/>
    <w:rsid w:val="00045E28"/>
    <w:rsid w:val="00052FE3"/>
    <w:rsid w:val="000628B6"/>
    <w:rsid w:val="00072F22"/>
    <w:rsid w:val="00081AC1"/>
    <w:rsid w:val="00081C8B"/>
    <w:rsid w:val="0008260C"/>
    <w:rsid w:val="00084165"/>
    <w:rsid w:val="00084418"/>
    <w:rsid w:val="00086068"/>
    <w:rsid w:val="000868F9"/>
    <w:rsid w:val="0008746B"/>
    <w:rsid w:val="0009101A"/>
    <w:rsid w:val="00091F53"/>
    <w:rsid w:val="00092000"/>
    <w:rsid w:val="00094100"/>
    <w:rsid w:val="0009650F"/>
    <w:rsid w:val="00097CCD"/>
    <w:rsid w:val="000A0872"/>
    <w:rsid w:val="000A092F"/>
    <w:rsid w:val="000A56A9"/>
    <w:rsid w:val="000B2EDD"/>
    <w:rsid w:val="000B3063"/>
    <w:rsid w:val="000B4442"/>
    <w:rsid w:val="000B5F40"/>
    <w:rsid w:val="000B6106"/>
    <w:rsid w:val="000B7187"/>
    <w:rsid w:val="000C415F"/>
    <w:rsid w:val="000C6778"/>
    <w:rsid w:val="000C75C8"/>
    <w:rsid w:val="000D5B65"/>
    <w:rsid w:val="000D6248"/>
    <w:rsid w:val="000E1A86"/>
    <w:rsid w:val="000E22AB"/>
    <w:rsid w:val="000E29F8"/>
    <w:rsid w:val="000E3E54"/>
    <w:rsid w:val="000E45EB"/>
    <w:rsid w:val="000F271C"/>
    <w:rsid w:val="000F36DE"/>
    <w:rsid w:val="000F57FC"/>
    <w:rsid w:val="001013C4"/>
    <w:rsid w:val="001048C4"/>
    <w:rsid w:val="001049EB"/>
    <w:rsid w:val="00104E96"/>
    <w:rsid w:val="00105168"/>
    <w:rsid w:val="001070A7"/>
    <w:rsid w:val="0010718C"/>
    <w:rsid w:val="00110830"/>
    <w:rsid w:val="00111C9A"/>
    <w:rsid w:val="00113465"/>
    <w:rsid w:val="00114DC0"/>
    <w:rsid w:val="001151CD"/>
    <w:rsid w:val="00115B62"/>
    <w:rsid w:val="00115FD8"/>
    <w:rsid w:val="001165AB"/>
    <w:rsid w:val="0011786E"/>
    <w:rsid w:val="001203F5"/>
    <w:rsid w:val="00120724"/>
    <w:rsid w:val="0012335B"/>
    <w:rsid w:val="001235EB"/>
    <w:rsid w:val="00123B07"/>
    <w:rsid w:val="00124564"/>
    <w:rsid w:val="00124C55"/>
    <w:rsid w:val="00126548"/>
    <w:rsid w:val="00136786"/>
    <w:rsid w:val="00136DEC"/>
    <w:rsid w:val="00137325"/>
    <w:rsid w:val="00137C46"/>
    <w:rsid w:val="00137E13"/>
    <w:rsid w:val="00141C66"/>
    <w:rsid w:val="001447D3"/>
    <w:rsid w:val="0014580A"/>
    <w:rsid w:val="00145A4F"/>
    <w:rsid w:val="00146578"/>
    <w:rsid w:val="00147B99"/>
    <w:rsid w:val="00147C47"/>
    <w:rsid w:val="001515DC"/>
    <w:rsid w:val="00154189"/>
    <w:rsid w:val="00160207"/>
    <w:rsid w:val="00160E3E"/>
    <w:rsid w:val="0016160E"/>
    <w:rsid w:val="001638DB"/>
    <w:rsid w:val="0016672A"/>
    <w:rsid w:val="00171417"/>
    <w:rsid w:val="001727FA"/>
    <w:rsid w:val="0017388B"/>
    <w:rsid w:val="001741CF"/>
    <w:rsid w:val="001753A3"/>
    <w:rsid w:val="001760EA"/>
    <w:rsid w:val="00180551"/>
    <w:rsid w:val="0018133F"/>
    <w:rsid w:val="00184498"/>
    <w:rsid w:val="00184A31"/>
    <w:rsid w:val="001866D5"/>
    <w:rsid w:val="00187FF3"/>
    <w:rsid w:val="00197FCD"/>
    <w:rsid w:val="001A2E4F"/>
    <w:rsid w:val="001A3715"/>
    <w:rsid w:val="001A3B02"/>
    <w:rsid w:val="001A61CE"/>
    <w:rsid w:val="001A6280"/>
    <w:rsid w:val="001B1C3A"/>
    <w:rsid w:val="001B45ED"/>
    <w:rsid w:val="001B51CF"/>
    <w:rsid w:val="001B566C"/>
    <w:rsid w:val="001B59CB"/>
    <w:rsid w:val="001B63EC"/>
    <w:rsid w:val="001B7DE5"/>
    <w:rsid w:val="001C09B3"/>
    <w:rsid w:val="001C188F"/>
    <w:rsid w:val="001C1C98"/>
    <w:rsid w:val="001C767A"/>
    <w:rsid w:val="001D0554"/>
    <w:rsid w:val="001D06F8"/>
    <w:rsid w:val="001D256E"/>
    <w:rsid w:val="001D36D8"/>
    <w:rsid w:val="001D4450"/>
    <w:rsid w:val="001D5643"/>
    <w:rsid w:val="001E0759"/>
    <w:rsid w:val="001E0E0C"/>
    <w:rsid w:val="001E11EF"/>
    <w:rsid w:val="001E5636"/>
    <w:rsid w:val="001E7FE1"/>
    <w:rsid w:val="001F106F"/>
    <w:rsid w:val="001F2300"/>
    <w:rsid w:val="001F50BD"/>
    <w:rsid w:val="001F606A"/>
    <w:rsid w:val="001F63CD"/>
    <w:rsid w:val="00200E49"/>
    <w:rsid w:val="002022BF"/>
    <w:rsid w:val="002040B6"/>
    <w:rsid w:val="00212B2F"/>
    <w:rsid w:val="002149D7"/>
    <w:rsid w:val="00216169"/>
    <w:rsid w:val="00217DE0"/>
    <w:rsid w:val="00220A20"/>
    <w:rsid w:val="00224D8E"/>
    <w:rsid w:val="00226023"/>
    <w:rsid w:val="00227EA0"/>
    <w:rsid w:val="0023086B"/>
    <w:rsid w:val="002324A7"/>
    <w:rsid w:val="00232A6E"/>
    <w:rsid w:val="00233280"/>
    <w:rsid w:val="002332C0"/>
    <w:rsid w:val="00233874"/>
    <w:rsid w:val="002377D0"/>
    <w:rsid w:val="00244486"/>
    <w:rsid w:val="00246707"/>
    <w:rsid w:val="002501D5"/>
    <w:rsid w:val="00252075"/>
    <w:rsid w:val="00257B86"/>
    <w:rsid w:val="00257E5A"/>
    <w:rsid w:val="00260C14"/>
    <w:rsid w:val="00270023"/>
    <w:rsid w:val="0027033D"/>
    <w:rsid w:val="00273A82"/>
    <w:rsid w:val="002746C0"/>
    <w:rsid w:val="002768CA"/>
    <w:rsid w:val="00276ECF"/>
    <w:rsid w:val="00280A19"/>
    <w:rsid w:val="002815A0"/>
    <w:rsid w:val="00283CEC"/>
    <w:rsid w:val="0028406D"/>
    <w:rsid w:val="0028436E"/>
    <w:rsid w:val="00286785"/>
    <w:rsid w:val="00286FD6"/>
    <w:rsid w:val="00294ABA"/>
    <w:rsid w:val="00294D00"/>
    <w:rsid w:val="00296FF6"/>
    <w:rsid w:val="00297282"/>
    <w:rsid w:val="002A3300"/>
    <w:rsid w:val="002A48C1"/>
    <w:rsid w:val="002A5B90"/>
    <w:rsid w:val="002A7D92"/>
    <w:rsid w:val="002B04E9"/>
    <w:rsid w:val="002B0CCD"/>
    <w:rsid w:val="002B34FE"/>
    <w:rsid w:val="002B3EB9"/>
    <w:rsid w:val="002B5F32"/>
    <w:rsid w:val="002B60EE"/>
    <w:rsid w:val="002C304C"/>
    <w:rsid w:val="002C41FA"/>
    <w:rsid w:val="002D2510"/>
    <w:rsid w:val="002D72E4"/>
    <w:rsid w:val="002E1C53"/>
    <w:rsid w:val="002E302E"/>
    <w:rsid w:val="002E34CA"/>
    <w:rsid w:val="002F1784"/>
    <w:rsid w:val="002F2594"/>
    <w:rsid w:val="002F2FBC"/>
    <w:rsid w:val="002F396D"/>
    <w:rsid w:val="002F5530"/>
    <w:rsid w:val="002F620C"/>
    <w:rsid w:val="00305CC4"/>
    <w:rsid w:val="00310969"/>
    <w:rsid w:val="00316624"/>
    <w:rsid w:val="00320536"/>
    <w:rsid w:val="00320AAC"/>
    <w:rsid w:val="00322D50"/>
    <w:rsid w:val="00322F01"/>
    <w:rsid w:val="00323683"/>
    <w:rsid w:val="00333698"/>
    <w:rsid w:val="00333E6E"/>
    <w:rsid w:val="00334A9B"/>
    <w:rsid w:val="003359F3"/>
    <w:rsid w:val="00335AAF"/>
    <w:rsid w:val="00336EC0"/>
    <w:rsid w:val="00336FA9"/>
    <w:rsid w:val="0034018C"/>
    <w:rsid w:val="003412F1"/>
    <w:rsid w:val="00342678"/>
    <w:rsid w:val="003437E5"/>
    <w:rsid w:val="00345931"/>
    <w:rsid w:val="003472C9"/>
    <w:rsid w:val="0034737F"/>
    <w:rsid w:val="003510CC"/>
    <w:rsid w:val="00352B5B"/>
    <w:rsid w:val="00355A47"/>
    <w:rsid w:val="003608FE"/>
    <w:rsid w:val="00363DA4"/>
    <w:rsid w:val="00365EF9"/>
    <w:rsid w:val="00366242"/>
    <w:rsid w:val="003668DC"/>
    <w:rsid w:val="00367C23"/>
    <w:rsid w:val="003719B8"/>
    <w:rsid w:val="00374DC9"/>
    <w:rsid w:val="0037578B"/>
    <w:rsid w:val="00387033"/>
    <w:rsid w:val="003879ED"/>
    <w:rsid w:val="00392601"/>
    <w:rsid w:val="00392FD0"/>
    <w:rsid w:val="003935AC"/>
    <w:rsid w:val="00394B8A"/>
    <w:rsid w:val="00397C73"/>
    <w:rsid w:val="003A3AFD"/>
    <w:rsid w:val="003A3C3E"/>
    <w:rsid w:val="003A5B9A"/>
    <w:rsid w:val="003B198C"/>
    <w:rsid w:val="003B4104"/>
    <w:rsid w:val="003B4D48"/>
    <w:rsid w:val="003B6628"/>
    <w:rsid w:val="003C17EF"/>
    <w:rsid w:val="003C46B2"/>
    <w:rsid w:val="003D30B8"/>
    <w:rsid w:val="003D3478"/>
    <w:rsid w:val="003D3530"/>
    <w:rsid w:val="003D43CD"/>
    <w:rsid w:val="003D4675"/>
    <w:rsid w:val="003E1224"/>
    <w:rsid w:val="003E2932"/>
    <w:rsid w:val="003E32AC"/>
    <w:rsid w:val="003E3888"/>
    <w:rsid w:val="003E582E"/>
    <w:rsid w:val="003E64DB"/>
    <w:rsid w:val="003E684D"/>
    <w:rsid w:val="003F1574"/>
    <w:rsid w:val="003F6B38"/>
    <w:rsid w:val="00402673"/>
    <w:rsid w:val="00405CF8"/>
    <w:rsid w:val="004065B4"/>
    <w:rsid w:val="00406686"/>
    <w:rsid w:val="004066DA"/>
    <w:rsid w:val="0041028D"/>
    <w:rsid w:val="00410822"/>
    <w:rsid w:val="0041177B"/>
    <w:rsid w:val="0041452E"/>
    <w:rsid w:val="00414B97"/>
    <w:rsid w:val="00414D10"/>
    <w:rsid w:val="0041572D"/>
    <w:rsid w:val="0042240F"/>
    <w:rsid w:val="00422F62"/>
    <w:rsid w:val="004236BE"/>
    <w:rsid w:val="00424FC2"/>
    <w:rsid w:val="0042547B"/>
    <w:rsid w:val="004262F2"/>
    <w:rsid w:val="004268AD"/>
    <w:rsid w:val="0043441D"/>
    <w:rsid w:val="004362A4"/>
    <w:rsid w:val="00440B8E"/>
    <w:rsid w:val="0044193F"/>
    <w:rsid w:val="00442B6D"/>
    <w:rsid w:val="004459B1"/>
    <w:rsid w:val="00450F3F"/>
    <w:rsid w:val="004514F4"/>
    <w:rsid w:val="00452610"/>
    <w:rsid w:val="004526EF"/>
    <w:rsid w:val="0045294C"/>
    <w:rsid w:val="00453C3C"/>
    <w:rsid w:val="004543B1"/>
    <w:rsid w:val="004556A9"/>
    <w:rsid w:val="004618A9"/>
    <w:rsid w:val="00463A61"/>
    <w:rsid w:val="00464E4B"/>
    <w:rsid w:val="004651F7"/>
    <w:rsid w:val="00470DF0"/>
    <w:rsid w:val="00470E3B"/>
    <w:rsid w:val="00471E5A"/>
    <w:rsid w:val="004723C3"/>
    <w:rsid w:val="00474B95"/>
    <w:rsid w:val="00477760"/>
    <w:rsid w:val="004777D0"/>
    <w:rsid w:val="004819E0"/>
    <w:rsid w:val="004819E9"/>
    <w:rsid w:val="00481EED"/>
    <w:rsid w:val="00482A6B"/>
    <w:rsid w:val="00485BA6"/>
    <w:rsid w:val="00485BF9"/>
    <w:rsid w:val="004868D5"/>
    <w:rsid w:val="00490041"/>
    <w:rsid w:val="00490CE6"/>
    <w:rsid w:val="004929AC"/>
    <w:rsid w:val="00494ED0"/>
    <w:rsid w:val="00494F1B"/>
    <w:rsid w:val="004A122D"/>
    <w:rsid w:val="004A418C"/>
    <w:rsid w:val="004A5344"/>
    <w:rsid w:val="004A5AD0"/>
    <w:rsid w:val="004A6DF8"/>
    <w:rsid w:val="004B0E10"/>
    <w:rsid w:val="004B3CB0"/>
    <w:rsid w:val="004B58D0"/>
    <w:rsid w:val="004C0DF6"/>
    <w:rsid w:val="004C132F"/>
    <w:rsid w:val="004C306B"/>
    <w:rsid w:val="004C533B"/>
    <w:rsid w:val="004C698C"/>
    <w:rsid w:val="004D020F"/>
    <w:rsid w:val="004D0879"/>
    <w:rsid w:val="004D1E57"/>
    <w:rsid w:val="004D3237"/>
    <w:rsid w:val="004D4ACF"/>
    <w:rsid w:val="004D6772"/>
    <w:rsid w:val="004D6F6B"/>
    <w:rsid w:val="004D7EA0"/>
    <w:rsid w:val="004E1368"/>
    <w:rsid w:val="004E268B"/>
    <w:rsid w:val="004E76C0"/>
    <w:rsid w:val="004F0A20"/>
    <w:rsid w:val="004F10BD"/>
    <w:rsid w:val="004F6C84"/>
    <w:rsid w:val="005007C3"/>
    <w:rsid w:val="00502863"/>
    <w:rsid w:val="005046BB"/>
    <w:rsid w:val="005049F3"/>
    <w:rsid w:val="00506C64"/>
    <w:rsid w:val="005108AC"/>
    <w:rsid w:val="005122D0"/>
    <w:rsid w:val="00513209"/>
    <w:rsid w:val="0051660E"/>
    <w:rsid w:val="005203FA"/>
    <w:rsid w:val="00520E0E"/>
    <w:rsid w:val="00522F32"/>
    <w:rsid w:val="005241B9"/>
    <w:rsid w:val="00530EA0"/>
    <w:rsid w:val="00531110"/>
    <w:rsid w:val="00534769"/>
    <w:rsid w:val="00534C4C"/>
    <w:rsid w:val="00535B63"/>
    <w:rsid w:val="00535C7C"/>
    <w:rsid w:val="00536A48"/>
    <w:rsid w:val="00537451"/>
    <w:rsid w:val="00541DED"/>
    <w:rsid w:val="005420CC"/>
    <w:rsid w:val="005435B9"/>
    <w:rsid w:val="0054474F"/>
    <w:rsid w:val="00546286"/>
    <w:rsid w:val="0054706C"/>
    <w:rsid w:val="00551E37"/>
    <w:rsid w:val="00552B7C"/>
    <w:rsid w:val="00552C36"/>
    <w:rsid w:val="00553221"/>
    <w:rsid w:val="00553860"/>
    <w:rsid w:val="00554750"/>
    <w:rsid w:val="00554B40"/>
    <w:rsid w:val="00557506"/>
    <w:rsid w:val="0056088A"/>
    <w:rsid w:val="00560DFC"/>
    <w:rsid w:val="00561CC0"/>
    <w:rsid w:val="00561E96"/>
    <w:rsid w:val="00562AD2"/>
    <w:rsid w:val="00565B3D"/>
    <w:rsid w:val="00566505"/>
    <w:rsid w:val="005707F0"/>
    <w:rsid w:val="00571D5F"/>
    <w:rsid w:val="0057266A"/>
    <w:rsid w:val="00574F9D"/>
    <w:rsid w:val="005755E7"/>
    <w:rsid w:val="00575B6B"/>
    <w:rsid w:val="00576C87"/>
    <w:rsid w:val="00576F39"/>
    <w:rsid w:val="00580181"/>
    <w:rsid w:val="005813B7"/>
    <w:rsid w:val="005815DB"/>
    <w:rsid w:val="00581671"/>
    <w:rsid w:val="005817F9"/>
    <w:rsid w:val="005819CE"/>
    <w:rsid w:val="00581AB7"/>
    <w:rsid w:val="00581E5F"/>
    <w:rsid w:val="0058262C"/>
    <w:rsid w:val="00583637"/>
    <w:rsid w:val="005866BC"/>
    <w:rsid w:val="00586D78"/>
    <w:rsid w:val="00590D36"/>
    <w:rsid w:val="00591649"/>
    <w:rsid w:val="005933AE"/>
    <w:rsid w:val="0059670F"/>
    <w:rsid w:val="005A13CE"/>
    <w:rsid w:val="005A178C"/>
    <w:rsid w:val="005A589B"/>
    <w:rsid w:val="005A603D"/>
    <w:rsid w:val="005A6286"/>
    <w:rsid w:val="005A7239"/>
    <w:rsid w:val="005B26AB"/>
    <w:rsid w:val="005B6B90"/>
    <w:rsid w:val="005C1ABC"/>
    <w:rsid w:val="005C34ED"/>
    <w:rsid w:val="005C72B5"/>
    <w:rsid w:val="005C743A"/>
    <w:rsid w:val="005D0E48"/>
    <w:rsid w:val="005D16CA"/>
    <w:rsid w:val="005D28C3"/>
    <w:rsid w:val="005D4B2A"/>
    <w:rsid w:val="005D5610"/>
    <w:rsid w:val="005D5AB7"/>
    <w:rsid w:val="005E253C"/>
    <w:rsid w:val="005E4B9C"/>
    <w:rsid w:val="005E554A"/>
    <w:rsid w:val="005E63F6"/>
    <w:rsid w:val="005E7473"/>
    <w:rsid w:val="005F36A1"/>
    <w:rsid w:val="005F36DB"/>
    <w:rsid w:val="005F4BDB"/>
    <w:rsid w:val="005F4E72"/>
    <w:rsid w:val="005F5795"/>
    <w:rsid w:val="00605313"/>
    <w:rsid w:val="00610001"/>
    <w:rsid w:val="00610D17"/>
    <w:rsid w:val="00612AC8"/>
    <w:rsid w:val="006147A1"/>
    <w:rsid w:val="00617561"/>
    <w:rsid w:val="006205D4"/>
    <w:rsid w:val="0062300E"/>
    <w:rsid w:val="006249A1"/>
    <w:rsid w:val="00624A89"/>
    <w:rsid w:val="00626017"/>
    <w:rsid w:val="00627998"/>
    <w:rsid w:val="00627F51"/>
    <w:rsid w:val="006302D0"/>
    <w:rsid w:val="00630D66"/>
    <w:rsid w:val="006330ED"/>
    <w:rsid w:val="00633D38"/>
    <w:rsid w:val="00635279"/>
    <w:rsid w:val="00635670"/>
    <w:rsid w:val="00640F8B"/>
    <w:rsid w:val="006410C4"/>
    <w:rsid w:val="00644530"/>
    <w:rsid w:val="00644FF8"/>
    <w:rsid w:val="00645D36"/>
    <w:rsid w:val="0064679C"/>
    <w:rsid w:val="006506D7"/>
    <w:rsid w:val="006517FF"/>
    <w:rsid w:val="00651903"/>
    <w:rsid w:val="00651C8E"/>
    <w:rsid w:val="00653EC4"/>
    <w:rsid w:val="00654C87"/>
    <w:rsid w:val="006553B7"/>
    <w:rsid w:val="00656518"/>
    <w:rsid w:val="00656596"/>
    <w:rsid w:val="00662FDA"/>
    <w:rsid w:val="006634D4"/>
    <w:rsid w:val="00663713"/>
    <w:rsid w:val="0066409F"/>
    <w:rsid w:val="00664417"/>
    <w:rsid w:val="00665B3F"/>
    <w:rsid w:val="00666A2A"/>
    <w:rsid w:val="006727B2"/>
    <w:rsid w:val="00676F3C"/>
    <w:rsid w:val="00680092"/>
    <w:rsid w:val="0068082F"/>
    <w:rsid w:val="00683AA8"/>
    <w:rsid w:val="00684BCC"/>
    <w:rsid w:val="00686FEF"/>
    <w:rsid w:val="00687C36"/>
    <w:rsid w:val="0069007E"/>
    <w:rsid w:val="0069086F"/>
    <w:rsid w:val="0069098F"/>
    <w:rsid w:val="00691384"/>
    <w:rsid w:val="00692D62"/>
    <w:rsid w:val="00693782"/>
    <w:rsid w:val="0069422F"/>
    <w:rsid w:val="00695358"/>
    <w:rsid w:val="00695560"/>
    <w:rsid w:val="00695BB6"/>
    <w:rsid w:val="00695BBF"/>
    <w:rsid w:val="006A17FE"/>
    <w:rsid w:val="006A2314"/>
    <w:rsid w:val="006A3809"/>
    <w:rsid w:val="006A537F"/>
    <w:rsid w:val="006A5C91"/>
    <w:rsid w:val="006B0B5B"/>
    <w:rsid w:val="006B201E"/>
    <w:rsid w:val="006B4EAF"/>
    <w:rsid w:val="006B6E18"/>
    <w:rsid w:val="006B7C57"/>
    <w:rsid w:val="006C0F0C"/>
    <w:rsid w:val="006C1190"/>
    <w:rsid w:val="006C4484"/>
    <w:rsid w:val="006C492B"/>
    <w:rsid w:val="006C651F"/>
    <w:rsid w:val="006C6DF5"/>
    <w:rsid w:val="006C714A"/>
    <w:rsid w:val="006D0965"/>
    <w:rsid w:val="006D28E5"/>
    <w:rsid w:val="006D2A57"/>
    <w:rsid w:val="006D2CC6"/>
    <w:rsid w:val="006D30B9"/>
    <w:rsid w:val="006D4157"/>
    <w:rsid w:val="006D56B9"/>
    <w:rsid w:val="006D6D2C"/>
    <w:rsid w:val="006D7EEA"/>
    <w:rsid w:val="006E0875"/>
    <w:rsid w:val="006E0A5C"/>
    <w:rsid w:val="006E11B1"/>
    <w:rsid w:val="006E1263"/>
    <w:rsid w:val="006E131C"/>
    <w:rsid w:val="006E1566"/>
    <w:rsid w:val="006E176E"/>
    <w:rsid w:val="006E1E97"/>
    <w:rsid w:val="006E3DED"/>
    <w:rsid w:val="006E4134"/>
    <w:rsid w:val="006E4B83"/>
    <w:rsid w:val="006E50B8"/>
    <w:rsid w:val="006E6722"/>
    <w:rsid w:val="006E7177"/>
    <w:rsid w:val="006E7262"/>
    <w:rsid w:val="006E7A40"/>
    <w:rsid w:val="006F0F77"/>
    <w:rsid w:val="006F1817"/>
    <w:rsid w:val="006F198F"/>
    <w:rsid w:val="006F49C6"/>
    <w:rsid w:val="006F600B"/>
    <w:rsid w:val="006F647D"/>
    <w:rsid w:val="00702214"/>
    <w:rsid w:val="00704F3E"/>
    <w:rsid w:val="007057BE"/>
    <w:rsid w:val="00713428"/>
    <w:rsid w:val="00713EBA"/>
    <w:rsid w:val="00715518"/>
    <w:rsid w:val="0071688D"/>
    <w:rsid w:val="00720786"/>
    <w:rsid w:val="007223DC"/>
    <w:rsid w:val="00726FD4"/>
    <w:rsid w:val="00731CF4"/>
    <w:rsid w:val="007321FF"/>
    <w:rsid w:val="00737294"/>
    <w:rsid w:val="007373C9"/>
    <w:rsid w:val="00737C53"/>
    <w:rsid w:val="00737E75"/>
    <w:rsid w:val="00742000"/>
    <w:rsid w:val="00742BFE"/>
    <w:rsid w:val="00746779"/>
    <w:rsid w:val="00746A77"/>
    <w:rsid w:val="007506B9"/>
    <w:rsid w:val="007535AF"/>
    <w:rsid w:val="0075645A"/>
    <w:rsid w:val="00756CCF"/>
    <w:rsid w:val="00760E9C"/>
    <w:rsid w:val="0076331C"/>
    <w:rsid w:val="00763912"/>
    <w:rsid w:val="007649FC"/>
    <w:rsid w:val="007672D9"/>
    <w:rsid w:val="007677DE"/>
    <w:rsid w:val="00770145"/>
    <w:rsid w:val="00770803"/>
    <w:rsid w:val="007724AA"/>
    <w:rsid w:val="00772CF8"/>
    <w:rsid w:val="007746A4"/>
    <w:rsid w:val="007747D8"/>
    <w:rsid w:val="00776BD3"/>
    <w:rsid w:val="00777A48"/>
    <w:rsid w:val="00780259"/>
    <w:rsid w:val="007843DA"/>
    <w:rsid w:val="00786CD5"/>
    <w:rsid w:val="00787D7B"/>
    <w:rsid w:val="007906A9"/>
    <w:rsid w:val="0079095A"/>
    <w:rsid w:val="00791FAE"/>
    <w:rsid w:val="00792B98"/>
    <w:rsid w:val="007934F5"/>
    <w:rsid w:val="00794795"/>
    <w:rsid w:val="00795674"/>
    <w:rsid w:val="0079575C"/>
    <w:rsid w:val="007972FF"/>
    <w:rsid w:val="007A03BC"/>
    <w:rsid w:val="007A1D5E"/>
    <w:rsid w:val="007A6E53"/>
    <w:rsid w:val="007A700C"/>
    <w:rsid w:val="007A70D1"/>
    <w:rsid w:val="007B0FF7"/>
    <w:rsid w:val="007B1DF3"/>
    <w:rsid w:val="007B4B8E"/>
    <w:rsid w:val="007B5F96"/>
    <w:rsid w:val="007B6292"/>
    <w:rsid w:val="007B670A"/>
    <w:rsid w:val="007B7BCE"/>
    <w:rsid w:val="007C06CD"/>
    <w:rsid w:val="007C168B"/>
    <w:rsid w:val="007C30FE"/>
    <w:rsid w:val="007C56AC"/>
    <w:rsid w:val="007C6E8B"/>
    <w:rsid w:val="007C7BFF"/>
    <w:rsid w:val="007D01A2"/>
    <w:rsid w:val="007D0FF9"/>
    <w:rsid w:val="007D226C"/>
    <w:rsid w:val="007D2A08"/>
    <w:rsid w:val="007D3049"/>
    <w:rsid w:val="007D5C65"/>
    <w:rsid w:val="007D5CB8"/>
    <w:rsid w:val="007D609F"/>
    <w:rsid w:val="007E0373"/>
    <w:rsid w:val="007E1D89"/>
    <w:rsid w:val="007E202F"/>
    <w:rsid w:val="007E2504"/>
    <w:rsid w:val="007E4C1C"/>
    <w:rsid w:val="007E680C"/>
    <w:rsid w:val="007E70EB"/>
    <w:rsid w:val="007F2A41"/>
    <w:rsid w:val="007F3C99"/>
    <w:rsid w:val="007F41F9"/>
    <w:rsid w:val="007F4977"/>
    <w:rsid w:val="007F50E7"/>
    <w:rsid w:val="007F6D97"/>
    <w:rsid w:val="00802C72"/>
    <w:rsid w:val="00803147"/>
    <w:rsid w:val="00804096"/>
    <w:rsid w:val="0080459B"/>
    <w:rsid w:val="008052AC"/>
    <w:rsid w:val="008059AF"/>
    <w:rsid w:val="00806123"/>
    <w:rsid w:val="00806F12"/>
    <w:rsid w:val="008126BF"/>
    <w:rsid w:val="00812BA6"/>
    <w:rsid w:val="00815E3F"/>
    <w:rsid w:val="008208EE"/>
    <w:rsid w:val="00824C29"/>
    <w:rsid w:val="0083033D"/>
    <w:rsid w:val="0083088B"/>
    <w:rsid w:val="00830F80"/>
    <w:rsid w:val="00833183"/>
    <w:rsid w:val="00833EA3"/>
    <w:rsid w:val="00837DED"/>
    <w:rsid w:val="00841AFA"/>
    <w:rsid w:val="00841C10"/>
    <w:rsid w:val="00841D00"/>
    <w:rsid w:val="008426C7"/>
    <w:rsid w:val="00845E41"/>
    <w:rsid w:val="00846945"/>
    <w:rsid w:val="00847898"/>
    <w:rsid w:val="008479D6"/>
    <w:rsid w:val="008534C8"/>
    <w:rsid w:val="008564DB"/>
    <w:rsid w:val="00856B38"/>
    <w:rsid w:val="0085763B"/>
    <w:rsid w:val="00857A20"/>
    <w:rsid w:val="00860681"/>
    <w:rsid w:val="008611CC"/>
    <w:rsid w:val="00861FA5"/>
    <w:rsid w:val="00864AC0"/>
    <w:rsid w:val="00864D20"/>
    <w:rsid w:val="00864D67"/>
    <w:rsid w:val="00864F43"/>
    <w:rsid w:val="008658BC"/>
    <w:rsid w:val="00866C04"/>
    <w:rsid w:val="00871823"/>
    <w:rsid w:val="00873A38"/>
    <w:rsid w:val="0087521F"/>
    <w:rsid w:val="00877726"/>
    <w:rsid w:val="00882DDC"/>
    <w:rsid w:val="0088553E"/>
    <w:rsid w:val="00891698"/>
    <w:rsid w:val="00892356"/>
    <w:rsid w:val="00892456"/>
    <w:rsid w:val="0089669B"/>
    <w:rsid w:val="008A0971"/>
    <w:rsid w:val="008A4FDD"/>
    <w:rsid w:val="008A51A0"/>
    <w:rsid w:val="008A5CD6"/>
    <w:rsid w:val="008B148A"/>
    <w:rsid w:val="008B1C5C"/>
    <w:rsid w:val="008B55DB"/>
    <w:rsid w:val="008B6F75"/>
    <w:rsid w:val="008C00D9"/>
    <w:rsid w:val="008C5777"/>
    <w:rsid w:val="008D014B"/>
    <w:rsid w:val="008D0DA4"/>
    <w:rsid w:val="008D1012"/>
    <w:rsid w:val="008D2536"/>
    <w:rsid w:val="008D2A99"/>
    <w:rsid w:val="008D51FB"/>
    <w:rsid w:val="008D6212"/>
    <w:rsid w:val="008D72B3"/>
    <w:rsid w:val="008D77A1"/>
    <w:rsid w:val="008E2E2C"/>
    <w:rsid w:val="008E3615"/>
    <w:rsid w:val="008F0119"/>
    <w:rsid w:val="008F109F"/>
    <w:rsid w:val="008F1C0A"/>
    <w:rsid w:val="008F28C3"/>
    <w:rsid w:val="00902464"/>
    <w:rsid w:val="00902814"/>
    <w:rsid w:val="0090458B"/>
    <w:rsid w:val="00905547"/>
    <w:rsid w:val="009068D6"/>
    <w:rsid w:val="009077F0"/>
    <w:rsid w:val="00910612"/>
    <w:rsid w:val="00912279"/>
    <w:rsid w:val="0091263B"/>
    <w:rsid w:val="00913B69"/>
    <w:rsid w:val="00915F21"/>
    <w:rsid w:val="009204FA"/>
    <w:rsid w:val="00924B46"/>
    <w:rsid w:val="00926812"/>
    <w:rsid w:val="0092794E"/>
    <w:rsid w:val="00931D44"/>
    <w:rsid w:val="00932161"/>
    <w:rsid w:val="00933C1D"/>
    <w:rsid w:val="00936294"/>
    <w:rsid w:val="00936A61"/>
    <w:rsid w:val="00941C32"/>
    <w:rsid w:val="00943A1F"/>
    <w:rsid w:val="009445B0"/>
    <w:rsid w:val="00945CBB"/>
    <w:rsid w:val="0094707C"/>
    <w:rsid w:val="00947BE8"/>
    <w:rsid w:val="00951F9B"/>
    <w:rsid w:val="009540E5"/>
    <w:rsid w:val="0095419B"/>
    <w:rsid w:val="009554A6"/>
    <w:rsid w:val="009566AF"/>
    <w:rsid w:val="00956899"/>
    <w:rsid w:val="00960CF5"/>
    <w:rsid w:val="0096158E"/>
    <w:rsid w:val="00962CB0"/>
    <w:rsid w:val="00966FD5"/>
    <w:rsid w:val="0097036B"/>
    <w:rsid w:val="00971B4F"/>
    <w:rsid w:val="00972239"/>
    <w:rsid w:val="00975610"/>
    <w:rsid w:val="0097772B"/>
    <w:rsid w:val="00985280"/>
    <w:rsid w:val="0098534B"/>
    <w:rsid w:val="00987543"/>
    <w:rsid w:val="0098796D"/>
    <w:rsid w:val="009900DA"/>
    <w:rsid w:val="00991BF8"/>
    <w:rsid w:val="00993F6A"/>
    <w:rsid w:val="0099532D"/>
    <w:rsid w:val="00996BF8"/>
    <w:rsid w:val="00997706"/>
    <w:rsid w:val="009A0CCD"/>
    <w:rsid w:val="009A799B"/>
    <w:rsid w:val="009B04E8"/>
    <w:rsid w:val="009B1506"/>
    <w:rsid w:val="009B2DBD"/>
    <w:rsid w:val="009B43AD"/>
    <w:rsid w:val="009B4B9F"/>
    <w:rsid w:val="009B5AFF"/>
    <w:rsid w:val="009C033E"/>
    <w:rsid w:val="009C0FA7"/>
    <w:rsid w:val="009C1967"/>
    <w:rsid w:val="009C2EF2"/>
    <w:rsid w:val="009C5224"/>
    <w:rsid w:val="009C5C57"/>
    <w:rsid w:val="009C5D8C"/>
    <w:rsid w:val="009C5E0A"/>
    <w:rsid w:val="009C7BF2"/>
    <w:rsid w:val="009D3461"/>
    <w:rsid w:val="009D6396"/>
    <w:rsid w:val="009D65BE"/>
    <w:rsid w:val="009D67D6"/>
    <w:rsid w:val="009D6BC7"/>
    <w:rsid w:val="009E1E54"/>
    <w:rsid w:val="009E4060"/>
    <w:rsid w:val="009E5D19"/>
    <w:rsid w:val="009E5E9C"/>
    <w:rsid w:val="009E6B9B"/>
    <w:rsid w:val="009F07DC"/>
    <w:rsid w:val="009F384D"/>
    <w:rsid w:val="009F601F"/>
    <w:rsid w:val="009F720F"/>
    <w:rsid w:val="009F7F54"/>
    <w:rsid w:val="00A01230"/>
    <w:rsid w:val="00A053C7"/>
    <w:rsid w:val="00A05D2F"/>
    <w:rsid w:val="00A136D8"/>
    <w:rsid w:val="00A151A9"/>
    <w:rsid w:val="00A204A3"/>
    <w:rsid w:val="00A20793"/>
    <w:rsid w:val="00A2281A"/>
    <w:rsid w:val="00A258D4"/>
    <w:rsid w:val="00A26B61"/>
    <w:rsid w:val="00A27215"/>
    <w:rsid w:val="00A300C4"/>
    <w:rsid w:val="00A317BC"/>
    <w:rsid w:val="00A32FA8"/>
    <w:rsid w:val="00A35D20"/>
    <w:rsid w:val="00A36C75"/>
    <w:rsid w:val="00A378E0"/>
    <w:rsid w:val="00A414D9"/>
    <w:rsid w:val="00A44C86"/>
    <w:rsid w:val="00A44CFD"/>
    <w:rsid w:val="00A45DCC"/>
    <w:rsid w:val="00A466DF"/>
    <w:rsid w:val="00A46D24"/>
    <w:rsid w:val="00A52102"/>
    <w:rsid w:val="00A52FFD"/>
    <w:rsid w:val="00A5309E"/>
    <w:rsid w:val="00A539AC"/>
    <w:rsid w:val="00A55F65"/>
    <w:rsid w:val="00A5633C"/>
    <w:rsid w:val="00A62329"/>
    <w:rsid w:val="00A63282"/>
    <w:rsid w:val="00A64503"/>
    <w:rsid w:val="00A656BE"/>
    <w:rsid w:val="00A67656"/>
    <w:rsid w:val="00A70673"/>
    <w:rsid w:val="00A74A00"/>
    <w:rsid w:val="00A7511F"/>
    <w:rsid w:val="00A7565D"/>
    <w:rsid w:val="00A776AB"/>
    <w:rsid w:val="00A805A9"/>
    <w:rsid w:val="00A811C0"/>
    <w:rsid w:val="00A83ACE"/>
    <w:rsid w:val="00A83F68"/>
    <w:rsid w:val="00A84A33"/>
    <w:rsid w:val="00A86B3D"/>
    <w:rsid w:val="00A86D51"/>
    <w:rsid w:val="00A871D2"/>
    <w:rsid w:val="00A873F4"/>
    <w:rsid w:val="00A9633F"/>
    <w:rsid w:val="00AA3811"/>
    <w:rsid w:val="00AA3957"/>
    <w:rsid w:val="00AA4C29"/>
    <w:rsid w:val="00AA7900"/>
    <w:rsid w:val="00AB3E74"/>
    <w:rsid w:val="00AB4DF7"/>
    <w:rsid w:val="00AB7A9C"/>
    <w:rsid w:val="00AB7EC2"/>
    <w:rsid w:val="00AC09E1"/>
    <w:rsid w:val="00AC5228"/>
    <w:rsid w:val="00AC72C4"/>
    <w:rsid w:val="00AD015C"/>
    <w:rsid w:val="00AD042B"/>
    <w:rsid w:val="00AD1C06"/>
    <w:rsid w:val="00AE0169"/>
    <w:rsid w:val="00AE1CFB"/>
    <w:rsid w:val="00AE79F6"/>
    <w:rsid w:val="00AF00D8"/>
    <w:rsid w:val="00AF089C"/>
    <w:rsid w:val="00AF174E"/>
    <w:rsid w:val="00AF25D1"/>
    <w:rsid w:val="00AF318A"/>
    <w:rsid w:val="00AF4807"/>
    <w:rsid w:val="00AF7033"/>
    <w:rsid w:val="00AF78C9"/>
    <w:rsid w:val="00AF7DA3"/>
    <w:rsid w:val="00B00BB1"/>
    <w:rsid w:val="00B01DF8"/>
    <w:rsid w:val="00B02342"/>
    <w:rsid w:val="00B0370A"/>
    <w:rsid w:val="00B04FEA"/>
    <w:rsid w:val="00B06317"/>
    <w:rsid w:val="00B06DDD"/>
    <w:rsid w:val="00B1030B"/>
    <w:rsid w:val="00B12114"/>
    <w:rsid w:val="00B13149"/>
    <w:rsid w:val="00B157E7"/>
    <w:rsid w:val="00B17AC6"/>
    <w:rsid w:val="00B20C1E"/>
    <w:rsid w:val="00B210F6"/>
    <w:rsid w:val="00B2256C"/>
    <w:rsid w:val="00B227A0"/>
    <w:rsid w:val="00B23A4A"/>
    <w:rsid w:val="00B23C03"/>
    <w:rsid w:val="00B2490C"/>
    <w:rsid w:val="00B26A9C"/>
    <w:rsid w:val="00B26BF3"/>
    <w:rsid w:val="00B32048"/>
    <w:rsid w:val="00B3219C"/>
    <w:rsid w:val="00B32A82"/>
    <w:rsid w:val="00B32C67"/>
    <w:rsid w:val="00B33307"/>
    <w:rsid w:val="00B35FE5"/>
    <w:rsid w:val="00B369C0"/>
    <w:rsid w:val="00B36D21"/>
    <w:rsid w:val="00B417B2"/>
    <w:rsid w:val="00B46098"/>
    <w:rsid w:val="00B47D7E"/>
    <w:rsid w:val="00B50FC9"/>
    <w:rsid w:val="00B5259E"/>
    <w:rsid w:val="00B52BCD"/>
    <w:rsid w:val="00B54A9C"/>
    <w:rsid w:val="00B55C24"/>
    <w:rsid w:val="00B56556"/>
    <w:rsid w:val="00B571D5"/>
    <w:rsid w:val="00B57FEC"/>
    <w:rsid w:val="00B605C5"/>
    <w:rsid w:val="00B64454"/>
    <w:rsid w:val="00B66130"/>
    <w:rsid w:val="00B6653F"/>
    <w:rsid w:val="00B7244D"/>
    <w:rsid w:val="00B74661"/>
    <w:rsid w:val="00B7650D"/>
    <w:rsid w:val="00B76F13"/>
    <w:rsid w:val="00B8107C"/>
    <w:rsid w:val="00B823B0"/>
    <w:rsid w:val="00B82F58"/>
    <w:rsid w:val="00B84AF1"/>
    <w:rsid w:val="00B85F55"/>
    <w:rsid w:val="00B87449"/>
    <w:rsid w:val="00B90A03"/>
    <w:rsid w:val="00BA0051"/>
    <w:rsid w:val="00BA26FB"/>
    <w:rsid w:val="00BA324D"/>
    <w:rsid w:val="00BA4F3A"/>
    <w:rsid w:val="00BA5964"/>
    <w:rsid w:val="00BA59DD"/>
    <w:rsid w:val="00BA7776"/>
    <w:rsid w:val="00BB01B3"/>
    <w:rsid w:val="00BB0798"/>
    <w:rsid w:val="00BB282E"/>
    <w:rsid w:val="00BB327B"/>
    <w:rsid w:val="00BB683B"/>
    <w:rsid w:val="00BB7C3F"/>
    <w:rsid w:val="00BC21D5"/>
    <w:rsid w:val="00BC7A88"/>
    <w:rsid w:val="00BC7D1F"/>
    <w:rsid w:val="00BD36B8"/>
    <w:rsid w:val="00BD47BA"/>
    <w:rsid w:val="00BD5FB0"/>
    <w:rsid w:val="00BE06CF"/>
    <w:rsid w:val="00BE0AB1"/>
    <w:rsid w:val="00BE41A8"/>
    <w:rsid w:val="00BE4A9F"/>
    <w:rsid w:val="00BE5AA5"/>
    <w:rsid w:val="00BE62D8"/>
    <w:rsid w:val="00BE77AD"/>
    <w:rsid w:val="00BF0A41"/>
    <w:rsid w:val="00BF0F17"/>
    <w:rsid w:val="00BF1BE2"/>
    <w:rsid w:val="00BF30C2"/>
    <w:rsid w:val="00BF4416"/>
    <w:rsid w:val="00BF543A"/>
    <w:rsid w:val="00BF5C2E"/>
    <w:rsid w:val="00C01FED"/>
    <w:rsid w:val="00C033E5"/>
    <w:rsid w:val="00C0348B"/>
    <w:rsid w:val="00C04A44"/>
    <w:rsid w:val="00C04F75"/>
    <w:rsid w:val="00C05236"/>
    <w:rsid w:val="00C05DEF"/>
    <w:rsid w:val="00C06354"/>
    <w:rsid w:val="00C12859"/>
    <w:rsid w:val="00C13E0E"/>
    <w:rsid w:val="00C14695"/>
    <w:rsid w:val="00C1521B"/>
    <w:rsid w:val="00C255EA"/>
    <w:rsid w:val="00C26EB4"/>
    <w:rsid w:val="00C33652"/>
    <w:rsid w:val="00C3551A"/>
    <w:rsid w:val="00C36E15"/>
    <w:rsid w:val="00C40AAA"/>
    <w:rsid w:val="00C418AD"/>
    <w:rsid w:val="00C475DF"/>
    <w:rsid w:val="00C523B7"/>
    <w:rsid w:val="00C553A2"/>
    <w:rsid w:val="00C57145"/>
    <w:rsid w:val="00C578E6"/>
    <w:rsid w:val="00C6008C"/>
    <w:rsid w:val="00C617C8"/>
    <w:rsid w:val="00C6286C"/>
    <w:rsid w:val="00C65B01"/>
    <w:rsid w:val="00C65D1E"/>
    <w:rsid w:val="00C66578"/>
    <w:rsid w:val="00C6709C"/>
    <w:rsid w:val="00C67107"/>
    <w:rsid w:val="00C7364C"/>
    <w:rsid w:val="00C74E55"/>
    <w:rsid w:val="00C7531B"/>
    <w:rsid w:val="00C7721F"/>
    <w:rsid w:val="00C80DB4"/>
    <w:rsid w:val="00C81210"/>
    <w:rsid w:val="00C819EB"/>
    <w:rsid w:val="00C82CE1"/>
    <w:rsid w:val="00C87CE4"/>
    <w:rsid w:val="00C9194E"/>
    <w:rsid w:val="00C91E37"/>
    <w:rsid w:val="00C923B4"/>
    <w:rsid w:val="00C925A3"/>
    <w:rsid w:val="00C949DB"/>
    <w:rsid w:val="00C9560A"/>
    <w:rsid w:val="00C9571D"/>
    <w:rsid w:val="00CA0EE1"/>
    <w:rsid w:val="00CA361E"/>
    <w:rsid w:val="00CB0047"/>
    <w:rsid w:val="00CB0637"/>
    <w:rsid w:val="00CB0BF4"/>
    <w:rsid w:val="00CB24D0"/>
    <w:rsid w:val="00CB7659"/>
    <w:rsid w:val="00CC3B9A"/>
    <w:rsid w:val="00CC5DE6"/>
    <w:rsid w:val="00CC7021"/>
    <w:rsid w:val="00CD129C"/>
    <w:rsid w:val="00CD2A49"/>
    <w:rsid w:val="00CD71C7"/>
    <w:rsid w:val="00CD7E7C"/>
    <w:rsid w:val="00CE0B47"/>
    <w:rsid w:val="00CE1D93"/>
    <w:rsid w:val="00CE4734"/>
    <w:rsid w:val="00CE69EF"/>
    <w:rsid w:val="00CF2BEA"/>
    <w:rsid w:val="00CF5424"/>
    <w:rsid w:val="00CF7BEC"/>
    <w:rsid w:val="00D0085B"/>
    <w:rsid w:val="00D11E8E"/>
    <w:rsid w:val="00D14729"/>
    <w:rsid w:val="00D205D2"/>
    <w:rsid w:val="00D2115E"/>
    <w:rsid w:val="00D21B05"/>
    <w:rsid w:val="00D23186"/>
    <w:rsid w:val="00D231DA"/>
    <w:rsid w:val="00D232AE"/>
    <w:rsid w:val="00D241B8"/>
    <w:rsid w:val="00D243F6"/>
    <w:rsid w:val="00D2440D"/>
    <w:rsid w:val="00D25BE7"/>
    <w:rsid w:val="00D26886"/>
    <w:rsid w:val="00D30E19"/>
    <w:rsid w:val="00D32FA6"/>
    <w:rsid w:val="00D37ACE"/>
    <w:rsid w:val="00D37E9D"/>
    <w:rsid w:val="00D4264A"/>
    <w:rsid w:val="00D441D0"/>
    <w:rsid w:val="00D46EB6"/>
    <w:rsid w:val="00D508D7"/>
    <w:rsid w:val="00D533B7"/>
    <w:rsid w:val="00D57285"/>
    <w:rsid w:val="00D60A61"/>
    <w:rsid w:val="00D61CD3"/>
    <w:rsid w:val="00D720F2"/>
    <w:rsid w:val="00D72869"/>
    <w:rsid w:val="00D74AFA"/>
    <w:rsid w:val="00D752CB"/>
    <w:rsid w:val="00D760B9"/>
    <w:rsid w:val="00D773E3"/>
    <w:rsid w:val="00D776EB"/>
    <w:rsid w:val="00D807D8"/>
    <w:rsid w:val="00D861B1"/>
    <w:rsid w:val="00D908EF"/>
    <w:rsid w:val="00D92D0D"/>
    <w:rsid w:val="00D95A9F"/>
    <w:rsid w:val="00D95B00"/>
    <w:rsid w:val="00DA0B2D"/>
    <w:rsid w:val="00DA15C5"/>
    <w:rsid w:val="00DA24DB"/>
    <w:rsid w:val="00DA2A07"/>
    <w:rsid w:val="00DA3565"/>
    <w:rsid w:val="00DA49D2"/>
    <w:rsid w:val="00DA4A6B"/>
    <w:rsid w:val="00DA4A7A"/>
    <w:rsid w:val="00DA529A"/>
    <w:rsid w:val="00DA52F5"/>
    <w:rsid w:val="00DA7840"/>
    <w:rsid w:val="00DB12A1"/>
    <w:rsid w:val="00DB1798"/>
    <w:rsid w:val="00DB431F"/>
    <w:rsid w:val="00DB450C"/>
    <w:rsid w:val="00DB6B4A"/>
    <w:rsid w:val="00DC2870"/>
    <w:rsid w:val="00DC3F46"/>
    <w:rsid w:val="00DC6224"/>
    <w:rsid w:val="00DC7E8E"/>
    <w:rsid w:val="00DD00D3"/>
    <w:rsid w:val="00DD6999"/>
    <w:rsid w:val="00DD7506"/>
    <w:rsid w:val="00DD751B"/>
    <w:rsid w:val="00DE05AF"/>
    <w:rsid w:val="00DE373B"/>
    <w:rsid w:val="00DE6099"/>
    <w:rsid w:val="00DF0C40"/>
    <w:rsid w:val="00DF2424"/>
    <w:rsid w:val="00DF2CAE"/>
    <w:rsid w:val="00DF444D"/>
    <w:rsid w:val="00DF53B7"/>
    <w:rsid w:val="00DF58EB"/>
    <w:rsid w:val="00DF6FA4"/>
    <w:rsid w:val="00E00001"/>
    <w:rsid w:val="00E0401D"/>
    <w:rsid w:val="00E04174"/>
    <w:rsid w:val="00E054F1"/>
    <w:rsid w:val="00E0676D"/>
    <w:rsid w:val="00E06D4B"/>
    <w:rsid w:val="00E13D0A"/>
    <w:rsid w:val="00E1624A"/>
    <w:rsid w:val="00E16B24"/>
    <w:rsid w:val="00E321D6"/>
    <w:rsid w:val="00E33254"/>
    <w:rsid w:val="00E340E9"/>
    <w:rsid w:val="00E3558B"/>
    <w:rsid w:val="00E35D76"/>
    <w:rsid w:val="00E37015"/>
    <w:rsid w:val="00E4267A"/>
    <w:rsid w:val="00E43426"/>
    <w:rsid w:val="00E439CD"/>
    <w:rsid w:val="00E43EAF"/>
    <w:rsid w:val="00E53580"/>
    <w:rsid w:val="00E578EB"/>
    <w:rsid w:val="00E57C01"/>
    <w:rsid w:val="00E60866"/>
    <w:rsid w:val="00E614D0"/>
    <w:rsid w:val="00E6186D"/>
    <w:rsid w:val="00E62AC7"/>
    <w:rsid w:val="00E63B68"/>
    <w:rsid w:val="00E71561"/>
    <w:rsid w:val="00E716DB"/>
    <w:rsid w:val="00E72084"/>
    <w:rsid w:val="00E72A8B"/>
    <w:rsid w:val="00E72E55"/>
    <w:rsid w:val="00E72E91"/>
    <w:rsid w:val="00E80E07"/>
    <w:rsid w:val="00E81043"/>
    <w:rsid w:val="00E83204"/>
    <w:rsid w:val="00E83E41"/>
    <w:rsid w:val="00E8502D"/>
    <w:rsid w:val="00E8781C"/>
    <w:rsid w:val="00E87B28"/>
    <w:rsid w:val="00E90B13"/>
    <w:rsid w:val="00E94EE9"/>
    <w:rsid w:val="00E97121"/>
    <w:rsid w:val="00E977E9"/>
    <w:rsid w:val="00EA287B"/>
    <w:rsid w:val="00EA4067"/>
    <w:rsid w:val="00EA5478"/>
    <w:rsid w:val="00EB048D"/>
    <w:rsid w:val="00EB0C7B"/>
    <w:rsid w:val="00EB3C64"/>
    <w:rsid w:val="00EC0A3A"/>
    <w:rsid w:val="00EC0EFC"/>
    <w:rsid w:val="00EC3AC8"/>
    <w:rsid w:val="00EC4A35"/>
    <w:rsid w:val="00EC4CAF"/>
    <w:rsid w:val="00EC738A"/>
    <w:rsid w:val="00ED2BE0"/>
    <w:rsid w:val="00ED493E"/>
    <w:rsid w:val="00ED4C57"/>
    <w:rsid w:val="00ED4F7A"/>
    <w:rsid w:val="00EE00FA"/>
    <w:rsid w:val="00EE02E2"/>
    <w:rsid w:val="00EE1030"/>
    <w:rsid w:val="00EE270E"/>
    <w:rsid w:val="00EE39C7"/>
    <w:rsid w:val="00EE51DD"/>
    <w:rsid w:val="00EE5BAC"/>
    <w:rsid w:val="00EF3778"/>
    <w:rsid w:val="00EF46D9"/>
    <w:rsid w:val="00EF4A57"/>
    <w:rsid w:val="00EF4EE3"/>
    <w:rsid w:val="00EF57E1"/>
    <w:rsid w:val="00F002FD"/>
    <w:rsid w:val="00F04C9D"/>
    <w:rsid w:val="00F06C74"/>
    <w:rsid w:val="00F07090"/>
    <w:rsid w:val="00F1012E"/>
    <w:rsid w:val="00F12122"/>
    <w:rsid w:val="00F12DBB"/>
    <w:rsid w:val="00F13B4F"/>
    <w:rsid w:val="00F159F2"/>
    <w:rsid w:val="00F176EC"/>
    <w:rsid w:val="00F17F4F"/>
    <w:rsid w:val="00F21CFD"/>
    <w:rsid w:val="00F24B47"/>
    <w:rsid w:val="00F27E5F"/>
    <w:rsid w:val="00F318AE"/>
    <w:rsid w:val="00F31E19"/>
    <w:rsid w:val="00F325DF"/>
    <w:rsid w:val="00F35AC1"/>
    <w:rsid w:val="00F37E6C"/>
    <w:rsid w:val="00F4015C"/>
    <w:rsid w:val="00F40FD7"/>
    <w:rsid w:val="00F4232A"/>
    <w:rsid w:val="00F42625"/>
    <w:rsid w:val="00F42B48"/>
    <w:rsid w:val="00F42DCC"/>
    <w:rsid w:val="00F435F3"/>
    <w:rsid w:val="00F446F3"/>
    <w:rsid w:val="00F44B1B"/>
    <w:rsid w:val="00F44C43"/>
    <w:rsid w:val="00F45C71"/>
    <w:rsid w:val="00F46D1E"/>
    <w:rsid w:val="00F47CD5"/>
    <w:rsid w:val="00F52D16"/>
    <w:rsid w:val="00F552C7"/>
    <w:rsid w:val="00F55E6A"/>
    <w:rsid w:val="00F60F82"/>
    <w:rsid w:val="00F61D79"/>
    <w:rsid w:val="00F6378C"/>
    <w:rsid w:val="00F6468D"/>
    <w:rsid w:val="00F64E7E"/>
    <w:rsid w:val="00F6715F"/>
    <w:rsid w:val="00F72ACC"/>
    <w:rsid w:val="00F755CD"/>
    <w:rsid w:val="00F75DE1"/>
    <w:rsid w:val="00F76931"/>
    <w:rsid w:val="00F77145"/>
    <w:rsid w:val="00F77757"/>
    <w:rsid w:val="00F80DF0"/>
    <w:rsid w:val="00F81083"/>
    <w:rsid w:val="00F8231F"/>
    <w:rsid w:val="00F84B0C"/>
    <w:rsid w:val="00F854D1"/>
    <w:rsid w:val="00F8566A"/>
    <w:rsid w:val="00F90719"/>
    <w:rsid w:val="00F91B23"/>
    <w:rsid w:val="00F9293C"/>
    <w:rsid w:val="00F931E4"/>
    <w:rsid w:val="00F9435B"/>
    <w:rsid w:val="00F950AC"/>
    <w:rsid w:val="00F95246"/>
    <w:rsid w:val="00F96884"/>
    <w:rsid w:val="00F969D7"/>
    <w:rsid w:val="00FA2351"/>
    <w:rsid w:val="00FA37FA"/>
    <w:rsid w:val="00FA6F90"/>
    <w:rsid w:val="00FA6FC4"/>
    <w:rsid w:val="00FB2F98"/>
    <w:rsid w:val="00FC18EF"/>
    <w:rsid w:val="00FC205F"/>
    <w:rsid w:val="00FC4902"/>
    <w:rsid w:val="00FC50BF"/>
    <w:rsid w:val="00FC7988"/>
    <w:rsid w:val="00FD0E7D"/>
    <w:rsid w:val="00FE00AE"/>
    <w:rsid w:val="00FE137E"/>
    <w:rsid w:val="00FE1EB6"/>
    <w:rsid w:val="00FE20EA"/>
    <w:rsid w:val="00FE259E"/>
    <w:rsid w:val="00FF1F4E"/>
    <w:rsid w:val="00FF4333"/>
    <w:rsid w:val="00FF4855"/>
    <w:rsid w:val="00FF60AC"/>
    <w:rsid w:val="00FF7862"/>
    <w:rsid w:val="013C817E"/>
    <w:rsid w:val="02D3FE0D"/>
    <w:rsid w:val="03057FBE"/>
    <w:rsid w:val="043C6DAD"/>
    <w:rsid w:val="05D6AAC8"/>
    <w:rsid w:val="05F79CF7"/>
    <w:rsid w:val="06EC4C2C"/>
    <w:rsid w:val="0761D665"/>
    <w:rsid w:val="0898DE4E"/>
    <w:rsid w:val="09B8A497"/>
    <w:rsid w:val="0AC8F0D3"/>
    <w:rsid w:val="0AEB1227"/>
    <w:rsid w:val="0AF47C88"/>
    <w:rsid w:val="0B131873"/>
    <w:rsid w:val="0B68CE92"/>
    <w:rsid w:val="0B6FD2D6"/>
    <w:rsid w:val="0BCF90FC"/>
    <w:rsid w:val="0C7A2C70"/>
    <w:rsid w:val="0DEB743F"/>
    <w:rsid w:val="0EF7C599"/>
    <w:rsid w:val="0F3EAC33"/>
    <w:rsid w:val="125B221C"/>
    <w:rsid w:val="12E3BC1F"/>
    <w:rsid w:val="13BC541E"/>
    <w:rsid w:val="1660F0BD"/>
    <w:rsid w:val="16D4D1D5"/>
    <w:rsid w:val="17898598"/>
    <w:rsid w:val="18155761"/>
    <w:rsid w:val="18FA5CC5"/>
    <w:rsid w:val="198C211C"/>
    <w:rsid w:val="19F4F11F"/>
    <w:rsid w:val="1ADA041E"/>
    <w:rsid w:val="1D92E40E"/>
    <w:rsid w:val="20212234"/>
    <w:rsid w:val="2061A530"/>
    <w:rsid w:val="22373B0F"/>
    <w:rsid w:val="23C6B8F1"/>
    <w:rsid w:val="24028765"/>
    <w:rsid w:val="241DFB0E"/>
    <w:rsid w:val="248D74ED"/>
    <w:rsid w:val="2570AD22"/>
    <w:rsid w:val="25BE2B40"/>
    <w:rsid w:val="25C132B2"/>
    <w:rsid w:val="268D7EE6"/>
    <w:rsid w:val="2962576C"/>
    <w:rsid w:val="2A0B4DA2"/>
    <w:rsid w:val="2A6D808B"/>
    <w:rsid w:val="2BF840C7"/>
    <w:rsid w:val="2C2657DE"/>
    <w:rsid w:val="2C4A31E8"/>
    <w:rsid w:val="2C64C0A7"/>
    <w:rsid w:val="2CFB2C17"/>
    <w:rsid w:val="2D6753F1"/>
    <w:rsid w:val="2E39D358"/>
    <w:rsid w:val="2F3B1F5A"/>
    <w:rsid w:val="30399F1A"/>
    <w:rsid w:val="323CCC1B"/>
    <w:rsid w:val="3282B88A"/>
    <w:rsid w:val="33F4BA2B"/>
    <w:rsid w:val="375876AB"/>
    <w:rsid w:val="37D28435"/>
    <w:rsid w:val="381A1FF9"/>
    <w:rsid w:val="38DE2C88"/>
    <w:rsid w:val="39A48528"/>
    <w:rsid w:val="3A9439EF"/>
    <w:rsid w:val="3D65639B"/>
    <w:rsid w:val="3F438F59"/>
    <w:rsid w:val="3FCD68FC"/>
    <w:rsid w:val="3FFD2B73"/>
    <w:rsid w:val="4028F54E"/>
    <w:rsid w:val="41663640"/>
    <w:rsid w:val="45F7E84B"/>
    <w:rsid w:val="47527123"/>
    <w:rsid w:val="48DC73A7"/>
    <w:rsid w:val="4A9399CC"/>
    <w:rsid w:val="4CC92454"/>
    <w:rsid w:val="4DBB667F"/>
    <w:rsid w:val="4E715C75"/>
    <w:rsid w:val="4E8AB56B"/>
    <w:rsid w:val="4EFE6D62"/>
    <w:rsid w:val="4F43455D"/>
    <w:rsid w:val="4F614D7A"/>
    <w:rsid w:val="4FA24832"/>
    <w:rsid w:val="5004B26A"/>
    <w:rsid w:val="514A5DF7"/>
    <w:rsid w:val="51AF8D09"/>
    <w:rsid w:val="51BA37EE"/>
    <w:rsid w:val="52930538"/>
    <w:rsid w:val="53605C1D"/>
    <w:rsid w:val="54B38BFC"/>
    <w:rsid w:val="550935F3"/>
    <w:rsid w:val="5509DCBA"/>
    <w:rsid w:val="5517B6FC"/>
    <w:rsid w:val="557855A4"/>
    <w:rsid w:val="55B2934D"/>
    <w:rsid w:val="570DBE3C"/>
    <w:rsid w:val="580C6D66"/>
    <w:rsid w:val="582F801F"/>
    <w:rsid w:val="584E1184"/>
    <w:rsid w:val="5AE6576D"/>
    <w:rsid w:val="5C17BB37"/>
    <w:rsid w:val="5CB9A0F9"/>
    <w:rsid w:val="5D443073"/>
    <w:rsid w:val="5DA454F4"/>
    <w:rsid w:val="5E77052F"/>
    <w:rsid w:val="5F2C856C"/>
    <w:rsid w:val="60ABB551"/>
    <w:rsid w:val="62F2AAD7"/>
    <w:rsid w:val="63947B06"/>
    <w:rsid w:val="639E052F"/>
    <w:rsid w:val="68997852"/>
    <w:rsid w:val="6A864052"/>
    <w:rsid w:val="6C7A1F07"/>
    <w:rsid w:val="6D6FB09C"/>
    <w:rsid w:val="6D7CC4C1"/>
    <w:rsid w:val="6E25F1F3"/>
    <w:rsid w:val="702E6DA5"/>
    <w:rsid w:val="72237295"/>
    <w:rsid w:val="738CCB85"/>
    <w:rsid w:val="74A38B51"/>
    <w:rsid w:val="74FD5B87"/>
    <w:rsid w:val="75AD1DBE"/>
    <w:rsid w:val="75DFA9CB"/>
    <w:rsid w:val="79DB26BD"/>
    <w:rsid w:val="79E99DC9"/>
    <w:rsid w:val="79ED8485"/>
    <w:rsid w:val="7A918A68"/>
    <w:rsid w:val="7BC991A0"/>
    <w:rsid w:val="7DC8D872"/>
    <w:rsid w:val="7DD83269"/>
    <w:rsid w:val="7E185B8A"/>
    <w:rsid w:val="7F1DF21A"/>
    <w:rsid w:val="7F330C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63FA62"/>
  <w15:chartTrackingRefBased/>
  <w15:docId w15:val="{7B408DD9-2A3F-4616-B8AF-435AB6DD5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932"/>
  </w:style>
  <w:style w:type="paragraph" w:styleId="Heading1">
    <w:name w:val="heading 1"/>
    <w:basedOn w:val="Normal"/>
    <w:next w:val="Normal"/>
    <w:link w:val="Heading1Char"/>
    <w:uiPriority w:val="9"/>
    <w:qFormat/>
    <w:rsid w:val="003E2932"/>
    <w:pPr>
      <w:keepNext/>
      <w:keepLines/>
      <w:numPr>
        <w:numId w:val="42"/>
      </w:numPr>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E2932"/>
    <w:pPr>
      <w:keepNext/>
      <w:keepLines/>
      <w:numPr>
        <w:ilvl w:val="1"/>
        <w:numId w:val="42"/>
      </w:numPr>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E2932"/>
    <w:pPr>
      <w:keepNext/>
      <w:keepLines/>
      <w:numPr>
        <w:ilvl w:val="2"/>
        <w:numId w:val="42"/>
      </w:numPr>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3E2932"/>
    <w:pPr>
      <w:keepNext/>
      <w:keepLines/>
      <w:numPr>
        <w:ilvl w:val="3"/>
        <w:numId w:val="42"/>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E2932"/>
    <w:pPr>
      <w:keepNext/>
      <w:keepLines/>
      <w:numPr>
        <w:ilvl w:val="4"/>
        <w:numId w:val="42"/>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E2932"/>
    <w:pPr>
      <w:keepNext/>
      <w:keepLines/>
      <w:numPr>
        <w:ilvl w:val="5"/>
        <w:numId w:val="42"/>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2932"/>
    <w:pPr>
      <w:keepNext/>
      <w:keepLines/>
      <w:numPr>
        <w:ilvl w:val="6"/>
        <w:numId w:val="42"/>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2932"/>
    <w:pPr>
      <w:keepNext/>
      <w:keepLines/>
      <w:numPr>
        <w:ilvl w:val="7"/>
        <w:numId w:val="42"/>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2932"/>
    <w:pPr>
      <w:keepNext/>
      <w:keepLines/>
      <w:numPr>
        <w:ilvl w:val="8"/>
        <w:numId w:val="42"/>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293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E293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E293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3E293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E293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29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29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29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2932"/>
    <w:rPr>
      <w:rFonts w:eastAsiaTheme="majorEastAsia" w:cstheme="majorBidi"/>
      <w:color w:val="272727" w:themeColor="text1" w:themeTint="D8"/>
    </w:rPr>
  </w:style>
  <w:style w:type="paragraph" w:styleId="Title">
    <w:name w:val="Title"/>
    <w:basedOn w:val="Normal"/>
    <w:next w:val="Normal"/>
    <w:link w:val="TitleChar"/>
    <w:uiPriority w:val="10"/>
    <w:qFormat/>
    <w:rsid w:val="003E29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29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293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29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2932"/>
    <w:pPr>
      <w:spacing w:before="160"/>
      <w:jc w:val="center"/>
    </w:pPr>
    <w:rPr>
      <w:i/>
      <w:iCs/>
      <w:color w:val="404040" w:themeColor="text1" w:themeTint="BF"/>
    </w:rPr>
  </w:style>
  <w:style w:type="character" w:customStyle="1" w:styleId="QuoteChar">
    <w:name w:val="Quote Char"/>
    <w:basedOn w:val="DefaultParagraphFont"/>
    <w:link w:val="Quote"/>
    <w:uiPriority w:val="29"/>
    <w:rsid w:val="003E2932"/>
    <w:rPr>
      <w:i/>
      <w:iCs/>
      <w:color w:val="404040" w:themeColor="text1" w:themeTint="BF"/>
    </w:rPr>
  </w:style>
  <w:style w:type="paragraph" w:styleId="ListParagraph">
    <w:name w:val="List Paragraph"/>
    <w:basedOn w:val="Normal"/>
    <w:uiPriority w:val="34"/>
    <w:qFormat/>
    <w:rsid w:val="003E2932"/>
    <w:pPr>
      <w:ind w:left="720"/>
      <w:contextualSpacing/>
    </w:pPr>
  </w:style>
  <w:style w:type="character" w:styleId="IntenseEmphasis">
    <w:name w:val="Intense Emphasis"/>
    <w:basedOn w:val="DefaultParagraphFont"/>
    <w:uiPriority w:val="21"/>
    <w:qFormat/>
    <w:rsid w:val="003E2932"/>
    <w:rPr>
      <w:i/>
      <w:iCs/>
      <w:color w:val="0F4761" w:themeColor="accent1" w:themeShade="BF"/>
    </w:rPr>
  </w:style>
  <w:style w:type="paragraph" w:styleId="IntenseQuote">
    <w:name w:val="Intense Quote"/>
    <w:basedOn w:val="Normal"/>
    <w:next w:val="Normal"/>
    <w:link w:val="IntenseQuoteChar"/>
    <w:uiPriority w:val="30"/>
    <w:qFormat/>
    <w:rsid w:val="003E29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2932"/>
    <w:rPr>
      <w:i/>
      <w:iCs/>
      <w:color w:val="0F4761" w:themeColor="accent1" w:themeShade="BF"/>
    </w:rPr>
  </w:style>
  <w:style w:type="character" w:styleId="IntenseReference">
    <w:name w:val="Intense Reference"/>
    <w:basedOn w:val="DefaultParagraphFont"/>
    <w:uiPriority w:val="32"/>
    <w:qFormat/>
    <w:rsid w:val="003E2932"/>
    <w:rPr>
      <w:b/>
      <w:bCs/>
      <w:smallCaps/>
      <w:color w:val="0F4761" w:themeColor="accent1" w:themeShade="BF"/>
      <w:spacing w:val="5"/>
    </w:rPr>
  </w:style>
  <w:style w:type="character" w:customStyle="1" w:styleId="normaltextrun">
    <w:name w:val="normaltextrun"/>
    <w:basedOn w:val="DefaultParagraphFont"/>
    <w:rsid w:val="003E2932"/>
  </w:style>
  <w:style w:type="character" w:styleId="CommentReference">
    <w:name w:val="annotation reference"/>
    <w:basedOn w:val="DefaultParagraphFont"/>
    <w:uiPriority w:val="99"/>
    <w:semiHidden/>
    <w:unhideWhenUsed/>
    <w:rsid w:val="003E2932"/>
    <w:rPr>
      <w:sz w:val="16"/>
      <w:szCs w:val="16"/>
    </w:rPr>
  </w:style>
  <w:style w:type="paragraph" w:styleId="CommentText">
    <w:name w:val="annotation text"/>
    <w:basedOn w:val="Normal"/>
    <w:link w:val="CommentTextChar"/>
    <w:uiPriority w:val="99"/>
    <w:unhideWhenUsed/>
    <w:rsid w:val="003E2932"/>
    <w:pPr>
      <w:spacing w:line="240" w:lineRule="auto"/>
    </w:pPr>
    <w:rPr>
      <w:sz w:val="20"/>
      <w:szCs w:val="20"/>
    </w:rPr>
  </w:style>
  <w:style w:type="character" w:customStyle="1" w:styleId="CommentTextChar">
    <w:name w:val="Comment Text Char"/>
    <w:basedOn w:val="DefaultParagraphFont"/>
    <w:link w:val="CommentText"/>
    <w:uiPriority w:val="99"/>
    <w:rsid w:val="003E2932"/>
    <w:rPr>
      <w:sz w:val="20"/>
      <w:szCs w:val="20"/>
    </w:rPr>
  </w:style>
  <w:style w:type="paragraph" w:styleId="CommentSubject">
    <w:name w:val="annotation subject"/>
    <w:basedOn w:val="CommentText"/>
    <w:next w:val="CommentText"/>
    <w:link w:val="CommentSubjectChar"/>
    <w:uiPriority w:val="99"/>
    <w:semiHidden/>
    <w:unhideWhenUsed/>
    <w:rsid w:val="003E2932"/>
    <w:rPr>
      <w:b/>
      <w:bCs/>
    </w:rPr>
  </w:style>
  <w:style w:type="character" w:customStyle="1" w:styleId="CommentSubjectChar">
    <w:name w:val="Comment Subject Char"/>
    <w:basedOn w:val="CommentTextChar"/>
    <w:link w:val="CommentSubject"/>
    <w:uiPriority w:val="99"/>
    <w:semiHidden/>
    <w:rsid w:val="003E2932"/>
    <w:rPr>
      <w:b/>
      <w:bCs/>
      <w:sz w:val="20"/>
      <w:szCs w:val="20"/>
    </w:rPr>
  </w:style>
  <w:style w:type="character" w:customStyle="1" w:styleId="cf01">
    <w:name w:val="cf01"/>
    <w:basedOn w:val="DefaultParagraphFont"/>
    <w:rsid w:val="003E2932"/>
    <w:rPr>
      <w:rFonts w:ascii="Segoe UI" w:hAnsi="Segoe UI" w:cs="Segoe UI" w:hint="default"/>
      <w:sz w:val="18"/>
      <w:szCs w:val="18"/>
    </w:rPr>
  </w:style>
  <w:style w:type="character" w:styleId="Hyperlink">
    <w:name w:val="Hyperlink"/>
    <w:basedOn w:val="DefaultParagraphFont"/>
    <w:uiPriority w:val="99"/>
    <w:unhideWhenUsed/>
    <w:rsid w:val="003E2932"/>
    <w:rPr>
      <w:color w:val="467886" w:themeColor="hyperlink"/>
      <w:u w:val="single"/>
    </w:rPr>
  </w:style>
  <w:style w:type="character" w:styleId="UnresolvedMention">
    <w:name w:val="Unresolved Mention"/>
    <w:basedOn w:val="DefaultParagraphFont"/>
    <w:uiPriority w:val="99"/>
    <w:semiHidden/>
    <w:unhideWhenUsed/>
    <w:rsid w:val="003E2932"/>
    <w:rPr>
      <w:color w:val="605E5C"/>
      <w:shd w:val="clear" w:color="auto" w:fill="E1DFDD"/>
    </w:rPr>
  </w:style>
  <w:style w:type="character" w:styleId="LineNumber">
    <w:name w:val="line number"/>
    <w:basedOn w:val="DefaultParagraphFont"/>
    <w:uiPriority w:val="99"/>
    <w:semiHidden/>
    <w:unhideWhenUsed/>
    <w:rsid w:val="003E2932"/>
  </w:style>
  <w:style w:type="paragraph" w:styleId="Header">
    <w:name w:val="header"/>
    <w:basedOn w:val="Normal"/>
    <w:link w:val="HeaderChar"/>
    <w:uiPriority w:val="99"/>
    <w:unhideWhenUsed/>
    <w:rsid w:val="003E29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2932"/>
  </w:style>
  <w:style w:type="paragraph" w:styleId="Footer">
    <w:name w:val="footer"/>
    <w:basedOn w:val="Normal"/>
    <w:link w:val="FooterChar"/>
    <w:uiPriority w:val="99"/>
    <w:unhideWhenUsed/>
    <w:rsid w:val="003E29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2932"/>
  </w:style>
  <w:style w:type="character" w:customStyle="1" w:styleId="eop">
    <w:name w:val="eop"/>
    <w:basedOn w:val="DefaultParagraphFont"/>
    <w:rsid w:val="003E2932"/>
  </w:style>
  <w:style w:type="paragraph" w:customStyle="1" w:styleId="epblock">
    <w:name w:val="ep_block"/>
    <w:basedOn w:val="Normal"/>
    <w:rsid w:val="003E2932"/>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cf11">
    <w:name w:val="cf11"/>
    <w:basedOn w:val="DefaultParagraphFont"/>
    <w:rsid w:val="003E2932"/>
    <w:rPr>
      <w:rFonts w:ascii="Segoe UI" w:hAnsi="Segoe UI" w:cs="Segoe UI" w:hint="default"/>
      <w:sz w:val="18"/>
      <w:szCs w:val="18"/>
      <w:vertAlign w:val="superscript"/>
    </w:rPr>
  </w:style>
  <w:style w:type="paragraph" w:styleId="Revision">
    <w:name w:val="Revision"/>
    <w:hidden/>
    <w:uiPriority w:val="99"/>
    <w:semiHidden/>
    <w:rsid w:val="003E2932"/>
    <w:pPr>
      <w:spacing w:after="0" w:line="240" w:lineRule="auto"/>
    </w:pPr>
  </w:style>
  <w:style w:type="paragraph" w:styleId="TOCHeading">
    <w:name w:val="TOC Heading"/>
    <w:basedOn w:val="Heading1"/>
    <w:next w:val="Normal"/>
    <w:uiPriority w:val="39"/>
    <w:unhideWhenUsed/>
    <w:qFormat/>
    <w:rsid w:val="003E2932"/>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3E2932"/>
    <w:pPr>
      <w:spacing w:after="100"/>
    </w:pPr>
  </w:style>
  <w:style w:type="paragraph" w:styleId="TOC2">
    <w:name w:val="toc 2"/>
    <w:basedOn w:val="Normal"/>
    <w:next w:val="Normal"/>
    <w:autoRedefine/>
    <w:uiPriority w:val="39"/>
    <w:unhideWhenUsed/>
    <w:rsid w:val="003E2932"/>
    <w:pPr>
      <w:spacing w:after="100"/>
      <w:ind w:left="240"/>
    </w:pPr>
  </w:style>
  <w:style w:type="paragraph" w:styleId="TOC3">
    <w:name w:val="toc 3"/>
    <w:basedOn w:val="Normal"/>
    <w:next w:val="Normal"/>
    <w:autoRedefine/>
    <w:uiPriority w:val="39"/>
    <w:unhideWhenUsed/>
    <w:rsid w:val="003E2932"/>
    <w:pPr>
      <w:spacing w:after="100"/>
      <w:ind w:left="480"/>
    </w:pPr>
  </w:style>
  <w:style w:type="paragraph" w:styleId="TOC4">
    <w:name w:val="toc 4"/>
    <w:basedOn w:val="Normal"/>
    <w:next w:val="Normal"/>
    <w:autoRedefine/>
    <w:uiPriority w:val="39"/>
    <w:unhideWhenUsed/>
    <w:rsid w:val="003E2932"/>
    <w:pPr>
      <w:spacing w:after="100"/>
      <w:ind w:left="720"/>
    </w:pPr>
    <w:rPr>
      <w:rFonts w:eastAsiaTheme="minorEastAsia"/>
      <w:lang w:eastAsia="en-GB"/>
    </w:rPr>
  </w:style>
  <w:style w:type="paragraph" w:styleId="TOC5">
    <w:name w:val="toc 5"/>
    <w:basedOn w:val="Normal"/>
    <w:next w:val="Normal"/>
    <w:autoRedefine/>
    <w:uiPriority w:val="39"/>
    <w:unhideWhenUsed/>
    <w:rsid w:val="003E2932"/>
    <w:pPr>
      <w:spacing w:after="100"/>
      <w:ind w:left="960"/>
    </w:pPr>
    <w:rPr>
      <w:rFonts w:eastAsiaTheme="minorEastAsia"/>
      <w:lang w:eastAsia="en-GB"/>
    </w:rPr>
  </w:style>
  <w:style w:type="paragraph" w:styleId="TOC6">
    <w:name w:val="toc 6"/>
    <w:basedOn w:val="Normal"/>
    <w:next w:val="Normal"/>
    <w:autoRedefine/>
    <w:uiPriority w:val="39"/>
    <w:unhideWhenUsed/>
    <w:rsid w:val="003E2932"/>
    <w:pPr>
      <w:spacing w:after="100"/>
      <w:ind w:left="1200"/>
    </w:pPr>
    <w:rPr>
      <w:rFonts w:eastAsiaTheme="minorEastAsia"/>
      <w:lang w:eastAsia="en-GB"/>
    </w:rPr>
  </w:style>
  <w:style w:type="paragraph" w:styleId="TOC7">
    <w:name w:val="toc 7"/>
    <w:basedOn w:val="Normal"/>
    <w:next w:val="Normal"/>
    <w:autoRedefine/>
    <w:uiPriority w:val="39"/>
    <w:unhideWhenUsed/>
    <w:rsid w:val="003E2932"/>
    <w:pPr>
      <w:spacing w:after="100"/>
      <w:ind w:left="1440"/>
    </w:pPr>
    <w:rPr>
      <w:rFonts w:eastAsiaTheme="minorEastAsia"/>
      <w:lang w:eastAsia="en-GB"/>
    </w:rPr>
  </w:style>
  <w:style w:type="paragraph" w:styleId="TOC8">
    <w:name w:val="toc 8"/>
    <w:basedOn w:val="Normal"/>
    <w:next w:val="Normal"/>
    <w:autoRedefine/>
    <w:uiPriority w:val="39"/>
    <w:unhideWhenUsed/>
    <w:rsid w:val="003E2932"/>
    <w:pPr>
      <w:spacing w:after="100"/>
      <w:ind w:left="1680"/>
    </w:pPr>
    <w:rPr>
      <w:rFonts w:eastAsiaTheme="minorEastAsia"/>
      <w:lang w:eastAsia="en-GB"/>
    </w:rPr>
  </w:style>
  <w:style w:type="paragraph" w:styleId="TOC9">
    <w:name w:val="toc 9"/>
    <w:basedOn w:val="Normal"/>
    <w:next w:val="Normal"/>
    <w:autoRedefine/>
    <w:uiPriority w:val="39"/>
    <w:unhideWhenUsed/>
    <w:rsid w:val="003E2932"/>
    <w:pPr>
      <w:spacing w:after="100"/>
      <w:ind w:left="1920"/>
    </w:pPr>
    <w:rPr>
      <w:rFonts w:eastAsiaTheme="minorEastAsia"/>
      <w:lang w:eastAsia="en-GB"/>
    </w:rPr>
  </w:style>
  <w:style w:type="paragraph" w:customStyle="1" w:styleId="Default">
    <w:name w:val="Default"/>
    <w:rsid w:val="003E2932"/>
    <w:pPr>
      <w:autoSpaceDE w:val="0"/>
      <w:autoSpaceDN w:val="0"/>
      <w:adjustRightInd w:val="0"/>
      <w:spacing w:after="0" w:line="240" w:lineRule="auto"/>
    </w:pPr>
    <w:rPr>
      <w:rFonts w:ascii="Arial" w:hAnsi="Arial" w:cs="Arial"/>
      <w:color w:val="000000"/>
      <w:kern w:val="0"/>
    </w:rPr>
  </w:style>
  <w:style w:type="paragraph" w:customStyle="1" w:styleId="pf0">
    <w:name w:val="pf0"/>
    <w:basedOn w:val="Normal"/>
    <w:rsid w:val="003E2932"/>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cf21">
    <w:name w:val="cf21"/>
    <w:basedOn w:val="DefaultParagraphFont"/>
    <w:rsid w:val="003E2932"/>
    <w:rPr>
      <w:rFonts w:ascii="Segoe UI" w:hAnsi="Segoe UI" w:cs="Segoe UI" w:hint="default"/>
      <w:color w:val="0000FF"/>
      <w:sz w:val="18"/>
      <w:szCs w:val="18"/>
    </w:rPr>
  </w:style>
  <w:style w:type="paragraph" w:customStyle="1" w:styleId="Pa20">
    <w:name w:val="Pa20"/>
    <w:basedOn w:val="Default"/>
    <w:next w:val="Default"/>
    <w:uiPriority w:val="99"/>
    <w:rsid w:val="003E2932"/>
    <w:pPr>
      <w:spacing w:line="181" w:lineRule="atLeast"/>
    </w:pPr>
    <w:rPr>
      <w:rFonts w:ascii="Frutiger 45 Light" w:hAnsi="Frutiger 45 Light" w:cstheme="minorBidi"/>
      <w:color w:val="auto"/>
    </w:rPr>
  </w:style>
  <w:style w:type="paragraph" w:customStyle="1" w:styleId="Pa1">
    <w:name w:val="Pa1"/>
    <w:basedOn w:val="Default"/>
    <w:next w:val="Default"/>
    <w:uiPriority w:val="99"/>
    <w:rsid w:val="003E2932"/>
    <w:pPr>
      <w:spacing w:line="181" w:lineRule="atLeast"/>
    </w:pPr>
    <w:rPr>
      <w:rFonts w:ascii="Frutiger 45 Light" w:hAnsi="Frutiger 45 Light" w:cstheme="minorBidi"/>
      <w:color w:val="auto"/>
    </w:rPr>
  </w:style>
  <w:style w:type="character" w:customStyle="1" w:styleId="A11">
    <w:name w:val="A11"/>
    <w:uiPriority w:val="99"/>
    <w:rsid w:val="003E2932"/>
    <w:rPr>
      <w:rFonts w:cs="Frutiger 45 Light"/>
      <w:color w:val="000000"/>
      <w:sz w:val="10"/>
      <w:szCs w:val="10"/>
    </w:rPr>
  </w:style>
  <w:style w:type="paragraph" w:styleId="NormalWeb">
    <w:name w:val="Normal (Web)"/>
    <w:basedOn w:val="Normal"/>
    <w:uiPriority w:val="99"/>
    <w:unhideWhenUsed/>
    <w:rsid w:val="003E2932"/>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3E2932"/>
    <w:rPr>
      <w:i/>
      <w:iCs/>
    </w:rPr>
  </w:style>
  <w:style w:type="table" w:styleId="TableGrid">
    <w:name w:val="Table Grid"/>
    <w:basedOn w:val="TableNormal"/>
    <w:uiPriority w:val="39"/>
    <w:rsid w:val="003E2932"/>
    <w:pPr>
      <w:spacing w:after="0" w:line="240" w:lineRule="auto"/>
    </w:pPr>
    <w:rPr>
      <w:rFonts w:ascii="Times New Roman" w:hAnsi="Times New Roman"/>
      <w:kern w:val="0"/>
      <w:sz w:val="22"/>
      <w:szCs w:val="22"/>
      <w:lang w:val="en-I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ndhit">
    <w:name w:val="findhit"/>
    <w:basedOn w:val="DefaultParagraphFont"/>
    <w:rsid w:val="003E2932"/>
  </w:style>
  <w:style w:type="paragraph" w:customStyle="1" w:styleId="paragraph">
    <w:name w:val="paragraph"/>
    <w:basedOn w:val="Normal"/>
    <w:rsid w:val="003E2932"/>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Bibliography">
    <w:name w:val="Bibliography"/>
    <w:basedOn w:val="Normal"/>
    <w:next w:val="Normal"/>
    <w:uiPriority w:val="37"/>
    <w:unhideWhenUsed/>
    <w:rsid w:val="003E2932"/>
    <w:pPr>
      <w:tabs>
        <w:tab w:val="left" w:pos="384"/>
      </w:tabs>
      <w:spacing w:after="240" w:line="240" w:lineRule="auto"/>
      <w:ind w:left="384" w:hanging="384"/>
    </w:pPr>
  </w:style>
  <w:style w:type="character" w:customStyle="1" w:styleId="markiey4azy4x">
    <w:name w:val="markiey4azy4x"/>
    <w:basedOn w:val="DefaultParagraphFont"/>
    <w:rsid w:val="001515DC"/>
  </w:style>
  <w:style w:type="paragraph" w:customStyle="1" w:styleId="xmsonormal">
    <w:name w:val="x_msonormal"/>
    <w:basedOn w:val="Normal"/>
    <w:rsid w:val="0075645A"/>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EndnoteText">
    <w:name w:val="endnote text"/>
    <w:basedOn w:val="Normal"/>
    <w:link w:val="EndnoteTextChar"/>
    <w:uiPriority w:val="99"/>
    <w:semiHidden/>
    <w:unhideWhenUsed/>
    <w:rsid w:val="00CB76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B7659"/>
    <w:rPr>
      <w:sz w:val="20"/>
      <w:szCs w:val="20"/>
    </w:rPr>
  </w:style>
  <w:style w:type="character" w:styleId="EndnoteReference">
    <w:name w:val="endnote reference"/>
    <w:basedOn w:val="DefaultParagraphFont"/>
    <w:uiPriority w:val="99"/>
    <w:semiHidden/>
    <w:unhideWhenUsed/>
    <w:rsid w:val="00CB7659"/>
    <w:rPr>
      <w:vertAlign w:val="superscript"/>
    </w:rPr>
  </w:style>
  <w:style w:type="paragraph" w:styleId="FootnoteText">
    <w:name w:val="footnote text"/>
    <w:basedOn w:val="Normal"/>
    <w:link w:val="FootnoteTextChar"/>
    <w:uiPriority w:val="99"/>
    <w:semiHidden/>
    <w:unhideWhenUsed/>
    <w:rsid w:val="0003523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5231"/>
    <w:rPr>
      <w:sz w:val="20"/>
      <w:szCs w:val="20"/>
    </w:rPr>
  </w:style>
  <w:style w:type="character" w:styleId="FootnoteReference">
    <w:name w:val="footnote reference"/>
    <w:basedOn w:val="DefaultParagraphFont"/>
    <w:uiPriority w:val="99"/>
    <w:semiHidden/>
    <w:unhideWhenUsed/>
    <w:rsid w:val="0003523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945094">
      <w:bodyDiv w:val="1"/>
      <w:marLeft w:val="0"/>
      <w:marRight w:val="0"/>
      <w:marTop w:val="0"/>
      <w:marBottom w:val="0"/>
      <w:divBdr>
        <w:top w:val="none" w:sz="0" w:space="0" w:color="auto"/>
        <w:left w:val="none" w:sz="0" w:space="0" w:color="auto"/>
        <w:bottom w:val="none" w:sz="0" w:space="0" w:color="auto"/>
        <w:right w:val="none" w:sz="0" w:space="0" w:color="auto"/>
      </w:divBdr>
    </w:div>
    <w:div w:id="2015835939">
      <w:bodyDiv w:val="1"/>
      <w:marLeft w:val="0"/>
      <w:marRight w:val="0"/>
      <w:marTop w:val="0"/>
      <w:marBottom w:val="0"/>
      <w:divBdr>
        <w:top w:val="none" w:sz="0" w:space="0" w:color="auto"/>
        <w:left w:val="none" w:sz="0" w:space="0" w:color="auto"/>
        <w:bottom w:val="none" w:sz="0" w:space="0" w:color="auto"/>
        <w:right w:val="none" w:sz="0" w:space="0" w:color="auto"/>
      </w:divBdr>
      <w:divsChild>
        <w:div w:id="50229498">
          <w:marLeft w:val="1886"/>
          <w:marRight w:val="0"/>
          <w:marTop w:val="0"/>
          <w:marBottom w:val="0"/>
          <w:divBdr>
            <w:top w:val="none" w:sz="0" w:space="0" w:color="auto"/>
            <w:left w:val="none" w:sz="0" w:space="0" w:color="auto"/>
            <w:bottom w:val="none" w:sz="0" w:space="0" w:color="auto"/>
            <w:right w:val="none" w:sz="0" w:space="0" w:color="auto"/>
          </w:divBdr>
        </w:div>
        <w:div w:id="1999264884">
          <w:marLeft w:val="188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9.svg"/><Relationship Id="rId63" Type="http://schemas.openxmlformats.org/officeDocument/2006/relationships/image" Target="media/image50.svg"/><Relationship Id="rId159" Type="http://schemas.openxmlformats.org/officeDocument/2006/relationships/image" Target="media/image144.png"/><Relationship Id="rId170" Type="http://schemas.openxmlformats.org/officeDocument/2006/relationships/image" Target="media/image155.png"/><Relationship Id="rId226" Type="http://schemas.openxmlformats.org/officeDocument/2006/relationships/image" Target="media/image210.png"/><Relationship Id="rId268" Type="http://schemas.openxmlformats.org/officeDocument/2006/relationships/image" Target="media/image251.svg"/><Relationship Id="rId32" Type="http://schemas.openxmlformats.org/officeDocument/2006/relationships/image" Target="media/image20.png"/><Relationship Id="rId74" Type="http://schemas.openxmlformats.org/officeDocument/2006/relationships/image" Target="media/image61.png"/><Relationship Id="rId128" Type="http://schemas.openxmlformats.org/officeDocument/2006/relationships/image" Target="media/image114.png"/><Relationship Id="rId5" Type="http://schemas.openxmlformats.org/officeDocument/2006/relationships/numbering" Target="numbering.xml"/><Relationship Id="rId181" Type="http://schemas.openxmlformats.org/officeDocument/2006/relationships/image" Target="media/image166.png"/><Relationship Id="rId237" Type="http://schemas.openxmlformats.org/officeDocument/2006/relationships/image" Target="media/image221.png"/><Relationship Id="rId279" Type="http://schemas.openxmlformats.org/officeDocument/2006/relationships/image" Target="media/image262.svg"/><Relationship Id="rId43" Type="http://schemas.openxmlformats.org/officeDocument/2006/relationships/image" Target="media/image31.png"/><Relationship Id="rId139" Type="http://schemas.openxmlformats.org/officeDocument/2006/relationships/image" Target="media/image125.png"/><Relationship Id="rId290" Type="http://schemas.openxmlformats.org/officeDocument/2006/relationships/image" Target="media/image273.png"/><Relationship Id="rId85" Type="http://schemas.openxmlformats.org/officeDocument/2006/relationships/image" Target="media/image72.png"/><Relationship Id="rId150" Type="http://schemas.openxmlformats.org/officeDocument/2006/relationships/image" Target="media/image136.png"/><Relationship Id="rId192" Type="http://schemas.openxmlformats.org/officeDocument/2006/relationships/image" Target="media/image177.png"/><Relationship Id="rId206" Type="http://schemas.openxmlformats.org/officeDocument/2006/relationships/image" Target="media/image190.svg"/><Relationship Id="rId248" Type="http://schemas.openxmlformats.org/officeDocument/2006/relationships/image" Target="media/image232.png"/><Relationship Id="rId12" Type="http://schemas.openxmlformats.org/officeDocument/2006/relationships/footer" Target="footer1.xml"/><Relationship Id="rId108" Type="http://schemas.openxmlformats.org/officeDocument/2006/relationships/image" Target="media/image95.png"/><Relationship Id="rId54" Type="http://schemas.openxmlformats.org/officeDocument/2006/relationships/image" Target="media/image41.svg"/><Relationship Id="rId75" Type="http://schemas.openxmlformats.org/officeDocument/2006/relationships/image" Target="media/image62.png"/><Relationship Id="rId96" Type="http://schemas.openxmlformats.org/officeDocument/2006/relationships/image" Target="media/image83.png"/><Relationship Id="rId140" Type="http://schemas.openxmlformats.org/officeDocument/2006/relationships/image" Target="media/image126.png"/><Relationship Id="rId161" Type="http://schemas.openxmlformats.org/officeDocument/2006/relationships/image" Target="media/image146.png"/><Relationship Id="rId182" Type="http://schemas.openxmlformats.org/officeDocument/2006/relationships/image" Target="media/image167.png"/><Relationship Id="rId217" Type="http://schemas.openxmlformats.org/officeDocument/2006/relationships/image" Target="media/image201.png"/><Relationship Id="rId6" Type="http://schemas.openxmlformats.org/officeDocument/2006/relationships/styles" Target="styles.xml"/><Relationship Id="rId238" Type="http://schemas.openxmlformats.org/officeDocument/2006/relationships/image" Target="media/image222.png"/><Relationship Id="rId259" Type="http://schemas.openxmlformats.org/officeDocument/2006/relationships/image" Target="media/image242.png"/><Relationship Id="rId23" Type="http://schemas.openxmlformats.org/officeDocument/2006/relationships/image" Target="media/image11.svg"/><Relationship Id="rId119" Type="http://schemas.openxmlformats.org/officeDocument/2006/relationships/image" Target="media/image105.png"/><Relationship Id="rId270" Type="http://schemas.openxmlformats.org/officeDocument/2006/relationships/image" Target="media/image253.svg"/><Relationship Id="rId291" Type="http://schemas.openxmlformats.org/officeDocument/2006/relationships/image" Target="media/image274.png"/><Relationship Id="rId44" Type="http://schemas.openxmlformats.org/officeDocument/2006/relationships/image" Target="media/image32.png"/><Relationship Id="rId65" Type="http://schemas.openxmlformats.org/officeDocument/2006/relationships/image" Target="media/image52.png"/><Relationship Id="rId86" Type="http://schemas.openxmlformats.org/officeDocument/2006/relationships/image" Target="media/image73.png"/><Relationship Id="rId130" Type="http://schemas.openxmlformats.org/officeDocument/2006/relationships/image" Target="media/image116.png"/><Relationship Id="rId151" Type="http://schemas.openxmlformats.org/officeDocument/2006/relationships/image" Target="media/image137.png"/><Relationship Id="rId172" Type="http://schemas.openxmlformats.org/officeDocument/2006/relationships/image" Target="media/image157.png"/><Relationship Id="rId193" Type="http://schemas.openxmlformats.org/officeDocument/2006/relationships/image" Target="media/image178.png"/><Relationship Id="rId207" Type="http://schemas.openxmlformats.org/officeDocument/2006/relationships/image" Target="media/image191.png"/><Relationship Id="rId228" Type="http://schemas.openxmlformats.org/officeDocument/2006/relationships/image" Target="media/image212.png"/><Relationship Id="rId249" Type="http://schemas.openxmlformats.org/officeDocument/2006/relationships/image" Target="media/image233.svg"/><Relationship Id="rId13" Type="http://schemas.openxmlformats.org/officeDocument/2006/relationships/image" Target="media/image2.png"/><Relationship Id="rId109" Type="http://schemas.openxmlformats.org/officeDocument/2006/relationships/image" Target="media/image96.png"/><Relationship Id="rId260" Type="http://schemas.openxmlformats.org/officeDocument/2006/relationships/image" Target="media/image243.png"/><Relationship Id="rId281" Type="http://schemas.openxmlformats.org/officeDocument/2006/relationships/image" Target="media/image264.png"/><Relationship Id="rId34" Type="http://schemas.openxmlformats.org/officeDocument/2006/relationships/image" Target="media/image22.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20" Type="http://schemas.openxmlformats.org/officeDocument/2006/relationships/image" Target="media/image106.png"/><Relationship Id="rId141" Type="http://schemas.openxmlformats.org/officeDocument/2006/relationships/image" Target="media/image127.png"/><Relationship Id="rId7" Type="http://schemas.openxmlformats.org/officeDocument/2006/relationships/settings" Target="settings.xml"/><Relationship Id="rId162" Type="http://schemas.openxmlformats.org/officeDocument/2006/relationships/image" Target="media/image147.png"/><Relationship Id="rId183" Type="http://schemas.openxmlformats.org/officeDocument/2006/relationships/image" Target="media/image168.png"/><Relationship Id="rId218" Type="http://schemas.openxmlformats.org/officeDocument/2006/relationships/image" Target="media/image202.png"/><Relationship Id="rId239" Type="http://schemas.openxmlformats.org/officeDocument/2006/relationships/image" Target="media/image223.png"/><Relationship Id="rId250" Type="http://schemas.openxmlformats.org/officeDocument/2006/relationships/image" Target="media/image234.png"/><Relationship Id="rId271" Type="http://schemas.openxmlformats.org/officeDocument/2006/relationships/image" Target="media/image254.png"/><Relationship Id="rId292" Type="http://schemas.openxmlformats.org/officeDocument/2006/relationships/image" Target="media/image275.png"/><Relationship Id="rId24" Type="http://schemas.openxmlformats.org/officeDocument/2006/relationships/image" Target="media/image12.png"/><Relationship Id="rId45" Type="http://schemas.openxmlformats.org/officeDocument/2006/relationships/image" Target="media/image33.png"/><Relationship Id="rId66" Type="http://schemas.openxmlformats.org/officeDocument/2006/relationships/image" Target="media/image53.png"/><Relationship Id="rId87" Type="http://schemas.openxmlformats.org/officeDocument/2006/relationships/image" Target="media/image74.svg"/><Relationship Id="rId110" Type="http://schemas.openxmlformats.org/officeDocument/2006/relationships/image" Target="media/image97.png"/><Relationship Id="rId131" Type="http://schemas.openxmlformats.org/officeDocument/2006/relationships/image" Target="media/image117.png"/><Relationship Id="rId152" Type="http://schemas.openxmlformats.org/officeDocument/2006/relationships/image" Target="media/image138.png"/><Relationship Id="rId173" Type="http://schemas.openxmlformats.org/officeDocument/2006/relationships/image" Target="media/image158.png"/><Relationship Id="rId194" Type="http://schemas.openxmlformats.org/officeDocument/2006/relationships/image" Target="media/image179.png"/><Relationship Id="rId208" Type="http://schemas.openxmlformats.org/officeDocument/2006/relationships/image" Target="media/image192.png"/><Relationship Id="rId229" Type="http://schemas.openxmlformats.org/officeDocument/2006/relationships/image" Target="media/image213.png"/><Relationship Id="rId240" Type="http://schemas.openxmlformats.org/officeDocument/2006/relationships/image" Target="media/image224.png"/><Relationship Id="rId261" Type="http://schemas.openxmlformats.org/officeDocument/2006/relationships/image" Target="media/image244.png"/><Relationship Id="rId14" Type="http://schemas.openxmlformats.org/officeDocument/2006/relationships/image" Target="media/image3.emf"/><Relationship Id="rId35" Type="http://schemas.openxmlformats.org/officeDocument/2006/relationships/image" Target="media/image23.png"/><Relationship Id="rId56" Type="http://schemas.openxmlformats.org/officeDocument/2006/relationships/image" Target="media/image43.svg"/><Relationship Id="rId77" Type="http://schemas.openxmlformats.org/officeDocument/2006/relationships/image" Target="media/image64.png"/><Relationship Id="rId100" Type="http://schemas.openxmlformats.org/officeDocument/2006/relationships/image" Target="media/image87.png"/><Relationship Id="rId282" Type="http://schemas.openxmlformats.org/officeDocument/2006/relationships/image" Target="media/image265.svg"/><Relationship Id="rId8" Type="http://schemas.openxmlformats.org/officeDocument/2006/relationships/webSettings" Target="webSettings.xml"/><Relationship Id="rId98" Type="http://schemas.openxmlformats.org/officeDocument/2006/relationships/image" Target="media/image85.png"/><Relationship Id="rId121" Type="http://schemas.openxmlformats.org/officeDocument/2006/relationships/image" Target="media/image107.png"/><Relationship Id="rId142" Type="http://schemas.openxmlformats.org/officeDocument/2006/relationships/image" Target="media/image128.png"/><Relationship Id="rId163" Type="http://schemas.openxmlformats.org/officeDocument/2006/relationships/image" Target="media/image148.png"/><Relationship Id="rId184" Type="http://schemas.openxmlformats.org/officeDocument/2006/relationships/image" Target="media/image169.png"/><Relationship Id="rId219" Type="http://schemas.openxmlformats.org/officeDocument/2006/relationships/image" Target="media/image203.png"/><Relationship Id="rId230" Type="http://schemas.openxmlformats.org/officeDocument/2006/relationships/image" Target="media/image214.png"/><Relationship Id="rId251" Type="http://schemas.openxmlformats.org/officeDocument/2006/relationships/image" Target="media/image235.png"/><Relationship Id="rId25" Type="http://schemas.openxmlformats.org/officeDocument/2006/relationships/image" Target="media/image13.svg"/><Relationship Id="rId46" Type="http://schemas.openxmlformats.org/officeDocument/2006/relationships/image" Target="media/image34.png"/><Relationship Id="rId67" Type="http://schemas.openxmlformats.org/officeDocument/2006/relationships/image" Target="media/image54.png"/><Relationship Id="rId272" Type="http://schemas.openxmlformats.org/officeDocument/2006/relationships/image" Target="media/image255.png"/><Relationship Id="rId293" Type="http://schemas.openxmlformats.org/officeDocument/2006/relationships/image" Target="media/image276.png"/><Relationship Id="rId88" Type="http://schemas.openxmlformats.org/officeDocument/2006/relationships/image" Target="media/image75.png"/><Relationship Id="rId111" Type="http://schemas.openxmlformats.org/officeDocument/2006/relationships/footer" Target="footer4.xml"/><Relationship Id="rId132" Type="http://schemas.openxmlformats.org/officeDocument/2006/relationships/image" Target="media/image118.png"/><Relationship Id="rId153" Type="http://schemas.openxmlformats.org/officeDocument/2006/relationships/image" Target="media/image139.png"/><Relationship Id="rId174" Type="http://schemas.openxmlformats.org/officeDocument/2006/relationships/image" Target="media/image159.png"/><Relationship Id="rId195" Type="http://schemas.openxmlformats.org/officeDocument/2006/relationships/image" Target="media/image180.png"/><Relationship Id="rId209" Type="http://schemas.openxmlformats.org/officeDocument/2006/relationships/image" Target="media/image193.png"/><Relationship Id="rId220" Type="http://schemas.openxmlformats.org/officeDocument/2006/relationships/image" Target="media/image204.png"/><Relationship Id="rId241" Type="http://schemas.openxmlformats.org/officeDocument/2006/relationships/image" Target="media/image225.png"/><Relationship Id="rId15" Type="http://schemas.openxmlformats.org/officeDocument/2006/relationships/footer" Target="footer2.xml"/><Relationship Id="rId36" Type="http://schemas.openxmlformats.org/officeDocument/2006/relationships/image" Target="media/image24.png"/><Relationship Id="rId57" Type="http://schemas.openxmlformats.org/officeDocument/2006/relationships/image" Target="media/image44.png"/><Relationship Id="rId262" Type="http://schemas.openxmlformats.org/officeDocument/2006/relationships/image" Target="media/image245.png"/><Relationship Id="rId283" Type="http://schemas.openxmlformats.org/officeDocument/2006/relationships/image" Target="media/image266.png"/><Relationship Id="rId78" Type="http://schemas.openxmlformats.org/officeDocument/2006/relationships/image" Target="media/image65.png"/><Relationship Id="rId99" Type="http://schemas.openxmlformats.org/officeDocument/2006/relationships/image" Target="media/image86.png"/><Relationship Id="rId101" Type="http://schemas.openxmlformats.org/officeDocument/2006/relationships/image" Target="media/image88.svg"/><Relationship Id="rId122" Type="http://schemas.openxmlformats.org/officeDocument/2006/relationships/image" Target="media/image108.png"/><Relationship Id="rId143" Type="http://schemas.openxmlformats.org/officeDocument/2006/relationships/image" Target="media/image129.png"/><Relationship Id="rId164" Type="http://schemas.openxmlformats.org/officeDocument/2006/relationships/image" Target="media/image149.png"/><Relationship Id="rId185" Type="http://schemas.openxmlformats.org/officeDocument/2006/relationships/image" Target="media/image170.png"/><Relationship Id="rId9" Type="http://schemas.openxmlformats.org/officeDocument/2006/relationships/footnotes" Target="footnotes.xml"/><Relationship Id="rId210" Type="http://schemas.openxmlformats.org/officeDocument/2006/relationships/image" Target="media/image194.png"/><Relationship Id="rId26" Type="http://schemas.openxmlformats.org/officeDocument/2006/relationships/image" Target="media/image14.png"/><Relationship Id="rId231" Type="http://schemas.openxmlformats.org/officeDocument/2006/relationships/image" Target="media/image215.svg"/><Relationship Id="rId252" Type="http://schemas.openxmlformats.org/officeDocument/2006/relationships/footer" Target="footer7.xml"/><Relationship Id="rId273" Type="http://schemas.openxmlformats.org/officeDocument/2006/relationships/image" Target="media/image256.png"/><Relationship Id="rId294" Type="http://schemas.openxmlformats.org/officeDocument/2006/relationships/image" Target="media/image277.png"/><Relationship Id="rId47" Type="http://schemas.openxmlformats.org/officeDocument/2006/relationships/image" Target="media/image35.png"/><Relationship Id="rId68" Type="http://schemas.openxmlformats.org/officeDocument/2006/relationships/image" Target="media/image55.png"/><Relationship Id="rId89" Type="http://schemas.openxmlformats.org/officeDocument/2006/relationships/image" Target="media/image76.svg"/><Relationship Id="rId112" Type="http://schemas.openxmlformats.org/officeDocument/2006/relationships/image" Target="media/image98.png"/><Relationship Id="rId133" Type="http://schemas.openxmlformats.org/officeDocument/2006/relationships/image" Target="media/image119.png"/><Relationship Id="rId154" Type="http://schemas.openxmlformats.org/officeDocument/2006/relationships/footer" Target="footer5.xml"/><Relationship Id="rId175" Type="http://schemas.openxmlformats.org/officeDocument/2006/relationships/image" Target="media/image160.png"/><Relationship Id="rId196" Type="http://schemas.openxmlformats.org/officeDocument/2006/relationships/footer" Target="footer6.xml"/><Relationship Id="rId200" Type="http://schemas.openxmlformats.org/officeDocument/2006/relationships/image" Target="media/image184.png"/><Relationship Id="rId16" Type="http://schemas.openxmlformats.org/officeDocument/2006/relationships/image" Target="media/image4.png"/><Relationship Id="rId221" Type="http://schemas.openxmlformats.org/officeDocument/2006/relationships/image" Target="media/image205.png"/><Relationship Id="rId242" Type="http://schemas.openxmlformats.org/officeDocument/2006/relationships/image" Target="media/image226.png"/><Relationship Id="rId263" Type="http://schemas.openxmlformats.org/officeDocument/2006/relationships/image" Target="media/image246.png"/><Relationship Id="rId284" Type="http://schemas.openxmlformats.org/officeDocument/2006/relationships/image" Target="media/image267.png"/><Relationship Id="rId37" Type="http://schemas.openxmlformats.org/officeDocument/2006/relationships/image" Target="media/image25.png"/><Relationship Id="rId58" Type="http://schemas.openxmlformats.org/officeDocument/2006/relationships/image" Target="media/image45.svg"/><Relationship Id="rId79" Type="http://schemas.openxmlformats.org/officeDocument/2006/relationships/image" Target="media/image66.svg"/><Relationship Id="rId102" Type="http://schemas.openxmlformats.org/officeDocument/2006/relationships/image" Target="media/image89.png"/><Relationship Id="rId123" Type="http://schemas.openxmlformats.org/officeDocument/2006/relationships/image" Target="media/image109.png"/><Relationship Id="rId144" Type="http://schemas.openxmlformats.org/officeDocument/2006/relationships/image" Target="media/image130.png"/><Relationship Id="rId90" Type="http://schemas.openxmlformats.org/officeDocument/2006/relationships/image" Target="media/image77.png"/><Relationship Id="rId165" Type="http://schemas.openxmlformats.org/officeDocument/2006/relationships/image" Target="media/image150.png"/><Relationship Id="rId186" Type="http://schemas.openxmlformats.org/officeDocument/2006/relationships/image" Target="media/image171.svg"/><Relationship Id="rId211" Type="http://schemas.openxmlformats.org/officeDocument/2006/relationships/image" Target="media/image195.png"/><Relationship Id="rId232" Type="http://schemas.openxmlformats.org/officeDocument/2006/relationships/image" Target="media/image216.png"/><Relationship Id="rId253" Type="http://schemas.openxmlformats.org/officeDocument/2006/relationships/image" Target="media/image236.png"/><Relationship Id="rId274" Type="http://schemas.openxmlformats.org/officeDocument/2006/relationships/image" Target="media/image257.png"/><Relationship Id="rId295" Type="http://schemas.openxmlformats.org/officeDocument/2006/relationships/image" Target="media/image278.png"/><Relationship Id="rId27" Type="http://schemas.openxmlformats.org/officeDocument/2006/relationships/image" Target="media/image15.png"/><Relationship Id="rId48" Type="http://schemas.openxmlformats.org/officeDocument/2006/relationships/footer" Target="footer3.xml"/><Relationship Id="rId69" Type="http://schemas.openxmlformats.org/officeDocument/2006/relationships/image" Target="media/image56.png"/><Relationship Id="rId113" Type="http://schemas.openxmlformats.org/officeDocument/2006/relationships/image" Target="media/image99.png"/><Relationship Id="rId134" Type="http://schemas.openxmlformats.org/officeDocument/2006/relationships/image" Target="media/image120.png"/><Relationship Id="rId80" Type="http://schemas.openxmlformats.org/officeDocument/2006/relationships/image" Target="media/image67.png"/><Relationship Id="rId155" Type="http://schemas.openxmlformats.org/officeDocument/2006/relationships/image" Target="media/image140.png"/><Relationship Id="rId176" Type="http://schemas.openxmlformats.org/officeDocument/2006/relationships/image" Target="media/image161.png"/><Relationship Id="rId197" Type="http://schemas.openxmlformats.org/officeDocument/2006/relationships/image" Target="media/image181.png"/><Relationship Id="rId201" Type="http://schemas.openxmlformats.org/officeDocument/2006/relationships/image" Target="media/image185.png"/><Relationship Id="rId222" Type="http://schemas.openxmlformats.org/officeDocument/2006/relationships/image" Target="media/image206.png"/><Relationship Id="rId243" Type="http://schemas.openxmlformats.org/officeDocument/2006/relationships/image" Target="media/image227.png"/><Relationship Id="rId264" Type="http://schemas.openxmlformats.org/officeDocument/2006/relationships/image" Target="media/image247.png"/><Relationship Id="rId285" Type="http://schemas.openxmlformats.org/officeDocument/2006/relationships/image" Target="media/image268.png"/><Relationship Id="rId17" Type="http://schemas.openxmlformats.org/officeDocument/2006/relationships/image" Target="media/image5.png"/><Relationship Id="rId38" Type="http://schemas.openxmlformats.org/officeDocument/2006/relationships/image" Target="media/image26.png"/><Relationship Id="rId59" Type="http://schemas.openxmlformats.org/officeDocument/2006/relationships/image" Target="media/image46.png"/><Relationship Id="rId103" Type="http://schemas.openxmlformats.org/officeDocument/2006/relationships/image" Target="media/image90.svg"/><Relationship Id="rId124" Type="http://schemas.openxmlformats.org/officeDocument/2006/relationships/image" Target="media/image110.png"/><Relationship Id="rId70" Type="http://schemas.openxmlformats.org/officeDocument/2006/relationships/image" Target="media/image57.png"/><Relationship Id="rId91" Type="http://schemas.openxmlformats.org/officeDocument/2006/relationships/image" Target="media/image78.svg"/><Relationship Id="rId145" Type="http://schemas.openxmlformats.org/officeDocument/2006/relationships/image" Target="media/image131.png"/><Relationship Id="rId166" Type="http://schemas.openxmlformats.org/officeDocument/2006/relationships/image" Target="media/image151.png"/><Relationship Id="rId187" Type="http://schemas.openxmlformats.org/officeDocument/2006/relationships/image" Target="media/image172.png"/><Relationship Id="rId1" Type="http://schemas.openxmlformats.org/officeDocument/2006/relationships/customXml" Target="../customXml/item1.xml"/><Relationship Id="rId212" Type="http://schemas.openxmlformats.org/officeDocument/2006/relationships/image" Target="media/image196.svg"/><Relationship Id="rId233" Type="http://schemas.openxmlformats.org/officeDocument/2006/relationships/image" Target="media/image217.png"/><Relationship Id="rId254" Type="http://schemas.openxmlformats.org/officeDocument/2006/relationships/image" Target="media/image237.png"/><Relationship Id="rId28" Type="http://schemas.openxmlformats.org/officeDocument/2006/relationships/image" Target="media/image16.png"/><Relationship Id="rId49" Type="http://schemas.openxmlformats.org/officeDocument/2006/relationships/image" Target="media/image36.png"/><Relationship Id="rId114" Type="http://schemas.openxmlformats.org/officeDocument/2006/relationships/image" Target="media/image100.png"/><Relationship Id="rId275" Type="http://schemas.openxmlformats.org/officeDocument/2006/relationships/image" Target="media/image258.png"/><Relationship Id="rId296" Type="http://schemas.openxmlformats.org/officeDocument/2006/relationships/footer" Target="footer8.xml"/><Relationship Id="rId60" Type="http://schemas.openxmlformats.org/officeDocument/2006/relationships/image" Target="media/image47.png"/><Relationship Id="rId81" Type="http://schemas.openxmlformats.org/officeDocument/2006/relationships/image" Target="media/image68.png"/><Relationship Id="rId135" Type="http://schemas.openxmlformats.org/officeDocument/2006/relationships/image" Target="media/image121.png"/><Relationship Id="rId156" Type="http://schemas.openxmlformats.org/officeDocument/2006/relationships/image" Target="media/image141.png"/><Relationship Id="rId177" Type="http://schemas.openxmlformats.org/officeDocument/2006/relationships/image" Target="media/image162.png"/><Relationship Id="rId198" Type="http://schemas.openxmlformats.org/officeDocument/2006/relationships/image" Target="media/image182.png"/><Relationship Id="rId202" Type="http://schemas.openxmlformats.org/officeDocument/2006/relationships/image" Target="media/image186.svg"/><Relationship Id="rId223" Type="http://schemas.openxmlformats.org/officeDocument/2006/relationships/image" Target="media/image207.png"/><Relationship Id="rId244" Type="http://schemas.openxmlformats.org/officeDocument/2006/relationships/image" Target="media/image228.png"/><Relationship Id="rId18" Type="http://schemas.openxmlformats.org/officeDocument/2006/relationships/image" Target="media/image6.png"/><Relationship Id="rId39" Type="http://schemas.openxmlformats.org/officeDocument/2006/relationships/image" Target="media/image27.png"/><Relationship Id="rId265" Type="http://schemas.openxmlformats.org/officeDocument/2006/relationships/image" Target="media/image248.png"/><Relationship Id="rId286" Type="http://schemas.openxmlformats.org/officeDocument/2006/relationships/image" Target="media/image269.png"/><Relationship Id="rId50" Type="http://schemas.openxmlformats.org/officeDocument/2006/relationships/image" Target="media/image37.png"/><Relationship Id="rId104" Type="http://schemas.openxmlformats.org/officeDocument/2006/relationships/image" Target="media/image91.png"/><Relationship Id="rId125" Type="http://schemas.openxmlformats.org/officeDocument/2006/relationships/image" Target="media/image111.png"/><Relationship Id="rId146" Type="http://schemas.openxmlformats.org/officeDocument/2006/relationships/image" Target="media/image132.png"/><Relationship Id="rId167" Type="http://schemas.openxmlformats.org/officeDocument/2006/relationships/image" Target="media/image152.png"/><Relationship Id="rId188" Type="http://schemas.openxmlformats.org/officeDocument/2006/relationships/image" Target="media/image173.png"/><Relationship Id="rId71" Type="http://schemas.openxmlformats.org/officeDocument/2006/relationships/image" Target="media/image58.svg"/><Relationship Id="rId92" Type="http://schemas.openxmlformats.org/officeDocument/2006/relationships/image" Target="media/image79.png"/><Relationship Id="rId213" Type="http://schemas.openxmlformats.org/officeDocument/2006/relationships/image" Target="media/image197.png"/><Relationship Id="rId234" Type="http://schemas.openxmlformats.org/officeDocument/2006/relationships/image" Target="media/image218.png"/><Relationship Id="rId2" Type="http://schemas.openxmlformats.org/officeDocument/2006/relationships/customXml" Target="../customXml/item2.xml"/><Relationship Id="rId29" Type="http://schemas.openxmlformats.org/officeDocument/2006/relationships/image" Target="media/image17.png"/><Relationship Id="rId255" Type="http://schemas.openxmlformats.org/officeDocument/2006/relationships/image" Target="media/image238.png"/><Relationship Id="rId276" Type="http://schemas.openxmlformats.org/officeDocument/2006/relationships/image" Target="media/image259.png"/><Relationship Id="rId297" Type="http://schemas.openxmlformats.org/officeDocument/2006/relationships/fontTable" Target="fontTable.xml"/><Relationship Id="rId40" Type="http://schemas.openxmlformats.org/officeDocument/2006/relationships/image" Target="media/image28.png"/><Relationship Id="rId115" Type="http://schemas.openxmlformats.org/officeDocument/2006/relationships/image" Target="media/image101.png"/><Relationship Id="rId136" Type="http://schemas.openxmlformats.org/officeDocument/2006/relationships/image" Target="media/image122.png"/><Relationship Id="rId157" Type="http://schemas.openxmlformats.org/officeDocument/2006/relationships/image" Target="media/image142.png"/><Relationship Id="rId178" Type="http://schemas.openxmlformats.org/officeDocument/2006/relationships/image" Target="media/image163.png"/><Relationship Id="rId61" Type="http://schemas.openxmlformats.org/officeDocument/2006/relationships/image" Target="media/image48.png"/><Relationship Id="rId82" Type="http://schemas.openxmlformats.org/officeDocument/2006/relationships/image" Target="media/image69.png"/><Relationship Id="rId199" Type="http://schemas.openxmlformats.org/officeDocument/2006/relationships/image" Target="media/image183.png"/><Relationship Id="rId203" Type="http://schemas.openxmlformats.org/officeDocument/2006/relationships/image" Target="media/image187.png"/><Relationship Id="rId19" Type="http://schemas.openxmlformats.org/officeDocument/2006/relationships/image" Target="media/image7.png"/><Relationship Id="rId224" Type="http://schemas.openxmlformats.org/officeDocument/2006/relationships/image" Target="media/image208.png"/><Relationship Id="rId245" Type="http://schemas.openxmlformats.org/officeDocument/2006/relationships/image" Target="media/image229.png"/><Relationship Id="rId266" Type="http://schemas.openxmlformats.org/officeDocument/2006/relationships/image" Target="media/image249.png"/><Relationship Id="rId287" Type="http://schemas.openxmlformats.org/officeDocument/2006/relationships/image" Target="media/image270.png"/><Relationship Id="rId30" Type="http://schemas.openxmlformats.org/officeDocument/2006/relationships/image" Target="media/image18.png"/><Relationship Id="rId105" Type="http://schemas.openxmlformats.org/officeDocument/2006/relationships/image" Target="media/image92.svg"/><Relationship Id="rId126" Type="http://schemas.openxmlformats.org/officeDocument/2006/relationships/image" Target="media/image112.png"/><Relationship Id="rId147" Type="http://schemas.openxmlformats.org/officeDocument/2006/relationships/image" Target="media/image133.png"/><Relationship Id="rId168" Type="http://schemas.openxmlformats.org/officeDocument/2006/relationships/image" Target="media/image153.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svg"/><Relationship Id="rId189" Type="http://schemas.openxmlformats.org/officeDocument/2006/relationships/image" Target="media/image174.svg"/><Relationship Id="rId3" Type="http://schemas.openxmlformats.org/officeDocument/2006/relationships/customXml" Target="../customXml/item3.xml"/><Relationship Id="rId214" Type="http://schemas.openxmlformats.org/officeDocument/2006/relationships/image" Target="media/image198.png"/><Relationship Id="rId235" Type="http://schemas.openxmlformats.org/officeDocument/2006/relationships/image" Target="media/image219.png"/><Relationship Id="rId256" Type="http://schemas.openxmlformats.org/officeDocument/2006/relationships/image" Target="media/image239.png"/><Relationship Id="rId277" Type="http://schemas.openxmlformats.org/officeDocument/2006/relationships/image" Target="media/image260.svg"/><Relationship Id="rId298" Type="http://schemas.openxmlformats.org/officeDocument/2006/relationships/theme" Target="theme/theme1.xml"/><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43.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49.png"/><Relationship Id="rId83" Type="http://schemas.openxmlformats.org/officeDocument/2006/relationships/image" Target="media/image70.png"/><Relationship Id="rId179" Type="http://schemas.openxmlformats.org/officeDocument/2006/relationships/image" Target="media/image164.png"/><Relationship Id="rId190" Type="http://schemas.openxmlformats.org/officeDocument/2006/relationships/image" Target="media/image175.png"/><Relationship Id="rId204" Type="http://schemas.openxmlformats.org/officeDocument/2006/relationships/image" Target="media/image188.svg"/><Relationship Id="rId225" Type="http://schemas.openxmlformats.org/officeDocument/2006/relationships/image" Target="media/image209.png"/><Relationship Id="rId246" Type="http://schemas.openxmlformats.org/officeDocument/2006/relationships/image" Target="media/image230.png"/><Relationship Id="rId267" Type="http://schemas.openxmlformats.org/officeDocument/2006/relationships/image" Target="media/image250.png"/><Relationship Id="rId288" Type="http://schemas.openxmlformats.org/officeDocument/2006/relationships/image" Target="media/image271.png"/><Relationship Id="rId106" Type="http://schemas.openxmlformats.org/officeDocument/2006/relationships/image" Target="media/image93.png"/><Relationship Id="rId127" Type="http://schemas.openxmlformats.org/officeDocument/2006/relationships/image" Target="media/image113.png"/><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39.png"/><Relationship Id="rId73" Type="http://schemas.openxmlformats.org/officeDocument/2006/relationships/image" Target="media/image60.png"/><Relationship Id="rId94" Type="http://schemas.openxmlformats.org/officeDocument/2006/relationships/image" Target="media/image81.png"/><Relationship Id="rId148" Type="http://schemas.openxmlformats.org/officeDocument/2006/relationships/image" Target="media/image134.png"/><Relationship Id="rId169" Type="http://schemas.openxmlformats.org/officeDocument/2006/relationships/image" Target="media/image154.png"/><Relationship Id="rId4" Type="http://schemas.openxmlformats.org/officeDocument/2006/relationships/customXml" Target="../customXml/item4.xml"/><Relationship Id="rId180" Type="http://schemas.openxmlformats.org/officeDocument/2006/relationships/image" Target="media/image165.svg"/><Relationship Id="rId215" Type="http://schemas.openxmlformats.org/officeDocument/2006/relationships/image" Target="media/image199.svg"/><Relationship Id="rId236" Type="http://schemas.openxmlformats.org/officeDocument/2006/relationships/image" Target="media/image220.png"/><Relationship Id="rId257" Type="http://schemas.openxmlformats.org/officeDocument/2006/relationships/image" Target="media/image240.png"/><Relationship Id="rId278" Type="http://schemas.openxmlformats.org/officeDocument/2006/relationships/image" Target="media/image261.png"/><Relationship Id="rId42" Type="http://schemas.openxmlformats.org/officeDocument/2006/relationships/image" Target="media/image30.png"/><Relationship Id="rId84" Type="http://schemas.openxmlformats.org/officeDocument/2006/relationships/image" Target="media/image71.png"/><Relationship Id="rId138" Type="http://schemas.openxmlformats.org/officeDocument/2006/relationships/image" Target="media/image124.png"/><Relationship Id="rId191" Type="http://schemas.openxmlformats.org/officeDocument/2006/relationships/image" Target="media/image176.png"/><Relationship Id="rId205" Type="http://schemas.openxmlformats.org/officeDocument/2006/relationships/image" Target="media/image189.png"/><Relationship Id="rId247" Type="http://schemas.openxmlformats.org/officeDocument/2006/relationships/image" Target="media/image231.png"/><Relationship Id="rId107" Type="http://schemas.openxmlformats.org/officeDocument/2006/relationships/image" Target="media/image94.svg"/><Relationship Id="rId289" Type="http://schemas.openxmlformats.org/officeDocument/2006/relationships/image" Target="media/image272.png"/><Relationship Id="rId11" Type="http://schemas.openxmlformats.org/officeDocument/2006/relationships/image" Target="media/image1.jpeg"/><Relationship Id="rId53" Type="http://schemas.openxmlformats.org/officeDocument/2006/relationships/image" Target="media/image40.png"/><Relationship Id="rId149" Type="http://schemas.openxmlformats.org/officeDocument/2006/relationships/image" Target="media/image135.png"/><Relationship Id="rId95" Type="http://schemas.openxmlformats.org/officeDocument/2006/relationships/image" Target="media/image82.png"/><Relationship Id="rId160" Type="http://schemas.openxmlformats.org/officeDocument/2006/relationships/image" Target="media/image145.png"/><Relationship Id="rId216" Type="http://schemas.openxmlformats.org/officeDocument/2006/relationships/image" Target="media/image200.png"/><Relationship Id="rId258" Type="http://schemas.openxmlformats.org/officeDocument/2006/relationships/image" Target="media/image241.png"/><Relationship Id="rId22" Type="http://schemas.openxmlformats.org/officeDocument/2006/relationships/image" Target="media/image10.png"/><Relationship Id="rId64" Type="http://schemas.openxmlformats.org/officeDocument/2006/relationships/image" Target="media/image51.png"/><Relationship Id="rId118" Type="http://schemas.openxmlformats.org/officeDocument/2006/relationships/image" Target="media/image104.png"/><Relationship Id="rId171" Type="http://schemas.openxmlformats.org/officeDocument/2006/relationships/image" Target="media/image156.png"/><Relationship Id="rId227" Type="http://schemas.openxmlformats.org/officeDocument/2006/relationships/image" Target="media/image211.png"/><Relationship Id="rId269" Type="http://schemas.openxmlformats.org/officeDocument/2006/relationships/image" Target="media/image252.png"/><Relationship Id="rId33" Type="http://schemas.openxmlformats.org/officeDocument/2006/relationships/image" Target="media/image21.png"/><Relationship Id="rId129" Type="http://schemas.openxmlformats.org/officeDocument/2006/relationships/image" Target="media/image115.png"/><Relationship Id="rId280" Type="http://schemas.openxmlformats.org/officeDocument/2006/relationships/image" Target="media/image2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4955CEB3D5BC48B7E366FCA839462A" ma:contentTypeVersion="4" ma:contentTypeDescription="Create a new document." ma:contentTypeScope="" ma:versionID="f689f63a0fbf04ee726156825d37a5fe">
  <xsd:schema xmlns:xsd="http://www.w3.org/2001/XMLSchema" xmlns:xs="http://www.w3.org/2001/XMLSchema" xmlns:p="http://schemas.microsoft.com/office/2006/metadata/properties" xmlns:ns2="5fb4f6e9-7cf4-4d3e-b19c-0d480a5a87a2" targetNamespace="http://schemas.microsoft.com/office/2006/metadata/properties" ma:root="true" ma:fieldsID="f0833ade5a18d211209347c9bd8dd8eb" ns2:_="">
    <xsd:import namespace="5fb4f6e9-7cf4-4d3e-b19c-0d480a5a87a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b4f6e9-7cf4-4d3e-b19c-0d480a5a8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A9AA04-A932-4159-A10A-57D68DB6243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46E8F20-DF16-4065-A614-4563EEF608FA}">
  <ds:schemaRefs>
    <ds:schemaRef ds:uri="http://schemas.microsoft.com/sharepoint/v3/contenttype/forms"/>
  </ds:schemaRefs>
</ds:datastoreItem>
</file>

<file path=customXml/itemProps3.xml><?xml version="1.0" encoding="utf-8"?>
<ds:datastoreItem xmlns:ds="http://schemas.openxmlformats.org/officeDocument/2006/customXml" ds:itemID="{906B17AA-E36A-435B-88B6-6D8880DAB4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b4f6e9-7cf4-4d3e-b19c-0d480a5a87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8B18DA-A479-4BBE-B307-97BB83BA7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67651</Words>
  <Characters>385614</Characters>
  <Application>Microsoft Office Word</Application>
  <DocSecurity>0</DocSecurity>
  <Lines>3213</Lines>
  <Paragraphs>904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452361</CharactersWithSpaces>
  <SharedDoc>false</SharedDoc>
  <HLinks>
    <vt:vector size="1086" baseType="variant">
      <vt:variant>
        <vt:i4>1114134</vt:i4>
      </vt:variant>
      <vt:variant>
        <vt:i4>1251</vt:i4>
      </vt:variant>
      <vt:variant>
        <vt:i4>0</vt:i4>
      </vt:variant>
      <vt:variant>
        <vt:i4>5</vt:i4>
      </vt:variant>
      <vt:variant>
        <vt:lpwstr>https://www.cso.ie/en/databases/</vt:lpwstr>
      </vt:variant>
      <vt:variant>
        <vt:lpwstr/>
      </vt:variant>
      <vt:variant>
        <vt:i4>1507383</vt:i4>
      </vt:variant>
      <vt:variant>
        <vt:i4>1076</vt:i4>
      </vt:variant>
      <vt:variant>
        <vt:i4>0</vt:i4>
      </vt:variant>
      <vt:variant>
        <vt:i4>5</vt:i4>
      </vt:variant>
      <vt:variant>
        <vt:lpwstr/>
      </vt:variant>
      <vt:variant>
        <vt:lpwstr>_Toc200033631</vt:lpwstr>
      </vt:variant>
      <vt:variant>
        <vt:i4>1507383</vt:i4>
      </vt:variant>
      <vt:variant>
        <vt:i4>1070</vt:i4>
      </vt:variant>
      <vt:variant>
        <vt:i4>0</vt:i4>
      </vt:variant>
      <vt:variant>
        <vt:i4>5</vt:i4>
      </vt:variant>
      <vt:variant>
        <vt:lpwstr/>
      </vt:variant>
      <vt:variant>
        <vt:lpwstr>_Toc200033630</vt:lpwstr>
      </vt:variant>
      <vt:variant>
        <vt:i4>1441847</vt:i4>
      </vt:variant>
      <vt:variant>
        <vt:i4>1064</vt:i4>
      </vt:variant>
      <vt:variant>
        <vt:i4>0</vt:i4>
      </vt:variant>
      <vt:variant>
        <vt:i4>5</vt:i4>
      </vt:variant>
      <vt:variant>
        <vt:lpwstr/>
      </vt:variant>
      <vt:variant>
        <vt:lpwstr>_Toc200033629</vt:lpwstr>
      </vt:variant>
      <vt:variant>
        <vt:i4>1441847</vt:i4>
      </vt:variant>
      <vt:variant>
        <vt:i4>1058</vt:i4>
      </vt:variant>
      <vt:variant>
        <vt:i4>0</vt:i4>
      </vt:variant>
      <vt:variant>
        <vt:i4>5</vt:i4>
      </vt:variant>
      <vt:variant>
        <vt:lpwstr/>
      </vt:variant>
      <vt:variant>
        <vt:lpwstr>_Toc200033628</vt:lpwstr>
      </vt:variant>
      <vt:variant>
        <vt:i4>1441847</vt:i4>
      </vt:variant>
      <vt:variant>
        <vt:i4>1052</vt:i4>
      </vt:variant>
      <vt:variant>
        <vt:i4>0</vt:i4>
      </vt:variant>
      <vt:variant>
        <vt:i4>5</vt:i4>
      </vt:variant>
      <vt:variant>
        <vt:lpwstr/>
      </vt:variant>
      <vt:variant>
        <vt:lpwstr>_Toc200033627</vt:lpwstr>
      </vt:variant>
      <vt:variant>
        <vt:i4>1441847</vt:i4>
      </vt:variant>
      <vt:variant>
        <vt:i4>1046</vt:i4>
      </vt:variant>
      <vt:variant>
        <vt:i4>0</vt:i4>
      </vt:variant>
      <vt:variant>
        <vt:i4>5</vt:i4>
      </vt:variant>
      <vt:variant>
        <vt:lpwstr/>
      </vt:variant>
      <vt:variant>
        <vt:lpwstr>_Toc200033626</vt:lpwstr>
      </vt:variant>
      <vt:variant>
        <vt:i4>1441847</vt:i4>
      </vt:variant>
      <vt:variant>
        <vt:i4>1040</vt:i4>
      </vt:variant>
      <vt:variant>
        <vt:i4>0</vt:i4>
      </vt:variant>
      <vt:variant>
        <vt:i4>5</vt:i4>
      </vt:variant>
      <vt:variant>
        <vt:lpwstr/>
      </vt:variant>
      <vt:variant>
        <vt:lpwstr>_Toc200033625</vt:lpwstr>
      </vt:variant>
      <vt:variant>
        <vt:i4>1441847</vt:i4>
      </vt:variant>
      <vt:variant>
        <vt:i4>1034</vt:i4>
      </vt:variant>
      <vt:variant>
        <vt:i4>0</vt:i4>
      </vt:variant>
      <vt:variant>
        <vt:i4>5</vt:i4>
      </vt:variant>
      <vt:variant>
        <vt:lpwstr/>
      </vt:variant>
      <vt:variant>
        <vt:lpwstr>_Toc200033624</vt:lpwstr>
      </vt:variant>
      <vt:variant>
        <vt:i4>1441847</vt:i4>
      </vt:variant>
      <vt:variant>
        <vt:i4>1028</vt:i4>
      </vt:variant>
      <vt:variant>
        <vt:i4>0</vt:i4>
      </vt:variant>
      <vt:variant>
        <vt:i4>5</vt:i4>
      </vt:variant>
      <vt:variant>
        <vt:lpwstr/>
      </vt:variant>
      <vt:variant>
        <vt:lpwstr>_Toc200033623</vt:lpwstr>
      </vt:variant>
      <vt:variant>
        <vt:i4>1441847</vt:i4>
      </vt:variant>
      <vt:variant>
        <vt:i4>1022</vt:i4>
      </vt:variant>
      <vt:variant>
        <vt:i4>0</vt:i4>
      </vt:variant>
      <vt:variant>
        <vt:i4>5</vt:i4>
      </vt:variant>
      <vt:variant>
        <vt:lpwstr/>
      </vt:variant>
      <vt:variant>
        <vt:lpwstr>_Toc200033622</vt:lpwstr>
      </vt:variant>
      <vt:variant>
        <vt:i4>1441847</vt:i4>
      </vt:variant>
      <vt:variant>
        <vt:i4>1016</vt:i4>
      </vt:variant>
      <vt:variant>
        <vt:i4>0</vt:i4>
      </vt:variant>
      <vt:variant>
        <vt:i4>5</vt:i4>
      </vt:variant>
      <vt:variant>
        <vt:lpwstr/>
      </vt:variant>
      <vt:variant>
        <vt:lpwstr>_Toc200033621</vt:lpwstr>
      </vt:variant>
      <vt:variant>
        <vt:i4>1441847</vt:i4>
      </vt:variant>
      <vt:variant>
        <vt:i4>1010</vt:i4>
      </vt:variant>
      <vt:variant>
        <vt:i4>0</vt:i4>
      </vt:variant>
      <vt:variant>
        <vt:i4>5</vt:i4>
      </vt:variant>
      <vt:variant>
        <vt:lpwstr/>
      </vt:variant>
      <vt:variant>
        <vt:lpwstr>_Toc200033620</vt:lpwstr>
      </vt:variant>
      <vt:variant>
        <vt:i4>1376311</vt:i4>
      </vt:variant>
      <vt:variant>
        <vt:i4>1004</vt:i4>
      </vt:variant>
      <vt:variant>
        <vt:i4>0</vt:i4>
      </vt:variant>
      <vt:variant>
        <vt:i4>5</vt:i4>
      </vt:variant>
      <vt:variant>
        <vt:lpwstr/>
      </vt:variant>
      <vt:variant>
        <vt:lpwstr>_Toc200033619</vt:lpwstr>
      </vt:variant>
      <vt:variant>
        <vt:i4>1376311</vt:i4>
      </vt:variant>
      <vt:variant>
        <vt:i4>998</vt:i4>
      </vt:variant>
      <vt:variant>
        <vt:i4>0</vt:i4>
      </vt:variant>
      <vt:variant>
        <vt:i4>5</vt:i4>
      </vt:variant>
      <vt:variant>
        <vt:lpwstr/>
      </vt:variant>
      <vt:variant>
        <vt:lpwstr>_Toc200033618</vt:lpwstr>
      </vt:variant>
      <vt:variant>
        <vt:i4>1376311</vt:i4>
      </vt:variant>
      <vt:variant>
        <vt:i4>992</vt:i4>
      </vt:variant>
      <vt:variant>
        <vt:i4>0</vt:i4>
      </vt:variant>
      <vt:variant>
        <vt:i4>5</vt:i4>
      </vt:variant>
      <vt:variant>
        <vt:lpwstr/>
      </vt:variant>
      <vt:variant>
        <vt:lpwstr>_Toc200033617</vt:lpwstr>
      </vt:variant>
      <vt:variant>
        <vt:i4>1376311</vt:i4>
      </vt:variant>
      <vt:variant>
        <vt:i4>986</vt:i4>
      </vt:variant>
      <vt:variant>
        <vt:i4>0</vt:i4>
      </vt:variant>
      <vt:variant>
        <vt:i4>5</vt:i4>
      </vt:variant>
      <vt:variant>
        <vt:lpwstr/>
      </vt:variant>
      <vt:variant>
        <vt:lpwstr>_Toc200033616</vt:lpwstr>
      </vt:variant>
      <vt:variant>
        <vt:i4>1376311</vt:i4>
      </vt:variant>
      <vt:variant>
        <vt:i4>980</vt:i4>
      </vt:variant>
      <vt:variant>
        <vt:i4>0</vt:i4>
      </vt:variant>
      <vt:variant>
        <vt:i4>5</vt:i4>
      </vt:variant>
      <vt:variant>
        <vt:lpwstr/>
      </vt:variant>
      <vt:variant>
        <vt:lpwstr>_Toc200033615</vt:lpwstr>
      </vt:variant>
      <vt:variant>
        <vt:i4>1376311</vt:i4>
      </vt:variant>
      <vt:variant>
        <vt:i4>974</vt:i4>
      </vt:variant>
      <vt:variant>
        <vt:i4>0</vt:i4>
      </vt:variant>
      <vt:variant>
        <vt:i4>5</vt:i4>
      </vt:variant>
      <vt:variant>
        <vt:lpwstr/>
      </vt:variant>
      <vt:variant>
        <vt:lpwstr>_Toc200033614</vt:lpwstr>
      </vt:variant>
      <vt:variant>
        <vt:i4>1376311</vt:i4>
      </vt:variant>
      <vt:variant>
        <vt:i4>968</vt:i4>
      </vt:variant>
      <vt:variant>
        <vt:i4>0</vt:i4>
      </vt:variant>
      <vt:variant>
        <vt:i4>5</vt:i4>
      </vt:variant>
      <vt:variant>
        <vt:lpwstr/>
      </vt:variant>
      <vt:variant>
        <vt:lpwstr>_Toc200033613</vt:lpwstr>
      </vt:variant>
      <vt:variant>
        <vt:i4>1376311</vt:i4>
      </vt:variant>
      <vt:variant>
        <vt:i4>962</vt:i4>
      </vt:variant>
      <vt:variant>
        <vt:i4>0</vt:i4>
      </vt:variant>
      <vt:variant>
        <vt:i4>5</vt:i4>
      </vt:variant>
      <vt:variant>
        <vt:lpwstr/>
      </vt:variant>
      <vt:variant>
        <vt:lpwstr>_Toc200033612</vt:lpwstr>
      </vt:variant>
      <vt:variant>
        <vt:i4>1376311</vt:i4>
      </vt:variant>
      <vt:variant>
        <vt:i4>956</vt:i4>
      </vt:variant>
      <vt:variant>
        <vt:i4>0</vt:i4>
      </vt:variant>
      <vt:variant>
        <vt:i4>5</vt:i4>
      </vt:variant>
      <vt:variant>
        <vt:lpwstr/>
      </vt:variant>
      <vt:variant>
        <vt:lpwstr>_Toc200033611</vt:lpwstr>
      </vt:variant>
      <vt:variant>
        <vt:i4>1376311</vt:i4>
      </vt:variant>
      <vt:variant>
        <vt:i4>950</vt:i4>
      </vt:variant>
      <vt:variant>
        <vt:i4>0</vt:i4>
      </vt:variant>
      <vt:variant>
        <vt:i4>5</vt:i4>
      </vt:variant>
      <vt:variant>
        <vt:lpwstr/>
      </vt:variant>
      <vt:variant>
        <vt:lpwstr>_Toc200033610</vt:lpwstr>
      </vt:variant>
      <vt:variant>
        <vt:i4>1310775</vt:i4>
      </vt:variant>
      <vt:variant>
        <vt:i4>944</vt:i4>
      </vt:variant>
      <vt:variant>
        <vt:i4>0</vt:i4>
      </vt:variant>
      <vt:variant>
        <vt:i4>5</vt:i4>
      </vt:variant>
      <vt:variant>
        <vt:lpwstr/>
      </vt:variant>
      <vt:variant>
        <vt:lpwstr>_Toc200033609</vt:lpwstr>
      </vt:variant>
      <vt:variant>
        <vt:i4>1310775</vt:i4>
      </vt:variant>
      <vt:variant>
        <vt:i4>938</vt:i4>
      </vt:variant>
      <vt:variant>
        <vt:i4>0</vt:i4>
      </vt:variant>
      <vt:variant>
        <vt:i4>5</vt:i4>
      </vt:variant>
      <vt:variant>
        <vt:lpwstr/>
      </vt:variant>
      <vt:variant>
        <vt:lpwstr>_Toc200033608</vt:lpwstr>
      </vt:variant>
      <vt:variant>
        <vt:i4>1310775</vt:i4>
      </vt:variant>
      <vt:variant>
        <vt:i4>932</vt:i4>
      </vt:variant>
      <vt:variant>
        <vt:i4>0</vt:i4>
      </vt:variant>
      <vt:variant>
        <vt:i4>5</vt:i4>
      </vt:variant>
      <vt:variant>
        <vt:lpwstr/>
      </vt:variant>
      <vt:variant>
        <vt:lpwstr>_Toc200033607</vt:lpwstr>
      </vt:variant>
      <vt:variant>
        <vt:i4>1310775</vt:i4>
      </vt:variant>
      <vt:variant>
        <vt:i4>926</vt:i4>
      </vt:variant>
      <vt:variant>
        <vt:i4>0</vt:i4>
      </vt:variant>
      <vt:variant>
        <vt:i4>5</vt:i4>
      </vt:variant>
      <vt:variant>
        <vt:lpwstr/>
      </vt:variant>
      <vt:variant>
        <vt:lpwstr>_Toc200033606</vt:lpwstr>
      </vt:variant>
      <vt:variant>
        <vt:i4>1310775</vt:i4>
      </vt:variant>
      <vt:variant>
        <vt:i4>920</vt:i4>
      </vt:variant>
      <vt:variant>
        <vt:i4>0</vt:i4>
      </vt:variant>
      <vt:variant>
        <vt:i4>5</vt:i4>
      </vt:variant>
      <vt:variant>
        <vt:lpwstr/>
      </vt:variant>
      <vt:variant>
        <vt:lpwstr>_Toc200033605</vt:lpwstr>
      </vt:variant>
      <vt:variant>
        <vt:i4>1310775</vt:i4>
      </vt:variant>
      <vt:variant>
        <vt:i4>914</vt:i4>
      </vt:variant>
      <vt:variant>
        <vt:i4>0</vt:i4>
      </vt:variant>
      <vt:variant>
        <vt:i4>5</vt:i4>
      </vt:variant>
      <vt:variant>
        <vt:lpwstr/>
      </vt:variant>
      <vt:variant>
        <vt:lpwstr>_Toc200033604</vt:lpwstr>
      </vt:variant>
      <vt:variant>
        <vt:i4>1310775</vt:i4>
      </vt:variant>
      <vt:variant>
        <vt:i4>908</vt:i4>
      </vt:variant>
      <vt:variant>
        <vt:i4>0</vt:i4>
      </vt:variant>
      <vt:variant>
        <vt:i4>5</vt:i4>
      </vt:variant>
      <vt:variant>
        <vt:lpwstr/>
      </vt:variant>
      <vt:variant>
        <vt:lpwstr>_Toc200033603</vt:lpwstr>
      </vt:variant>
      <vt:variant>
        <vt:i4>1310775</vt:i4>
      </vt:variant>
      <vt:variant>
        <vt:i4>902</vt:i4>
      </vt:variant>
      <vt:variant>
        <vt:i4>0</vt:i4>
      </vt:variant>
      <vt:variant>
        <vt:i4>5</vt:i4>
      </vt:variant>
      <vt:variant>
        <vt:lpwstr/>
      </vt:variant>
      <vt:variant>
        <vt:lpwstr>_Toc200033602</vt:lpwstr>
      </vt:variant>
      <vt:variant>
        <vt:i4>1310775</vt:i4>
      </vt:variant>
      <vt:variant>
        <vt:i4>896</vt:i4>
      </vt:variant>
      <vt:variant>
        <vt:i4>0</vt:i4>
      </vt:variant>
      <vt:variant>
        <vt:i4>5</vt:i4>
      </vt:variant>
      <vt:variant>
        <vt:lpwstr/>
      </vt:variant>
      <vt:variant>
        <vt:lpwstr>_Toc200033601</vt:lpwstr>
      </vt:variant>
      <vt:variant>
        <vt:i4>1310775</vt:i4>
      </vt:variant>
      <vt:variant>
        <vt:i4>890</vt:i4>
      </vt:variant>
      <vt:variant>
        <vt:i4>0</vt:i4>
      </vt:variant>
      <vt:variant>
        <vt:i4>5</vt:i4>
      </vt:variant>
      <vt:variant>
        <vt:lpwstr/>
      </vt:variant>
      <vt:variant>
        <vt:lpwstr>_Toc200033600</vt:lpwstr>
      </vt:variant>
      <vt:variant>
        <vt:i4>1900596</vt:i4>
      </vt:variant>
      <vt:variant>
        <vt:i4>884</vt:i4>
      </vt:variant>
      <vt:variant>
        <vt:i4>0</vt:i4>
      </vt:variant>
      <vt:variant>
        <vt:i4>5</vt:i4>
      </vt:variant>
      <vt:variant>
        <vt:lpwstr/>
      </vt:variant>
      <vt:variant>
        <vt:lpwstr>_Toc200033599</vt:lpwstr>
      </vt:variant>
      <vt:variant>
        <vt:i4>1900596</vt:i4>
      </vt:variant>
      <vt:variant>
        <vt:i4>878</vt:i4>
      </vt:variant>
      <vt:variant>
        <vt:i4>0</vt:i4>
      </vt:variant>
      <vt:variant>
        <vt:i4>5</vt:i4>
      </vt:variant>
      <vt:variant>
        <vt:lpwstr/>
      </vt:variant>
      <vt:variant>
        <vt:lpwstr>_Toc200033598</vt:lpwstr>
      </vt:variant>
      <vt:variant>
        <vt:i4>1900596</vt:i4>
      </vt:variant>
      <vt:variant>
        <vt:i4>872</vt:i4>
      </vt:variant>
      <vt:variant>
        <vt:i4>0</vt:i4>
      </vt:variant>
      <vt:variant>
        <vt:i4>5</vt:i4>
      </vt:variant>
      <vt:variant>
        <vt:lpwstr/>
      </vt:variant>
      <vt:variant>
        <vt:lpwstr>_Toc200033597</vt:lpwstr>
      </vt:variant>
      <vt:variant>
        <vt:i4>1900596</vt:i4>
      </vt:variant>
      <vt:variant>
        <vt:i4>866</vt:i4>
      </vt:variant>
      <vt:variant>
        <vt:i4>0</vt:i4>
      </vt:variant>
      <vt:variant>
        <vt:i4>5</vt:i4>
      </vt:variant>
      <vt:variant>
        <vt:lpwstr/>
      </vt:variant>
      <vt:variant>
        <vt:lpwstr>_Toc200033596</vt:lpwstr>
      </vt:variant>
      <vt:variant>
        <vt:i4>1900596</vt:i4>
      </vt:variant>
      <vt:variant>
        <vt:i4>860</vt:i4>
      </vt:variant>
      <vt:variant>
        <vt:i4>0</vt:i4>
      </vt:variant>
      <vt:variant>
        <vt:i4>5</vt:i4>
      </vt:variant>
      <vt:variant>
        <vt:lpwstr/>
      </vt:variant>
      <vt:variant>
        <vt:lpwstr>_Toc200033595</vt:lpwstr>
      </vt:variant>
      <vt:variant>
        <vt:i4>1900596</vt:i4>
      </vt:variant>
      <vt:variant>
        <vt:i4>854</vt:i4>
      </vt:variant>
      <vt:variant>
        <vt:i4>0</vt:i4>
      </vt:variant>
      <vt:variant>
        <vt:i4>5</vt:i4>
      </vt:variant>
      <vt:variant>
        <vt:lpwstr/>
      </vt:variant>
      <vt:variant>
        <vt:lpwstr>_Toc200033594</vt:lpwstr>
      </vt:variant>
      <vt:variant>
        <vt:i4>1900596</vt:i4>
      </vt:variant>
      <vt:variant>
        <vt:i4>848</vt:i4>
      </vt:variant>
      <vt:variant>
        <vt:i4>0</vt:i4>
      </vt:variant>
      <vt:variant>
        <vt:i4>5</vt:i4>
      </vt:variant>
      <vt:variant>
        <vt:lpwstr/>
      </vt:variant>
      <vt:variant>
        <vt:lpwstr>_Toc200033593</vt:lpwstr>
      </vt:variant>
      <vt:variant>
        <vt:i4>1900596</vt:i4>
      </vt:variant>
      <vt:variant>
        <vt:i4>842</vt:i4>
      </vt:variant>
      <vt:variant>
        <vt:i4>0</vt:i4>
      </vt:variant>
      <vt:variant>
        <vt:i4>5</vt:i4>
      </vt:variant>
      <vt:variant>
        <vt:lpwstr/>
      </vt:variant>
      <vt:variant>
        <vt:lpwstr>_Toc200033592</vt:lpwstr>
      </vt:variant>
      <vt:variant>
        <vt:i4>1900596</vt:i4>
      </vt:variant>
      <vt:variant>
        <vt:i4>836</vt:i4>
      </vt:variant>
      <vt:variant>
        <vt:i4>0</vt:i4>
      </vt:variant>
      <vt:variant>
        <vt:i4>5</vt:i4>
      </vt:variant>
      <vt:variant>
        <vt:lpwstr/>
      </vt:variant>
      <vt:variant>
        <vt:lpwstr>_Toc200033591</vt:lpwstr>
      </vt:variant>
      <vt:variant>
        <vt:i4>1900596</vt:i4>
      </vt:variant>
      <vt:variant>
        <vt:i4>830</vt:i4>
      </vt:variant>
      <vt:variant>
        <vt:i4>0</vt:i4>
      </vt:variant>
      <vt:variant>
        <vt:i4>5</vt:i4>
      </vt:variant>
      <vt:variant>
        <vt:lpwstr/>
      </vt:variant>
      <vt:variant>
        <vt:lpwstr>_Toc200033590</vt:lpwstr>
      </vt:variant>
      <vt:variant>
        <vt:i4>1835060</vt:i4>
      </vt:variant>
      <vt:variant>
        <vt:i4>824</vt:i4>
      </vt:variant>
      <vt:variant>
        <vt:i4>0</vt:i4>
      </vt:variant>
      <vt:variant>
        <vt:i4>5</vt:i4>
      </vt:variant>
      <vt:variant>
        <vt:lpwstr/>
      </vt:variant>
      <vt:variant>
        <vt:lpwstr>_Toc200033589</vt:lpwstr>
      </vt:variant>
      <vt:variant>
        <vt:i4>1835060</vt:i4>
      </vt:variant>
      <vt:variant>
        <vt:i4>818</vt:i4>
      </vt:variant>
      <vt:variant>
        <vt:i4>0</vt:i4>
      </vt:variant>
      <vt:variant>
        <vt:i4>5</vt:i4>
      </vt:variant>
      <vt:variant>
        <vt:lpwstr/>
      </vt:variant>
      <vt:variant>
        <vt:lpwstr>_Toc200033588</vt:lpwstr>
      </vt:variant>
      <vt:variant>
        <vt:i4>1835060</vt:i4>
      </vt:variant>
      <vt:variant>
        <vt:i4>812</vt:i4>
      </vt:variant>
      <vt:variant>
        <vt:i4>0</vt:i4>
      </vt:variant>
      <vt:variant>
        <vt:i4>5</vt:i4>
      </vt:variant>
      <vt:variant>
        <vt:lpwstr/>
      </vt:variant>
      <vt:variant>
        <vt:lpwstr>_Toc200033587</vt:lpwstr>
      </vt:variant>
      <vt:variant>
        <vt:i4>1835060</vt:i4>
      </vt:variant>
      <vt:variant>
        <vt:i4>806</vt:i4>
      </vt:variant>
      <vt:variant>
        <vt:i4>0</vt:i4>
      </vt:variant>
      <vt:variant>
        <vt:i4>5</vt:i4>
      </vt:variant>
      <vt:variant>
        <vt:lpwstr/>
      </vt:variant>
      <vt:variant>
        <vt:lpwstr>_Toc200033586</vt:lpwstr>
      </vt:variant>
      <vt:variant>
        <vt:i4>1835060</vt:i4>
      </vt:variant>
      <vt:variant>
        <vt:i4>800</vt:i4>
      </vt:variant>
      <vt:variant>
        <vt:i4>0</vt:i4>
      </vt:variant>
      <vt:variant>
        <vt:i4>5</vt:i4>
      </vt:variant>
      <vt:variant>
        <vt:lpwstr/>
      </vt:variant>
      <vt:variant>
        <vt:lpwstr>_Toc200033585</vt:lpwstr>
      </vt:variant>
      <vt:variant>
        <vt:i4>1835060</vt:i4>
      </vt:variant>
      <vt:variant>
        <vt:i4>794</vt:i4>
      </vt:variant>
      <vt:variant>
        <vt:i4>0</vt:i4>
      </vt:variant>
      <vt:variant>
        <vt:i4>5</vt:i4>
      </vt:variant>
      <vt:variant>
        <vt:lpwstr/>
      </vt:variant>
      <vt:variant>
        <vt:lpwstr>_Toc200033584</vt:lpwstr>
      </vt:variant>
      <vt:variant>
        <vt:i4>1835060</vt:i4>
      </vt:variant>
      <vt:variant>
        <vt:i4>788</vt:i4>
      </vt:variant>
      <vt:variant>
        <vt:i4>0</vt:i4>
      </vt:variant>
      <vt:variant>
        <vt:i4>5</vt:i4>
      </vt:variant>
      <vt:variant>
        <vt:lpwstr/>
      </vt:variant>
      <vt:variant>
        <vt:lpwstr>_Toc200033583</vt:lpwstr>
      </vt:variant>
      <vt:variant>
        <vt:i4>1835060</vt:i4>
      </vt:variant>
      <vt:variant>
        <vt:i4>782</vt:i4>
      </vt:variant>
      <vt:variant>
        <vt:i4>0</vt:i4>
      </vt:variant>
      <vt:variant>
        <vt:i4>5</vt:i4>
      </vt:variant>
      <vt:variant>
        <vt:lpwstr/>
      </vt:variant>
      <vt:variant>
        <vt:lpwstr>_Toc200033582</vt:lpwstr>
      </vt:variant>
      <vt:variant>
        <vt:i4>1835060</vt:i4>
      </vt:variant>
      <vt:variant>
        <vt:i4>776</vt:i4>
      </vt:variant>
      <vt:variant>
        <vt:i4>0</vt:i4>
      </vt:variant>
      <vt:variant>
        <vt:i4>5</vt:i4>
      </vt:variant>
      <vt:variant>
        <vt:lpwstr/>
      </vt:variant>
      <vt:variant>
        <vt:lpwstr>_Toc200033581</vt:lpwstr>
      </vt:variant>
      <vt:variant>
        <vt:i4>1835060</vt:i4>
      </vt:variant>
      <vt:variant>
        <vt:i4>770</vt:i4>
      </vt:variant>
      <vt:variant>
        <vt:i4>0</vt:i4>
      </vt:variant>
      <vt:variant>
        <vt:i4>5</vt:i4>
      </vt:variant>
      <vt:variant>
        <vt:lpwstr/>
      </vt:variant>
      <vt:variant>
        <vt:lpwstr>_Toc200033580</vt:lpwstr>
      </vt:variant>
      <vt:variant>
        <vt:i4>1245236</vt:i4>
      </vt:variant>
      <vt:variant>
        <vt:i4>764</vt:i4>
      </vt:variant>
      <vt:variant>
        <vt:i4>0</vt:i4>
      </vt:variant>
      <vt:variant>
        <vt:i4>5</vt:i4>
      </vt:variant>
      <vt:variant>
        <vt:lpwstr/>
      </vt:variant>
      <vt:variant>
        <vt:lpwstr>_Toc200033579</vt:lpwstr>
      </vt:variant>
      <vt:variant>
        <vt:i4>1245236</vt:i4>
      </vt:variant>
      <vt:variant>
        <vt:i4>758</vt:i4>
      </vt:variant>
      <vt:variant>
        <vt:i4>0</vt:i4>
      </vt:variant>
      <vt:variant>
        <vt:i4>5</vt:i4>
      </vt:variant>
      <vt:variant>
        <vt:lpwstr/>
      </vt:variant>
      <vt:variant>
        <vt:lpwstr>_Toc200033578</vt:lpwstr>
      </vt:variant>
      <vt:variant>
        <vt:i4>1245236</vt:i4>
      </vt:variant>
      <vt:variant>
        <vt:i4>752</vt:i4>
      </vt:variant>
      <vt:variant>
        <vt:i4>0</vt:i4>
      </vt:variant>
      <vt:variant>
        <vt:i4>5</vt:i4>
      </vt:variant>
      <vt:variant>
        <vt:lpwstr/>
      </vt:variant>
      <vt:variant>
        <vt:lpwstr>_Toc200033577</vt:lpwstr>
      </vt:variant>
      <vt:variant>
        <vt:i4>1245236</vt:i4>
      </vt:variant>
      <vt:variant>
        <vt:i4>746</vt:i4>
      </vt:variant>
      <vt:variant>
        <vt:i4>0</vt:i4>
      </vt:variant>
      <vt:variant>
        <vt:i4>5</vt:i4>
      </vt:variant>
      <vt:variant>
        <vt:lpwstr/>
      </vt:variant>
      <vt:variant>
        <vt:lpwstr>_Toc200033576</vt:lpwstr>
      </vt:variant>
      <vt:variant>
        <vt:i4>1245236</vt:i4>
      </vt:variant>
      <vt:variant>
        <vt:i4>740</vt:i4>
      </vt:variant>
      <vt:variant>
        <vt:i4>0</vt:i4>
      </vt:variant>
      <vt:variant>
        <vt:i4>5</vt:i4>
      </vt:variant>
      <vt:variant>
        <vt:lpwstr/>
      </vt:variant>
      <vt:variant>
        <vt:lpwstr>_Toc200033575</vt:lpwstr>
      </vt:variant>
      <vt:variant>
        <vt:i4>1245236</vt:i4>
      </vt:variant>
      <vt:variant>
        <vt:i4>734</vt:i4>
      </vt:variant>
      <vt:variant>
        <vt:i4>0</vt:i4>
      </vt:variant>
      <vt:variant>
        <vt:i4>5</vt:i4>
      </vt:variant>
      <vt:variant>
        <vt:lpwstr/>
      </vt:variant>
      <vt:variant>
        <vt:lpwstr>_Toc200033574</vt:lpwstr>
      </vt:variant>
      <vt:variant>
        <vt:i4>1245236</vt:i4>
      </vt:variant>
      <vt:variant>
        <vt:i4>728</vt:i4>
      </vt:variant>
      <vt:variant>
        <vt:i4>0</vt:i4>
      </vt:variant>
      <vt:variant>
        <vt:i4>5</vt:i4>
      </vt:variant>
      <vt:variant>
        <vt:lpwstr/>
      </vt:variant>
      <vt:variant>
        <vt:lpwstr>_Toc200033573</vt:lpwstr>
      </vt:variant>
      <vt:variant>
        <vt:i4>1245236</vt:i4>
      </vt:variant>
      <vt:variant>
        <vt:i4>722</vt:i4>
      </vt:variant>
      <vt:variant>
        <vt:i4>0</vt:i4>
      </vt:variant>
      <vt:variant>
        <vt:i4>5</vt:i4>
      </vt:variant>
      <vt:variant>
        <vt:lpwstr/>
      </vt:variant>
      <vt:variant>
        <vt:lpwstr>_Toc200033572</vt:lpwstr>
      </vt:variant>
      <vt:variant>
        <vt:i4>1245236</vt:i4>
      </vt:variant>
      <vt:variant>
        <vt:i4>716</vt:i4>
      </vt:variant>
      <vt:variant>
        <vt:i4>0</vt:i4>
      </vt:variant>
      <vt:variant>
        <vt:i4>5</vt:i4>
      </vt:variant>
      <vt:variant>
        <vt:lpwstr/>
      </vt:variant>
      <vt:variant>
        <vt:lpwstr>_Toc200033571</vt:lpwstr>
      </vt:variant>
      <vt:variant>
        <vt:i4>1245236</vt:i4>
      </vt:variant>
      <vt:variant>
        <vt:i4>710</vt:i4>
      </vt:variant>
      <vt:variant>
        <vt:i4>0</vt:i4>
      </vt:variant>
      <vt:variant>
        <vt:i4>5</vt:i4>
      </vt:variant>
      <vt:variant>
        <vt:lpwstr/>
      </vt:variant>
      <vt:variant>
        <vt:lpwstr>_Toc200033570</vt:lpwstr>
      </vt:variant>
      <vt:variant>
        <vt:i4>1179700</vt:i4>
      </vt:variant>
      <vt:variant>
        <vt:i4>704</vt:i4>
      </vt:variant>
      <vt:variant>
        <vt:i4>0</vt:i4>
      </vt:variant>
      <vt:variant>
        <vt:i4>5</vt:i4>
      </vt:variant>
      <vt:variant>
        <vt:lpwstr/>
      </vt:variant>
      <vt:variant>
        <vt:lpwstr>_Toc200033569</vt:lpwstr>
      </vt:variant>
      <vt:variant>
        <vt:i4>1179700</vt:i4>
      </vt:variant>
      <vt:variant>
        <vt:i4>698</vt:i4>
      </vt:variant>
      <vt:variant>
        <vt:i4>0</vt:i4>
      </vt:variant>
      <vt:variant>
        <vt:i4>5</vt:i4>
      </vt:variant>
      <vt:variant>
        <vt:lpwstr/>
      </vt:variant>
      <vt:variant>
        <vt:lpwstr>_Toc200033568</vt:lpwstr>
      </vt:variant>
      <vt:variant>
        <vt:i4>1179700</vt:i4>
      </vt:variant>
      <vt:variant>
        <vt:i4>692</vt:i4>
      </vt:variant>
      <vt:variant>
        <vt:i4>0</vt:i4>
      </vt:variant>
      <vt:variant>
        <vt:i4>5</vt:i4>
      </vt:variant>
      <vt:variant>
        <vt:lpwstr/>
      </vt:variant>
      <vt:variant>
        <vt:lpwstr>_Toc200033567</vt:lpwstr>
      </vt:variant>
      <vt:variant>
        <vt:i4>1179700</vt:i4>
      </vt:variant>
      <vt:variant>
        <vt:i4>686</vt:i4>
      </vt:variant>
      <vt:variant>
        <vt:i4>0</vt:i4>
      </vt:variant>
      <vt:variant>
        <vt:i4>5</vt:i4>
      </vt:variant>
      <vt:variant>
        <vt:lpwstr/>
      </vt:variant>
      <vt:variant>
        <vt:lpwstr>_Toc200033566</vt:lpwstr>
      </vt:variant>
      <vt:variant>
        <vt:i4>1179700</vt:i4>
      </vt:variant>
      <vt:variant>
        <vt:i4>680</vt:i4>
      </vt:variant>
      <vt:variant>
        <vt:i4>0</vt:i4>
      </vt:variant>
      <vt:variant>
        <vt:i4>5</vt:i4>
      </vt:variant>
      <vt:variant>
        <vt:lpwstr/>
      </vt:variant>
      <vt:variant>
        <vt:lpwstr>_Toc200033565</vt:lpwstr>
      </vt:variant>
      <vt:variant>
        <vt:i4>1179700</vt:i4>
      </vt:variant>
      <vt:variant>
        <vt:i4>674</vt:i4>
      </vt:variant>
      <vt:variant>
        <vt:i4>0</vt:i4>
      </vt:variant>
      <vt:variant>
        <vt:i4>5</vt:i4>
      </vt:variant>
      <vt:variant>
        <vt:lpwstr/>
      </vt:variant>
      <vt:variant>
        <vt:lpwstr>_Toc200033564</vt:lpwstr>
      </vt:variant>
      <vt:variant>
        <vt:i4>1179700</vt:i4>
      </vt:variant>
      <vt:variant>
        <vt:i4>668</vt:i4>
      </vt:variant>
      <vt:variant>
        <vt:i4>0</vt:i4>
      </vt:variant>
      <vt:variant>
        <vt:i4>5</vt:i4>
      </vt:variant>
      <vt:variant>
        <vt:lpwstr/>
      </vt:variant>
      <vt:variant>
        <vt:lpwstr>_Toc200033563</vt:lpwstr>
      </vt:variant>
      <vt:variant>
        <vt:i4>1179700</vt:i4>
      </vt:variant>
      <vt:variant>
        <vt:i4>662</vt:i4>
      </vt:variant>
      <vt:variant>
        <vt:i4>0</vt:i4>
      </vt:variant>
      <vt:variant>
        <vt:i4>5</vt:i4>
      </vt:variant>
      <vt:variant>
        <vt:lpwstr/>
      </vt:variant>
      <vt:variant>
        <vt:lpwstr>_Toc200033562</vt:lpwstr>
      </vt:variant>
      <vt:variant>
        <vt:i4>1179700</vt:i4>
      </vt:variant>
      <vt:variant>
        <vt:i4>656</vt:i4>
      </vt:variant>
      <vt:variant>
        <vt:i4>0</vt:i4>
      </vt:variant>
      <vt:variant>
        <vt:i4>5</vt:i4>
      </vt:variant>
      <vt:variant>
        <vt:lpwstr/>
      </vt:variant>
      <vt:variant>
        <vt:lpwstr>_Toc200033561</vt:lpwstr>
      </vt:variant>
      <vt:variant>
        <vt:i4>1179700</vt:i4>
      </vt:variant>
      <vt:variant>
        <vt:i4>650</vt:i4>
      </vt:variant>
      <vt:variant>
        <vt:i4>0</vt:i4>
      </vt:variant>
      <vt:variant>
        <vt:i4>5</vt:i4>
      </vt:variant>
      <vt:variant>
        <vt:lpwstr/>
      </vt:variant>
      <vt:variant>
        <vt:lpwstr>_Toc200033560</vt:lpwstr>
      </vt:variant>
      <vt:variant>
        <vt:i4>1114164</vt:i4>
      </vt:variant>
      <vt:variant>
        <vt:i4>644</vt:i4>
      </vt:variant>
      <vt:variant>
        <vt:i4>0</vt:i4>
      </vt:variant>
      <vt:variant>
        <vt:i4>5</vt:i4>
      </vt:variant>
      <vt:variant>
        <vt:lpwstr/>
      </vt:variant>
      <vt:variant>
        <vt:lpwstr>_Toc200033559</vt:lpwstr>
      </vt:variant>
      <vt:variant>
        <vt:i4>1114164</vt:i4>
      </vt:variant>
      <vt:variant>
        <vt:i4>638</vt:i4>
      </vt:variant>
      <vt:variant>
        <vt:i4>0</vt:i4>
      </vt:variant>
      <vt:variant>
        <vt:i4>5</vt:i4>
      </vt:variant>
      <vt:variant>
        <vt:lpwstr/>
      </vt:variant>
      <vt:variant>
        <vt:lpwstr>_Toc200033558</vt:lpwstr>
      </vt:variant>
      <vt:variant>
        <vt:i4>1114164</vt:i4>
      </vt:variant>
      <vt:variant>
        <vt:i4>632</vt:i4>
      </vt:variant>
      <vt:variant>
        <vt:i4>0</vt:i4>
      </vt:variant>
      <vt:variant>
        <vt:i4>5</vt:i4>
      </vt:variant>
      <vt:variant>
        <vt:lpwstr/>
      </vt:variant>
      <vt:variant>
        <vt:lpwstr>_Toc200033557</vt:lpwstr>
      </vt:variant>
      <vt:variant>
        <vt:i4>1114164</vt:i4>
      </vt:variant>
      <vt:variant>
        <vt:i4>626</vt:i4>
      </vt:variant>
      <vt:variant>
        <vt:i4>0</vt:i4>
      </vt:variant>
      <vt:variant>
        <vt:i4>5</vt:i4>
      </vt:variant>
      <vt:variant>
        <vt:lpwstr/>
      </vt:variant>
      <vt:variant>
        <vt:lpwstr>_Toc200033556</vt:lpwstr>
      </vt:variant>
      <vt:variant>
        <vt:i4>1114164</vt:i4>
      </vt:variant>
      <vt:variant>
        <vt:i4>620</vt:i4>
      </vt:variant>
      <vt:variant>
        <vt:i4>0</vt:i4>
      </vt:variant>
      <vt:variant>
        <vt:i4>5</vt:i4>
      </vt:variant>
      <vt:variant>
        <vt:lpwstr/>
      </vt:variant>
      <vt:variant>
        <vt:lpwstr>_Toc200033555</vt:lpwstr>
      </vt:variant>
      <vt:variant>
        <vt:i4>1114164</vt:i4>
      </vt:variant>
      <vt:variant>
        <vt:i4>614</vt:i4>
      </vt:variant>
      <vt:variant>
        <vt:i4>0</vt:i4>
      </vt:variant>
      <vt:variant>
        <vt:i4>5</vt:i4>
      </vt:variant>
      <vt:variant>
        <vt:lpwstr/>
      </vt:variant>
      <vt:variant>
        <vt:lpwstr>_Toc200033554</vt:lpwstr>
      </vt:variant>
      <vt:variant>
        <vt:i4>1114164</vt:i4>
      </vt:variant>
      <vt:variant>
        <vt:i4>608</vt:i4>
      </vt:variant>
      <vt:variant>
        <vt:i4>0</vt:i4>
      </vt:variant>
      <vt:variant>
        <vt:i4>5</vt:i4>
      </vt:variant>
      <vt:variant>
        <vt:lpwstr/>
      </vt:variant>
      <vt:variant>
        <vt:lpwstr>_Toc200033553</vt:lpwstr>
      </vt:variant>
      <vt:variant>
        <vt:i4>1114164</vt:i4>
      </vt:variant>
      <vt:variant>
        <vt:i4>602</vt:i4>
      </vt:variant>
      <vt:variant>
        <vt:i4>0</vt:i4>
      </vt:variant>
      <vt:variant>
        <vt:i4>5</vt:i4>
      </vt:variant>
      <vt:variant>
        <vt:lpwstr/>
      </vt:variant>
      <vt:variant>
        <vt:lpwstr>_Toc200033552</vt:lpwstr>
      </vt:variant>
      <vt:variant>
        <vt:i4>1114164</vt:i4>
      </vt:variant>
      <vt:variant>
        <vt:i4>596</vt:i4>
      </vt:variant>
      <vt:variant>
        <vt:i4>0</vt:i4>
      </vt:variant>
      <vt:variant>
        <vt:i4>5</vt:i4>
      </vt:variant>
      <vt:variant>
        <vt:lpwstr/>
      </vt:variant>
      <vt:variant>
        <vt:lpwstr>_Toc200033551</vt:lpwstr>
      </vt:variant>
      <vt:variant>
        <vt:i4>1114164</vt:i4>
      </vt:variant>
      <vt:variant>
        <vt:i4>590</vt:i4>
      </vt:variant>
      <vt:variant>
        <vt:i4>0</vt:i4>
      </vt:variant>
      <vt:variant>
        <vt:i4>5</vt:i4>
      </vt:variant>
      <vt:variant>
        <vt:lpwstr/>
      </vt:variant>
      <vt:variant>
        <vt:lpwstr>_Toc200033550</vt:lpwstr>
      </vt:variant>
      <vt:variant>
        <vt:i4>1048628</vt:i4>
      </vt:variant>
      <vt:variant>
        <vt:i4>584</vt:i4>
      </vt:variant>
      <vt:variant>
        <vt:i4>0</vt:i4>
      </vt:variant>
      <vt:variant>
        <vt:i4>5</vt:i4>
      </vt:variant>
      <vt:variant>
        <vt:lpwstr/>
      </vt:variant>
      <vt:variant>
        <vt:lpwstr>_Toc200033549</vt:lpwstr>
      </vt:variant>
      <vt:variant>
        <vt:i4>1048628</vt:i4>
      </vt:variant>
      <vt:variant>
        <vt:i4>578</vt:i4>
      </vt:variant>
      <vt:variant>
        <vt:i4>0</vt:i4>
      </vt:variant>
      <vt:variant>
        <vt:i4>5</vt:i4>
      </vt:variant>
      <vt:variant>
        <vt:lpwstr/>
      </vt:variant>
      <vt:variant>
        <vt:lpwstr>_Toc200033548</vt:lpwstr>
      </vt:variant>
      <vt:variant>
        <vt:i4>1048628</vt:i4>
      </vt:variant>
      <vt:variant>
        <vt:i4>572</vt:i4>
      </vt:variant>
      <vt:variant>
        <vt:i4>0</vt:i4>
      </vt:variant>
      <vt:variant>
        <vt:i4>5</vt:i4>
      </vt:variant>
      <vt:variant>
        <vt:lpwstr/>
      </vt:variant>
      <vt:variant>
        <vt:lpwstr>_Toc200033547</vt:lpwstr>
      </vt:variant>
      <vt:variant>
        <vt:i4>1048628</vt:i4>
      </vt:variant>
      <vt:variant>
        <vt:i4>566</vt:i4>
      </vt:variant>
      <vt:variant>
        <vt:i4>0</vt:i4>
      </vt:variant>
      <vt:variant>
        <vt:i4>5</vt:i4>
      </vt:variant>
      <vt:variant>
        <vt:lpwstr/>
      </vt:variant>
      <vt:variant>
        <vt:lpwstr>_Toc200033546</vt:lpwstr>
      </vt:variant>
      <vt:variant>
        <vt:i4>1048628</vt:i4>
      </vt:variant>
      <vt:variant>
        <vt:i4>560</vt:i4>
      </vt:variant>
      <vt:variant>
        <vt:i4>0</vt:i4>
      </vt:variant>
      <vt:variant>
        <vt:i4>5</vt:i4>
      </vt:variant>
      <vt:variant>
        <vt:lpwstr/>
      </vt:variant>
      <vt:variant>
        <vt:lpwstr>_Toc200033545</vt:lpwstr>
      </vt:variant>
      <vt:variant>
        <vt:i4>1048628</vt:i4>
      </vt:variant>
      <vt:variant>
        <vt:i4>554</vt:i4>
      </vt:variant>
      <vt:variant>
        <vt:i4>0</vt:i4>
      </vt:variant>
      <vt:variant>
        <vt:i4>5</vt:i4>
      </vt:variant>
      <vt:variant>
        <vt:lpwstr/>
      </vt:variant>
      <vt:variant>
        <vt:lpwstr>_Toc200033544</vt:lpwstr>
      </vt:variant>
      <vt:variant>
        <vt:i4>1048628</vt:i4>
      </vt:variant>
      <vt:variant>
        <vt:i4>548</vt:i4>
      </vt:variant>
      <vt:variant>
        <vt:i4>0</vt:i4>
      </vt:variant>
      <vt:variant>
        <vt:i4>5</vt:i4>
      </vt:variant>
      <vt:variant>
        <vt:lpwstr/>
      </vt:variant>
      <vt:variant>
        <vt:lpwstr>_Toc200033543</vt:lpwstr>
      </vt:variant>
      <vt:variant>
        <vt:i4>1048628</vt:i4>
      </vt:variant>
      <vt:variant>
        <vt:i4>542</vt:i4>
      </vt:variant>
      <vt:variant>
        <vt:i4>0</vt:i4>
      </vt:variant>
      <vt:variant>
        <vt:i4>5</vt:i4>
      </vt:variant>
      <vt:variant>
        <vt:lpwstr/>
      </vt:variant>
      <vt:variant>
        <vt:lpwstr>_Toc200033542</vt:lpwstr>
      </vt:variant>
      <vt:variant>
        <vt:i4>1048628</vt:i4>
      </vt:variant>
      <vt:variant>
        <vt:i4>536</vt:i4>
      </vt:variant>
      <vt:variant>
        <vt:i4>0</vt:i4>
      </vt:variant>
      <vt:variant>
        <vt:i4>5</vt:i4>
      </vt:variant>
      <vt:variant>
        <vt:lpwstr/>
      </vt:variant>
      <vt:variant>
        <vt:lpwstr>_Toc200033541</vt:lpwstr>
      </vt:variant>
      <vt:variant>
        <vt:i4>1048628</vt:i4>
      </vt:variant>
      <vt:variant>
        <vt:i4>530</vt:i4>
      </vt:variant>
      <vt:variant>
        <vt:i4>0</vt:i4>
      </vt:variant>
      <vt:variant>
        <vt:i4>5</vt:i4>
      </vt:variant>
      <vt:variant>
        <vt:lpwstr/>
      </vt:variant>
      <vt:variant>
        <vt:lpwstr>_Toc200033540</vt:lpwstr>
      </vt:variant>
      <vt:variant>
        <vt:i4>1507380</vt:i4>
      </vt:variant>
      <vt:variant>
        <vt:i4>524</vt:i4>
      </vt:variant>
      <vt:variant>
        <vt:i4>0</vt:i4>
      </vt:variant>
      <vt:variant>
        <vt:i4>5</vt:i4>
      </vt:variant>
      <vt:variant>
        <vt:lpwstr/>
      </vt:variant>
      <vt:variant>
        <vt:lpwstr>_Toc200033539</vt:lpwstr>
      </vt:variant>
      <vt:variant>
        <vt:i4>1507380</vt:i4>
      </vt:variant>
      <vt:variant>
        <vt:i4>518</vt:i4>
      </vt:variant>
      <vt:variant>
        <vt:i4>0</vt:i4>
      </vt:variant>
      <vt:variant>
        <vt:i4>5</vt:i4>
      </vt:variant>
      <vt:variant>
        <vt:lpwstr/>
      </vt:variant>
      <vt:variant>
        <vt:lpwstr>_Toc200033538</vt:lpwstr>
      </vt:variant>
      <vt:variant>
        <vt:i4>1507380</vt:i4>
      </vt:variant>
      <vt:variant>
        <vt:i4>512</vt:i4>
      </vt:variant>
      <vt:variant>
        <vt:i4>0</vt:i4>
      </vt:variant>
      <vt:variant>
        <vt:i4>5</vt:i4>
      </vt:variant>
      <vt:variant>
        <vt:lpwstr/>
      </vt:variant>
      <vt:variant>
        <vt:lpwstr>_Toc200033537</vt:lpwstr>
      </vt:variant>
      <vt:variant>
        <vt:i4>1507380</vt:i4>
      </vt:variant>
      <vt:variant>
        <vt:i4>506</vt:i4>
      </vt:variant>
      <vt:variant>
        <vt:i4>0</vt:i4>
      </vt:variant>
      <vt:variant>
        <vt:i4>5</vt:i4>
      </vt:variant>
      <vt:variant>
        <vt:lpwstr/>
      </vt:variant>
      <vt:variant>
        <vt:lpwstr>_Toc200033536</vt:lpwstr>
      </vt:variant>
      <vt:variant>
        <vt:i4>1507380</vt:i4>
      </vt:variant>
      <vt:variant>
        <vt:i4>500</vt:i4>
      </vt:variant>
      <vt:variant>
        <vt:i4>0</vt:i4>
      </vt:variant>
      <vt:variant>
        <vt:i4>5</vt:i4>
      </vt:variant>
      <vt:variant>
        <vt:lpwstr/>
      </vt:variant>
      <vt:variant>
        <vt:lpwstr>_Toc200033535</vt:lpwstr>
      </vt:variant>
      <vt:variant>
        <vt:i4>1507380</vt:i4>
      </vt:variant>
      <vt:variant>
        <vt:i4>494</vt:i4>
      </vt:variant>
      <vt:variant>
        <vt:i4>0</vt:i4>
      </vt:variant>
      <vt:variant>
        <vt:i4>5</vt:i4>
      </vt:variant>
      <vt:variant>
        <vt:lpwstr/>
      </vt:variant>
      <vt:variant>
        <vt:lpwstr>_Toc200033534</vt:lpwstr>
      </vt:variant>
      <vt:variant>
        <vt:i4>1507380</vt:i4>
      </vt:variant>
      <vt:variant>
        <vt:i4>488</vt:i4>
      </vt:variant>
      <vt:variant>
        <vt:i4>0</vt:i4>
      </vt:variant>
      <vt:variant>
        <vt:i4>5</vt:i4>
      </vt:variant>
      <vt:variant>
        <vt:lpwstr/>
      </vt:variant>
      <vt:variant>
        <vt:lpwstr>_Toc200033533</vt:lpwstr>
      </vt:variant>
      <vt:variant>
        <vt:i4>1507380</vt:i4>
      </vt:variant>
      <vt:variant>
        <vt:i4>482</vt:i4>
      </vt:variant>
      <vt:variant>
        <vt:i4>0</vt:i4>
      </vt:variant>
      <vt:variant>
        <vt:i4>5</vt:i4>
      </vt:variant>
      <vt:variant>
        <vt:lpwstr/>
      </vt:variant>
      <vt:variant>
        <vt:lpwstr>_Toc200033532</vt:lpwstr>
      </vt:variant>
      <vt:variant>
        <vt:i4>1507380</vt:i4>
      </vt:variant>
      <vt:variant>
        <vt:i4>476</vt:i4>
      </vt:variant>
      <vt:variant>
        <vt:i4>0</vt:i4>
      </vt:variant>
      <vt:variant>
        <vt:i4>5</vt:i4>
      </vt:variant>
      <vt:variant>
        <vt:lpwstr/>
      </vt:variant>
      <vt:variant>
        <vt:lpwstr>_Toc200033531</vt:lpwstr>
      </vt:variant>
      <vt:variant>
        <vt:i4>1507380</vt:i4>
      </vt:variant>
      <vt:variant>
        <vt:i4>470</vt:i4>
      </vt:variant>
      <vt:variant>
        <vt:i4>0</vt:i4>
      </vt:variant>
      <vt:variant>
        <vt:i4>5</vt:i4>
      </vt:variant>
      <vt:variant>
        <vt:lpwstr/>
      </vt:variant>
      <vt:variant>
        <vt:lpwstr>_Toc200033530</vt:lpwstr>
      </vt:variant>
      <vt:variant>
        <vt:i4>1441844</vt:i4>
      </vt:variant>
      <vt:variant>
        <vt:i4>464</vt:i4>
      </vt:variant>
      <vt:variant>
        <vt:i4>0</vt:i4>
      </vt:variant>
      <vt:variant>
        <vt:i4>5</vt:i4>
      </vt:variant>
      <vt:variant>
        <vt:lpwstr/>
      </vt:variant>
      <vt:variant>
        <vt:lpwstr>_Toc200033529</vt:lpwstr>
      </vt:variant>
      <vt:variant>
        <vt:i4>1441844</vt:i4>
      </vt:variant>
      <vt:variant>
        <vt:i4>458</vt:i4>
      </vt:variant>
      <vt:variant>
        <vt:i4>0</vt:i4>
      </vt:variant>
      <vt:variant>
        <vt:i4>5</vt:i4>
      </vt:variant>
      <vt:variant>
        <vt:lpwstr/>
      </vt:variant>
      <vt:variant>
        <vt:lpwstr>_Toc200033528</vt:lpwstr>
      </vt:variant>
      <vt:variant>
        <vt:i4>1441844</vt:i4>
      </vt:variant>
      <vt:variant>
        <vt:i4>452</vt:i4>
      </vt:variant>
      <vt:variant>
        <vt:i4>0</vt:i4>
      </vt:variant>
      <vt:variant>
        <vt:i4>5</vt:i4>
      </vt:variant>
      <vt:variant>
        <vt:lpwstr/>
      </vt:variant>
      <vt:variant>
        <vt:lpwstr>_Toc200033527</vt:lpwstr>
      </vt:variant>
      <vt:variant>
        <vt:i4>1441844</vt:i4>
      </vt:variant>
      <vt:variant>
        <vt:i4>446</vt:i4>
      </vt:variant>
      <vt:variant>
        <vt:i4>0</vt:i4>
      </vt:variant>
      <vt:variant>
        <vt:i4>5</vt:i4>
      </vt:variant>
      <vt:variant>
        <vt:lpwstr/>
      </vt:variant>
      <vt:variant>
        <vt:lpwstr>_Toc200033526</vt:lpwstr>
      </vt:variant>
      <vt:variant>
        <vt:i4>1441844</vt:i4>
      </vt:variant>
      <vt:variant>
        <vt:i4>440</vt:i4>
      </vt:variant>
      <vt:variant>
        <vt:i4>0</vt:i4>
      </vt:variant>
      <vt:variant>
        <vt:i4>5</vt:i4>
      </vt:variant>
      <vt:variant>
        <vt:lpwstr/>
      </vt:variant>
      <vt:variant>
        <vt:lpwstr>_Toc200033525</vt:lpwstr>
      </vt:variant>
      <vt:variant>
        <vt:i4>1441844</vt:i4>
      </vt:variant>
      <vt:variant>
        <vt:i4>434</vt:i4>
      </vt:variant>
      <vt:variant>
        <vt:i4>0</vt:i4>
      </vt:variant>
      <vt:variant>
        <vt:i4>5</vt:i4>
      </vt:variant>
      <vt:variant>
        <vt:lpwstr/>
      </vt:variant>
      <vt:variant>
        <vt:lpwstr>_Toc200033524</vt:lpwstr>
      </vt:variant>
      <vt:variant>
        <vt:i4>1441844</vt:i4>
      </vt:variant>
      <vt:variant>
        <vt:i4>428</vt:i4>
      </vt:variant>
      <vt:variant>
        <vt:i4>0</vt:i4>
      </vt:variant>
      <vt:variant>
        <vt:i4>5</vt:i4>
      </vt:variant>
      <vt:variant>
        <vt:lpwstr/>
      </vt:variant>
      <vt:variant>
        <vt:lpwstr>_Toc200033523</vt:lpwstr>
      </vt:variant>
      <vt:variant>
        <vt:i4>1441844</vt:i4>
      </vt:variant>
      <vt:variant>
        <vt:i4>422</vt:i4>
      </vt:variant>
      <vt:variant>
        <vt:i4>0</vt:i4>
      </vt:variant>
      <vt:variant>
        <vt:i4>5</vt:i4>
      </vt:variant>
      <vt:variant>
        <vt:lpwstr/>
      </vt:variant>
      <vt:variant>
        <vt:lpwstr>_Toc200033522</vt:lpwstr>
      </vt:variant>
      <vt:variant>
        <vt:i4>1441844</vt:i4>
      </vt:variant>
      <vt:variant>
        <vt:i4>416</vt:i4>
      </vt:variant>
      <vt:variant>
        <vt:i4>0</vt:i4>
      </vt:variant>
      <vt:variant>
        <vt:i4>5</vt:i4>
      </vt:variant>
      <vt:variant>
        <vt:lpwstr/>
      </vt:variant>
      <vt:variant>
        <vt:lpwstr>_Toc200033521</vt:lpwstr>
      </vt:variant>
      <vt:variant>
        <vt:i4>1441844</vt:i4>
      </vt:variant>
      <vt:variant>
        <vt:i4>410</vt:i4>
      </vt:variant>
      <vt:variant>
        <vt:i4>0</vt:i4>
      </vt:variant>
      <vt:variant>
        <vt:i4>5</vt:i4>
      </vt:variant>
      <vt:variant>
        <vt:lpwstr/>
      </vt:variant>
      <vt:variant>
        <vt:lpwstr>_Toc200033520</vt:lpwstr>
      </vt:variant>
      <vt:variant>
        <vt:i4>1376308</vt:i4>
      </vt:variant>
      <vt:variant>
        <vt:i4>404</vt:i4>
      </vt:variant>
      <vt:variant>
        <vt:i4>0</vt:i4>
      </vt:variant>
      <vt:variant>
        <vt:i4>5</vt:i4>
      </vt:variant>
      <vt:variant>
        <vt:lpwstr/>
      </vt:variant>
      <vt:variant>
        <vt:lpwstr>_Toc200033519</vt:lpwstr>
      </vt:variant>
      <vt:variant>
        <vt:i4>1376308</vt:i4>
      </vt:variant>
      <vt:variant>
        <vt:i4>398</vt:i4>
      </vt:variant>
      <vt:variant>
        <vt:i4>0</vt:i4>
      </vt:variant>
      <vt:variant>
        <vt:i4>5</vt:i4>
      </vt:variant>
      <vt:variant>
        <vt:lpwstr/>
      </vt:variant>
      <vt:variant>
        <vt:lpwstr>_Toc200033518</vt:lpwstr>
      </vt:variant>
      <vt:variant>
        <vt:i4>1376308</vt:i4>
      </vt:variant>
      <vt:variant>
        <vt:i4>392</vt:i4>
      </vt:variant>
      <vt:variant>
        <vt:i4>0</vt:i4>
      </vt:variant>
      <vt:variant>
        <vt:i4>5</vt:i4>
      </vt:variant>
      <vt:variant>
        <vt:lpwstr/>
      </vt:variant>
      <vt:variant>
        <vt:lpwstr>_Toc200033517</vt:lpwstr>
      </vt:variant>
      <vt:variant>
        <vt:i4>1376308</vt:i4>
      </vt:variant>
      <vt:variant>
        <vt:i4>386</vt:i4>
      </vt:variant>
      <vt:variant>
        <vt:i4>0</vt:i4>
      </vt:variant>
      <vt:variant>
        <vt:i4>5</vt:i4>
      </vt:variant>
      <vt:variant>
        <vt:lpwstr/>
      </vt:variant>
      <vt:variant>
        <vt:lpwstr>_Toc200033516</vt:lpwstr>
      </vt:variant>
      <vt:variant>
        <vt:i4>1376308</vt:i4>
      </vt:variant>
      <vt:variant>
        <vt:i4>380</vt:i4>
      </vt:variant>
      <vt:variant>
        <vt:i4>0</vt:i4>
      </vt:variant>
      <vt:variant>
        <vt:i4>5</vt:i4>
      </vt:variant>
      <vt:variant>
        <vt:lpwstr/>
      </vt:variant>
      <vt:variant>
        <vt:lpwstr>_Toc200033515</vt:lpwstr>
      </vt:variant>
      <vt:variant>
        <vt:i4>1376308</vt:i4>
      </vt:variant>
      <vt:variant>
        <vt:i4>374</vt:i4>
      </vt:variant>
      <vt:variant>
        <vt:i4>0</vt:i4>
      </vt:variant>
      <vt:variant>
        <vt:i4>5</vt:i4>
      </vt:variant>
      <vt:variant>
        <vt:lpwstr/>
      </vt:variant>
      <vt:variant>
        <vt:lpwstr>_Toc200033514</vt:lpwstr>
      </vt:variant>
      <vt:variant>
        <vt:i4>1376308</vt:i4>
      </vt:variant>
      <vt:variant>
        <vt:i4>368</vt:i4>
      </vt:variant>
      <vt:variant>
        <vt:i4>0</vt:i4>
      </vt:variant>
      <vt:variant>
        <vt:i4>5</vt:i4>
      </vt:variant>
      <vt:variant>
        <vt:lpwstr/>
      </vt:variant>
      <vt:variant>
        <vt:lpwstr>_Toc200033513</vt:lpwstr>
      </vt:variant>
      <vt:variant>
        <vt:i4>1376308</vt:i4>
      </vt:variant>
      <vt:variant>
        <vt:i4>362</vt:i4>
      </vt:variant>
      <vt:variant>
        <vt:i4>0</vt:i4>
      </vt:variant>
      <vt:variant>
        <vt:i4>5</vt:i4>
      </vt:variant>
      <vt:variant>
        <vt:lpwstr/>
      </vt:variant>
      <vt:variant>
        <vt:lpwstr>_Toc200033512</vt:lpwstr>
      </vt:variant>
      <vt:variant>
        <vt:i4>1376308</vt:i4>
      </vt:variant>
      <vt:variant>
        <vt:i4>356</vt:i4>
      </vt:variant>
      <vt:variant>
        <vt:i4>0</vt:i4>
      </vt:variant>
      <vt:variant>
        <vt:i4>5</vt:i4>
      </vt:variant>
      <vt:variant>
        <vt:lpwstr/>
      </vt:variant>
      <vt:variant>
        <vt:lpwstr>_Toc200033511</vt:lpwstr>
      </vt:variant>
      <vt:variant>
        <vt:i4>1376308</vt:i4>
      </vt:variant>
      <vt:variant>
        <vt:i4>350</vt:i4>
      </vt:variant>
      <vt:variant>
        <vt:i4>0</vt:i4>
      </vt:variant>
      <vt:variant>
        <vt:i4>5</vt:i4>
      </vt:variant>
      <vt:variant>
        <vt:lpwstr/>
      </vt:variant>
      <vt:variant>
        <vt:lpwstr>_Toc200033510</vt:lpwstr>
      </vt:variant>
      <vt:variant>
        <vt:i4>1310772</vt:i4>
      </vt:variant>
      <vt:variant>
        <vt:i4>344</vt:i4>
      </vt:variant>
      <vt:variant>
        <vt:i4>0</vt:i4>
      </vt:variant>
      <vt:variant>
        <vt:i4>5</vt:i4>
      </vt:variant>
      <vt:variant>
        <vt:lpwstr/>
      </vt:variant>
      <vt:variant>
        <vt:lpwstr>_Toc200033509</vt:lpwstr>
      </vt:variant>
      <vt:variant>
        <vt:i4>1310772</vt:i4>
      </vt:variant>
      <vt:variant>
        <vt:i4>338</vt:i4>
      </vt:variant>
      <vt:variant>
        <vt:i4>0</vt:i4>
      </vt:variant>
      <vt:variant>
        <vt:i4>5</vt:i4>
      </vt:variant>
      <vt:variant>
        <vt:lpwstr/>
      </vt:variant>
      <vt:variant>
        <vt:lpwstr>_Toc200033508</vt:lpwstr>
      </vt:variant>
      <vt:variant>
        <vt:i4>1310772</vt:i4>
      </vt:variant>
      <vt:variant>
        <vt:i4>332</vt:i4>
      </vt:variant>
      <vt:variant>
        <vt:i4>0</vt:i4>
      </vt:variant>
      <vt:variant>
        <vt:i4>5</vt:i4>
      </vt:variant>
      <vt:variant>
        <vt:lpwstr/>
      </vt:variant>
      <vt:variant>
        <vt:lpwstr>_Toc200033507</vt:lpwstr>
      </vt:variant>
      <vt:variant>
        <vt:i4>1310772</vt:i4>
      </vt:variant>
      <vt:variant>
        <vt:i4>326</vt:i4>
      </vt:variant>
      <vt:variant>
        <vt:i4>0</vt:i4>
      </vt:variant>
      <vt:variant>
        <vt:i4>5</vt:i4>
      </vt:variant>
      <vt:variant>
        <vt:lpwstr/>
      </vt:variant>
      <vt:variant>
        <vt:lpwstr>_Toc200033506</vt:lpwstr>
      </vt:variant>
      <vt:variant>
        <vt:i4>1310772</vt:i4>
      </vt:variant>
      <vt:variant>
        <vt:i4>320</vt:i4>
      </vt:variant>
      <vt:variant>
        <vt:i4>0</vt:i4>
      </vt:variant>
      <vt:variant>
        <vt:i4>5</vt:i4>
      </vt:variant>
      <vt:variant>
        <vt:lpwstr/>
      </vt:variant>
      <vt:variant>
        <vt:lpwstr>_Toc200033505</vt:lpwstr>
      </vt:variant>
      <vt:variant>
        <vt:i4>1310772</vt:i4>
      </vt:variant>
      <vt:variant>
        <vt:i4>314</vt:i4>
      </vt:variant>
      <vt:variant>
        <vt:i4>0</vt:i4>
      </vt:variant>
      <vt:variant>
        <vt:i4>5</vt:i4>
      </vt:variant>
      <vt:variant>
        <vt:lpwstr/>
      </vt:variant>
      <vt:variant>
        <vt:lpwstr>_Toc200033504</vt:lpwstr>
      </vt:variant>
      <vt:variant>
        <vt:i4>1310772</vt:i4>
      </vt:variant>
      <vt:variant>
        <vt:i4>308</vt:i4>
      </vt:variant>
      <vt:variant>
        <vt:i4>0</vt:i4>
      </vt:variant>
      <vt:variant>
        <vt:i4>5</vt:i4>
      </vt:variant>
      <vt:variant>
        <vt:lpwstr/>
      </vt:variant>
      <vt:variant>
        <vt:lpwstr>_Toc200033503</vt:lpwstr>
      </vt:variant>
      <vt:variant>
        <vt:i4>1310772</vt:i4>
      </vt:variant>
      <vt:variant>
        <vt:i4>302</vt:i4>
      </vt:variant>
      <vt:variant>
        <vt:i4>0</vt:i4>
      </vt:variant>
      <vt:variant>
        <vt:i4>5</vt:i4>
      </vt:variant>
      <vt:variant>
        <vt:lpwstr/>
      </vt:variant>
      <vt:variant>
        <vt:lpwstr>_Toc200033502</vt:lpwstr>
      </vt:variant>
      <vt:variant>
        <vt:i4>1310772</vt:i4>
      </vt:variant>
      <vt:variant>
        <vt:i4>296</vt:i4>
      </vt:variant>
      <vt:variant>
        <vt:i4>0</vt:i4>
      </vt:variant>
      <vt:variant>
        <vt:i4>5</vt:i4>
      </vt:variant>
      <vt:variant>
        <vt:lpwstr/>
      </vt:variant>
      <vt:variant>
        <vt:lpwstr>_Toc200033501</vt:lpwstr>
      </vt:variant>
      <vt:variant>
        <vt:i4>1310772</vt:i4>
      </vt:variant>
      <vt:variant>
        <vt:i4>290</vt:i4>
      </vt:variant>
      <vt:variant>
        <vt:i4>0</vt:i4>
      </vt:variant>
      <vt:variant>
        <vt:i4>5</vt:i4>
      </vt:variant>
      <vt:variant>
        <vt:lpwstr/>
      </vt:variant>
      <vt:variant>
        <vt:lpwstr>_Toc200033500</vt:lpwstr>
      </vt:variant>
      <vt:variant>
        <vt:i4>1900597</vt:i4>
      </vt:variant>
      <vt:variant>
        <vt:i4>284</vt:i4>
      </vt:variant>
      <vt:variant>
        <vt:i4>0</vt:i4>
      </vt:variant>
      <vt:variant>
        <vt:i4>5</vt:i4>
      </vt:variant>
      <vt:variant>
        <vt:lpwstr/>
      </vt:variant>
      <vt:variant>
        <vt:lpwstr>_Toc200033499</vt:lpwstr>
      </vt:variant>
      <vt:variant>
        <vt:i4>1900597</vt:i4>
      </vt:variant>
      <vt:variant>
        <vt:i4>278</vt:i4>
      </vt:variant>
      <vt:variant>
        <vt:i4>0</vt:i4>
      </vt:variant>
      <vt:variant>
        <vt:i4>5</vt:i4>
      </vt:variant>
      <vt:variant>
        <vt:lpwstr/>
      </vt:variant>
      <vt:variant>
        <vt:lpwstr>_Toc200033498</vt:lpwstr>
      </vt:variant>
      <vt:variant>
        <vt:i4>1900597</vt:i4>
      </vt:variant>
      <vt:variant>
        <vt:i4>272</vt:i4>
      </vt:variant>
      <vt:variant>
        <vt:i4>0</vt:i4>
      </vt:variant>
      <vt:variant>
        <vt:i4>5</vt:i4>
      </vt:variant>
      <vt:variant>
        <vt:lpwstr/>
      </vt:variant>
      <vt:variant>
        <vt:lpwstr>_Toc200033497</vt:lpwstr>
      </vt:variant>
      <vt:variant>
        <vt:i4>1900597</vt:i4>
      </vt:variant>
      <vt:variant>
        <vt:i4>266</vt:i4>
      </vt:variant>
      <vt:variant>
        <vt:i4>0</vt:i4>
      </vt:variant>
      <vt:variant>
        <vt:i4>5</vt:i4>
      </vt:variant>
      <vt:variant>
        <vt:lpwstr/>
      </vt:variant>
      <vt:variant>
        <vt:lpwstr>_Toc200033496</vt:lpwstr>
      </vt:variant>
      <vt:variant>
        <vt:i4>1900597</vt:i4>
      </vt:variant>
      <vt:variant>
        <vt:i4>260</vt:i4>
      </vt:variant>
      <vt:variant>
        <vt:i4>0</vt:i4>
      </vt:variant>
      <vt:variant>
        <vt:i4>5</vt:i4>
      </vt:variant>
      <vt:variant>
        <vt:lpwstr/>
      </vt:variant>
      <vt:variant>
        <vt:lpwstr>_Toc200033495</vt:lpwstr>
      </vt:variant>
      <vt:variant>
        <vt:i4>1900597</vt:i4>
      </vt:variant>
      <vt:variant>
        <vt:i4>254</vt:i4>
      </vt:variant>
      <vt:variant>
        <vt:i4>0</vt:i4>
      </vt:variant>
      <vt:variant>
        <vt:i4>5</vt:i4>
      </vt:variant>
      <vt:variant>
        <vt:lpwstr/>
      </vt:variant>
      <vt:variant>
        <vt:lpwstr>_Toc200033494</vt:lpwstr>
      </vt:variant>
      <vt:variant>
        <vt:i4>1900597</vt:i4>
      </vt:variant>
      <vt:variant>
        <vt:i4>248</vt:i4>
      </vt:variant>
      <vt:variant>
        <vt:i4>0</vt:i4>
      </vt:variant>
      <vt:variant>
        <vt:i4>5</vt:i4>
      </vt:variant>
      <vt:variant>
        <vt:lpwstr/>
      </vt:variant>
      <vt:variant>
        <vt:lpwstr>_Toc200033493</vt:lpwstr>
      </vt:variant>
      <vt:variant>
        <vt:i4>1900597</vt:i4>
      </vt:variant>
      <vt:variant>
        <vt:i4>242</vt:i4>
      </vt:variant>
      <vt:variant>
        <vt:i4>0</vt:i4>
      </vt:variant>
      <vt:variant>
        <vt:i4>5</vt:i4>
      </vt:variant>
      <vt:variant>
        <vt:lpwstr/>
      </vt:variant>
      <vt:variant>
        <vt:lpwstr>_Toc200033492</vt:lpwstr>
      </vt:variant>
      <vt:variant>
        <vt:i4>1900597</vt:i4>
      </vt:variant>
      <vt:variant>
        <vt:i4>236</vt:i4>
      </vt:variant>
      <vt:variant>
        <vt:i4>0</vt:i4>
      </vt:variant>
      <vt:variant>
        <vt:i4>5</vt:i4>
      </vt:variant>
      <vt:variant>
        <vt:lpwstr/>
      </vt:variant>
      <vt:variant>
        <vt:lpwstr>_Toc200033491</vt:lpwstr>
      </vt:variant>
      <vt:variant>
        <vt:i4>1900597</vt:i4>
      </vt:variant>
      <vt:variant>
        <vt:i4>230</vt:i4>
      </vt:variant>
      <vt:variant>
        <vt:i4>0</vt:i4>
      </vt:variant>
      <vt:variant>
        <vt:i4>5</vt:i4>
      </vt:variant>
      <vt:variant>
        <vt:lpwstr/>
      </vt:variant>
      <vt:variant>
        <vt:lpwstr>_Toc200033490</vt:lpwstr>
      </vt:variant>
      <vt:variant>
        <vt:i4>1835061</vt:i4>
      </vt:variant>
      <vt:variant>
        <vt:i4>224</vt:i4>
      </vt:variant>
      <vt:variant>
        <vt:i4>0</vt:i4>
      </vt:variant>
      <vt:variant>
        <vt:i4>5</vt:i4>
      </vt:variant>
      <vt:variant>
        <vt:lpwstr/>
      </vt:variant>
      <vt:variant>
        <vt:lpwstr>_Toc200033489</vt:lpwstr>
      </vt:variant>
      <vt:variant>
        <vt:i4>1835061</vt:i4>
      </vt:variant>
      <vt:variant>
        <vt:i4>218</vt:i4>
      </vt:variant>
      <vt:variant>
        <vt:i4>0</vt:i4>
      </vt:variant>
      <vt:variant>
        <vt:i4>5</vt:i4>
      </vt:variant>
      <vt:variant>
        <vt:lpwstr/>
      </vt:variant>
      <vt:variant>
        <vt:lpwstr>_Toc200033488</vt:lpwstr>
      </vt:variant>
      <vt:variant>
        <vt:i4>1835061</vt:i4>
      </vt:variant>
      <vt:variant>
        <vt:i4>212</vt:i4>
      </vt:variant>
      <vt:variant>
        <vt:i4>0</vt:i4>
      </vt:variant>
      <vt:variant>
        <vt:i4>5</vt:i4>
      </vt:variant>
      <vt:variant>
        <vt:lpwstr/>
      </vt:variant>
      <vt:variant>
        <vt:lpwstr>_Toc200033487</vt:lpwstr>
      </vt:variant>
      <vt:variant>
        <vt:i4>1835061</vt:i4>
      </vt:variant>
      <vt:variant>
        <vt:i4>206</vt:i4>
      </vt:variant>
      <vt:variant>
        <vt:i4>0</vt:i4>
      </vt:variant>
      <vt:variant>
        <vt:i4>5</vt:i4>
      </vt:variant>
      <vt:variant>
        <vt:lpwstr/>
      </vt:variant>
      <vt:variant>
        <vt:lpwstr>_Toc200033486</vt:lpwstr>
      </vt:variant>
      <vt:variant>
        <vt:i4>1835061</vt:i4>
      </vt:variant>
      <vt:variant>
        <vt:i4>200</vt:i4>
      </vt:variant>
      <vt:variant>
        <vt:i4>0</vt:i4>
      </vt:variant>
      <vt:variant>
        <vt:i4>5</vt:i4>
      </vt:variant>
      <vt:variant>
        <vt:lpwstr/>
      </vt:variant>
      <vt:variant>
        <vt:lpwstr>_Toc200033485</vt:lpwstr>
      </vt:variant>
      <vt:variant>
        <vt:i4>1835061</vt:i4>
      </vt:variant>
      <vt:variant>
        <vt:i4>194</vt:i4>
      </vt:variant>
      <vt:variant>
        <vt:i4>0</vt:i4>
      </vt:variant>
      <vt:variant>
        <vt:i4>5</vt:i4>
      </vt:variant>
      <vt:variant>
        <vt:lpwstr/>
      </vt:variant>
      <vt:variant>
        <vt:lpwstr>_Toc200033484</vt:lpwstr>
      </vt:variant>
      <vt:variant>
        <vt:i4>1835061</vt:i4>
      </vt:variant>
      <vt:variant>
        <vt:i4>188</vt:i4>
      </vt:variant>
      <vt:variant>
        <vt:i4>0</vt:i4>
      </vt:variant>
      <vt:variant>
        <vt:i4>5</vt:i4>
      </vt:variant>
      <vt:variant>
        <vt:lpwstr/>
      </vt:variant>
      <vt:variant>
        <vt:lpwstr>_Toc200033483</vt:lpwstr>
      </vt:variant>
      <vt:variant>
        <vt:i4>1835061</vt:i4>
      </vt:variant>
      <vt:variant>
        <vt:i4>182</vt:i4>
      </vt:variant>
      <vt:variant>
        <vt:i4>0</vt:i4>
      </vt:variant>
      <vt:variant>
        <vt:i4>5</vt:i4>
      </vt:variant>
      <vt:variant>
        <vt:lpwstr/>
      </vt:variant>
      <vt:variant>
        <vt:lpwstr>_Toc200033482</vt:lpwstr>
      </vt:variant>
      <vt:variant>
        <vt:i4>1835061</vt:i4>
      </vt:variant>
      <vt:variant>
        <vt:i4>176</vt:i4>
      </vt:variant>
      <vt:variant>
        <vt:i4>0</vt:i4>
      </vt:variant>
      <vt:variant>
        <vt:i4>5</vt:i4>
      </vt:variant>
      <vt:variant>
        <vt:lpwstr/>
      </vt:variant>
      <vt:variant>
        <vt:lpwstr>_Toc200033481</vt:lpwstr>
      </vt:variant>
      <vt:variant>
        <vt:i4>1835061</vt:i4>
      </vt:variant>
      <vt:variant>
        <vt:i4>170</vt:i4>
      </vt:variant>
      <vt:variant>
        <vt:i4>0</vt:i4>
      </vt:variant>
      <vt:variant>
        <vt:i4>5</vt:i4>
      </vt:variant>
      <vt:variant>
        <vt:lpwstr/>
      </vt:variant>
      <vt:variant>
        <vt:lpwstr>_Toc200033480</vt:lpwstr>
      </vt:variant>
      <vt:variant>
        <vt:i4>1245237</vt:i4>
      </vt:variant>
      <vt:variant>
        <vt:i4>164</vt:i4>
      </vt:variant>
      <vt:variant>
        <vt:i4>0</vt:i4>
      </vt:variant>
      <vt:variant>
        <vt:i4>5</vt:i4>
      </vt:variant>
      <vt:variant>
        <vt:lpwstr/>
      </vt:variant>
      <vt:variant>
        <vt:lpwstr>_Toc200033479</vt:lpwstr>
      </vt:variant>
      <vt:variant>
        <vt:i4>1245237</vt:i4>
      </vt:variant>
      <vt:variant>
        <vt:i4>158</vt:i4>
      </vt:variant>
      <vt:variant>
        <vt:i4>0</vt:i4>
      </vt:variant>
      <vt:variant>
        <vt:i4>5</vt:i4>
      </vt:variant>
      <vt:variant>
        <vt:lpwstr/>
      </vt:variant>
      <vt:variant>
        <vt:lpwstr>_Toc200033478</vt:lpwstr>
      </vt:variant>
      <vt:variant>
        <vt:i4>1245237</vt:i4>
      </vt:variant>
      <vt:variant>
        <vt:i4>152</vt:i4>
      </vt:variant>
      <vt:variant>
        <vt:i4>0</vt:i4>
      </vt:variant>
      <vt:variant>
        <vt:i4>5</vt:i4>
      </vt:variant>
      <vt:variant>
        <vt:lpwstr/>
      </vt:variant>
      <vt:variant>
        <vt:lpwstr>_Toc200033477</vt:lpwstr>
      </vt:variant>
      <vt:variant>
        <vt:i4>1245237</vt:i4>
      </vt:variant>
      <vt:variant>
        <vt:i4>146</vt:i4>
      </vt:variant>
      <vt:variant>
        <vt:i4>0</vt:i4>
      </vt:variant>
      <vt:variant>
        <vt:i4>5</vt:i4>
      </vt:variant>
      <vt:variant>
        <vt:lpwstr/>
      </vt:variant>
      <vt:variant>
        <vt:lpwstr>_Toc200033476</vt:lpwstr>
      </vt:variant>
      <vt:variant>
        <vt:i4>1245237</vt:i4>
      </vt:variant>
      <vt:variant>
        <vt:i4>140</vt:i4>
      </vt:variant>
      <vt:variant>
        <vt:i4>0</vt:i4>
      </vt:variant>
      <vt:variant>
        <vt:i4>5</vt:i4>
      </vt:variant>
      <vt:variant>
        <vt:lpwstr/>
      </vt:variant>
      <vt:variant>
        <vt:lpwstr>_Toc200033475</vt:lpwstr>
      </vt:variant>
      <vt:variant>
        <vt:i4>1245237</vt:i4>
      </vt:variant>
      <vt:variant>
        <vt:i4>134</vt:i4>
      </vt:variant>
      <vt:variant>
        <vt:i4>0</vt:i4>
      </vt:variant>
      <vt:variant>
        <vt:i4>5</vt:i4>
      </vt:variant>
      <vt:variant>
        <vt:lpwstr/>
      </vt:variant>
      <vt:variant>
        <vt:lpwstr>_Toc200033474</vt:lpwstr>
      </vt:variant>
      <vt:variant>
        <vt:i4>1245237</vt:i4>
      </vt:variant>
      <vt:variant>
        <vt:i4>128</vt:i4>
      </vt:variant>
      <vt:variant>
        <vt:i4>0</vt:i4>
      </vt:variant>
      <vt:variant>
        <vt:i4>5</vt:i4>
      </vt:variant>
      <vt:variant>
        <vt:lpwstr/>
      </vt:variant>
      <vt:variant>
        <vt:lpwstr>_Toc200033473</vt:lpwstr>
      </vt:variant>
      <vt:variant>
        <vt:i4>1245237</vt:i4>
      </vt:variant>
      <vt:variant>
        <vt:i4>122</vt:i4>
      </vt:variant>
      <vt:variant>
        <vt:i4>0</vt:i4>
      </vt:variant>
      <vt:variant>
        <vt:i4>5</vt:i4>
      </vt:variant>
      <vt:variant>
        <vt:lpwstr/>
      </vt:variant>
      <vt:variant>
        <vt:lpwstr>_Toc200033472</vt:lpwstr>
      </vt:variant>
      <vt:variant>
        <vt:i4>1245237</vt:i4>
      </vt:variant>
      <vt:variant>
        <vt:i4>116</vt:i4>
      </vt:variant>
      <vt:variant>
        <vt:i4>0</vt:i4>
      </vt:variant>
      <vt:variant>
        <vt:i4>5</vt:i4>
      </vt:variant>
      <vt:variant>
        <vt:lpwstr/>
      </vt:variant>
      <vt:variant>
        <vt:lpwstr>_Toc200033471</vt:lpwstr>
      </vt:variant>
      <vt:variant>
        <vt:i4>1245237</vt:i4>
      </vt:variant>
      <vt:variant>
        <vt:i4>110</vt:i4>
      </vt:variant>
      <vt:variant>
        <vt:i4>0</vt:i4>
      </vt:variant>
      <vt:variant>
        <vt:i4>5</vt:i4>
      </vt:variant>
      <vt:variant>
        <vt:lpwstr/>
      </vt:variant>
      <vt:variant>
        <vt:lpwstr>_Toc200033470</vt:lpwstr>
      </vt:variant>
      <vt:variant>
        <vt:i4>1179701</vt:i4>
      </vt:variant>
      <vt:variant>
        <vt:i4>104</vt:i4>
      </vt:variant>
      <vt:variant>
        <vt:i4>0</vt:i4>
      </vt:variant>
      <vt:variant>
        <vt:i4>5</vt:i4>
      </vt:variant>
      <vt:variant>
        <vt:lpwstr/>
      </vt:variant>
      <vt:variant>
        <vt:lpwstr>_Toc200033469</vt:lpwstr>
      </vt:variant>
      <vt:variant>
        <vt:i4>1179701</vt:i4>
      </vt:variant>
      <vt:variant>
        <vt:i4>98</vt:i4>
      </vt:variant>
      <vt:variant>
        <vt:i4>0</vt:i4>
      </vt:variant>
      <vt:variant>
        <vt:i4>5</vt:i4>
      </vt:variant>
      <vt:variant>
        <vt:lpwstr/>
      </vt:variant>
      <vt:variant>
        <vt:lpwstr>_Toc200033468</vt:lpwstr>
      </vt:variant>
      <vt:variant>
        <vt:i4>1179701</vt:i4>
      </vt:variant>
      <vt:variant>
        <vt:i4>92</vt:i4>
      </vt:variant>
      <vt:variant>
        <vt:i4>0</vt:i4>
      </vt:variant>
      <vt:variant>
        <vt:i4>5</vt:i4>
      </vt:variant>
      <vt:variant>
        <vt:lpwstr/>
      </vt:variant>
      <vt:variant>
        <vt:lpwstr>_Toc200033467</vt:lpwstr>
      </vt:variant>
      <vt:variant>
        <vt:i4>1179701</vt:i4>
      </vt:variant>
      <vt:variant>
        <vt:i4>86</vt:i4>
      </vt:variant>
      <vt:variant>
        <vt:i4>0</vt:i4>
      </vt:variant>
      <vt:variant>
        <vt:i4>5</vt:i4>
      </vt:variant>
      <vt:variant>
        <vt:lpwstr/>
      </vt:variant>
      <vt:variant>
        <vt:lpwstr>_Toc200033466</vt:lpwstr>
      </vt:variant>
      <vt:variant>
        <vt:i4>1179701</vt:i4>
      </vt:variant>
      <vt:variant>
        <vt:i4>80</vt:i4>
      </vt:variant>
      <vt:variant>
        <vt:i4>0</vt:i4>
      </vt:variant>
      <vt:variant>
        <vt:i4>5</vt:i4>
      </vt:variant>
      <vt:variant>
        <vt:lpwstr/>
      </vt:variant>
      <vt:variant>
        <vt:lpwstr>_Toc200033465</vt:lpwstr>
      </vt:variant>
      <vt:variant>
        <vt:i4>1179701</vt:i4>
      </vt:variant>
      <vt:variant>
        <vt:i4>74</vt:i4>
      </vt:variant>
      <vt:variant>
        <vt:i4>0</vt:i4>
      </vt:variant>
      <vt:variant>
        <vt:i4>5</vt:i4>
      </vt:variant>
      <vt:variant>
        <vt:lpwstr/>
      </vt:variant>
      <vt:variant>
        <vt:lpwstr>_Toc200033464</vt:lpwstr>
      </vt:variant>
      <vt:variant>
        <vt:i4>1179701</vt:i4>
      </vt:variant>
      <vt:variant>
        <vt:i4>68</vt:i4>
      </vt:variant>
      <vt:variant>
        <vt:i4>0</vt:i4>
      </vt:variant>
      <vt:variant>
        <vt:i4>5</vt:i4>
      </vt:variant>
      <vt:variant>
        <vt:lpwstr/>
      </vt:variant>
      <vt:variant>
        <vt:lpwstr>_Toc200033463</vt:lpwstr>
      </vt:variant>
      <vt:variant>
        <vt:i4>1179701</vt:i4>
      </vt:variant>
      <vt:variant>
        <vt:i4>62</vt:i4>
      </vt:variant>
      <vt:variant>
        <vt:i4>0</vt:i4>
      </vt:variant>
      <vt:variant>
        <vt:i4>5</vt:i4>
      </vt:variant>
      <vt:variant>
        <vt:lpwstr/>
      </vt:variant>
      <vt:variant>
        <vt:lpwstr>_Toc200033462</vt:lpwstr>
      </vt:variant>
      <vt:variant>
        <vt:i4>1179701</vt:i4>
      </vt:variant>
      <vt:variant>
        <vt:i4>56</vt:i4>
      </vt:variant>
      <vt:variant>
        <vt:i4>0</vt:i4>
      </vt:variant>
      <vt:variant>
        <vt:i4>5</vt:i4>
      </vt:variant>
      <vt:variant>
        <vt:lpwstr/>
      </vt:variant>
      <vt:variant>
        <vt:lpwstr>_Toc200033461</vt:lpwstr>
      </vt:variant>
      <vt:variant>
        <vt:i4>1179701</vt:i4>
      </vt:variant>
      <vt:variant>
        <vt:i4>50</vt:i4>
      </vt:variant>
      <vt:variant>
        <vt:i4>0</vt:i4>
      </vt:variant>
      <vt:variant>
        <vt:i4>5</vt:i4>
      </vt:variant>
      <vt:variant>
        <vt:lpwstr/>
      </vt:variant>
      <vt:variant>
        <vt:lpwstr>_Toc200033460</vt:lpwstr>
      </vt:variant>
      <vt:variant>
        <vt:i4>1114165</vt:i4>
      </vt:variant>
      <vt:variant>
        <vt:i4>44</vt:i4>
      </vt:variant>
      <vt:variant>
        <vt:i4>0</vt:i4>
      </vt:variant>
      <vt:variant>
        <vt:i4>5</vt:i4>
      </vt:variant>
      <vt:variant>
        <vt:lpwstr/>
      </vt:variant>
      <vt:variant>
        <vt:lpwstr>_Toc200033459</vt:lpwstr>
      </vt:variant>
      <vt:variant>
        <vt:i4>1114165</vt:i4>
      </vt:variant>
      <vt:variant>
        <vt:i4>38</vt:i4>
      </vt:variant>
      <vt:variant>
        <vt:i4>0</vt:i4>
      </vt:variant>
      <vt:variant>
        <vt:i4>5</vt:i4>
      </vt:variant>
      <vt:variant>
        <vt:lpwstr/>
      </vt:variant>
      <vt:variant>
        <vt:lpwstr>_Toc200033458</vt:lpwstr>
      </vt:variant>
      <vt:variant>
        <vt:i4>1114165</vt:i4>
      </vt:variant>
      <vt:variant>
        <vt:i4>32</vt:i4>
      </vt:variant>
      <vt:variant>
        <vt:i4>0</vt:i4>
      </vt:variant>
      <vt:variant>
        <vt:i4>5</vt:i4>
      </vt:variant>
      <vt:variant>
        <vt:lpwstr/>
      </vt:variant>
      <vt:variant>
        <vt:lpwstr>_Toc200033457</vt:lpwstr>
      </vt:variant>
      <vt:variant>
        <vt:i4>1114165</vt:i4>
      </vt:variant>
      <vt:variant>
        <vt:i4>26</vt:i4>
      </vt:variant>
      <vt:variant>
        <vt:i4>0</vt:i4>
      </vt:variant>
      <vt:variant>
        <vt:i4>5</vt:i4>
      </vt:variant>
      <vt:variant>
        <vt:lpwstr/>
      </vt:variant>
      <vt:variant>
        <vt:lpwstr>_Toc200033456</vt:lpwstr>
      </vt:variant>
      <vt:variant>
        <vt:i4>1114165</vt:i4>
      </vt:variant>
      <vt:variant>
        <vt:i4>20</vt:i4>
      </vt:variant>
      <vt:variant>
        <vt:i4>0</vt:i4>
      </vt:variant>
      <vt:variant>
        <vt:i4>5</vt:i4>
      </vt:variant>
      <vt:variant>
        <vt:lpwstr/>
      </vt:variant>
      <vt:variant>
        <vt:lpwstr>_Toc200033455</vt:lpwstr>
      </vt:variant>
      <vt:variant>
        <vt:i4>1114165</vt:i4>
      </vt:variant>
      <vt:variant>
        <vt:i4>14</vt:i4>
      </vt:variant>
      <vt:variant>
        <vt:i4>0</vt:i4>
      </vt:variant>
      <vt:variant>
        <vt:i4>5</vt:i4>
      </vt:variant>
      <vt:variant>
        <vt:lpwstr/>
      </vt:variant>
      <vt:variant>
        <vt:lpwstr>_Toc200033454</vt:lpwstr>
      </vt:variant>
      <vt:variant>
        <vt:i4>1114165</vt:i4>
      </vt:variant>
      <vt:variant>
        <vt:i4>8</vt:i4>
      </vt:variant>
      <vt:variant>
        <vt:i4>0</vt:i4>
      </vt:variant>
      <vt:variant>
        <vt:i4>5</vt:i4>
      </vt:variant>
      <vt:variant>
        <vt:lpwstr/>
      </vt:variant>
      <vt:variant>
        <vt:lpwstr>_Toc200033453</vt:lpwstr>
      </vt:variant>
      <vt:variant>
        <vt:i4>1114165</vt:i4>
      </vt:variant>
      <vt:variant>
        <vt:i4>2</vt:i4>
      </vt:variant>
      <vt:variant>
        <vt:i4>0</vt:i4>
      </vt:variant>
      <vt:variant>
        <vt:i4>5</vt:i4>
      </vt:variant>
      <vt:variant>
        <vt:lpwstr/>
      </vt:variant>
      <vt:variant>
        <vt:lpwstr>_Toc200033452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Celia O'Hare</dc:creator>
  <cp:keywords/>
  <dc:description/>
  <cp:lastModifiedBy>Mairea Nelson</cp:lastModifiedBy>
  <cp:revision>2</cp:revision>
  <cp:lastPrinted>2025-06-17T15:01:00Z</cp:lastPrinted>
  <dcterms:created xsi:type="dcterms:W3CDTF">2025-06-26T07:16:00Z</dcterms:created>
  <dcterms:modified xsi:type="dcterms:W3CDTF">2025-06-26T07:16:00Z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2">
    <vt:lpwstr>JournalAbbreviations" value="true"/&gt;&lt;pref name="delayCitationUpdates" value="true"/&gt;&lt;pref name="dontAskDelayCitationUpdates" value="true"/&gt;&lt;/prefs&gt;&lt;/data&gt;</vt:lpwstr>
  </property>
  <property fmtid="{D5CDD505-2E9C-101B-9397-08002B2CF9AE}" pid="3" name="ContentTypeId">
    <vt:lpwstr>0x010100574955CEB3D5BC48B7E366FCA839462A</vt:lpwstr>
  </property>
  <property fmtid="{D5CDD505-2E9C-101B-9397-08002B2CF9AE}" pid="4" name="ZOTERO_PREF_1">
    <vt:lpwstr>&lt;data data-version="3" zotero-version="7.0.2"&gt;&lt;session id="V7nPh3XY"/&gt;&lt;style id="http://www.zotero.org/styles/vancouver" locale="en-GB" hasBibliography="1" bibliographyStyleHasBeenSet="1"/&gt;&lt;prefs&gt;&lt;pref name="fieldType" value="Field"/&gt;&lt;pref name="automatic</vt:lpwstr>
  </property>
</Properties>
</file>