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B180E" w14:textId="76DB1FD8" w:rsidR="0041556A" w:rsidRPr="00894F7D" w:rsidRDefault="0041556A" w:rsidP="0041556A">
      <w:pPr>
        <w:tabs>
          <w:tab w:val="right" w:pos="8222"/>
        </w:tabs>
        <w:rPr>
          <w:b/>
          <w:sz w:val="28"/>
        </w:rPr>
      </w:pPr>
      <w:r w:rsidRPr="00DC4ADB">
        <w:rPr>
          <w:b/>
          <w:sz w:val="28"/>
        </w:rPr>
        <w:t>APPROVED</w:t>
      </w:r>
      <w:r w:rsidRPr="0049493D">
        <w:rPr>
          <w:b/>
          <w:sz w:val="28"/>
        </w:rPr>
        <w:tab/>
      </w:r>
      <w:r>
        <w:rPr>
          <w:b/>
          <w:sz w:val="28"/>
        </w:rPr>
        <w:t xml:space="preserve">[2024] </w:t>
      </w:r>
      <w:r w:rsidRPr="007A0B13">
        <w:rPr>
          <w:b/>
          <w:sz w:val="28"/>
        </w:rPr>
        <w:t>IEHC</w:t>
      </w:r>
      <w:r>
        <w:rPr>
          <w:b/>
          <w:sz w:val="28"/>
        </w:rPr>
        <w:t xml:space="preserve"> </w:t>
      </w:r>
      <w:r w:rsidR="00661E38" w:rsidRPr="00661E38">
        <w:rPr>
          <w:b/>
          <w:sz w:val="28"/>
        </w:rPr>
        <w:t>463</w:t>
      </w:r>
    </w:p>
    <w:p w14:paraId="18567A86" w14:textId="77777777" w:rsidR="0041556A" w:rsidRDefault="0041556A" w:rsidP="0041556A"/>
    <w:p w14:paraId="48A72B50" w14:textId="77777777" w:rsidR="0041556A" w:rsidRDefault="0041556A" w:rsidP="0041556A"/>
    <w:p w14:paraId="50358496" w14:textId="77777777" w:rsidR="0041556A" w:rsidRDefault="0041556A" w:rsidP="0041556A"/>
    <w:p w14:paraId="302C573E" w14:textId="77777777" w:rsidR="0041556A" w:rsidRDefault="0041556A" w:rsidP="0041556A">
      <w:pPr>
        <w:jc w:val="center"/>
      </w:pPr>
      <w:r>
        <w:rPr>
          <w:noProof/>
        </w:rPr>
        <w:drawing>
          <wp:inline distT="0" distB="0" distL="0" distR="0" wp14:anchorId="58358748" wp14:editId="1893C315">
            <wp:extent cx="387985" cy="603885"/>
            <wp:effectExtent l="0" t="0" r="0" b="5715"/>
            <wp:docPr id="1" name="Picture 1" descr="harp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p graphic.&#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985" cy="603885"/>
                    </a:xfrm>
                    <a:prstGeom prst="rect">
                      <a:avLst/>
                    </a:prstGeom>
                    <a:noFill/>
                    <a:ln>
                      <a:noFill/>
                    </a:ln>
                  </pic:spPr>
                </pic:pic>
              </a:graphicData>
            </a:graphic>
          </wp:inline>
        </w:drawing>
      </w:r>
    </w:p>
    <w:p w14:paraId="301BBCD1" w14:textId="77777777" w:rsidR="0041556A" w:rsidRDefault="0041556A" w:rsidP="0041556A">
      <w:pPr>
        <w:jc w:val="center"/>
      </w:pPr>
    </w:p>
    <w:p w14:paraId="332768DB" w14:textId="77777777" w:rsidR="0041556A" w:rsidRDefault="0041556A" w:rsidP="0041556A">
      <w:pPr>
        <w:jc w:val="center"/>
      </w:pPr>
      <w:r>
        <w:t>THE HIGH COURT</w:t>
      </w:r>
    </w:p>
    <w:p w14:paraId="4F7E1B22" w14:textId="77777777" w:rsidR="006F7887" w:rsidRPr="00266A40" w:rsidRDefault="006F7887" w:rsidP="0041556A">
      <w:pPr>
        <w:jc w:val="center"/>
      </w:pPr>
      <w:r w:rsidRPr="00266A40">
        <w:t>JUDICIAL REVIEW</w:t>
      </w:r>
    </w:p>
    <w:p w14:paraId="3913F6C6" w14:textId="77777777" w:rsidR="0041556A" w:rsidRDefault="0041556A" w:rsidP="00266A40"/>
    <w:p w14:paraId="33E3CFF4" w14:textId="535FC40B" w:rsidR="006F7887" w:rsidRPr="00266A40" w:rsidRDefault="006F7887" w:rsidP="0041556A">
      <w:pPr>
        <w:jc w:val="right"/>
      </w:pPr>
      <w:r w:rsidRPr="00266A40">
        <w:t>2021</w:t>
      </w:r>
      <w:r w:rsidR="0041556A">
        <w:t xml:space="preserve"> </w:t>
      </w:r>
      <w:r w:rsidRPr="00266A40">
        <w:t>1</w:t>
      </w:r>
      <w:r w:rsidR="0013600B">
        <w:t>0</w:t>
      </w:r>
      <w:r w:rsidRPr="00266A40">
        <w:t>92</w:t>
      </w:r>
      <w:r w:rsidR="0041556A">
        <w:t xml:space="preserve"> </w:t>
      </w:r>
      <w:r w:rsidRPr="00266A40">
        <w:t>JR</w:t>
      </w:r>
    </w:p>
    <w:p w14:paraId="620EFDF1" w14:textId="77777777" w:rsidR="0041556A" w:rsidRDefault="0041556A" w:rsidP="00266A40">
      <w:bookmarkStart w:id="0" w:name="EntryPoint"/>
      <w:bookmarkEnd w:id="0"/>
    </w:p>
    <w:p w14:paraId="14B81000" w14:textId="77777777" w:rsidR="0041556A" w:rsidRDefault="0041556A" w:rsidP="00266A40"/>
    <w:p w14:paraId="45AD8CFF" w14:textId="7430F1C5" w:rsidR="006F7887" w:rsidRPr="00266A40" w:rsidRDefault="006F7887" w:rsidP="00266A40">
      <w:r w:rsidRPr="00266A40">
        <w:t xml:space="preserve">BETWEEN </w:t>
      </w:r>
    </w:p>
    <w:p w14:paraId="6A0A2C56" w14:textId="77777777" w:rsidR="0041556A" w:rsidRDefault="0041556A" w:rsidP="00266A40"/>
    <w:p w14:paraId="2E06E5CF" w14:textId="744A862C" w:rsidR="006F7887" w:rsidRPr="00266A40" w:rsidRDefault="006F7887" w:rsidP="0041556A">
      <w:pPr>
        <w:jc w:val="center"/>
      </w:pPr>
      <w:r w:rsidRPr="00266A40">
        <w:t>DENISE LYNCH</w:t>
      </w:r>
    </w:p>
    <w:p w14:paraId="415CD1F3" w14:textId="77777777" w:rsidR="0041556A" w:rsidRDefault="0041556A" w:rsidP="00266A40"/>
    <w:p w14:paraId="59AB0180" w14:textId="4E7A3555" w:rsidR="006F7887" w:rsidRPr="00266A40" w:rsidRDefault="006F7887" w:rsidP="0041556A">
      <w:pPr>
        <w:jc w:val="right"/>
      </w:pPr>
      <w:r w:rsidRPr="00266A40">
        <w:t>APPLICANT</w:t>
      </w:r>
    </w:p>
    <w:p w14:paraId="1216EAC4" w14:textId="77777777" w:rsidR="0041556A" w:rsidRDefault="0041556A" w:rsidP="00266A40"/>
    <w:p w14:paraId="6C8AAC80" w14:textId="77777777" w:rsidR="0041556A" w:rsidRDefault="0041556A" w:rsidP="00266A40"/>
    <w:p w14:paraId="10657A66" w14:textId="14391295" w:rsidR="006F7887" w:rsidRPr="00266A40" w:rsidRDefault="006F7887" w:rsidP="0041556A">
      <w:pPr>
        <w:jc w:val="center"/>
      </w:pPr>
      <w:r w:rsidRPr="00266A40">
        <w:t>AND</w:t>
      </w:r>
    </w:p>
    <w:p w14:paraId="201547F0" w14:textId="77777777" w:rsidR="006F7887" w:rsidRPr="00266A40" w:rsidRDefault="006F7887" w:rsidP="00266A40"/>
    <w:p w14:paraId="6B759475" w14:textId="77777777" w:rsidR="006F7887" w:rsidRPr="00266A40" w:rsidRDefault="006F7887" w:rsidP="0041556A">
      <w:pPr>
        <w:jc w:val="center"/>
      </w:pPr>
      <w:r w:rsidRPr="00266A40">
        <w:t>MINISTER FOR HEALTH</w:t>
      </w:r>
    </w:p>
    <w:p w14:paraId="18CD3748" w14:textId="6A6F6F94" w:rsidR="006F7887" w:rsidRPr="00266A40" w:rsidRDefault="006F7887" w:rsidP="0041556A">
      <w:pPr>
        <w:jc w:val="center"/>
      </w:pPr>
      <w:r w:rsidRPr="00266A40">
        <w:t>COMMISSIONER OF AN GARDA S</w:t>
      </w:r>
      <w:r w:rsidR="00125560">
        <w:t>Í</w:t>
      </w:r>
      <w:r w:rsidRPr="00266A40">
        <w:t>OCH</w:t>
      </w:r>
      <w:r w:rsidR="00125560">
        <w:t>Á</w:t>
      </w:r>
      <w:r w:rsidRPr="00266A40">
        <w:t>NA</w:t>
      </w:r>
    </w:p>
    <w:p w14:paraId="13CE727E" w14:textId="50187EDF" w:rsidR="006F7887" w:rsidRPr="00266A40" w:rsidRDefault="006F7887" w:rsidP="0041556A">
      <w:pPr>
        <w:jc w:val="center"/>
      </w:pPr>
      <w:r w:rsidRPr="00266A40">
        <w:t>GOVERNMENT OF IRELAND</w:t>
      </w:r>
    </w:p>
    <w:p w14:paraId="720AFB20" w14:textId="77777777" w:rsidR="006F7887" w:rsidRPr="00266A40" w:rsidRDefault="006F7887" w:rsidP="0041556A">
      <w:pPr>
        <w:jc w:val="center"/>
      </w:pPr>
      <w:r w:rsidRPr="00266A40">
        <w:t>ATTORNEY GENERAL</w:t>
      </w:r>
    </w:p>
    <w:p w14:paraId="2A50F309" w14:textId="77777777" w:rsidR="006F7887" w:rsidRPr="00266A40" w:rsidRDefault="006F7887" w:rsidP="0041556A">
      <w:pPr>
        <w:jc w:val="center"/>
      </w:pPr>
      <w:r w:rsidRPr="00266A40">
        <w:t>DIRECTOR OF PUBLIC PROSECUTIONS</w:t>
      </w:r>
    </w:p>
    <w:p w14:paraId="7E887635" w14:textId="77777777" w:rsidR="006F7887" w:rsidRPr="00266A40" w:rsidRDefault="006F7887" w:rsidP="00266A40"/>
    <w:p w14:paraId="542BDC91" w14:textId="11EBFFAD" w:rsidR="006F7887" w:rsidRPr="00266A40" w:rsidRDefault="00125560" w:rsidP="0041556A">
      <w:pPr>
        <w:jc w:val="right"/>
      </w:pPr>
      <w:r>
        <w:t>RESPONDENTS</w:t>
      </w:r>
    </w:p>
    <w:p w14:paraId="31B996B2" w14:textId="77777777" w:rsidR="006F7887" w:rsidRDefault="006F7887" w:rsidP="00266A40"/>
    <w:p w14:paraId="004CE968" w14:textId="77777777" w:rsidR="009E3CDA" w:rsidRPr="00266A40" w:rsidRDefault="009E3CDA" w:rsidP="00266A40"/>
    <w:p w14:paraId="37D6F358" w14:textId="77777777" w:rsidR="006F7887" w:rsidRPr="006F7887" w:rsidRDefault="006F7887" w:rsidP="009E3CDA">
      <w:pPr>
        <w:rPr>
          <w:lang w:eastAsia="en-US"/>
        </w:rPr>
      </w:pPr>
    </w:p>
    <w:p w14:paraId="4C425826" w14:textId="05228EE6" w:rsidR="006F7887" w:rsidRPr="009E3CDA" w:rsidRDefault="006F7887" w:rsidP="009E3CDA">
      <w:pPr>
        <w:rPr>
          <w:b/>
          <w:bCs/>
          <w:u w:val="single"/>
        </w:rPr>
      </w:pPr>
      <w:r w:rsidRPr="009E3CDA">
        <w:rPr>
          <w:b/>
          <w:bCs/>
          <w:u w:val="single"/>
        </w:rPr>
        <w:t>JUDGMENT of Mr</w:t>
      </w:r>
      <w:r w:rsidR="004A52E6">
        <w:rPr>
          <w:b/>
          <w:bCs/>
          <w:u w:val="single"/>
        </w:rPr>
        <w:t>.</w:t>
      </w:r>
      <w:r w:rsidRPr="009E3CDA">
        <w:rPr>
          <w:b/>
          <w:bCs/>
          <w:u w:val="single"/>
        </w:rPr>
        <w:t xml:space="preserve"> Justice </w:t>
      </w:r>
      <w:r w:rsidR="004D3FDE" w:rsidRPr="009E3CDA">
        <w:rPr>
          <w:b/>
          <w:bCs/>
          <w:u w:val="single"/>
        </w:rPr>
        <w:t xml:space="preserve">Garrett Simons </w:t>
      </w:r>
      <w:r w:rsidRPr="009E3CDA">
        <w:rPr>
          <w:b/>
          <w:bCs/>
          <w:u w:val="single"/>
        </w:rPr>
        <w:t xml:space="preserve">delivered on </w:t>
      </w:r>
      <w:r w:rsidR="00F817E8">
        <w:rPr>
          <w:b/>
          <w:bCs/>
          <w:u w:val="single"/>
        </w:rPr>
        <w:t>25</w:t>
      </w:r>
      <w:r w:rsidR="003746A1" w:rsidRPr="009E3CDA">
        <w:rPr>
          <w:b/>
          <w:bCs/>
          <w:u w:val="single"/>
        </w:rPr>
        <w:t xml:space="preserve"> July </w:t>
      </w:r>
      <w:r w:rsidRPr="009E3CDA">
        <w:rPr>
          <w:b/>
          <w:bCs/>
          <w:u w:val="single"/>
        </w:rPr>
        <w:t>2024</w:t>
      </w:r>
    </w:p>
    <w:p w14:paraId="54F39183" w14:textId="77777777" w:rsidR="009E3CDA" w:rsidRPr="009E3CDA" w:rsidRDefault="009E3CDA" w:rsidP="009E3CDA"/>
    <w:p w14:paraId="49CF4F1D" w14:textId="77777777" w:rsidR="003746A1" w:rsidRDefault="003746A1" w:rsidP="009E3CDA">
      <w:pPr>
        <w:rPr>
          <w:lang w:eastAsia="en-US"/>
        </w:rPr>
      </w:pPr>
    </w:p>
    <w:p w14:paraId="283C9A33" w14:textId="6AA4A809" w:rsidR="006F7887" w:rsidRPr="006F7887" w:rsidRDefault="006F7887" w:rsidP="003746A1">
      <w:pPr>
        <w:pStyle w:val="Heading1"/>
        <w:rPr>
          <w:rFonts w:cs="Calibri"/>
          <w:lang w:eastAsia="en-US"/>
        </w:rPr>
      </w:pPr>
      <w:r w:rsidRPr="006F7887">
        <w:rPr>
          <w:lang w:eastAsia="en-US"/>
        </w:rPr>
        <w:t>Introduction</w:t>
      </w:r>
    </w:p>
    <w:p w14:paraId="57EF193D" w14:textId="32A9CB7B" w:rsidR="00705770" w:rsidRPr="00EE6A67" w:rsidRDefault="001F561D" w:rsidP="001F561D">
      <w:pPr>
        <w:pStyle w:val="Style1"/>
        <w:rPr>
          <w:rFonts w:cs="Calibri"/>
          <w:lang w:eastAsia="en-US"/>
        </w:rPr>
      </w:pPr>
      <w:bookmarkStart w:id="1" w:name="_Ref172275452"/>
      <w:r w:rsidRPr="006F7887">
        <w:rPr>
          <w:lang w:eastAsia="en-US"/>
        </w:rPr>
        <w:t xml:space="preserve">This judgment addresses the question of whether the Irish </w:t>
      </w:r>
      <w:r>
        <w:rPr>
          <w:rFonts w:cs="Calibri"/>
          <w:lang w:val="en-GB" w:eastAsia="en-GB"/>
        </w:rPr>
        <w:t xml:space="preserve">State </w:t>
      </w:r>
      <w:r w:rsidRPr="006F7887">
        <w:rPr>
          <w:lang w:eastAsia="en-US"/>
        </w:rPr>
        <w:t xml:space="preserve">is entitled, as a matter of EU law, to prohibit the </w:t>
      </w:r>
      <w:r w:rsidR="00F3787D">
        <w:rPr>
          <w:lang w:eastAsia="en-US"/>
        </w:rPr>
        <w:t xml:space="preserve">importation </w:t>
      </w:r>
      <w:r w:rsidR="004A52E6">
        <w:rPr>
          <w:lang w:eastAsia="en-US"/>
        </w:rPr>
        <w:t xml:space="preserve">and sale </w:t>
      </w:r>
      <w:r w:rsidRPr="006F7887">
        <w:rPr>
          <w:lang w:eastAsia="en-US"/>
        </w:rPr>
        <w:t xml:space="preserve">of </w:t>
      </w:r>
      <w:r w:rsidR="000F1D27">
        <w:rPr>
          <w:lang w:eastAsia="en-US"/>
        </w:rPr>
        <w:t xml:space="preserve">products which contain </w:t>
      </w:r>
      <w:r w:rsidR="001858F0">
        <w:rPr>
          <w:lang w:eastAsia="en-US"/>
        </w:rPr>
        <w:t xml:space="preserve">elements of </w:t>
      </w:r>
      <w:r w:rsidR="00705770" w:rsidRPr="00705770">
        <w:rPr>
          <w:lang w:eastAsia="en-US"/>
        </w:rPr>
        <w:t>the main psychoactive ingredient in cannabis.</w:t>
      </w:r>
      <w:r w:rsidR="009E4086">
        <w:rPr>
          <w:lang w:eastAsia="en-US"/>
        </w:rPr>
        <w:t xml:space="preserve">  The essence of the </w:t>
      </w:r>
      <w:r w:rsidR="00D62D52">
        <w:rPr>
          <w:lang w:eastAsia="en-US"/>
        </w:rPr>
        <w:t xml:space="preserve">Applicant’s </w:t>
      </w:r>
      <w:r w:rsidR="009E4086">
        <w:rPr>
          <w:lang w:eastAsia="en-US"/>
        </w:rPr>
        <w:t>case is that</w:t>
      </w:r>
      <w:r w:rsidR="001F4822">
        <w:rPr>
          <w:lang w:eastAsia="en-US"/>
        </w:rPr>
        <w:t>,</w:t>
      </w:r>
      <w:r w:rsidR="009E4086">
        <w:rPr>
          <w:lang w:eastAsia="en-US"/>
        </w:rPr>
        <w:t xml:space="preserve"> provided </w:t>
      </w:r>
      <w:r w:rsidR="00FF0E71">
        <w:rPr>
          <w:lang w:eastAsia="en-US"/>
        </w:rPr>
        <w:t xml:space="preserve">that </w:t>
      </w:r>
      <w:r w:rsidR="009E4086">
        <w:rPr>
          <w:lang w:eastAsia="en-US"/>
        </w:rPr>
        <w:t xml:space="preserve">the </w:t>
      </w:r>
      <w:r w:rsidR="00FF0E71">
        <w:rPr>
          <w:lang w:eastAsia="en-US"/>
        </w:rPr>
        <w:t xml:space="preserve">quantity </w:t>
      </w:r>
      <w:r w:rsidR="00875731">
        <w:rPr>
          <w:lang w:eastAsia="en-US"/>
        </w:rPr>
        <w:t xml:space="preserve">of this </w:t>
      </w:r>
      <w:r w:rsidR="000D154D" w:rsidRPr="00705770">
        <w:rPr>
          <w:lang w:eastAsia="en-US"/>
        </w:rPr>
        <w:t>psychoactive ingredient</w:t>
      </w:r>
      <w:r w:rsidR="000D154D">
        <w:rPr>
          <w:lang w:eastAsia="en-US"/>
        </w:rPr>
        <w:t xml:space="preserve"> </w:t>
      </w:r>
      <w:r w:rsidR="001F4822">
        <w:rPr>
          <w:lang w:eastAsia="en-US"/>
        </w:rPr>
        <w:t xml:space="preserve">present in the product </w:t>
      </w:r>
      <w:r w:rsidR="00FF0E71">
        <w:rPr>
          <w:lang w:eastAsia="en-US"/>
        </w:rPr>
        <w:t>falls below a certain threshold</w:t>
      </w:r>
      <w:r w:rsidR="001F4822">
        <w:rPr>
          <w:lang w:eastAsia="en-US"/>
        </w:rPr>
        <w:t>,</w:t>
      </w:r>
      <w:r w:rsidR="00FF0E71">
        <w:rPr>
          <w:lang w:eastAsia="en-US"/>
        </w:rPr>
        <w:t xml:space="preserve"> </w:t>
      </w:r>
      <w:r w:rsidR="001F4822">
        <w:rPr>
          <w:lang w:eastAsia="en-US"/>
        </w:rPr>
        <w:t>the product does not constitute a “</w:t>
      </w:r>
      <w:r w:rsidR="001F4822" w:rsidRPr="001F4822">
        <w:rPr>
          <w:i/>
          <w:iCs/>
          <w:lang w:eastAsia="en-US"/>
        </w:rPr>
        <w:t>drug</w:t>
      </w:r>
      <w:r w:rsidR="001F4822">
        <w:rPr>
          <w:lang w:eastAsia="en-US"/>
        </w:rPr>
        <w:t>” or “</w:t>
      </w:r>
      <w:r w:rsidR="001F4822" w:rsidRPr="001F4822">
        <w:rPr>
          <w:i/>
          <w:iCs/>
          <w:lang w:eastAsia="en-US"/>
        </w:rPr>
        <w:t>narcotic</w:t>
      </w:r>
      <w:r w:rsidR="001F4822">
        <w:rPr>
          <w:lang w:eastAsia="en-US"/>
        </w:rPr>
        <w:t xml:space="preserve">” for the purpose of EU law.  </w:t>
      </w:r>
      <w:r w:rsidR="00EE5CD5">
        <w:rPr>
          <w:lang w:eastAsia="en-US"/>
        </w:rPr>
        <w:t xml:space="preserve">Rather, on the </w:t>
      </w:r>
      <w:r w:rsidR="00D62D52">
        <w:rPr>
          <w:lang w:eastAsia="en-US"/>
        </w:rPr>
        <w:lastRenderedPageBreak/>
        <w:t xml:space="preserve">Applicant’s </w:t>
      </w:r>
      <w:r w:rsidR="00EE5CD5">
        <w:rPr>
          <w:lang w:eastAsia="en-US"/>
        </w:rPr>
        <w:t xml:space="preserve">case, the product constitutes a conventional </w:t>
      </w:r>
      <w:r w:rsidR="00423E98">
        <w:rPr>
          <w:lang w:eastAsia="en-US"/>
        </w:rPr>
        <w:t>“</w:t>
      </w:r>
      <w:r w:rsidR="00EE5CD5" w:rsidRPr="00423E98">
        <w:rPr>
          <w:i/>
          <w:iCs/>
          <w:lang w:eastAsia="en-US"/>
        </w:rPr>
        <w:t>good</w:t>
      </w:r>
      <w:r w:rsidR="00423E98">
        <w:rPr>
          <w:lang w:eastAsia="en-US"/>
        </w:rPr>
        <w:t xml:space="preserve">” </w:t>
      </w:r>
      <w:r w:rsidR="005703A9">
        <w:rPr>
          <w:lang w:eastAsia="en-US"/>
        </w:rPr>
        <w:t xml:space="preserve">subject to the principle of </w:t>
      </w:r>
      <w:r w:rsidR="00EE6A67">
        <w:rPr>
          <w:lang w:eastAsia="en-US"/>
        </w:rPr>
        <w:t xml:space="preserve">the </w:t>
      </w:r>
      <w:r w:rsidR="005703A9">
        <w:rPr>
          <w:lang w:eastAsia="en-US"/>
        </w:rPr>
        <w:t xml:space="preserve">free </w:t>
      </w:r>
      <w:r w:rsidR="00EE6A67">
        <w:rPr>
          <w:lang w:eastAsia="en-US"/>
        </w:rPr>
        <w:t xml:space="preserve">movement </w:t>
      </w:r>
      <w:r w:rsidR="005703A9">
        <w:rPr>
          <w:lang w:eastAsia="en-US"/>
        </w:rPr>
        <w:t xml:space="preserve">of </w:t>
      </w:r>
      <w:r w:rsidR="00EE6A67">
        <w:rPr>
          <w:lang w:eastAsia="en-US"/>
        </w:rPr>
        <w:t>goods under the Treaty on the Functioning of the European Union.</w:t>
      </w:r>
      <w:bookmarkEnd w:id="1"/>
    </w:p>
    <w:p w14:paraId="127EBD0A" w14:textId="11411A21" w:rsidR="00EC56EA" w:rsidRPr="007A52CB" w:rsidRDefault="00EE6A67" w:rsidP="00893840">
      <w:pPr>
        <w:pStyle w:val="Style1"/>
        <w:rPr>
          <w:rFonts w:cs="Calibri"/>
          <w:lang w:eastAsia="en-US"/>
        </w:rPr>
      </w:pPr>
      <w:r>
        <w:rPr>
          <w:lang w:eastAsia="en-US"/>
        </w:rPr>
        <w:t xml:space="preserve">The </w:t>
      </w:r>
      <w:r w:rsidR="00D62D52">
        <w:rPr>
          <w:lang w:eastAsia="en-US"/>
        </w:rPr>
        <w:t xml:space="preserve">Applicant’s </w:t>
      </w:r>
      <w:r>
        <w:rPr>
          <w:lang w:eastAsia="en-US"/>
        </w:rPr>
        <w:t>case is predicated</w:t>
      </w:r>
      <w:r w:rsidR="00070DBF">
        <w:rPr>
          <w:lang w:eastAsia="en-US"/>
        </w:rPr>
        <w:t>, almost exclusively,</w:t>
      </w:r>
      <w:r>
        <w:rPr>
          <w:lang w:eastAsia="en-US"/>
        </w:rPr>
        <w:t xml:space="preserve"> on </w:t>
      </w:r>
      <w:r w:rsidR="00070DBF">
        <w:rPr>
          <w:lang w:eastAsia="en-US"/>
        </w:rPr>
        <w:t xml:space="preserve">a </w:t>
      </w:r>
      <w:r w:rsidR="003D51FC">
        <w:rPr>
          <w:lang w:eastAsia="en-US"/>
        </w:rPr>
        <w:t xml:space="preserve">tendentious </w:t>
      </w:r>
      <w:r w:rsidR="00070DBF">
        <w:rPr>
          <w:lang w:eastAsia="en-US"/>
        </w:rPr>
        <w:t xml:space="preserve">interpretation of </w:t>
      </w:r>
      <w:r w:rsidR="004D1E6F">
        <w:rPr>
          <w:lang w:eastAsia="en-US"/>
        </w:rPr>
        <w:t xml:space="preserve">a </w:t>
      </w:r>
      <w:r w:rsidR="00966792">
        <w:rPr>
          <w:lang w:eastAsia="en-US"/>
        </w:rPr>
        <w:t xml:space="preserve">decision </w:t>
      </w:r>
      <w:r w:rsidR="004D1E6F">
        <w:rPr>
          <w:lang w:eastAsia="en-US"/>
        </w:rPr>
        <w:t xml:space="preserve">of the European Court of Justice.  </w:t>
      </w:r>
      <w:r w:rsidR="00A23CB5">
        <w:rPr>
          <w:lang w:eastAsia="en-US"/>
        </w:rPr>
        <w:t xml:space="preserve">An argument in almost identical terms to that </w:t>
      </w:r>
      <w:r w:rsidR="00200E6E">
        <w:rPr>
          <w:lang w:eastAsia="en-US"/>
        </w:rPr>
        <w:t xml:space="preserve">now </w:t>
      </w:r>
      <w:r w:rsidR="00A23CB5">
        <w:rPr>
          <w:lang w:eastAsia="en-US"/>
        </w:rPr>
        <w:t xml:space="preserve">made </w:t>
      </w:r>
      <w:r w:rsidR="0088293B">
        <w:rPr>
          <w:lang w:eastAsia="en-US"/>
        </w:rPr>
        <w:t xml:space="preserve">by the </w:t>
      </w:r>
      <w:r w:rsidR="00D62D52">
        <w:rPr>
          <w:lang w:eastAsia="en-US"/>
        </w:rPr>
        <w:t xml:space="preserve">Applicant </w:t>
      </w:r>
      <w:r w:rsidR="00200E6E">
        <w:rPr>
          <w:lang w:eastAsia="en-US"/>
        </w:rPr>
        <w:t xml:space="preserve">has previously </w:t>
      </w:r>
      <w:r w:rsidR="00181936">
        <w:rPr>
          <w:lang w:eastAsia="en-US"/>
        </w:rPr>
        <w:t xml:space="preserve">been </w:t>
      </w:r>
      <w:r w:rsidR="00200E6E">
        <w:rPr>
          <w:lang w:eastAsia="en-US"/>
        </w:rPr>
        <w:t>rejected by the High Court</w:t>
      </w:r>
      <w:r w:rsidR="00850E97">
        <w:rPr>
          <w:lang w:eastAsia="en-US"/>
        </w:rPr>
        <w:t xml:space="preserve"> in </w:t>
      </w:r>
      <w:r w:rsidR="00B4726C" w:rsidRPr="007A52CB">
        <w:rPr>
          <w:i/>
          <w:iCs/>
          <w:lang w:eastAsia="en-US"/>
        </w:rPr>
        <w:t>Bogusas v. Minister for Health</w:t>
      </w:r>
      <w:r w:rsidR="00B4726C">
        <w:rPr>
          <w:lang w:eastAsia="en-US"/>
        </w:rPr>
        <w:t xml:space="preserve"> </w:t>
      </w:r>
      <w:r w:rsidR="0000436C" w:rsidRPr="0000436C">
        <w:rPr>
          <w:lang w:eastAsia="en-US"/>
        </w:rPr>
        <w:t>[2022]</w:t>
      </w:r>
      <w:r w:rsidR="0000436C">
        <w:rPr>
          <w:lang w:eastAsia="en-US"/>
        </w:rPr>
        <w:t> </w:t>
      </w:r>
      <w:r w:rsidR="0000436C" w:rsidRPr="0000436C">
        <w:rPr>
          <w:lang w:eastAsia="en-US"/>
        </w:rPr>
        <w:t>IEHC</w:t>
      </w:r>
      <w:r w:rsidR="0000436C">
        <w:rPr>
          <w:lang w:eastAsia="en-US"/>
        </w:rPr>
        <w:t> </w:t>
      </w:r>
      <w:r w:rsidR="0000436C" w:rsidRPr="0000436C">
        <w:rPr>
          <w:lang w:eastAsia="en-US"/>
        </w:rPr>
        <w:t>621</w:t>
      </w:r>
      <w:r w:rsidR="0000436C">
        <w:rPr>
          <w:lang w:eastAsia="en-US"/>
        </w:rPr>
        <w:t>.</w:t>
      </w:r>
    </w:p>
    <w:p w14:paraId="6583CDA6" w14:textId="77777777" w:rsidR="00AC2634" w:rsidRDefault="00AC2634" w:rsidP="00AC2634">
      <w:pPr>
        <w:rPr>
          <w:lang w:eastAsia="en-US"/>
        </w:rPr>
      </w:pPr>
    </w:p>
    <w:p w14:paraId="0E94673C" w14:textId="77777777" w:rsidR="00C0579A" w:rsidRDefault="00C0579A" w:rsidP="00AC2634">
      <w:pPr>
        <w:rPr>
          <w:lang w:eastAsia="en-US"/>
        </w:rPr>
      </w:pPr>
    </w:p>
    <w:p w14:paraId="04AF1F0B" w14:textId="701A949D" w:rsidR="00C0579A" w:rsidRDefault="008A5D36" w:rsidP="00C0579A">
      <w:pPr>
        <w:pStyle w:val="Heading1"/>
        <w:rPr>
          <w:lang w:eastAsia="en-US"/>
        </w:rPr>
      </w:pPr>
      <w:r>
        <w:rPr>
          <w:lang w:eastAsia="en-US"/>
        </w:rPr>
        <w:t xml:space="preserve">Cannabis, </w:t>
      </w:r>
      <w:r w:rsidR="00083ABD">
        <w:rPr>
          <w:lang w:eastAsia="en-US"/>
        </w:rPr>
        <w:t>THC and CBD</w:t>
      </w:r>
    </w:p>
    <w:p w14:paraId="229BB49D" w14:textId="1C6A868A" w:rsidR="008A5D36" w:rsidRDefault="0084627E">
      <w:pPr>
        <w:pStyle w:val="Style1"/>
        <w:rPr>
          <w:lang w:eastAsia="en-US"/>
        </w:rPr>
      </w:pPr>
      <w:r>
        <w:rPr>
          <w:lang w:eastAsia="en-US"/>
        </w:rPr>
        <w:t xml:space="preserve">These proceedings are concerned with the regulation of two chemical compounds which may be extracted from </w:t>
      </w:r>
      <w:r w:rsidR="004B1409">
        <w:rPr>
          <w:lang w:eastAsia="en-US"/>
        </w:rPr>
        <w:t xml:space="preserve">a cannabis plant.  The first </w:t>
      </w:r>
      <w:r w:rsidR="00C810FA">
        <w:rPr>
          <w:lang w:eastAsia="en-US"/>
        </w:rPr>
        <w:t xml:space="preserve">chemical compound </w:t>
      </w:r>
      <w:r w:rsidR="004B1409">
        <w:rPr>
          <w:lang w:eastAsia="en-US"/>
        </w:rPr>
        <w:t xml:space="preserve">is </w:t>
      </w:r>
      <w:r w:rsidRPr="0084627E">
        <w:rPr>
          <w:lang w:eastAsia="en-US"/>
        </w:rPr>
        <w:t>delta-9-tetrahydrocannabinol (</w:t>
      </w:r>
      <w:r w:rsidR="004B1409">
        <w:rPr>
          <w:lang w:eastAsia="en-US"/>
        </w:rPr>
        <w:t>“</w:t>
      </w:r>
      <w:r w:rsidRPr="006A67BE">
        <w:rPr>
          <w:i/>
          <w:iCs/>
          <w:lang w:eastAsia="en-US"/>
        </w:rPr>
        <w:t>THC</w:t>
      </w:r>
      <w:r w:rsidR="004B1409">
        <w:rPr>
          <w:lang w:eastAsia="en-US"/>
        </w:rPr>
        <w:t>”</w:t>
      </w:r>
      <w:r w:rsidRPr="0084627E">
        <w:rPr>
          <w:lang w:eastAsia="en-US"/>
        </w:rPr>
        <w:t>)</w:t>
      </w:r>
      <w:r w:rsidR="0082408F">
        <w:rPr>
          <w:lang w:eastAsia="en-US"/>
        </w:rPr>
        <w:t xml:space="preserve">.  </w:t>
      </w:r>
      <w:r w:rsidR="00A56952">
        <w:rPr>
          <w:lang w:eastAsia="en-US"/>
        </w:rPr>
        <w:t xml:space="preserve">THC is the </w:t>
      </w:r>
      <w:r w:rsidR="00CA2E0B">
        <w:rPr>
          <w:lang w:eastAsia="en-US"/>
        </w:rPr>
        <w:t xml:space="preserve">principal </w:t>
      </w:r>
      <w:r w:rsidR="00A56952" w:rsidRPr="00705770">
        <w:rPr>
          <w:lang w:eastAsia="en-US"/>
        </w:rPr>
        <w:t>psychoactive ingredient in cannabis</w:t>
      </w:r>
      <w:r w:rsidR="00D53F66">
        <w:rPr>
          <w:lang w:eastAsia="en-US"/>
        </w:rPr>
        <w:t xml:space="preserve">.  </w:t>
      </w:r>
      <w:r w:rsidR="00C810FA">
        <w:rPr>
          <w:lang w:eastAsia="en-US"/>
        </w:rPr>
        <w:t xml:space="preserve">The second chemical compound is </w:t>
      </w:r>
      <w:r w:rsidRPr="0084627E">
        <w:rPr>
          <w:lang w:eastAsia="en-US"/>
        </w:rPr>
        <w:t>cannabidiol (</w:t>
      </w:r>
      <w:r w:rsidR="00C810FA">
        <w:rPr>
          <w:lang w:eastAsia="en-US"/>
        </w:rPr>
        <w:t>“</w:t>
      </w:r>
      <w:r w:rsidRPr="006A67BE">
        <w:rPr>
          <w:i/>
          <w:iCs/>
          <w:lang w:eastAsia="en-US"/>
        </w:rPr>
        <w:t>CBD</w:t>
      </w:r>
      <w:r w:rsidR="00CA2E0B">
        <w:rPr>
          <w:lang w:eastAsia="en-US"/>
        </w:rPr>
        <w:t>”).</w:t>
      </w:r>
    </w:p>
    <w:p w14:paraId="6ED2CB04" w14:textId="629F4461" w:rsidR="00083ABD" w:rsidRDefault="00F13109" w:rsidP="00C810FA">
      <w:pPr>
        <w:pStyle w:val="Style1"/>
        <w:rPr>
          <w:lang w:eastAsia="en-US"/>
        </w:rPr>
      </w:pPr>
      <w:r>
        <w:rPr>
          <w:lang w:eastAsia="en-US"/>
        </w:rPr>
        <w:t xml:space="preserve">Under national law, </w:t>
      </w:r>
      <w:r w:rsidR="0066702B">
        <w:rPr>
          <w:lang w:eastAsia="en-US"/>
        </w:rPr>
        <w:t xml:space="preserve">THC is a controlled drug for the purpose of the Misuse of Drugs Act 1977 and </w:t>
      </w:r>
      <w:r w:rsidR="00BC5AFE">
        <w:rPr>
          <w:lang w:eastAsia="en-US"/>
        </w:rPr>
        <w:t xml:space="preserve">the </w:t>
      </w:r>
      <w:r w:rsidR="0066702B">
        <w:rPr>
          <w:lang w:eastAsia="en-US"/>
        </w:rPr>
        <w:t>implementing regulations</w:t>
      </w:r>
      <w:r w:rsidR="00BC5AFE">
        <w:rPr>
          <w:lang w:eastAsia="en-US"/>
        </w:rPr>
        <w:t xml:space="preserve"> made under the Act</w:t>
      </w:r>
      <w:r w:rsidR="0066702B">
        <w:rPr>
          <w:lang w:eastAsia="en-US"/>
        </w:rPr>
        <w:t>.</w:t>
      </w:r>
      <w:r w:rsidR="001E19EC">
        <w:rPr>
          <w:lang w:eastAsia="en-US"/>
        </w:rPr>
        <w:t xml:space="preserve">  </w:t>
      </w:r>
      <w:r w:rsidR="00B94752">
        <w:rPr>
          <w:lang w:eastAsia="en-US"/>
        </w:rPr>
        <w:t xml:space="preserve">This is because it comes within the definition of </w:t>
      </w:r>
      <w:r w:rsidR="00ED1A89">
        <w:rPr>
          <w:lang w:eastAsia="en-US"/>
        </w:rPr>
        <w:t>“</w:t>
      </w:r>
      <w:r w:rsidR="00ED1A89" w:rsidRPr="00EA24B1">
        <w:rPr>
          <w:i/>
          <w:iCs/>
          <w:lang w:eastAsia="en-US"/>
        </w:rPr>
        <w:t xml:space="preserve">cannabinol </w:t>
      </w:r>
      <w:r w:rsidR="00EA24B1" w:rsidRPr="00EA24B1">
        <w:rPr>
          <w:i/>
          <w:iCs/>
          <w:lang w:eastAsia="en-US"/>
        </w:rPr>
        <w:t>derivative</w:t>
      </w:r>
      <w:r w:rsidR="00EA24B1">
        <w:rPr>
          <w:lang w:eastAsia="en-US"/>
        </w:rPr>
        <w:t xml:space="preserve">”.  </w:t>
      </w:r>
      <w:r w:rsidR="001E19EC">
        <w:rPr>
          <w:lang w:eastAsia="en-US"/>
        </w:rPr>
        <w:t xml:space="preserve">Any </w:t>
      </w:r>
      <w:r w:rsidR="00965945">
        <w:rPr>
          <w:lang w:eastAsia="en-US"/>
        </w:rPr>
        <w:t xml:space="preserve">substance or preparation </w:t>
      </w:r>
      <w:r w:rsidR="001E19EC">
        <w:rPr>
          <w:lang w:eastAsia="en-US"/>
        </w:rPr>
        <w:t>which contains THC is a controlled drug</w:t>
      </w:r>
      <w:r w:rsidR="00B31035">
        <w:rPr>
          <w:lang w:eastAsia="en-US"/>
        </w:rPr>
        <w:t>, irrespective of the proportion of THC present.</w:t>
      </w:r>
    </w:p>
    <w:p w14:paraId="197BCDF5" w14:textId="0D850B7D" w:rsidR="00C160D9" w:rsidRDefault="00C160D9" w:rsidP="00C810FA">
      <w:pPr>
        <w:pStyle w:val="Style1"/>
        <w:rPr>
          <w:lang w:eastAsia="en-US"/>
        </w:rPr>
      </w:pPr>
      <w:r>
        <w:rPr>
          <w:lang w:eastAsia="en-US"/>
        </w:rPr>
        <w:t xml:space="preserve">There are exceptions for </w:t>
      </w:r>
      <w:r w:rsidR="00580377">
        <w:rPr>
          <w:lang w:eastAsia="en-US"/>
        </w:rPr>
        <w:t>d</w:t>
      </w:r>
      <w:r w:rsidR="00815C46" w:rsidRPr="00815C46">
        <w:rPr>
          <w:lang w:eastAsia="en-US"/>
        </w:rPr>
        <w:t>elta-9-tetrahydrocannabinol contaminant</w:t>
      </w:r>
      <w:r w:rsidR="00815C46">
        <w:rPr>
          <w:lang w:eastAsia="en-US"/>
        </w:rPr>
        <w:t xml:space="preserve"> </w:t>
      </w:r>
      <w:r w:rsidR="005E5DDC">
        <w:rPr>
          <w:lang w:eastAsia="en-US"/>
        </w:rPr>
        <w:t>in foodstuffs below certain prescribed levels</w:t>
      </w:r>
      <w:r w:rsidR="0070327C">
        <w:rPr>
          <w:lang w:eastAsia="en-US"/>
        </w:rPr>
        <w:t>,</w:t>
      </w:r>
      <w:r w:rsidR="005E5DDC">
        <w:rPr>
          <w:lang w:eastAsia="en-US"/>
        </w:rPr>
        <w:t xml:space="preserve"> and for </w:t>
      </w:r>
      <w:r w:rsidR="00173878">
        <w:rPr>
          <w:lang w:eastAsia="en-US"/>
        </w:rPr>
        <w:t>medicinal cannabis products, but the</w:t>
      </w:r>
      <w:r w:rsidR="00A41531">
        <w:rPr>
          <w:lang w:eastAsia="en-US"/>
        </w:rPr>
        <w:t>s</w:t>
      </w:r>
      <w:r w:rsidR="00173878">
        <w:rPr>
          <w:lang w:eastAsia="en-US"/>
        </w:rPr>
        <w:t xml:space="preserve">e </w:t>
      </w:r>
      <w:r w:rsidR="00427B77">
        <w:rPr>
          <w:lang w:eastAsia="en-US"/>
        </w:rPr>
        <w:t xml:space="preserve">exceptions </w:t>
      </w:r>
      <w:r w:rsidR="00173878">
        <w:rPr>
          <w:lang w:eastAsia="en-US"/>
        </w:rPr>
        <w:t xml:space="preserve">are not relevant to the present proceedings. </w:t>
      </w:r>
      <w:r w:rsidR="00173600">
        <w:rPr>
          <w:lang w:eastAsia="en-US"/>
        </w:rPr>
        <w:t xml:space="preserve"> The principal exceptions for foodstuffs came into effect </w:t>
      </w:r>
      <w:r w:rsidR="000669A3">
        <w:rPr>
          <w:lang w:eastAsia="en-US"/>
        </w:rPr>
        <w:t>on</w:t>
      </w:r>
      <w:r w:rsidR="00811FA3">
        <w:rPr>
          <w:lang w:eastAsia="en-US"/>
        </w:rPr>
        <w:t xml:space="preserve"> a</w:t>
      </w:r>
      <w:r w:rsidR="000669A3">
        <w:rPr>
          <w:lang w:eastAsia="en-US"/>
        </w:rPr>
        <w:t xml:space="preserve"> date </w:t>
      </w:r>
      <w:proofErr w:type="gramStart"/>
      <w:r w:rsidR="000669A3" w:rsidRPr="00D56AC7">
        <w:rPr>
          <w:i/>
          <w:iCs/>
          <w:lang w:eastAsia="en-US"/>
        </w:rPr>
        <w:t>subsequent</w:t>
      </w:r>
      <w:r w:rsidR="000669A3">
        <w:rPr>
          <w:lang w:eastAsia="en-US"/>
        </w:rPr>
        <w:t xml:space="preserve"> to</w:t>
      </w:r>
      <w:proofErr w:type="gramEnd"/>
      <w:r w:rsidR="000669A3">
        <w:rPr>
          <w:lang w:eastAsia="en-US"/>
        </w:rPr>
        <w:t xml:space="preserve"> </w:t>
      </w:r>
      <w:r w:rsidR="002D6DF1">
        <w:rPr>
          <w:lang w:eastAsia="en-US"/>
        </w:rPr>
        <w:t xml:space="preserve">the date upon which the </w:t>
      </w:r>
      <w:r w:rsidR="007A17F1">
        <w:rPr>
          <w:lang w:eastAsia="en-US"/>
        </w:rPr>
        <w:t>events</w:t>
      </w:r>
      <w:r w:rsidR="00045D9B">
        <w:rPr>
          <w:lang w:eastAsia="en-US"/>
        </w:rPr>
        <w:t xml:space="preserve">, the subject-matter of these proceedings, </w:t>
      </w:r>
      <w:r w:rsidR="002D6DF1">
        <w:rPr>
          <w:lang w:eastAsia="en-US"/>
        </w:rPr>
        <w:t>occurred</w:t>
      </w:r>
      <w:r w:rsidR="00042A55">
        <w:rPr>
          <w:lang w:eastAsia="en-US"/>
        </w:rPr>
        <w:t xml:space="preserve">: see </w:t>
      </w:r>
      <w:r w:rsidR="00042A55" w:rsidRPr="00042A55">
        <w:rPr>
          <w:lang w:eastAsia="en-US"/>
        </w:rPr>
        <w:t>the Misuse of Drugs (Amendment) Regulations 2023</w:t>
      </w:r>
      <w:r w:rsidR="0048502E">
        <w:rPr>
          <w:lang w:eastAsia="en-US"/>
        </w:rPr>
        <w:t xml:space="preserve"> (S.I. No. 150 of 2023)</w:t>
      </w:r>
      <w:r w:rsidR="002D6DF1">
        <w:rPr>
          <w:lang w:eastAsia="en-US"/>
        </w:rPr>
        <w:t>.</w:t>
      </w:r>
    </w:p>
    <w:p w14:paraId="3C33E9F5" w14:textId="4C886094" w:rsidR="009F24D7" w:rsidRPr="008A5D36" w:rsidRDefault="009F24D7" w:rsidP="00C810FA">
      <w:pPr>
        <w:pStyle w:val="Style1"/>
        <w:rPr>
          <w:lang w:eastAsia="en-US"/>
        </w:rPr>
      </w:pPr>
      <w:r>
        <w:rPr>
          <w:lang w:eastAsia="en-US"/>
        </w:rPr>
        <w:lastRenderedPageBreak/>
        <w:t xml:space="preserve">The gravamen of the </w:t>
      </w:r>
      <w:r w:rsidR="00937C62">
        <w:rPr>
          <w:lang w:eastAsia="en-US"/>
        </w:rPr>
        <w:t xml:space="preserve">Applicant’s </w:t>
      </w:r>
      <w:r>
        <w:rPr>
          <w:lang w:eastAsia="en-US"/>
        </w:rPr>
        <w:t xml:space="preserve">case is that </w:t>
      </w:r>
      <w:r w:rsidR="005B6075">
        <w:rPr>
          <w:lang w:eastAsia="en-US"/>
        </w:rPr>
        <w:t xml:space="preserve">a </w:t>
      </w:r>
      <w:r w:rsidR="00A17D1F">
        <w:rPr>
          <w:lang w:eastAsia="en-US"/>
        </w:rPr>
        <w:t xml:space="preserve">CBD based </w:t>
      </w:r>
      <w:r w:rsidR="005B6075">
        <w:rPr>
          <w:lang w:eastAsia="en-US"/>
        </w:rPr>
        <w:t>product</w:t>
      </w:r>
      <w:r w:rsidR="00641DEE">
        <w:rPr>
          <w:lang w:eastAsia="en-US"/>
        </w:rPr>
        <w:t>—</w:t>
      </w:r>
      <w:r w:rsidR="005B6075">
        <w:rPr>
          <w:lang w:eastAsia="en-US"/>
        </w:rPr>
        <w:t>such, as for example, hemp oil</w:t>
      </w:r>
      <w:r w:rsidR="00641DEE">
        <w:rPr>
          <w:lang w:eastAsia="en-US"/>
        </w:rPr>
        <w:t>—</w:t>
      </w:r>
      <w:r w:rsidR="00B859D0">
        <w:rPr>
          <w:lang w:eastAsia="en-US"/>
        </w:rPr>
        <w:t xml:space="preserve">which contains elements of THC </w:t>
      </w:r>
      <w:r w:rsidR="005B6075">
        <w:rPr>
          <w:lang w:eastAsia="en-US"/>
        </w:rPr>
        <w:t xml:space="preserve">should not be regarded </w:t>
      </w:r>
      <w:r w:rsidR="00B859D0">
        <w:rPr>
          <w:lang w:eastAsia="en-US"/>
        </w:rPr>
        <w:t>as a controlled drug provided th</w:t>
      </w:r>
      <w:r w:rsidR="00A17D1F">
        <w:rPr>
          <w:lang w:eastAsia="en-US"/>
        </w:rPr>
        <w:t>at the proportion of THC is below a certain threshold, namely 0.2</w:t>
      </w:r>
      <w:r w:rsidR="004A2F1B">
        <w:rPr>
          <w:lang w:eastAsia="en-US"/>
        </w:rPr>
        <w:t> </w:t>
      </w:r>
      <w:r w:rsidR="00A17D1F">
        <w:rPr>
          <w:lang w:eastAsia="en-US"/>
        </w:rPr>
        <w:t>per cent.</w:t>
      </w:r>
    </w:p>
    <w:p w14:paraId="092EBBD3" w14:textId="77777777" w:rsidR="00C0579A" w:rsidRDefault="00C0579A" w:rsidP="00AC2634">
      <w:pPr>
        <w:rPr>
          <w:lang w:eastAsia="en-US"/>
        </w:rPr>
      </w:pPr>
    </w:p>
    <w:p w14:paraId="7440A87F" w14:textId="77777777" w:rsidR="004F5BA5" w:rsidRDefault="004F5BA5" w:rsidP="00AC2634">
      <w:pPr>
        <w:rPr>
          <w:lang w:eastAsia="en-US"/>
        </w:rPr>
      </w:pPr>
    </w:p>
    <w:p w14:paraId="2B34AF83" w14:textId="2F5952AC" w:rsidR="00EB77FA" w:rsidRDefault="00EB77FA" w:rsidP="00EB77FA">
      <w:pPr>
        <w:pStyle w:val="Heading1"/>
        <w:rPr>
          <w:lang w:eastAsia="en-US"/>
        </w:rPr>
      </w:pPr>
      <w:r>
        <w:rPr>
          <w:lang w:eastAsia="en-US"/>
        </w:rPr>
        <w:t>Procedural history</w:t>
      </w:r>
    </w:p>
    <w:p w14:paraId="16CCC362" w14:textId="5429A9F8" w:rsidR="000F6F77" w:rsidRDefault="00904960" w:rsidP="00EB77FA">
      <w:pPr>
        <w:pStyle w:val="Style1"/>
        <w:rPr>
          <w:lang w:eastAsia="en-US"/>
        </w:rPr>
      </w:pPr>
      <w:r>
        <w:rPr>
          <w:lang w:eastAsia="en-US"/>
        </w:rPr>
        <w:t xml:space="preserve">The </w:t>
      </w:r>
      <w:r w:rsidR="00937C62">
        <w:rPr>
          <w:lang w:eastAsia="en-US"/>
        </w:rPr>
        <w:t xml:space="preserve">Applicant </w:t>
      </w:r>
      <w:r>
        <w:rPr>
          <w:lang w:eastAsia="en-US"/>
        </w:rPr>
        <w:t xml:space="preserve">is </w:t>
      </w:r>
      <w:r w:rsidR="00EB77FA">
        <w:rPr>
          <w:lang w:eastAsia="en-US"/>
        </w:rPr>
        <w:t xml:space="preserve">the owner of a shop known as </w:t>
      </w:r>
      <w:r>
        <w:rPr>
          <w:lang w:eastAsia="en-US"/>
        </w:rPr>
        <w:t>“</w:t>
      </w:r>
      <w:r w:rsidR="00EB77FA" w:rsidRPr="00904960">
        <w:rPr>
          <w:i/>
          <w:iCs/>
          <w:lang w:eastAsia="en-US"/>
        </w:rPr>
        <w:t xml:space="preserve">D. Hemp </w:t>
      </w:r>
      <w:r w:rsidRPr="00904960">
        <w:rPr>
          <w:i/>
          <w:iCs/>
          <w:lang w:eastAsia="en-US"/>
        </w:rPr>
        <w:t>S</w:t>
      </w:r>
      <w:r w:rsidR="00EB77FA" w:rsidRPr="00904960">
        <w:rPr>
          <w:i/>
          <w:iCs/>
          <w:lang w:eastAsia="en-US"/>
        </w:rPr>
        <w:t>hop</w:t>
      </w:r>
      <w:r>
        <w:rPr>
          <w:lang w:eastAsia="en-US"/>
        </w:rPr>
        <w:t>”</w:t>
      </w:r>
      <w:r w:rsidR="00EB77FA">
        <w:rPr>
          <w:lang w:eastAsia="en-US"/>
        </w:rPr>
        <w:t xml:space="preserve"> located at 17</w:t>
      </w:r>
      <w:r>
        <w:rPr>
          <w:lang w:eastAsia="en-US"/>
        </w:rPr>
        <w:t> </w:t>
      </w:r>
      <w:r w:rsidR="00EB77FA">
        <w:rPr>
          <w:lang w:eastAsia="en-US"/>
        </w:rPr>
        <w:t>Market Street, Cootehill, County Cavan</w:t>
      </w:r>
      <w:r w:rsidR="000F6F77">
        <w:rPr>
          <w:lang w:eastAsia="en-US"/>
        </w:rPr>
        <w:t xml:space="preserve"> (“</w:t>
      </w:r>
      <w:r w:rsidR="000F6F77" w:rsidRPr="000F6F77">
        <w:rPr>
          <w:i/>
          <w:iCs/>
          <w:lang w:eastAsia="en-US"/>
        </w:rPr>
        <w:t>the business</w:t>
      </w:r>
      <w:r w:rsidR="000F6F77">
        <w:rPr>
          <w:lang w:eastAsia="en-US"/>
        </w:rPr>
        <w:t>”)</w:t>
      </w:r>
      <w:r w:rsidR="00EB77FA">
        <w:rPr>
          <w:lang w:eastAsia="en-US"/>
        </w:rPr>
        <w:t xml:space="preserve">. </w:t>
      </w:r>
      <w:r w:rsidR="000F6F77">
        <w:rPr>
          <w:lang w:eastAsia="en-US"/>
        </w:rPr>
        <w:t xml:space="preserve"> </w:t>
      </w:r>
      <w:r w:rsidR="00EB77FA">
        <w:rPr>
          <w:lang w:eastAsia="en-US"/>
        </w:rPr>
        <w:t xml:space="preserve">The business also has an online presence. </w:t>
      </w:r>
      <w:r w:rsidR="000F6F77">
        <w:rPr>
          <w:lang w:eastAsia="en-US"/>
        </w:rPr>
        <w:t xml:space="preserve"> </w:t>
      </w:r>
      <w:r w:rsidR="00EB77FA">
        <w:rPr>
          <w:lang w:eastAsia="en-US"/>
        </w:rPr>
        <w:t xml:space="preserve">The business has been trading since April </w:t>
      </w:r>
      <w:r w:rsidR="00A55E4D">
        <w:rPr>
          <w:lang w:eastAsia="en-US"/>
        </w:rPr>
        <w:t xml:space="preserve">or May </w:t>
      </w:r>
      <w:r w:rsidR="00EB77FA">
        <w:rPr>
          <w:lang w:eastAsia="en-US"/>
        </w:rPr>
        <w:t>2021.</w:t>
      </w:r>
    </w:p>
    <w:p w14:paraId="54D5799B" w14:textId="67106756" w:rsidR="0098755E" w:rsidRDefault="00EB77FA">
      <w:pPr>
        <w:pStyle w:val="Style1"/>
        <w:rPr>
          <w:lang w:eastAsia="en-US"/>
        </w:rPr>
      </w:pPr>
      <w:r>
        <w:rPr>
          <w:lang w:eastAsia="en-US"/>
        </w:rPr>
        <w:t>These proceedings have their genesis in events on 24</w:t>
      </w:r>
      <w:r w:rsidR="000F6F77">
        <w:rPr>
          <w:lang w:eastAsia="en-US"/>
        </w:rPr>
        <w:t> </w:t>
      </w:r>
      <w:r>
        <w:rPr>
          <w:lang w:eastAsia="en-US"/>
        </w:rPr>
        <w:t>September 2021.</w:t>
      </w:r>
      <w:r w:rsidR="00E31719">
        <w:rPr>
          <w:lang w:eastAsia="en-US"/>
        </w:rPr>
        <w:t xml:space="preserve"> </w:t>
      </w:r>
      <w:r>
        <w:rPr>
          <w:lang w:eastAsia="en-US"/>
        </w:rPr>
        <w:t xml:space="preserve"> On that date, members of </w:t>
      </w:r>
      <w:proofErr w:type="gramStart"/>
      <w:r>
        <w:rPr>
          <w:lang w:eastAsia="en-US"/>
        </w:rPr>
        <w:t>An</w:t>
      </w:r>
      <w:proofErr w:type="gramEnd"/>
      <w:r>
        <w:rPr>
          <w:lang w:eastAsia="en-US"/>
        </w:rPr>
        <w:t xml:space="preserve"> Garda Síochána executed search warrant</w:t>
      </w:r>
      <w:r w:rsidR="001A77D7">
        <w:rPr>
          <w:lang w:eastAsia="en-US"/>
        </w:rPr>
        <w:t>s</w:t>
      </w:r>
      <w:r>
        <w:rPr>
          <w:lang w:eastAsia="en-US"/>
        </w:rPr>
        <w:t xml:space="preserve"> </w:t>
      </w:r>
      <w:r w:rsidR="00E31719">
        <w:rPr>
          <w:lang w:eastAsia="en-US"/>
        </w:rPr>
        <w:t xml:space="preserve">against </w:t>
      </w:r>
      <w:r>
        <w:rPr>
          <w:lang w:eastAsia="en-US"/>
        </w:rPr>
        <w:t xml:space="preserve">the business premises and the </w:t>
      </w:r>
      <w:r w:rsidR="00937C62">
        <w:rPr>
          <w:lang w:eastAsia="en-US"/>
        </w:rPr>
        <w:t xml:space="preserve">Applicant’s </w:t>
      </w:r>
      <w:r>
        <w:rPr>
          <w:lang w:eastAsia="en-US"/>
        </w:rPr>
        <w:t>home</w:t>
      </w:r>
      <w:r w:rsidR="00E31719">
        <w:rPr>
          <w:lang w:eastAsia="en-US"/>
        </w:rPr>
        <w:t>, respectively</w:t>
      </w:r>
      <w:r>
        <w:rPr>
          <w:lang w:eastAsia="en-US"/>
        </w:rPr>
        <w:t>.</w:t>
      </w:r>
      <w:r w:rsidR="000F6F77">
        <w:rPr>
          <w:lang w:eastAsia="en-US"/>
        </w:rPr>
        <w:t xml:space="preserve">  </w:t>
      </w:r>
      <w:r w:rsidR="000C11D0">
        <w:rPr>
          <w:lang w:eastAsia="en-US"/>
        </w:rPr>
        <w:t xml:space="preserve">Officials from the Food Safety Authority of Ireland and the Health </w:t>
      </w:r>
      <w:r w:rsidR="0098755E">
        <w:rPr>
          <w:lang w:eastAsia="en-US"/>
        </w:rPr>
        <w:t>Products Regulation Authority (“</w:t>
      </w:r>
      <w:r w:rsidR="0098755E" w:rsidRPr="00555353">
        <w:rPr>
          <w:i/>
          <w:iCs/>
          <w:lang w:eastAsia="en-US"/>
        </w:rPr>
        <w:t>HPRA</w:t>
      </w:r>
      <w:r w:rsidR="0098755E">
        <w:rPr>
          <w:lang w:eastAsia="en-US"/>
        </w:rPr>
        <w:t>”) were also in attendance.</w:t>
      </w:r>
      <w:r w:rsidR="00F849D4">
        <w:rPr>
          <w:lang w:eastAsia="en-US"/>
        </w:rPr>
        <w:t xml:space="preserve">  The search warrants had been issued by the District Court pursuant to </w:t>
      </w:r>
      <w:r w:rsidR="006B1FFA">
        <w:rPr>
          <w:lang w:eastAsia="en-US"/>
        </w:rPr>
        <w:t>section 26 of the Misuse of Drugs Act 1977.</w:t>
      </w:r>
    </w:p>
    <w:p w14:paraId="0196F529" w14:textId="1F6F87D6" w:rsidR="00EB77FA" w:rsidRDefault="00EB77FA">
      <w:pPr>
        <w:pStyle w:val="Style1"/>
        <w:rPr>
          <w:lang w:eastAsia="en-US"/>
        </w:rPr>
      </w:pPr>
      <w:proofErr w:type="gramStart"/>
      <w:r>
        <w:rPr>
          <w:lang w:eastAsia="en-US"/>
        </w:rPr>
        <w:t>During the course of</w:t>
      </w:r>
      <w:proofErr w:type="gramEnd"/>
      <w:r>
        <w:rPr>
          <w:lang w:eastAsia="en-US"/>
        </w:rPr>
        <w:t xml:space="preserve"> the </w:t>
      </w:r>
      <w:r w:rsidR="000F6F77">
        <w:rPr>
          <w:lang w:eastAsia="en-US"/>
        </w:rPr>
        <w:t xml:space="preserve">search of the business premises, </w:t>
      </w:r>
      <w:r>
        <w:rPr>
          <w:lang w:eastAsia="en-US"/>
        </w:rPr>
        <w:t xml:space="preserve">a </w:t>
      </w:r>
      <w:r w:rsidR="00525587">
        <w:rPr>
          <w:lang w:eastAsia="en-US"/>
        </w:rPr>
        <w:t xml:space="preserve">number of items </w:t>
      </w:r>
      <w:r w:rsidR="00D45A6A">
        <w:rPr>
          <w:lang w:eastAsia="en-US"/>
        </w:rPr>
        <w:t xml:space="preserve">had been </w:t>
      </w:r>
      <w:r>
        <w:rPr>
          <w:lang w:eastAsia="en-US"/>
        </w:rPr>
        <w:t>seized</w:t>
      </w:r>
      <w:r w:rsidR="00D45A6A">
        <w:rPr>
          <w:lang w:eastAsia="en-US"/>
        </w:rPr>
        <w:t xml:space="preserve"> including, </w:t>
      </w:r>
      <w:r w:rsidR="00D45A6A" w:rsidRPr="00D45A6A">
        <w:rPr>
          <w:i/>
          <w:iCs/>
          <w:lang w:eastAsia="en-US"/>
        </w:rPr>
        <w:t>inter alia</w:t>
      </w:r>
      <w:r w:rsidR="00D45A6A">
        <w:rPr>
          <w:lang w:eastAsia="en-US"/>
        </w:rPr>
        <w:t xml:space="preserve">, </w:t>
      </w:r>
      <w:r>
        <w:rPr>
          <w:lang w:eastAsia="en-US"/>
        </w:rPr>
        <w:t xml:space="preserve">CBD oils, </w:t>
      </w:r>
      <w:r w:rsidR="00F84C73">
        <w:rPr>
          <w:lang w:eastAsia="en-US"/>
        </w:rPr>
        <w:t>hemp protein</w:t>
      </w:r>
      <w:r>
        <w:rPr>
          <w:lang w:eastAsia="en-US"/>
        </w:rPr>
        <w:t xml:space="preserve">, CBD coffee, </w:t>
      </w:r>
      <w:r w:rsidR="00404938">
        <w:rPr>
          <w:lang w:eastAsia="en-US"/>
        </w:rPr>
        <w:t>“</w:t>
      </w:r>
      <w:r w:rsidR="00404938" w:rsidRPr="00555353">
        <w:rPr>
          <w:i/>
          <w:iCs/>
          <w:lang w:eastAsia="en-US"/>
        </w:rPr>
        <w:t>H</w:t>
      </w:r>
      <w:r w:rsidR="003B72E0" w:rsidRPr="00555353">
        <w:rPr>
          <w:i/>
          <w:iCs/>
          <w:lang w:eastAsia="en-US"/>
        </w:rPr>
        <w:t>em</w:t>
      </w:r>
      <w:r w:rsidR="00C83D26" w:rsidRPr="00555353">
        <w:rPr>
          <w:i/>
          <w:iCs/>
          <w:lang w:eastAsia="en-US"/>
        </w:rPr>
        <w:t>pture</w:t>
      </w:r>
      <w:r w:rsidR="00404938">
        <w:rPr>
          <w:lang w:eastAsia="en-US"/>
        </w:rPr>
        <w:t>”</w:t>
      </w:r>
      <w:r w:rsidR="00C83D26">
        <w:rPr>
          <w:lang w:eastAsia="en-US"/>
        </w:rPr>
        <w:t xml:space="preserve"> </w:t>
      </w:r>
      <w:r>
        <w:rPr>
          <w:lang w:eastAsia="en-US"/>
        </w:rPr>
        <w:t>buds, massage oils and</w:t>
      </w:r>
      <w:r w:rsidR="00142BF9">
        <w:rPr>
          <w:lang w:eastAsia="en-US"/>
        </w:rPr>
        <w:t xml:space="preserve"> a product described as “</w:t>
      </w:r>
      <w:r w:rsidRPr="00142BF9">
        <w:rPr>
          <w:i/>
          <w:iCs/>
          <w:lang w:eastAsia="en-US"/>
        </w:rPr>
        <w:t>life serum</w:t>
      </w:r>
      <w:r w:rsidR="00142BF9">
        <w:rPr>
          <w:lang w:eastAsia="en-US"/>
        </w:rPr>
        <w:t>”</w:t>
      </w:r>
      <w:r>
        <w:rPr>
          <w:lang w:eastAsia="en-US"/>
        </w:rPr>
        <w:t>.</w:t>
      </w:r>
      <w:r w:rsidR="008C790D">
        <w:rPr>
          <w:lang w:eastAsia="en-US"/>
        </w:rPr>
        <w:t xml:space="preserve">  The Applicant gave </w:t>
      </w:r>
      <w:r w:rsidR="009B3637">
        <w:rPr>
          <w:lang w:eastAsia="en-US"/>
        </w:rPr>
        <w:t>separate</w:t>
      </w:r>
      <w:r w:rsidR="008C790D">
        <w:rPr>
          <w:lang w:eastAsia="en-US"/>
        </w:rPr>
        <w:t xml:space="preserve"> statement</w:t>
      </w:r>
      <w:r w:rsidR="009B3637">
        <w:rPr>
          <w:lang w:eastAsia="en-US"/>
        </w:rPr>
        <w:t>s</w:t>
      </w:r>
      <w:r w:rsidR="008C790D">
        <w:rPr>
          <w:lang w:eastAsia="en-US"/>
        </w:rPr>
        <w:t>, under caution</w:t>
      </w:r>
      <w:r w:rsidR="00142BF9">
        <w:rPr>
          <w:lang w:eastAsia="en-US"/>
        </w:rPr>
        <w:t>,</w:t>
      </w:r>
      <w:r w:rsidR="008C790D">
        <w:rPr>
          <w:lang w:eastAsia="en-US"/>
        </w:rPr>
        <w:t xml:space="preserve"> to </w:t>
      </w:r>
      <w:r w:rsidR="007F56A7">
        <w:rPr>
          <w:lang w:eastAsia="en-US"/>
        </w:rPr>
        <w:t>an official from the Food Safety Authority of Ireland</w:t>
      </w:r>
      <w:r w:rsidR="006A3020">
        <w:rPr>
          <w:lang w:eastAsia="en-US"/>
        </w:rPr>
        <w:t xml:space="preserve"> and to a member of </w:t>
      </w:r>
      <w:proofErr w:type="gramStart"/>
      <w:r w:rsidR="006A3020">
        <w:rPr>
          <w:lang w:eastAsia="en-US"/>
        </w:rPr>
        <w:t>An</w:t>
      </w:r>
      <w:proofErr w:type="gramEnd"/>
      <w:r w:rsidR="006A3020">
        <w:rPr>
          <w:lang w:eastAsia="en-US"/>
        </w:rPr>
        <w:t xml:space="preserve"> Garda Síochána</w:t>
      </w:r>
      <w:r w:rsidR="009B3637">
        <w:rPr>
          <w:lang w:eastAsia="en-US"/>
        </w:rPr>
        <w:t>, respectively</w:t>
      </w:r>
      <w:r w:rsidR="007F56A7">
        <w:rPr>
          <w:lang w:eastAsia="en-US"/>
        </w:rPr>
        <w:t xml:space="preserve">. </w:t>
      </w:r>
    </w:p>
    <w:p w14:paraId="73A53A51" w14:textId="2A13339F" w:rsidR="00513745" w:rsidRDefault="00513745">
      <w:pPr>
        <w:pStyle w:val="Style1"/>
        <w:rPr>
          <w:lang w:eastAsia="en-US"/>
        </w:rPr>
      </w:pPr>
      <w:r>
        <w:rPr>
          <w:lang w:eastAsia="en-US"/>
        </w:rPr>
        <w:t xml:space="preserve">The Applicant has </w:t>
      </w:r>
      <w:r w:rsidR="00CD3A89">
        <w:rPr>
          <w:lang w:eastAsia="en-US"/>
        </w:rPr>
        <w:t xml:space="preserve">since </w:t>
      </w:r>
      <w:r>
        <w:rPr>
          <w:lang w:eastAsia="en-US"/>
        </w:rPr>
        <w:t>conceded, on affidavit, that THC is a psychoactive substance</w:t>
      </w:r>
      <w:r w:rsidR="00BD5361">
        <w:rPr>
          <w:lang w:eastAsia="en-US"/>
        </w:rPr>
        <w:t xml:space="preserve"> and that </w:t>
      </w:r>
      <w:r w:rsidR="007F17F9">
        <w:rPr>
          <w:lang w:eastAsia="en-US"/>
        </w:rPr>
        <w:t xml:space="preserve">some of the products which she </w:t>
      </w:r>
      <w:r w:rsidR="00DC3568">
        <w:rPr>
          <w:lang w:eastAsia="en-US"/>
        </w:rPr>
        <w:t>sells</w:t>
      </w:r>
      <w:r w:rsidR="00506E02">
        <w:rPr>
          <w:lang w:eastAsia="en-US"/>
        </w:rPr>
        <w:t xml:space="preserve"> may contain </w:t>
      </w:r>
      <w:r w:rsidR="004267FA">
        <w:rPr>
          <w:lang w:eastAsia="en-US"/>
        </w:rPr>
        <w:t>traces of THC.</w:t>
      </w:r>
    </w:p>
    <w:p w14:paraId="22AEFC73" w14:textId="26EB88FB" w:rsidR="009C7D4F" w:rsidRDefault="006A09C4">
      <w:pPr>
        <w:pStyle w:val="Style1"/>
        <w:rPr>
          <w:lang w:eastAsia="en-US"/>
        </w:rPr>
      </w:pPr>
      <w:proofErr w:type="gramStart"/>
      <w:r>
        <w:rPr>
          <w:lang w:eastAsia="en-US"/>
        </w:rPr>
        <w:t>A number of</w:t>
      </w:r>
      <w:proofErr w:type="gramEnd"/>
      <w:r>
        <w:rPr>
          <w:lang w:eastAsia="en-US"/>
        </w:rPr>
        <w:t xml:space="preserve"> the products which had been seized </w:t>
      </w:r>
      <w:r w:rsidR="00626087">
        <w:rPr>
          <w:lang w:eastAsia="en-US"/>
        </w:rPr>
        <w:t xml:space="preserve">were subsequently returned to the Applicant.  Other products were retained and were forwarded to </w:t>
      </w:r>
      <w:r w:rsidR="00BB2F9D">
        <w:rPr>
          <w:lang w:eastAsia="en-US"/>
        </w:rPr>
        <w:t xml:space="preserve">Forensic </w:t>
      </w:r>
      <w:r w:rsidR="00BB2F9D">
        <w:rPr>
          <w:lang w:eastAsia="en-US"/>
        </w:rPr>
        <w:lastRenderedPageBreak/>
        <w:t xml:space="preserve">Science Ireland </w:t>
      </w:r>
      <w:r w:rsidR="00C91B53">
        <w:rPr>
          <w:lang w:eastAsia="en-US"/>
        </w:rPr>
        <w:t>(“</w:t>
      </w:r>
      <w:r w:rsidR="00C91B53" w:rsidRPr="00C91B53">
        <w:rPr>
          <w:i/>
          <w:iCs/>
          <w:lang w:eastAsia="en-US"/>
        </w:rPr>
        <w:t>FSI</w:t>
      </w:r>
      <w:r w:rsidR="00C91B53">
        <w:rPr>
          <w:lang w:eastAsia="en-US"/>
        </w:rPr>
        <w:t xml:space="preserve">”) </w:t>
      </w:r>
      <w:r w:rsidR="00BB2F9D">
        <w:rPr>
          <w:lang w:eastAsia="en-US"/>
        </w:rPr>
        <w:t xml:space="preserve">for examination.  </w:t>
      </w:r>
      <w:r w:rsidR="00D31572">
        <w:rPr>
          <w:lang w:eastAsia="en-US"/>
        </w:rPr>
        <w:t xml:space="preserve">A certificate of analysis </w:t>
      </w:r>
      <w:r w:rsidR="009F7F89">
        <w:rPr>
          <w:lang w:eastAsia="en-US"/>
        </w:rPr>
        <w:t xml:space="preserve">pursuant to section 10 of the Misuse of Drugs Act </w:t>
      </w:r>
      <w:r w:rsidR="00687C4B">
        <w:rPr>
          <w:lang w:eastAsia="en-US"/>
        </w:rPr>
        <w:t>1984 has been exhibited</w:t>
      </w:r>
      <w:r w:rsidR="005D6CBA">
        <w:rPr>
          <w:lang w:eastAsia="en-US"/>
        </w:rPr>
        <w:t xml:space="preserve"> as part of these proceedings.</w:t>
      </w:r>
    </w:p>
    <w:p w14:paraId="6913D358" w14:textId="2E946A65" w:rsidR="006117B5" w:rsidRPr="001A088D" w:rsidRDefault="00CD3A89" w:rsidP="006117B5">
      <w:pPr>
        <w:pStyle w:val="Style1"/>
      </w:pPr>
      <w:r>
        <w:t>The within judicial review proceedings were instituted</w:t>
      </w:r>
      <w:r w:rsidR="00A5270D">
        <w:t xml:space="preserve"> </w:t>
      </w:r>
      <w:r>
        <w:t xml:space="preserve">on </w:t>
      </w:r>
      <w:r w:rsidR="0060217A">
        <w:t xml:space="preserve">20 December 2021.  Leave </w:t>
      </w:r>
      <w:r w:rsidR="00A5270D">
        <w:t xml:space="preserve">to apply </w:t>
      </w:r>
      <w:r w:rsidR="004C0ED5">
        <w:t xml:space="preserve">for judicial review </w:t>
      </w:r>
      <w:r w:rsidR="0060217A">
        <w:t xml:space="preserve">was granted </w:t>
      </w:r>
      <w:r w:rsidR="004C0ED5" w:rsidRPr="004C0ED5">
        <w:rPr>
          <w:i/>
          <w:iCs/>
        </w:rPr>
        <w:t>ex parte</w:t>
      </w:r>
      <w:r w:rsidR="004C0ED5">
        <w:t xml:space="preserve"> </w:t>
      </w:r>
      <w:r w:rsidR="0060217A">
        <w:t xml:space="preserve">on </w:t>
      </w:r>
      <w:r w:rsidR="008D084A">
        <w:t xml:space="preserve">17 January 2022.  </w:t>
      </w:r>
      <w:r w:rsidR="006117B5" w:rsidRPr="001A088D">
        <w:t xml:space="preserve">The essence of the </w:t>
      </w:r>
      <w:r w:rsidR="00937C62" w:rsidRPr="001A088D">
        <w:t>Applicant</w:t>
      </w:r>
      <w:r w:rsidR="00937C62">
        <w:t>’</w:t>
      </w:r>
      <w:r w:rsidR="00937C62" w:rsidRPr="001A088D">
        <w:t xml:space="preserve">s </w:t>
      </w:r>
      <w:r w:rsidR="006117B5" w:rsidRPr="001A088D">
        <w:t xml:space="preserve">case is </w:t>
      </w:r>
      <w:r w:rsidR="006117B5">
        <w:t xml:space="preserve">described </w:t>
      </w:r>
      <w:r w:rsidR="006117B5" w:rsidRPr="001A088D">
        <w:t xml:space="preserve">as follows at </w:t>
      </w:r>
      <w:r w:rsidR="006117B5">
        <w:t>p</w:t>
      </w:r>
      <w:r w:rsidR="006117B5" w:rsidRPr="001A088D">
        <w:t>aragraph </w:t>
      </w:r>
      <w:r w:rsidR="007C7DC5">
        <w:t>(e) </w:t>
      </w:r>
      <w:r w:rsidR="006117B5" w:rsidRPr="001A088D">
        <w:t>16 of the statement of grounds:</w:t>
      </w:r>
    </w:p>
    <w:p w14:paraId="389FCE41" w14:textId="77777777" w:rsidR="006117B5" w:rsidRPr="001A088D" w:rsidRDefault="006117B5" w:rsidP="006117B5">
      <w:pPr>
        <w:pStyle w:val="43cm"/>
      </w:pPr>
      <w:r>
        <w:t>“</w:t>
      </w:r>
      <w:r w:rsidRPr="001A088D">
        <w:t xml:space="preserve">On the basis of their content, products such as those retailed by the Applicant apparently do not constitute </w:t>
      </w:r>
      <w:r w:rsidRPr="001A088D">
        <w:rPr>
          <w:lang w:val="en-GB" w:eastAsia="en-GB"/>
        </w:rPr>
        <w:t xml:space="preserve">drugs </w:t>
      </w:r>
      <w:r w:rsidRPr="001A088D">
        <w:t xml:space="preserve">for the purpose of EU </w:t>
      </w:r>
      <w:r w:rsidRPr="001A088D">
        <w:rPr>
          <w:lang w:val="en-GB" w:eastAsia="en-GB"/>
        </w:rPr>
        <w:t>law or</w:t>
      </w:r>
      <w:r w:rsidRPr="001A088D">
        <w:t xml:space="preserve"> the Single Convention on </w:t>
      </w:r>
      <w:r w:rsidRPr="001A088D">
        <w:rPr>
          <w:lang w:val="en-GB" w:eastAsia="en-GB"/>
        </w:rPr>
        <w:t>Narcotic Drugs</w:t>
      </w:r>
      <w:r w:rsidRPr="001A088D">
        <w:t xml:space="preserve">, 1961, as amended by the 1972 Protocol amending the Single Convention on </w:t>
      </w:r>
      <w:r w:rsidRPr="001A088D">
        <w:rPr>
          <w:lang w:val="en-GB" w:eastAsia="en-GB"/>
        </w:rPr>
        <w:t>Narcotic</w:t>
      </w:r>
      <w:r w:rsidRPr="001A088D">
        <w:t xml:space="preserve"> </w:t>
      </w:r>
      <w:r w:rsidRPr="001A088D">
        <w:rPr>
          <w:lang w:val="en-GB" w:eastAsia="en-GB"/>
        </w:rPr>
        <w:t>D</w:t>
      </w:r>
      <w:r w:rsidRPr="001A088D">
        <w:t xml:space="preserve">rugs, 1961, concluded in </w:t>
      </w:r>
      <w:r w:rsidRPr="001A088D">
        <w:rPr>
          <w:lang w:val="en-GB" w:eastAsia="en-GB"/>
        </w:rPr>
        <w:t xml:space="preserve">New </w:t>
      </w:r>
      <w:r w:rsidRPr="001A088D">
        <w:t>York on 30 March 1961.</w:t>
      </w:r>
      <w:r>
        <w:t>”</w:t>
      </w:r>
    </w:p>
    <w:p w14:paraId="65B8740B" w14:textId="77777777" w:rsidR="006117B5" w:rsidRPr="001A088D" w:rsidRDefault="006117B5" w:rsidP="006117B5">
      <w:pPr>
        <w:pStyle w:val="43cm"/>
      </w:pPr>
    </w:p>
    <w:p w14:paraId="7048C16E" w14:textId="22563E53" w:rsidR="006117B5" w:rsidRDefault="0097140C" w:rsidP="006117B5">
      <w:pPr>
        <w:pStyle w:val="Style1"/>
      </w:pPr>
      <w:r>
        <w:t xml:space="preserve">It </w:t>
      </w:r>
      <w:r w:rsidR="006117B5" w:rsidRPr="00A2456C">
        <w:t xml:space="preserve">is </w:t>
      </w:r>
      <w:r>
        <w:t xml:space="preserve">pleaded, </w:t>
      </w:r>
      <w:r w:rsidRPr="00A2456C">
        <w:t>at paragraph </w:t>
      </w:r>
      <w:r>
        <w:t>(e) </w:t>
      </w:r>
      <w:r w:rsidRPr="00A2456C">
        <w:t>17</w:t>
      </w:r>
      <w:r>
        <w:t>,</w:t>
      </w:r>
      <w:r w:rsidRPr="00A2456C">
        <w:t xml:space="preserve"> </w:t>
      </w:r>
      <w:r w:rsidR="006117B5" w:rsidRPr="00A2456C">
        <w:t>that the prohibition on retailing products</w:t>
      </w:r>
      <w:r w:rsidR="00B52276">
        <w:t>,</w:t>
      </w:r>
      <w:r w:rsidR="00B52276" w:rsidRPr="00B52276">
        <w:t xml:space="preserve"> </w:t>
      </w:r>
      <w:r w:rsidR="00B52276" w:rsidRPr="00A2456C">
        <w:t>lawfully produced within the European Union</w:t>
      </w:r>
      <w:r w:rsidR="00B52276">
        <w:t>,</w:t>
      </w:r>
      <w:r w:rsidR="006117B5" w:rsidRPr="00A2456C">
        <w:t xml:space="preserve"> </w:t>
      </w:r>
      <w:r w:rsidR="008A5F90">
        <w:t xml:space="preserve">which </w:t>
      </w:r>
      <w:r w:rsidR="006117B5" w:rsidRPr="00A2456C">
        <w:t>contain less than 0.2</w:t>
      </w:r>
      <w:r w:rsidR="00AB0353">
        <w:t xml:space="preserve"> per cent</w:t>
      </w:r>
      <w:r w:rsidR="006117B5" w:rsidRPr="00A2456C">
        <w:t xml:space="preserve"> TH</w:t>
      </w:r>
      <w:r w:rsidR="006117B5" w:rsidRPr="00A2456C">
        <w:rPr>
          <w:lang w:val="en-GB" w:eastAsia="en-GB"/>
        </w:rPr>
        <w:t xml:space="preserve">C </w:t>
      </w:r>
      <w:r w:rsidR="006117B5" w:rsidRPr="00A2456C">
        <w:t xml:space="preserve">constitutes a measure having equivalent effect to quantitative restrictions within the meaning of </w:t>
      </w:r>
      <w:r w:rsidR="00D17AF7">
        <w:rPr>
          <w:lang w:val="en-GB" w:eastAsia="en-GB"/>
        </w:rPr>
        <w:t>Article </w:t>
      </w:r>
      <w:r w:rsidR="006117B5" w:rsidRPr="00A2456C">
        <w:t>34</w:t>
      </w:r>
      <w:r w:rsidR="00C91B53">
        <w:t xml:space="preserve"> of </w:t>
      </w:r>
      <w:r w:rsidR="00C91B53">
        <w:rPr>
          <w:lang w:eastAsia="en-US"/>
        </w:rPr>
        <w:t>the Treaty on the Functioning of the European Union (“</w:t>
      </w:r>
      <w:r w:rsidR="00C91B53" w:rsidRPr="00EE6A67">
        <w:rPr>
          <w:i/>
          <w:iCs/>
          <w:lang w:eastAsia="en-US"/>
        </w:rPr>
        <w:t>TFEU</w:t>
      </w:r>
      <w:r w:rsidR="00C91B53">
        <w:rPr>
          <w:lang w:eastAsia="en-US"/>
        </w:rPr>
        <w:t>”)</w:t>
      </w:r>
      <w:r w:rsidR="006117B5" w:rsidRPr="00A2456C">
        <w:t>.</w:t>
      </w:r>
    </w:p>
    <w:p w14:paraId="5FC3483E" w14:textId="2B51C7EA" w:rsidR="00C7148D" w:rsidRDefault="00BE553D" w:rsidP="00FF6CDA">
      <w:pPr>
        <w:pStyle w:val="Style1"/>
        <w:rPr>
          <w:lang w:eastAsia="en-US"/>
        </w:rPr>
      </w:pPr>
      <w:proofErr w:type="gramStart"/>
      <w:r>
        <w:rPr>
          <w:lang w:eastAsia="en-US"/>
        </w:rPr>
        <w:t>Subsequent to</w:t>
      </w:r>
      <w:proofErr w:type="gramEnd"/>
      <w:r>
        <w:rPr>
          <w:lang w:eastAsia="en-US"/>
        </w:rPr>
        <w:t xml:space="preserve"> the institution of the</w:t>
      </w:r>
      <w:r w:rsidR="00426197">
        <w:rPr>
          <w:lang w:eastAsia="en-US"/>
        </w:rPr>
        <w:t>se</w:t>
      </w:r>
      <w:r>
        <w:rPr>
          <w:lang w:eastAsia="en-US"/>
        </w:rPr>
        <w:t xml:space="preserve"> judicial review proceedings, </w:t>
      </w:r>
      <w:r w:rsidR="00B7179C">
        <w:rPr>
          <w:lang w:eastAsia="en-US"/>
        </w:rPr>
        <w:t xml:space="preserve">the Applicant </w:t>
      </w:r>
      <w:r w:rsidR="005503AE">
        <w:rPr>
          <w:lang w:eastAsia="en-US"/>
        </w:rPr>
        <w:t xml:space="preserve">has been charged with a number of alleged offences </w:t>
      </w:r>
      <w:r w:rsidR="003A4D99">
        <w:rPr>
          <w:lang w:eastAsia="en-US"/>
        </w:rPr>
        <w:t xml:space="preserve">under the </w:t>
      </w:r>
      <w:r w:rsidR="00B05C24">
        <w:rPr>
          <w:lang w:eastAsia="en-US"/>
        </w:rPr>
        <w:t xml:space="preserve">Misuse of Drugs Act 1977.  In brief, the Applicant is </w:t>
      </w:r>
      <w:r w:rsidR="00E8785E">
        <w:rPr>
          <w:lang w:eastAsia="en-US"/>
        </w:rPr>
        <w:t>charged, variously,</w:t>
      </w:r>
      <w:r w:rsidR="00B05C24">
        <w:rPr>
          <w:lang w:eastAsia="en-US"/>
        </w:rPr>
        <w:t xml:space="preserve"> with </w:t>
      </w:r>
      <w:r w:rsidR="00E8785E">
        <w:rPr>
          <w:lang w:eastAsia="en-US"/>
        </w:rPr>
        <w:t xml:space="preserve">the unlawful possession </w:t>
      </w:r>
      <w:r w:rsidR="006016F2">
        <w:rPr>
          <w:lang w:eastAsia="en-US"/>
        </w:rPr>
        <w:t xml:space="preserve">of cannabis and cannabis resin, and with </w:t>
      </w:r>
      <w:r w:rsidR="00EB5781">
        <w:rPr>
          <w:lang w:eastAsia="en-US"/>
        </w:rPr>
        <w:t xml:space="preserve">the </w:t>
      </w:r>
      <w:r w:rsidR="006358AC">
        <w:rPr>
          <w:lang w:eastAsia="en-US"/>
        </w:rPr>
        <w:t>possession</w:t>
      </w:r>
      <w:r w:rsidR="00EB5781">
        <w:rPr>
          <w:lang w:eastAsia="en-US"/>
        </w:rPr>
        <w:t>,</w:t>
      </w:r>
      <w:r w:rsidR="006358AC">
        <w:rPr>
          <w:lang w:eastAsia="en-US"/>
        </w:rPr>
        <w:t xml:space="preserve"> for </w:t>
      </w:r>
      <w:r w:rsidR="002C485F">
        <w:rPr>
          <w:lang w:eastAsia="en-US"/>
        </w:rPr>
        <w:t xml:space="preserve">the purpose of </w:t>
      </w:r>
      <w:r w:rsidR="00D96BC6">
        <w:rPr>
          <w:lang w:eastAsia="en-US"/>
        </w:rPr>
        <w:t>sale or supply</w:t>
      </w:r>
      <w:r w:rsidR="00EB5781">
        <w:rPr>
          <w:lang w:eastAsia="en-US"/>
        </w:rPr>
        <w:t>,</w:t>
      </w:r>
      <w:r w:rsidR="00D96BC6">
        <w:rPr>
          <w:lang w:eastAsia="en-US"/>
        </w:rPr>
        <w:t xml:space="preserve"> </w:t>
      </w:r>
      <w:r w:rsidR="00307320">
        <w:rPr>
          <w:lang w:eastAsia="en-US"/>
        </w:rPr>
        <w:t>of cannabis and cannabis resin.</w:t>
      </w:r>
      <w:r w:rsidR="00021F6E">
        <w:rPr>
          <w:lang w:eastAsia="en-US"/>
        </w:rPr>
        <w:t xml:space="preserve">  </w:t>
      </w:r>
      <w:r w:rsidR="003208C7">
        <w:rPr>
          <w:lang w:eastAsia="en-US"/>
        </w:rPr>
        <w:t xml:space="preserve">The date of the alleged offences is </w:t>
      </w:r>
      <w:r w:rsidR="003A1E2F">
        <w:rPr>
          <w:lang w:eastAsia="en-US"/>
        </w:rPr>
        <w:t xml:space="preserve">24 September 2021.  </w:t>
      </w:r>
      <w:r w:rsidR="00021F6E">
        <w:rPr>
          <w:lang w:eastAsia="en-US"/>
        </w:rPr>
        <w:t xml:space="preserve">The criminal proceedings were initiated by way of </w:t>
      </w:r>
      <w:r w:rsidR="0071798C">
        <w:rPr>
          <w:lang w:eastAsia="en-US"/>
        </w:rPr>
        <w:t xml:space="preserve">application, in March 2023, to the relevant District Court Office </w:t>
      </w:r>
      <w:r w:rsidR="005C4B34">
        <w:rPr>
          <w:lang w:eastAsia="en-US"/>
        </w:rPr>
        <w:t xml:space="preserve">for the issuance </w:t>
      </w:r>
      <w:r w:rsidR="0071798C">
        <w:rPr>
          <w:lang w:eastAsia="en-US"/>
        </w:rPr>
        <w:t>of summonses</w:t>
      </w:r>
      <w:r w:rsidR="005C4B34">
        <w:rPr>
          <w:lang w:eastAsia="en-US"/>
        </w:rPr>
        <w:t xml:space="preserve"> pursuant to the </w:t>
      </w:r>
      <w:r w:rsidR="0011190F">
        <w:rPr>
          <w:lang w:eastAsia="en-US"/>
        </w:rPr>
        <w:t>Courts (No. 3) Act 1986</w:t>
      </w:r>
      <w:r w:rsidR="0071798C">
        <w:rPr>
          <w:lang w:eastAsia="en-US"/>
        </w:rPr>
        <w:t xml:space="preserve">. </w:t>
      </w:r>
    </w:p>
    <w:p w14:paraId="4EFFDB8F" w14:textId="18CA5EA7" w:rsidR="0071798C" w:rsidRDefault="005A6B33" w:rsidP="00FF6CDA">
      <w:pPr>
        <w:pStyle w:val="Style1"/>
        <w:rPr>
          <w:lang w:eastAsia="en-US"/>
        </w:rPr>
      </w:pPr>
      <w:r>
        <w:rPr>
          <w:lang w:eastAsia="en-US"/>
        </w:rPr>
        <w:lastRenderedPageBreak/>
        <w:t xml:space="preserve">The criminal proceedings are pending before the District Court.  The Applicant has not sought to amend her statement of grounds to </w:t>
      </w:r>
      <w:r w:rsidR="00396E9A">
        <w:rPr>
          <w:lang w:eastAsia="en-US"/>
        </w:rPr>
        <w:t xml:space="preserve">seek any specific relief in relation to the criminal proceedings.  </w:t>
      </w:r>
    </w:p>
    <w:p w14:paraId="7B9BAA1A" w14:textId="4FCB76B1" w:rsidR="008A4556" w:rsidRDefault="008A4556" w:rsidP="008A4556">
      <w:pPr>
        <w:pStyle w:val="Style1"/>
        <w:rPr>
          <w:lang w:eastAsia="en-US"/>
        </w:rPr>
      </w:pPr>
      <w:r>
        <w:rPr>
          <w:lang w:eastAsia="en-US"/>
        </w:rPr>
        <w:t xml:space="preserve">The statement of grounds had sought orders of </w:t>
      </w:r>
      <w:r w:rsidRPr="00555353">
        <w:rPr>
          <w:i/>
          <w:iCs/>
          <w:lang w:eastAsia="en-US"/>
        </w:rPr>
        <w:t>certiorari</w:t>
      </w:r>
      <w:r>
        <w:rPr>
          <w:lang w:eastAsia="en-US"/>
        </w:rPr>
        <w:t xml:space="preserve"> quashing the search warrant pursuant to which </w:t>
      </w:r>
      <w:r w:rsidR="00F656C6">
        <w:rPr>
          <w:lang w:eastAsia="en-US"/>
        </w:rPr>
        <w:t xml:space="preserve">the </w:t>
      </w:r>
      <w:r>
        <w:rPr>
          <w:lang w:eastAsia="en-US"/>
        </w:rPr>
        <w:t>products (</w:t>
      </w:r>
      <w:r w:rsidR="00F656C6">
        <w:rPr>
          <w:lang w:eastAsia="en-US"/>
        </w:rPr>
        <w:t>described earlier</w:t>
      </w:r>
      <w:r>
        <w:rPr>
          <w:lang w:eastAsia="en-US"/>
        </w:rPr>
        <w:t>) had been seized</w:t>
      </w:r>
      <w:r w:rsidR="00F656C6">
        <w:rPr>
          <w:lang w:eastAsia="en-US"/>
        </w:rPr>
        <w:t xml:space="preserve"> from the business premises</w:t>
      </w:r>
      <w:r>
        <w:rPr>
          <w:lang w:eastAsia="en-US"/>
        </w:rPr>
        <w:t>.  The Director of Public Prosecutions applied to be joined to the proceedings to address this aspect of the case.  T</w:t>
      </w:r>
      <w:r w:rsidRPr="00FF6CDA">
        <w:rPr>
          <w:lang w:eastAsia="en-US"/>
        </w:rPr>
        <w:t>he High Court (Hyland</w:t>
      </w:r>
      <w:r>
        <w:rPr>
          <w:lang w:eastAsia="en-US"/>
        </w:rPr>
        <w:t> </w:t>
      </w:r>
      <w:r w:rsidRPr="00FF6CDA">
        <w:rPr>
          <w:lang w:eastAsia="en-US"/>
        </w:rPr>
        <w:t>J.) made an order on 16</w:t>
      </w:r>
      <w:r>
        <w:rPr>
          <w:lang w:eastAsia="en-US"/>
        </w:rPr>
        <w:t> </w:t>
      </w:r>
      <w:r w:rsidRPr="00FF6CDA">
        <w:rPr>
          <w:lang w:eastAsia="en-US"/>
        </w:rPr>
        <w:t xml:space="preserve">January 2024 </w:t>
      </w:r>
      <w:r w:rsidR="00F656C6">
        <w:rPr>
          <w:lang w:eastAsia="en-US"/>
        </w:rPr>
        <w:t xml:space="preserve">joining </w:t>
      </w:r>
      <w:r w:rsidRPr="00FF6CDA">
        <w:rPr>
          <w:lang w:eastAsia="en-US"/>
        </w:rPr>
        <w:t>the Director of Public Prosecutions as a respondent to the proceedings.</w:t>
      </w:r>
      <w:r>
        <w:rPr>
          <w:lang w:eastAsia="en-US"/>
        </w:rPr>
        <w:t xml:space="preserve">  Counsel for the Applicant has since confirmed, at the hearing on </w:t>
      </w:r>
      <w:r w:rsidR="00D17E97">
        <w:rPr>
          <w:lang w:eastAsia="en-US"/>
        </w:rPr>
        <w:t>20 </w:t>
      </w:r>
      <w:r>
        <w:rPr>
          <w:lang w:eastAsia="en-US"/>
        </w:rPr>
        <w:t xml:space="preserve">June 2024, that the Applicant is not now pursuing any reliefs in respect of the search warrants.  </w:t>
      </w:r>
    </w:p>
    <w:p w14:paraId="1DD9B2BD" w14:textId="5AA26AFF" w:rsidR="008A4556" w:rsidRDefault="008A4556" w:rsidP="008A4556">
      <w:pPr>
        <w:pStyle w:val="Style1"/>
        <w:rPr>
          <w:lang w:eastAsia="en-US"/>
        </w:rPr>
      </w:pPr>
      <w:r>
        <w:rPr>
          <w:lang w:eastAsia="en-US"/>
        </w:rPr>
        <w:t xml:space="preserve">Counsel also confirmed that the </w:t>
      </w:r>
      <w:r w:rsidR="004C0ED5">
        <w:rPr>
          <w:lang w:eastAsia="en-US"/>
        </w:rPr>
        <w:t xml:space="preserve">pleaded </w:t>
      </w:r>
      <w:r>
        <w:rPr>
          <w:lang w:eastAsia="en-US"/>
        </w:rPr>
        <w:t>grounds</w:t>
      </w:r>
      <w:r w:rsidR="004C0ED5">
        <w:rPr>
          <w:lang w:eastAsia="en-US"/>
        </w:rPr>
        <w:t>,</w:t>
      </w:r>
      <w:r>
        <w:rPr>
          <w:lang w:eastAsia="en-US"/>
        </w:rPr>
        <w:t xml:space="preserve"> </w:t>
      </w:r>
      <w:r w:rsidR="004C0ED5">
        <w:rPr>
          <w:lang w:eastAsia="en-US"/>
        </w:rPr>
        <w:t xml:space="preserve">which are </w:t>
      </w:r>
      <w:r>
        <w:rPr>
          <w:lang w:eastAsia="en-US"/>
        </w:rPr>
        <w:t xml:space="preserve">referable to </w:t>
      </w:r>
      <w:r w:rsidRPr="00FB4DCD">
        <w:rPr>
          <w:lang w:eastAsia="en-US"/>
        </w:rPr>
        <w:t>Regulation (EU)</w:t>
      </w:r>
      <w:r>
        <w:rPr>
          <w:lang w:eastAsia="en-US"/>
        </w:rPr>
        <w:t> </w:t>
      </w:r>
      <w:r w:rsidRPr="00FB4DCD">
        <w:rPr>
          <w:lang w:eastAsia="en-US"/>
        </w:rPr>
        <w:t>No</w:t>
      </w:r>
      <w:r>
        <w:rPr>
          <w:lang w:eastAsia="en-US"/>
        </w:rPr>
        <w:t> </w:t>
      </w:r>
      <w:r w:rsidRPr="00FB4DCD">
        <w:rPr>
          <w:lang w:eastAsia="en-US"/>
        </w:rPr>
        <w:t>1307/2013 of the European Parliament and of the Council of 17</w:t>
      </w:r>
      <w:r>
        <w:rPr>
          <w:lang w:eastAsia="en-US"/>
        </w:rPr>
        <w:t> </w:t>
      </w:r>
      <w:r w:rsidRPr="00FB4DCD">
        <w:rPr>
          <w:lang w:eastAsia="en-US"/>
        </w:rPr>
        <w:t>December 2013</w:t>
      </w:r>
      <w:r w:rsidR="004C0ED5">
        <w:rPr>
          <w:lang w:eastAsia="en-US"/>
        </w:rPr>
        <w:t>,</w:t>
      </w:r>
      <w:r>
        <w:rPr>
          <w:lang w:eastAsia="en-US"/>
        </w:rPr>
        <w:t xml:space="preserve"> </w:t>
      </w:r>
      <w:r w:rsidR="004C0ED5">
        <w:rPr>
          <w:lang w:eastAsia="en-US"/>
        </w:rPr>
        <w:t>ar</w:t>
      </w:r>
      <w:r>
        <w:rPr>
          <w:lang w:eastAsia="en-US"/>
        </w:rPr>
        <w:t>e not being pursued.</w:t>
      </w:r>
      <w:r w:rsidR="00F656C6">
        <w:rPr>
          <w:lang w:eastAsia="en-US"/>
        </w:rPr>
        <w:t xml:space="preserve">  This concession is </w:t>
      </w:r>
      <w:r w:rsidR="00185E3C">
        <w:rPr>
          <w:lang w:eastAsia="en-US"/>
        </w:rPr>
        <w:t xml:space="preserve">sensibly </w:t>
      </w:r>
      <w:r w:rsidR="0027665C">
        <w:rPr>
          <w:lang w:eastAsia="en-US"/>
        </w:rPr>
        <w:t xml:space="preserve">made </w:t>
      </w:r>
      <w:r w:rsidR="00F656C6">
        <w:rPr>
          <w:lang w:eastAsia="en-US"/>
        </w:rPr>
        <w:t xml:space="preserve">in circumstances where no evidence has been adduced to </w:t>
      </w:r>
      <w:r w:rsidR="00185E3C">
        <w:rPr>
          <w:lang w:eastAsia="en-US"/>
        </w:rPr>
        <w:t xml:space="preserve">establish that the </w:t>
      </w:r>
      <w:r w:rsidR="0027665C">
        <w:rPr>
          <w:lang w:eastAsia="en-US"/>
        </w:rPr>
        <w:t xml:space="preserve">seized </w:t>
      </w:r>
      <w:r w:rsidR="00185E3C">
        <w:rPr>
          <w:lang w:eastAsia="en-US"/>
        </w:rPr>
        <w:t xml:space="preserve">products </w:t>
      </w:r>
      <w:r w:rsidR="0027665C">
        <w:rPr>
          <w:lang w:eastAsia="en-US"/>
        </w:rPr>
        <w:t xml:space="preserve">meet the definition of </w:t>
      </w:r>
      <w:r w:rsidR="00185E3C">
        <w:rPr>
          <w:lang w:eastAsia="en-US"/>
        </w:rPr>
        <w:t>“</w:t>
      </w:r>
      <w:r w:rsidR="00185E3C" w:rsidRPr="00185E3C">
        <w:rPr>
          <w:i/>
          <w:iCs/>
          <w:lang w:eastAsia="en-US"/>
        </w:rPr>
        <w:t>agricultural products</w:t>
      </w:r>
      <w:r w:rsidR="00185E3C">
        <w:rPr>
          <w:lang w:eastAsia="en-US"/>
        </w:rPr>
        <w:t>”.</w:t>
      </w:r>
    </w:p>
    <w:p w14:paraId="505F2CCE" w14:textId="77777777" w:rsidR="00EB77FA" w:rsidRDefault="00EB77FA" w:rsidP="00AC2634">
      <w:pPr>
        <w:rPr>
          <w:lang w:eastAsia="en-US"/>
        </w:rPr>
      </w:pPr>
    </w:p>
    <w:p w14:paraId="23714FAC" w14:textId="77777777" w:rsidR="009B3B5E" w:rsidRDefault="009B3B5E" w:rsidP="00AC2634">
      <w:pPr>
        <w:rPr>
          <w:lang w:eastAsia="en-US"/>
        </w:rPr>
      </w:pPr>
    </w:p>
    <w:p w14:paraId="31B1FB58" w14:textId="0133A127" w:rsidR="00FE6C2F" w:rsidRDefault="00FE6C2F" w:rsidP="00FE6C2F">
      <w:pPr>
        <w:pStyle w:val="Heading1"/>
        <w:rPr>
          <w:lang w:eastAsia="en-US"/>
        </w:rPr>
      </w:pPr>
      <w:r>
        <w:rPr>
          <w:lang w:eastAsia="en-US"/>
        </w:rPr>
        <w:t>Narcotic drugs and free movement of goods</w:t>
      </w:r>
    </w:p>
    <w:p w14:paraId="0E3A31EB" w14:textId="5B0B5821" w:rsidR="00FE6C2F" w:rsidRDefault="00275728" w:rsidP="00FE6C2F">
      <w:pPr>
        <w:pStyle w:val="Style1"/>
        <w:rPr>
          <w:lang w:eastAsia="en-US"/>
        </w:rPr>
      </w:pPr>
      <w:r>
        <w:rPr>
          <w:lang w:eastAsia="en-US"/>
        </w:rPr>
        <w:t xml:space="preserve">The </w:t>
      </w:r>
      <w:r w:rsidR="00F729AE">
        <w:rPr>
          <w:lang w:eastAsia="en-US"/>
        </w:rPr>
        <w:t xml:space="preserve">European Court of Justice </w:t>
      </w:r>
      <w:r w:rsidR="000D43C9">
        <w:rPr>
          <w:lang w:eastAsia="en-US"/>
        </w:rPr>
        <w:t>(“</w:t>
      </w:r>
      <w:r w:rsidR="000D43C9" w:rsidRPr="000D43C9">
        <w:rPr>
          <w:i/>
          <w:iCs/>
          <w:lang w:eastAsia="en-US"/>
        </w:rPr>
        <w:t>ECJ</w:t>
      </w:r>
      <w:r w:rsidR="000D43C9">
        <w:rPr>
          <w:lang w:eastAsia="en-US"/>
        </w:rPr>
        <w:t xml:space="preserve">”) </w:t>
      </w:r>
      <w:r w:rsidR="0095542E">
        <w:rPr>
          <w:lang w:eastAsia="en-US"/>
        </w:rPr>
        <w:t xml:space="preserve">has consistently held that </w:t>
      </w:r>
      <w:r w:rsidR="00C82C27">
        <w:rPr>
          <w:lang w:eastAsia="en-US"/>
        </w:rPr>
        <w:t xml:space="preserve">the principle of free movement of goods </w:t>
      </w:r>
      <w:r w:rsidR="00C20953">
        <w:rPr>
          <w:lang w:eastAsia="en-US"/>
        </w:rPr>
        <w:t xml:space="preserve">does not apply to </w:t>
      </w:r>
      <w:r w:rsidR="0095542E">
        <w:rPr>
          <w:lang w:eastAsia="en-US"/>
        </w:rPr>
        <w:t>n</w:t>
      </w:r>
      <w:r w:rsidR="00FE6C2F">
        <w:rPr>
          <w:lang w:eastAsia="en-US"/>
        </w:rPr>
        <w:t>arcotic drugs</w:t>
      </w:r>
      <w:r w:rsidR="00C20953">
        <w:rPr>
          <w:lang w:eastAsia="en-US"/>
        </w:rPr>
        <w:t xml:space="preserve">.  </w:t>
      </w:r>
      <w:r w:rsidR="002C0F5D">
        <w:rPr>
          <w:lang w:eastAsia="en-US"/>
        </w:rPr>
        <w:t>This is subject to an exception in respect of drugs</w:t>
      </w:r>
      <w:r w:rsidR="00402455">
        <w:rPr>
          <w:lang w:eastAsia="en-US"/>
        </w:rPr>
        <w:t xml:space="preserve"> which are</w:t>
      </w:r>
      <w:r w:rsidR="002C0F5D">
        <w:rPr>
          <w:lang w:eastAsia="en-US"/>
        </w:rPr>
        <w:t xml:space="preserve"> </w:t>
      </w:r>
      <w:r w:rsidR="00E956B8">
        <w:rPr>
          <w:lang w:eastAsia="en-US"/>
        </w:rPr>
        <w:t xml:space="preserve">to be used for medical and scientific purposes </w:t>
      </w:r>
      <w:r w:rsidR="00402455">
        <w:rPr>
          <w:lang w:eastAsia="en-US"/>
        </w:rPr>
        <w:t xml:space="preserve">and which are </w:t>
      </w:r>
      <w:r w:rsidR="002C0F5D">
        <w:rPr>
          <w:lang w:eastAsia="en-US"/>
        </w:rPr>
        <w:t xml:space="preserve">distributed through strictly controlled </w:t>
      </w:r>
      <w:r w:rsidR="00F729AE">
        <w:rPr>
          <w:lang w:eastAsia="en-US"/>
        </w:rPr>
        <w:t>channels.</w:t>
      </w:r>
      <w:r w:rsidR="00E35139">
        <w:rPr>
          <w:lang w:eastAsia="en-US"/>
        </w:rPr>
        <w:t xml:space="preserve">  </w:t>
      </w:r>
      <w:r w:rsidR="00E35139" w:rsidRPr="00E35139">
        <w:rPr>
          <w:lang w:eastAsia="en-US"/>
        </w:rPr>
        <w:t>Narcotic drugs which are not distributed through such strictly controlled channels are prohibited from being released into the economic and commercial channels of the European Union</w:t>
      </w:r>
      <w:r w:rsidR="007A4297">
        <w:rPr>
          <w:lang w:eastAsia="en-US"/>
        </w:rPr>
        <w:t>.</w:t>
      </w:r>
    </w:p>
    <w:p w14:paraId="0A51A912" w14:textId="1F93C0CA" w:rsidR="00FD422E" w:rsidRDefault="003515A4" w:rsidP="00AC2634">
      <w:pPr>
        <w:pStyle w:val="Style1"/>
        <w:rPr>
          <w:lang w:eastAsia="en-US"/>
        </w:rPr>
      </w:pPr>
      <w:r>
        <w:rPr>
          <w:lang w:eastAsia="en-US"/>
        </w:rPr>
        <w:lastRenderedPageBreak/>
        <w:t xml:space="preserve">The </w:t>
      </w:r>
      <w:r w:rsidR="00FD422E">
        <w:rPr>
          <w:lang w:eastAsia="en-US"/>
        </w:rPr>
        <w:t xml:space="preserve">concept of a </w:t>
      </w:r>
      <w:r w:rsidR="00F729AE">
        <w:rPr>
          <w:lang w:eastAsia="en-US"/>
        </w:rPr>
        <w:t>“</w:t>
      </w:r>
      <w:r w:rsidR="00FD422E" w:rsidRPr="00F729AE">
        <w:rPr>
          <w:i/>
          <w:iCs/>
          <w:lang w:eastAsia="en-US"/>
        </w:rPr>
        <w:t>narcotic drug</w:t>
      </w:r>
      <w:r w:rsidR="00F729AE">
        <w:rPr>
          <w:lang w:eastAsia="en-US"/>
        </w:rPr>
        <w:t>”</w:t>
      </w:r>
      <w:r w:rsidR="00FD422E">
        <w:rPr>
          <w:lang w:eastAsia="en-US"/>
        </w:rPr>
        <w:t xml:space="preserve"> is not </w:t>
      </w:r>
      <w:r>
        <w:rPr>
          <w:lang w:eastAsia="en-US"/>
        </w:rPr>
        <w:t xml:space="preserve">specifically defined </w:t>
      </w:r>
      <w:r w:rsidR="000D43C9">
        <w:rPr>
          <w:lang w:eastAsia="en-US"/>
        </w:rPr>
        <w:t xml:space="preserve">under EU </w:t>
      </w:r>
      <w:r w:rsidR="009744C1">
        <w:rPr>
          <w:lang w:eastAsia="en-US"/>
        </w:rPr>
        <w:t>legislation in relation to the free movement of goods</w:t>
      </w:r>
      <w:r w:rsidR="000D43C9">
        <w:rPr>
          <w:lang w:eastAsia="en-US"/>
        </w:rPr>
        <w:t xml:space="preserve">.  The </w:t>
      </w:r>
      <w:r w:rsidR="00741FBA">
        <w:rPr>
          <w:lang w:eastAsia="en-US"/>
        </w:rPr>
        <w:t xml:space="preserve">pragmatic </w:t>
      </w:r>
      <w:r>
        <w:rPr>
          <w:lang w:eastAsia="en-US"/>
        </w:rPr>
        <w:t xml:space="preserve">approach </w:t>
      </w:r>
      <w:r w:rsidR="00EF3B6C">
        <w:rPr>
          <w:lang w:eastAsia="en-US"/>
        </w:rPr>
        <w:t xml:space="preserve">taken </w:t>
      </w:r>
      <w:r>
        <w:rPr>
          <w:lang w:eastAsia="en-US"/>
        </w:rPr>
        <w:t xml:space="preserve">by the ECJ </w:t>
      </w:r>
      <w:r w:rsidR="0062117E">
        <w:rPr>
          <w:lang w:eastAsia="en-US"/>
        </w:rPr>
        <w:t xml:space="preserve">has been to </w:t>
      </w:r>
      <w:r w:rsidR="00741FBA">
        <w:rPr>
          <w:lang w:eastAsia="en-US"/>
        </w:rPr>
        <w:t xml:space="preserve">adopt </w:t>
      </w:r>
      <w:r w:rsidR="0062117E">
        <w:rPr>
          <w:lang w:eastAsia="en-US"/>
        </w:rPr>
        <w:t xml:space="preserve">the definitions </w:t>
      </w:r>
      <w:r w:rsidR="00741FBA">
        <w:rPr>
          <w:lang w:eastAsia="en-US"/>
        </w:rPr>
        <w:t xml:space="preserve">which are to </w:t>
      </w:r>
      <w:r w:rsidR="00E50DF1">
        <w:rPr>
          <w:lang w:eastAsia="en-US"/>
        </w:rPr>
        <w:t>be found</w:t>
      </w:r>
      <w:r w:rsidR="00741FBA">
        <w:rPr>
          <w:lang w:eastAsia="en-US"/>
        </w:rPr>
        <w:t xml:space="preserve"> </w:t>
      </w:r>
      <w:r w:rsidR="0062117E">
        <w:rPr>
          <w:lang w:eastAsia="en-US"/>
        </w:rPr>
        <w:t xml:space="preserve">in </w:t>
      </w:r>
      <w:r w:rsidR="004D3347" w:rsidRPr="004D3347">
        <w:rPr>
          <w:lang w:eastAsia="en-US"/>
        </w:rPr>
        <w:t>various international instruments which the Member States have cooperated on</w:t>
      </w:r>
      <w:r w:rsidR="00665475">
        <w:rPr>
          <w:lang w:eastAsia="en-US"/>
        </w:rPr>
        <w:t>,</w:t>
      </w:r>
      <w:r w:rsidR="004D3347" w:rsidRPr="004D3347">
        <w:rPr>
          <w:lang w:eastAsia="en-US"/>
        </w:rPr>
        <w:t xml:space="preserve"> or acceded to, such as the United Nations Single Convention on Narcotic Drugs</w:t>
      </w:r>
      <w:r w:rsidR="00665475">
        <w:rPr>
          <w:lang w:eastAsia="en-US"/>
        </w:rPr>
        <w:t xml:space="preserve"> </w:t>
      </w:r>
      <w:r w:rsidR="008A33D8">
        <w:rPr>
          <w:lang w:eastAsia="en-US"/>
        </w:rPr>
        <w:t>1961 (</w:t>
      </w:r>
      <w:r w:rsidR="002605B6">
        <w:rPr>
          <w:lang w:eastAsia="en-US"/>
        </w:rPr>
        <w:t xml:space="preserve">as amended in 1972) </w:t>
      </w:r>
      <w:r w:rsidR="00665475">
        <w:rPr>
          <w:lang w:eastAsia="en-US"/>
        </w:rPr>
        <w:t>(“</w:t>
      </w:r>
      <w:r w:rsidR="00EC6BCA">
        <w:rPr>
          <w:i/>
          <w:iCs/>
          <w:lang w:eastAsia="en-US"/>
        </w:rPr>
        <w:t>Single Convention on Narcotic Drugs</w:t>
      </w:r>
      <w:r w:rsidR="00665475">
        <w:rPr>
          <w:lang w:eastAsia="en-US"/>
        </w:rPr>
        <w:t>”).</w:t>
      </w:r>
    </w:p>
    <w:p w14:paraId="0793B684" w14:textId="417086E2" w:rsidR="003515A4" w:rsidRDefault="003515A4" w:rsidP="003515A4">
      <w:pPr>
        <w:pStyle w:val="Style1"/>
        <w:rPr>
          <w:lang w:eastAsia="en-US"/>
        </w:rPr>
      </w:pPr>
      <w:r>
        <w:rPr>
          <w:lang w:eastAsia="en-US"/>
        </w:rPr>
        <w:t>Article</w:t>
      </w:r>
      <w:r w:rsidR="00A95BF1">
        <w:rPr>
          <w:lang w:eastAsia="en-US"/>
        </w:rPr>
        <w:t> </w:t>
      </w:r>
      <w:r>
        <w:rPr>
          <w:lang w:eastAsia="en-US"/>
        </w:rPr>
        <w:t xml:space="preserve">1(1)(j) of the </w:t>
      </w:r>
      <w:r w:rsidR="00EC6BCA">
        <w:rPr>
          <w:lang w:eastAsia="en-US"/>
        </w:rPr>
        <w:t>Single Convention on Narcotic Drugs</w:t>
      </w:r>
      <w:r w:rsidR="001F3FB5">
        <w:rPr>
          <w:lang w:eastAsia="en-US"/>
        </w:rPr>
        <w:t xml:space="preserve"> defines</w:t>
      </w:r>
      <w:r>
        <w:rPr>
          <w:lang w:eastAsia="en-US"/>
        </w:rPr>
        <w:t xml:space="preserve"> the term </w:t>
      </w:r>
      <w:r w:rsidR="00F355B9">
        <w:rPr>
          <w:lang w:eastAsia="en-US"/>
        </w:rPr>
        <w:t>“</w:t>
      </w:r>
      <w:r w:rsidRPr="00F355B9">
        <w:rPr>
          <w:i/>
          <w:iCs/>
          <w:lang w:eastAsia="en-US"/>
        </w:rPr>
        <w:t>drug</w:t>
      </w:r>
      <w:r w:rsidR="00F355B9">
        <w:rPr>
          <w:lang w:eastAsia="en-US"/>
        </w:rPr>
        <w:t>”</w:t>
      </w:r>
      <w:r>
        <w:rPr>
          <w:lang w:eastAsia="en-US"/>
        </w:rPr>
        <w:t xml:space="preserve"> </w:t>
      </w:r>
      <w:r w:rsidR="001F3FB5">
        <w:rPr>
          <w:lang w:eastAsia="en-US"/>
        </w:rPr>
        <w:t xml:space="preserve">as meaning </w:t>
      </w:r>
      <w:r>
        <w:rPr>
          <w:lang w:eastAsia="en-US"/>
        </w:rPr>
        <w:t>any of the substances in Schedules</w:t>
      </w:r>
      <w:r w:rsidR="00A95BF1">
        <w:rPr>
          <w:lang w:eastAsia="en-US"/>
        </w:rPr>
        <w:t> </w:t>
      </w:r>
      <w:r>
        <w:rPr>
          <w:lang w:eastAsia="en-US"/>
        </w:rPr>
        <w:t>I and</w:t>
      </w:r>
      <w:r w:rsidR="00A95BF1">
        <w:rPr>
          <w:lang w:eastAsia="en-US"/>
        </w:rPr>
        <w:t> </w:t>
      </w:r>
      <w:r>
        <w:rPr>
          <w:lang w:eastAsia="en-US"/>
        </w:rPr>
        <w:t xml:space="preserve">II of that convention, whether natural or synthetic. </w:t>
      </w:r>
      <w:r w:rsidR="00A95BF1">
        <w:rPr>
          <w:lang w:eastAsia="en-US"/>
        </w:rPr>
        <w:t xml:space="preserve"> </w:t>
      </w:r>
      <w:r w:rsidR="00F355B9">
        <w:rPr>
          <w:lang w:eastAsia="en-US"/>
        </w:rPr>
        <w:t xml:space="preserve">Relevantly, </w:t>
      </w:r>
      <w:r>
        <w:rPr>
          <w:lang w:eastAsia="en-US"/>
        </w:rPr>
        <w:t>cannabis, cannabis resin and cannabis extracts and tinctures</w:t>
      </w:r>
      <w:r w:rsidR="00F355B9">
        <w:rPr>
          <w:lang w:eastAsia="en-US"/>
        </w:rPr>
        <w:t xml:space="preserve"> are all listed in Schedule</w:t>
      </w:r>
      <w:r w:rsidR="00B73234">
        <w:rPr>
          <w:lang w:eastAsia="en-US"/>
        </w:rPr>
        <w:t> </w:t>
      </w:r>
      <w:r w:rsidR="00F355B9">
        <w:rPr>
          <w:lang w:eastAsia="en-US"/>
        </w:rPr>
        <w:t>I</w:t>
      </w:r>
      <w:r>
        <w:rPr>
          <w:lang w:eastAsia="en-US"/>
        </w:rPr>
        <w:t>.</w:t>
      </w:r>
    </w:p>
    <w:p w14:paraId="1311082F" w14:textId="5A6F2B24" w:rsidR="00F07B49" w:rsidRDefault="00F07B49" w:rsidP="003515A4">
      <w:pPr>
        <w:pStyle w:val="Style1"/>
        <w:rPr>
          <w:lang w:eastAsia="en-US"/>
        </w:rPr>
      </w:pPr>
      <w:r>
        <w:rPr>
          <w:lang w:eastAsia="en-US"/>
        </w:rPr>
        <w:t>The</w:t>
      </w:r>
      <w:r w:rsidR="00BD143D">
        <w:rPr>
          <w:lang w:eastAsia="en-US"/>
        </w:rPr>
        <w:t xml:space="preserve"> term “</w:t>
      </w:r>
      <w:r w:rsidR="00BD143D" w:rsidRPr="00BD143D">
        <w:rPr>
          <w:i/>
          <w:iCs/>
          <w:lang w:eastAsia="en-US"/>
        </w:rPr>
        <w:t>cannabis</w:t>
      </w:r>
      <w:r w:rsidR="00BD143D">
        <w:rPr>
          <w:lang w:eastAsia="en-US"/>
        </w:rPr>
        <w:t xml:space="preserve">” </w:t>
      </w:r>
      <w:r w:rsidR="005F5F6F">
        <w:rPr>
          <w:lang w:eastAsia="en-US"/>
        </w:rPr>
        <w:t xml:space="preserve">is defined, under the </w:t>
      </w:r>
      <w:r w:rsidR="00EC6BCA">
        <w:rPr>
          <w:lang w:eastAsia="en-US"/>
        </w:rPr>
        <w:t>Single Convention on Narcotic Drugs</w:t>
      </w:r>
      <w:r w:rsidR="005F5F6F">
        <w:rPr>
          <w:lang w:eastAsia="en-US"/>
        </w:rPr>
        <w:t xml:space="preserve">, </w:t>
      </w:r>
      <w:r w:rsidR="00BD143D">
        <w:rPr>
          <w:lang w:eastAsia="en-US"/>
        </w:rPr>
        <w:t>as the flowering or fruiting tops of the cannabis plant (excluding the seeds and leaves when not accompanied by the tops) from which the resin has not been extracted, by whatever name they may be designated</w:t>
      </w:r>
      <w:r w:rsidR="0098241A">
        <w:rPr>
          <w:lang w:eastAsia="en-US"/>
        </w:rPr>
        <w:t xml:space="preserve">.  </w:t>
      </w:r>
      <w:r w:rsidR="003C16C7">
        <w:rPr>
          <w:lang w:eastAsia="en-US"/>
        </w:rPr>
        <w:t xml:space="preserve">The </w:t>
      </w:r>
      <w:r w:rsidR="0098241A">
        <w:rPr>
          <w:lang w:eastAsia="en-US"/>
        </w:rPr>
        <w:t>term “</w:t>
      </w:r>
      <w:r w:rsidR="0098241A" w:rsidRPr="0025526F">
        <w:rPr>
          <w:i/>
          <w:iCs/>
          <w:lang w:eastAsia="en-US"/>
        </w:rPr>
        <w:t>cannabis plant</w:t>
      </w:r>
      <w:r w:rsidR="0098241A">
        <w:rPr>
          <w:lang w:eastAsia="en-US"/>
        </w:rPr>
        <w:t>” is defined as any plant of the genus Cannabis</w:t>
      </w:r>
      <w:r w:rsidR="003C16C7">
        <w:rPr>
          <w:lang w:eastAsia="en-US"/>
        </w:rPr>
        <w:t>.</w:t>
      </w:r>
    </w:p>
    <w:p w14:paraId="446B9936" w14:textId="438B9C6D" w:rsidR="003C16C7" w:rsidRDefault="005F5F6F" w:rsidP="005F5F6F">
      <w:pPr>
        <w:pStyle w:val="Style1"/>
        <w:rPr>
          <w:lang w:eastAsia="en-US"/>
        </w:rPr>
      </w:pPr>
      <w:r>
        <w:rPr>
          <w:lang w:eastAsia="en-US"/>
        </w:rPr>
        <w:t xml:space="preserve">An early example of </w:t>
      </w:r>
      <w:r w:rsidR="009744C1">
        <w:rPr>
          <w:lang w:eastAsia="en-US"/>
        </w:rPr>
        <w:t>the</w:t>
      </w:r>
      <w:r>
        <w:rPr>
          <w:lang w:eastAsia="en-US"/>
        </w:rPr>
        <w:t xml:space="preserve"> approach of the ECJ is provided by the judgment in </w:t>
      </w:r>
      <w:r w:rsidRPr="009E4BC1">
        <w:rPr>
          <w:i/>
          <w:iCs/>
          <w:lang w:eastAsia="en-US"/>
        </w:rPr>
        <w:t>Josemans</w:t>
      </w:r>
      <w:r>
        <w:rPr>
          <w:lang w:eastAsia="en-US"/>
        </w:rPr>
        <w:t>, Case C-</w:t>
      </w:r>
      <w:r w:rsidRPr="009E4BC1">
        <w:rPr>
          <w:lang w:eastAsia="en-US"/>
        </w:rPr>
        <w:t>137/09</w:t>
      </w:r>
      <w:r>
        <w:rPr>
          <w:lang w:eastAsia="en-US"/>
        </w:rPr>
        <w:t>,</w:t>
      </w:r>
      <w:r w:rsidRPr="009E4BC1">
        <w:rPr>
          <w:lang w:eastAsia="en-US"/>
        </w:rPr>
        <w:t xml:space="preserve"> </w:t>
      </w:r>
      <w:r w:rsidRPr="005640C9">
        <w:rPr>
          <w:lang w:eastAsia="en-US"/>
        </w:rPr>
        <w:t>EU:C:2010:774</w:t>
      </w:r>
      <w:r w:rsidR="00FC7DA9">
        <w:rPr>
          <w:lang w:eastAsia="en-US"/>
        </w:rPr>
        <w:t>.</w:t>
      </w:r>
      <w:r>
        <w:rPr>
          <w:lang w:eastAsia="en-US"/>
        </w:rPr>
        <w:t xml:space="preserve">  There, the </w:t>
      </w:r>
      <w:r w:rsidR="00A455FC">
        <w:rPr>
          <w:lang w:eastAsia="en-US"/>
        </w:rPr>
        <w:t xml:space="preserve">ECJ held that </w:t>
      </w:r>
      <w:r w:rsidR="00836B16" w:rsidRPr="00836B16">
        <w:rPr>
          <w:lang w:eastAsia="en-US"/>
        </w:rPr>
        <w:t>a coffee-shop proprietor</w:t>
      </w:r>
      <w:r w:rsidR="00836B16">
        <w:rPr>
          <w:lang w:eastAsia="en-US"/>
        </w:rPr>
        <w:t xml:space="preserve">, located in the Netherlands, could not </w:t>
      </w:r>
      <w:r w:rsidR="00836B16" w:rsidRPr="00836B16">
        <w:rPr>
          <w:lang w:eastAsia="en-US"/>
        </w:rPr>
        <w:t>rely on the freedom of movement or the principle of non-discrimination</w:t>
      </w:r>
      <w:r w:rsidR="00B80E73">
        <w:rPr>
          <w:lang w:eastAsia="en-US"/>
        </w:rPr>
        <w:t xml:space="preserve"> in relation to </w:t>
      </w:r>
      <w:r w:rsidR="00836B16" w:rsidRPr="00836B16">
        <w:rPr>
          <w:lang w:eastAsia="en-US"/>
        </w:rPr>
        <w:t>the marketing of cannabis.</w:t>
      </w:r>
      <w:r w:rsidR="003C5C8D">
        <w:rPr>
          <w:lang w:eastAsia="en-US"/>
        </w:rPr>
        <w:t xml:space="preserve">  The ECJ relied on the fact that cannabis </w:t>
      </w:r>
      <w:r w:rsidR="002529D5" w:rsidRPr="002529D5">
        <w:rPr>
          <w:lang w:eastAsia="en-US"/>
        </w:rPr>
        <w:t>is among the substances and products referred to in th</w:t>
      </w:r>
      <w:r w:rsidR="002529D5">
        <w:rPr>
          <w:lang w:eastAsia="en-US"/>
        </w:rPr>
        <w:t>e Single Convention on Narcotic Drugs</w:t>
      </w:r>
      <w:r w:rsidR="002529D5" w:rsidRPr="002529D5">
        <w:rPr>
          <w:lang w:eastAsia="en-US"/>
        </w:rPr>
        <w:t>.</w:t>
      </w:r>
    </w:p>
    <w:p w14:paraId="736752EB" w14:textId="39EF2C6A" w:rsidR="009E4BC1" w:rsidRDefault="009E4BC1" w:rsidP="003515A4">
      <w:pPr>
        <w:pStyle w:val="Style1"/>
        <w:rPr>
          <w:lang w:eastAsia="en-US"/>
        </w:rPr>
      </w:pPr>
      <w:r>
        <w:rPr>
          <w:lang w:eastAsia="en-US"/>
        </w:rPr>
        <w:t>The ECJ</w:t>
      </w:r>
      <w:r w:rsidR="006C1DD3">
        <w:rPr>
          <w:lang w:eastAsia="en-US"/>
        </w:rPr>
        <w:t xml:space="preserve"> adopted a more nuanced approach in its decision in </w:t>
      </w:r>
      <w:r w:rsidR="006C1DD3" w:rsidRPr="008D790C">
        <w:rPr>
          <w:i/>
          <w:iCs/>
          <w:lang w:eastAsia="en-US"/>
        </w:rPr>
        <w:t>Kanavape</w:t>
      </w:r>
      <w:r w:rsidR="006C1DD3">
        <w:rPr>
          <w:lang w:eastAsia="en-US"/>
        </w:rPr>
        <w:t xml:space="preserve">, </w:t>
      </w:r>
      <w:r w:rsidR="00C50B67">
        <w:rPr>
          <w:lang w:eastAsia="en-US"/>
        </w:rPr>
        <w:t>Case C</w:t>
      </w:r>
      <w:r w:rsidR="00C50B67">
        <w:rPr>
          <w:lang w:eastAsia="en-US"/>
        </w:rPr>
        <w:noBreakHyphen/>
      </w:r>
      <w:r w:rsidR="00C50B67" w:rsidRPr="00C50B67">
        <w:rPr>
          <w:lang w:eastAsia="en-US"/>
        </w:rPr>
        <w:t>663/18</w:t>
      </w:r>
      <w:r w:rsidR="00C50B67">
        <w:rPr>
          <w:lang w:eastAsia="en-US"/>
        </w:rPr>
        <w:t xml:space="preserve">, </w:t>
      </w:r>
      <w:r w:rsidR="008D790C">
        <w:rPr>
          <w:lang w:eastAsia="en-US"/>
        </w:rPr>
        <w:t>E</w:t>
      </w:r>
      <w:r w:rsidR="008D790C" w:rsidRPr="008D790C">
        <w:rPr>
          <w:lang w:eastAsia="en-US"/>
        </w:rPr>
        <w:t>U:C:2020:938</w:t>
      </w:r>
      <w:r w:rsidR="008D790C">
        <w:rPr>
          <w:lang w:eastAsia="en-US"/>
        </w:rPr>
        <w:t xml:space="preserve">.  The matter </w:t>
      </w:r>
      <w:r w:rsidR="00EF2465">
        <w:rPr>
          <w:lang w:eastAsia="en-US"/>
        </w:rPr>
        <w:t xml:space="preserve">had come </w:t>
      </w:r>
      <w:r w:rsidR="008D790C">
        <w:rPr>
          <w:lang w:eastAsia="en-US"/>
        </w:rPr>
        <w:t>before the ECJ by way of a reference for a preliminary ruling from a French court</w:t>
      </w:r>
      <w:r w:rsidR="00C607A1">
        <w:rPr>
          <w:lang w:eastAsia="en-US"/>
        </w:rPr>
        <w:t xml:space="preserve"> pursuant to Article 267 TFEU</w:t>
      </w:r>
      <w:r w:rsidR="008D790C">
        <w:rPr>
          <w:lang w:eastAsia="en-US"/>
        </w:rPr>
        <w:t xml:space="preserve">.  The main proceedings </w:t>
      </w:r>
      <w:r w:rsidR="00203CA4">
        <w:rPr>
          <w:lang w:eastAsia="en-US"/>
        </w:rPr>
        <w:t xml:space="preserve">concerned the </w:t>
      </w:r>
      <w:r w:rsidR="0049731B">
        <w:rPr>
          <w:lang w:eastAsia="en-US"/>
        </w:rPr>
        <w:t xml:space="preserve">criminal </w:t>
      </w:r>
      <w:r w:rsidR="00203CA4">
        <w:rPr>
          <w:lang w:eastAsia="en-US"/>
        </w:rPr>
        <w:t xml:space="preserve">conviction of the directors </w:t>
      </w:r>
      <w:r w:rsidR="00203CA4">
        <w:rPr>
          <w:lang w:eastAsia="en-US"/>
        </w:rPr>
        <w:lastRenderedPageBreak/>
        <w:t xml:space="preserve">of a company for </w:t>
      </w:r>
      <w:r w:rsidR="00E93797" w:rsidRPr="00E93797">
        <w:rPr>
          <w:lang w:eastAsia="en-US"/>
        </w:rPr>
        <w:t xml:space="preserve">infringements of </w:t>
      </w:r>
      <w:r w:rsidR="006773D8">
        <w:rPr>
          <w:lang w:eastAsia="en-US"/>
        </w:rPr>
        <w:t xml:space="preserve">domestic </w:t>
      </w:r>
      <w:r w:rsidR="00E93797" w:rsidRPr="00E93797">
        <w:rPr>
          <w:lang w:eastAsia="en-US"/>
        </w:rPr>
        <w:t>legislation on poisonous substances</w:t>
      </w:r>
      <w:r w:rsidR="00E93797">
        <w:rPr>
          <w:lang w:eastAsia="en-US"/>
        </w:rPr>
        <w:t xml:space="preserve">.  </w:t>
      </w:r>
      <w:r w:rsidR="0049731B">
        <w:rPr>
          <w:lang w:eastAsia="en-US"/>
        </w:rPr>
        <w:t>The criminal conviction</w:t>
      </w:r>
      <w:r w:rsidR="006773D8">
        <w:rPr>
          <w:lang w:eastAsia="en-US"/>
        </w:rPr>
        <w:t>s</w:t>
      </w:r>
      <w:r w:rsidR="0049731B">
        <w:rPr>
          <w:lang w:eastAsia="en-US"/>
        </w:rPr>
        <w:t xml:space="preserve"> related to the importation of </w:t>
      </w:r>
      <w:r w:rsidR="00F5102D">
        <w:rPr>
          <w:lang w:eastAsia="en-US"/>
        </w:rPr>
        <w:t xml:space="preserve">an oil based product which contained </w:t>
      </w:r>
      <w:r w:rsidR="00A048E4" w:rsidRPr="00A048E4">
        <w:rPr>
          <w:lang w:eastAsia="en-US"/>
        </w:rPr>
        <w:t>cannabidiol (</w:t>
      </w:r>
      <w:r w:rsidR="00A048E4">
        <w:rPr>
          <w:lang w:eastAsia="en-US"/>
        </w:rPr>
        <w:t>“</w:t>
      </w:r>
      <w:r w:rsidR="00A048E4" w:rsidRPr="00A048E4">
        <w:rPr>
          <w:i/>
          <w:iCs/>
          <w:lang w:eastAsia="en-US"/>
        </w:rPr>
        <w:t>CBD</w:t>
      </w:r>
      <w:r w:rsidR="00A048E4">
        <w:rPr>
          <w:lang w:eastAsia="en-US"/>
        </w:rPr>
        <w:t>”</w:t>
      </w:r>
      <w:r w:rsidR="00A048E4" w:rsidRPr="00A048E4">
        <w:rPr>
          <w:lang w:eastAsia="en-US"/>
        </w:rPr>
        <w:t>)</w:t>
      </w:r>
      <w:r w:rsidR="00A048E4">
        <w:rPr>
          <w:lang w:eastAsia="en-US"/>
        </w:rPr>
        <w:t xml:space="preserve">.  </w:t>
      </w:r>
    </w:p>
    <w:p w14:paraId="3F4FDFC8" w14:textId="38640EBE" w:rsidR="004B2D28" w:rsidRDefault="001B0B29">
      <w:pPr>
        <w:pStyle w:val="Style1"/>
        <w:rPr>
          <w:lang w:eastAsia="en-US"/>
        </w:rPr>
      </w:pPr>
      <w:r>
        <w:rPr>
          <w:lang w:eastAsia="en-US"/>
        </w:rPr>
        <w:t xml:space="preserve">There was a derogation under French law for </w:t>
      </w:r>
      <w:r w:rsidR="00A95698">
        <w:rPr>
          <w:lang w:eastAsia="en-US"/>
        </w:rPr>
        <w:t xml:space="preserve">the </w:t>
      </w:r>
      <w:r w:rsidR="00C3716C">
        <w:rPr>
          <w:lang w:eastAsia="en-US"/>
        </w:rPr>
        <w:t>cultivation, importation, exportation</w:t>
      </w:r>
      <w:r w:rsidR="006773D8">
        <w:rPr>
          <w:lang w:eastAsia="en-US"/>
        </w:rPr>
        <w:t>,</w:t>
      </w:r>
      <w:r w:rsidR="00C3716C">
        <w:rPr>
          <w:lang w:eastAsia="en-US"/>
        </w:rPr>
        <w:t xml:space="preserve"> and industrial and commercial use </w:t>
      </w:r>
      <w:r w:rsidR="00A95698">
        <w:rPr>
          <w:lang w:eastAsia="en-US"/>
        </w:rPr>
        <w:t xml:space="preserve">of the </w:t>
      </w:r>
      <w:r w:rsidR="00C3716C" w:rsidRPr="00A95698">
        <w:rPr>
          <w:i/>
          <w:iCs/>
          <w:lang w:eastAsia="en-US"/>
        </w:rPr>
        <w:t>fibre and seeds</w:t>
      </w:r>
      <w:r w:rsidR="00C3716C">
        <w:rPr>
          <w:lang w:eastAsia="en-US"/>
        </w:rPr>
        <w:t xml:space="preserve"> of varieties of Cannabis sativa L.</w:t>
      </w:r>
      <w:r w:rsidR="006773D8">
        <w:rPr>
          <w:lang w:eastAsia="en-US"/>
        </w:rPr>
        <w:t xml:space="preserve">, subject to the proviso </w:t>
      </w:r>
      <w:r w:rsidR="00A95698">
        <w:rPr>
          <w:lang w:eastAsia="en-US"/>
        </w:rPr>
        <w:t xml:space="preserve">that the </w:t>
      </w:r>
      <w:r w:rsidR="001E568E">
        <w:rPr>
          <w:lang w:eastAsia="en-US"/>
        </w:rPr>
        <w:t xml:space="preserve">THC </w:t>
      </w:r>
      <w:r w:rsidR="00C3716C">
        <w:rPr>
          <w:lang w:eastAsia="en-US"/>
        </w:rPr>
        <w:t xml:space="preserve">content of those varieties </w:t>
      </w:r>
      <w:r w:rsidR="00F80AD8">
        <w:rPr>
          <w:lang w:eastAsia="en-US"/>
        </w:rPr>
        <w:t xml:space="preserve">did </w:t>
      </w:r>
      <w:r w:rsidR="00C3716C">
        <w:rPr>
          <w:lang w:eastAsia="en-US"/>
        </w:rPr>
        <w:t>not exceed 0.2</w:t>
      </w:r>
      <w:r w:rsidR="00F80AD8">
        <w:rPr>
          <w:lang w:eastAsia="en-US"/>
        </w:rPr>
        <w:t> </w:t>
      </w:r>
      <w:r w:rsidR="005B1ED8">
        <w:rPr>
          <w:lang w:eastAsia="en-US"/>
        </w:rPr>
        <w:t>per cent.  The company directors had been unable to rely on this derogation because the</w:t>
      </w:r>
      <w:r w:rsidR="00875189">
        <w:rPr>
          <w:lang w:eastAsia="en-US"/>
        </w:rPr>
        <w:t xml:space="preserve"> </w:t>
      </w:r>
      <w:r w:rsidR="00C773C8">
        <w:rPr>
          <w:lang w:eastAsia="en-US"/>
        </w:rPr>
        <w:t>CBD</w:t>
      </w:r>
      <w:r w:rsidR="00277808">
        <w:rPr>
          <w:lang w:eastAsia="en-US"/>
        </w:rPr>
        <w:t xml:space="preserve">, which was contained in </w:t>
      </w:r>
      <w:r w:rsidR="00AF6C61">
        <w:rPr>
          <w:lang w:eastAsia="en-US"/>
        </w:rPr>
        <w:t xml:space="preserve">the </w:t>
      </w:r>
      <w:r w:rsidR="00875189">
        <w:rPr>
          <w:lang w:eastAsia="en-US"/>
        </w:rPr>
        <w:t>finished product which they had imported</w:t>
      </w:r>
      <w:r w:rsidR="00277808">
        <w:rPr>
          <w:lang w:eastAsia="en-US"/>
        </w:rPr>
        <w:t>,</w:t>
      </w:r>
      <w:r w:rsidR="00875189">
        <w:rPr>
          <w:lang w:eastAsia="en-US"/>
        </w:rPr>
        <w:t xml:space="preserve"> </w:t>
      </w:r>
      <w:r w:rsidR="00277808">
        <w:rPr>
          <w:lang w:eastAsia="en-US"/>
        </w:rPr>
        <w:t xml:space="preserve">had been </w:t>
      </w:r>
      <w:r w:rsidR="002251E0" w:rsidRPr="002251E0">
        <w:rPr>
          <w:lang w:eastAsia="en-US"/>
        </w:rPr>
        <w:t xml:space="preserve">extracted from the Cannabis sativa plant </w:t>
      </w:r>
      <w:r w:rsidR="002251E0" w:rsidRPr="00F80AD8">
        <w:rPr>
          <w:i/>
          <w:iCs/>
          <w:lang w:eastAsia="en-US"/>
        </w:rPr>
        <w:t>in its entirety</w:t>
      </w:r>
      <w:r w:rsidR="00F80AD8">
        <w:rPr>
          <w:lang w:eastAsia="en-US"/>
        </w:rPr>
        <w:t>, i.e.</w:t>
      </w:r>
      <w:r w:rsidR="00E72BAB">
        <w:rPr>
          <w:lang w:eastAsia="en-US"/>
        </w:rPr>
        <w:t> </w:t>
      </w:r>
      <w:r w:rsidR="002251E0" w:rsidRPr="002251E0">
        <w:rPr>
          <w:lang w:eastAsia="en-US"/>
        </w:rPr>
        <w:t>not solely from its fibre and seeds.</w:t>
      </w:r>
      <w:r w:rsidR="0069350C">
        <w:rPr>
          <w:lang w:eastAsia="en-US"/>
        </w:rPr>
        <w:t xml:space="preserve">  T</w:t>
      </w:r>
      <w:r w:rsidR="00B04A41">
        <w:rPr>
          <w:lang w:eastAsia="en-US"/>
        </w:rPr>
        <w:t xml:space="preserve">he fact that the derogation was confined to the fibre and seeds had the seemingly </w:t>
      </w:r>
      <w:r w:rsidR="00D62BAD">
        <w:rPr>
          <w:lang w:eastAsia="en-US"/>
        </w:rPr>
        <w:t xml:space="preserve">anomalous result that </w:t>
      </w:r>
      <w:r w:rsidR="00E25CA1">
        <w:rPr>
          <w:lang w:eastAsia="en-US"/>
        </w:rPr>
        <w:t xml:space="preserve">the </w:t>
      </w:r>
      <w:r w:rsidR="00E25CA1" w:rsidRPr="00E25CA1">
        <w:rPr>
          <w:lang w:eastAsia="en-US"/>
        </w:rPr>
        <w:t xml:space="preserve">marketing of </w:t>
      </w:r>
      <w:r w:rsidR="00E25CA1" w:rsidRPr="00E25CA1">
        <w:rPr>
          <w:i/>
          <w:iCs/>
          <w:lang w:eastAsia="en-US"/>
        </w:rPr>
        <w:t>synthetic</w:t>
      </w:r>
      <w:r w:rsidR="00E25CA1" w:rsidRPr="00E25CA1">
        <w:rPr>
          <w:lang w:eastAsia="en-US"/>
        </w:rPr>
        <w:t xml:space="preserve"> CBD</w:t>
      </w:r>
      <w:r w:rsidR="00AF6C61">
        <w:rPr>
          <w:lang w:eastAsia="en-US"/>
        </w:rPr>
        <w:t>, which</w:t>
      </w:r>
      <w:r w:rsidR="00E25CA1" w:rsidRPr="00E25CA1">
        <w:rPr>
          <w:lang w:eastAsia="en-US"/>
        </w:rPr>
        <w:t xml:space="preserve"> </w:t>
      </w:r>
      <w:r w:rsidR="00AF6C61">
        <w:rPr>
          <w:lang w:eastAsia="en-US"/>
        </w:rPr>
        <w:t xml:space="preserve">had </w:t>
      </w:r>
      <w:r w:rsidR="00E25CA1" w:rsidRPr="00E25CA1">
        <w:rPr>
          <w:lang w:eastAsia="en-US"/>
        </w:rPr>
        <w:t>the same characteristics and effects</w:t>
      </w:r>
      <w:r w:rsidR="001C2905">
        <w:rPr>
          <w:lang w:eastAsia="en-US"/>
        </w:rPr>
        <w:t xml:space="preserve"> as the CBD oil the subject of the criminal prosecution</w:t>
      </w:r>
      <w:r w:rsidR="00AF6C61">
        <w:rPr>
          <w:lang w:eastAsia="en-US"/>
        </w:rPr>
        <w:t>,</w:t>
      </w:r>
      <w:r w:rsidR="00E25CA1">
        <w:rPr>
          <w:lang w:eastAsia="en-US"/>
        </w:rPr>
        <w:t xml:space="preserve"> would benefit from the derogation.</w:t>
      </w:r>
    </w:p>
    <w:p w14:paraId="2F8943AC" w14:textId="2B1D7399" w:rsidR="00E25CA1" w:rsidRDefault="00EC5AA4">
      <w:pPr>
        <w:pStyle w:val="Style1"/>
        <w:rPr>
          <w:lang w:eastAsia="en-US"/>
        </w:rPr>
      </w:pPr>
      <w:bookmarkStart w:id="2" w:name="_Ref172453970"/>
      <w:r>
        <w:rPr>
          <w:lang w:eastAsia="en-US"/>
        </w:rPr>
        <w:t>The</w:t>
      </w:r>
      <w:r w:rsidR="000666BA">
        <w:rPr>
          <w:lang w:eastAsia="en-US"/>
        </w:rPr>
        <w:t xml:space="preserve"> fact that </w:t>
      </w:r>
      <w:r w:rsidR="0010255E">
        <w:rPr>
          <w:lang w:eastAsia="en-US"/>
        </w:rPr>
        <w:t>the successful prosecution turned on the peculiarity of the finished produc</w:t>
      </w:r>
      <w:r w:rsidR="00AF6C61">
        <w:rPr>
          <w:lang w:eastAsia="en-US"/>
        </w:rPr>
        <w:t>t</w:t>
      </w:r>
      <w:r w:rsidR="0010255E">
        <w:rPr>
          <w:lang w:eastAsia="en-US"/>
        </w:rPr>
        <w:t xml:space="preserve"> having been derived from the </w:t>
      </w:r>
      <w:r w:rsidR="0010255E" w:rsidRPr="00E72BAB">
        <w:rPr>
          <w:lang w:eastAsia="en-US"/>
        </w:rPr>
        <w:t>entire</w:t>
      </w:r>
      <w:r w:rsidR="00493712" w:rsidRPr="00E72BAB">
        <w:rPr>
          <w:lang w:eastAsia="en-US"/>
        </w:rPr>
        <w:t>ty</w:t>
      </w:r>
      <w:r w:rsidR="00493712">
        <w:rPr>
          <w:lang w:eastAsia="en-US"/>
        </w:rPr>
        <w:t xml:space="preserve"> of the cannabis plant (rather than from the fibre and seeds</w:t>
      </w:r>
      <w:r w:rsidR="00A77BCD">
        <w:rPr>
          <w:lang w:eastAsia="en-US"/>
        </w:rPr>
        <w:t>,</w:t>
      </w:r>
      <w:r w:rsidR="00493712">
        <w:rPr>
          <w:lang w:eastAsia="en-US"/>
        </w:rPr>
        <w:t xml:space="preserve"> which would have been lawful) </w:t>
      </w:r>
      <w:r w:rsidR="001D39E9">
        <w:rPr>
          <w:lang w:eastAsia="en-US"/>
        </w:rPr>
        <w:t>meant tha</w:t>
      </w:r>
      <w:r w:rsidR="00F31D98">
        <w:rPr>
          <w:lang w:eastAsia="en-US"/>
        </w:rPr>
        <w:t>t</w:t>
      </w:r>
      <w:r w:rsidR="001D39E9">
        <w:rPr>
          <w:lang w:eastAsia="en-US"/>
        </w:rPr>
        <w:t xml:space="preserve"> the legal issues arising </w:t>
      </w:r>
      <w:r w:rsidR="00F31D98">
        <w:rPr>
          <w:lang w:eastAsia="en-US"/>
        </w:rPr>
        <w:t xml:space="preserve">on the </w:t>
      </w:r>
      <w:r w:rsidR="00C607A1">
        <w:rPr>
          <w:lang w:eastAsia="en-US"/>
        </w:rPr>
        <w:t xml:space="preserve">Article 267 </w:t>
      </w:r>
      <w:r w:rsidR="00F31D98">
        <w:rPr>
          <w:lang w:eastAsia="en-US"/>
        </w:rPr>
        <w:t xml:space="preserve">reference </w:t>
      </w:r>
      <w:r w:rsidR="001D39E9">
        <w:rPr>
          <w:lang w:eastAsia="en-US"/>
        </w:rPr>
        <w:t xml:space="preserve">were very narrow.  This point is explained as follows by the Advocate General </w:t>
      </w:r>
      <w:r w:rsidR="00CB5373">
        <w:rPr>
          <w:lang w:eastAsia="en-US"/>
        </w:rPr>
        <w:t xml:space="preserve">(at paragraph 23 of </w:t>
      </w:r>
      <w:r w:rsidR="00537BEA">
        <w:rPr>
          <w:lang w:eastAsia="en-US"/>
        </w:rPr>
        <w:t>his</w:t>
      </w:r>
      <w:r w:rsidR="001D39E9">
        <w:rPr>
          <w:lang w:eastAsia="en-US"/>
        </w:rPr>
        <w:t xml:space="preserve"> opinion</w:t>
      </w:r>
      <w:r w:rsidR="00CB5373">
        <w:rPr>
          <w:lang w:eastAsia="en-US"/>
        </w:rPr>
        <w:t>)</w:t>
      </w:r>
      <w:r w:rsidR="001D39E9">
        <w:rPr>
          <w:lang w:eastAsia="en-US"/>
        </w:rPr>
        <w:t>:</w:t>
      </w:r>
      <w:bookmarkEnd w:id="2"/>
    </w:p>
    <w:p w14:paraId="0F531BFD" w14:textId="6F9CD09E" w:rsidR="001D39E9" w:rsidRDefault="00CB5373" w:rsidP="00F20CD2">
      <w:pPr>
        <w:pStyle w:val="43cm"/>
      </w:pPr>
      <w:r>
        <w:t xml:space="preserve">“In [one of the defendants’ </w:t>
      </w:r>
      <w:r w:rsidR="00F20CD2">
        <w:t>view]</w:t>
      </w:r>
      <w:r>
        <w:t xml:space="preserve">, the Court should assess compatibility with EU law, not only of the prohibition on the marketing of hemp leaves and flowers, but also of three other requirements the French legislation imposes on the marketing of hemp, which are, first, the fact that the plant in question should belong to certain, exhaustively listed, varieties of </w:t>
      </w:r>
      <w:r w:rsidRPr="00E8252B">
        <w:rPr>
          <w:i/>
          <w:iCs/>
        </w:rPr>
        <w:t>Cannabis sativa L</w:t>
      </w:r>
      <w:r>
        <w:t xml:space="preserve">., secondly, that the THC content of the plant should not exceed 0.20% and, thirdly, that the THC content of the </w:t>
      </w:r>
      <w:r w:rsidRPr="00163F6C">
        <w:rPr>
          <w:i/>
          <w:iCs/>
        </w:rPr>
        <w:t>finished product</w:t>
      </w:r>
      <w:r>
        <w:t xml:space="preserve"> should be zero. </w:t>
      </w:r>
      <w:r w:rsidR="000E7EBA">
        <w:t xml:space="preserve"> </w:t>
      </w:r>
      <w:r>
        <w:t xml:space="preserve">However, the Court should not, in my view, carry out such an assessment. </w:t>
      </w:r>
      <w:r w:rsidR="000E7EBA">
        <w:t xml:space="preserve"> </w:t>
      </w:r>
      <w:r>
        <w:t>The question whether the latter three requirements are compatible with Articles</w:t>
      </w:r>
      <w:r w:rsidR="000E7EBA">
        <w:t> </w:t>
      </w:r>
      <w:r>
        <w:t>34 and</w:t>
      </w:r>
      <w:r w:rsidR="000E7EBA">
        <w:t> </w:t>
      </w:r>
      <w:r>
        <w:t xml:space="preserve">36 TFEU </w:t>
      </w:r>
      <w:r>
        <w:lastRenderedPageBreak/>
        <w:t>has no relevance to the subject matter of the main proceedings, since, according to the national court, B. S. and C. A. were convicted of an offence ‘due to the use in the manufacture of the product at issue of the whole hemp plant, including the leaves and flowers’, not because the CBD oil used was extracted from a hemp variety not covered by the Decree of 22 August 1990 or because the THC content of the oil, although below 0.20%, was not zero</w:t>
      </w:r>
      <w:r w:rsidR="000E7EBA">
        <w:t>.”</w:t>
      </w:r>
    </w:p>
    <w:p w14:paraId="7D2AF8D9" w14:textId="77777777" w:rsidR="000E7EBA" w:rsidRDefault="000E7EBA" w:rsidP="00F20CD2">
      <w:pPr>
        <w:pStyle w:val="43cm"/>
      </w:pPr>
    </w:p>
    <w:p w14:paraId="4543E758" w14:textId="6FA8EE43" w:rsidR="000E7EBA" w:rsidRPr="00CB5373" w:rsidRDefault="000E7EBA" w:rsidP="00F20CD2">
      <w:pPr>
        <w:pStyle w:val="43cm"/>
      </w:pPr>
      <w:r>
        <w:t>*Footnotes omitted</w:t>
      </w:r>
    </w:p>
    <w:p w14:paraId="5AACC5F5" w14:textId="77777777" w:rsidR="00F238AC" w:rsidRPr="00F20CD2" w:rsidRDefault="00F238AC" w:rsidP="00F20CD2">
      <w:pPr>
        <w:pStyle w:val="43cm"/>
      </w:pPr>
    </w:p>
    <w:p w14:paraId="7648C8D4" w14:textId="2F565995" w:rsidR="004B2D28" w:rsidRDefault="000E7EBA">
      <w:pPr>
        <w:pStyle w:val="Style1"/>
        <w:rPr>
          <w:lang w:eastAsia="en-US"/>
        </w:rPr>
      </w:pPr>
      <w:r>
        <w:rPr>
          <w:lang w:eastAsia="en-US"/>
        </w:rPr>
        <w:t xml:space="preserve">The Advocate General recommended that </w:t>
      </w:r>
      <w:r w:rsidR="00BA5402">
        <w:rPr>
          <w:lang w:eastAsia="en-US"/>
        </w:rPr>
        <w:t xml:space="preserve">the </w:t>
      </w:r>
      <w:r w:rsidR="0043297A">
        <w:rPr>
          <w:lang w:eastAsia="en-US"/>
        </w:rPr>
        <w:t xml:space="preserve">ECJ </w:t>
      </w:r>
      <w:r w:rsidR="00BA5402">
        <w:rPr>
          <w:lang w:eastAsia="en-US"/>
        </w:rPr>
        <w:t>should confine itself to an assessment of whether</w:t>
      </w:r>
      <w:r w:rsidR="0043297A">
        <w:rPr>
          <w:lang w:eastAsia="en-US"/>
        </w:rPr>
        <w:t xml:space="preserve"> </w:t>
      </w:r>
      <w:r w:rsidR="00BA5402">
        <w:rPr>
          <w:lang w:eastAsia="en-US"/>
        </w:rPr>
        <w:t>national legislation</w:t>
      </w:r>
      <w:r w:rsidR="001C2905">
        <w:rPr>
          <w:lang w:eastAsia="en-US"/>
        </w:rPr>
        <w:t>,</w:t>
      </w:r>
      <w:r w:rsidR="00BA5402">
        <w:rPr>
          <w:lang w:eastAsia="en-US"/>
        </w:rPr>
        <w:t xml:space="preserve"> which restricts the importation of hemp from another Member State solely to</w:t>
      </w:r>
      <w:r w:rsidR="0043297A">
        <w:rPr>
          <w:lang w:eastAsia="en-US"/>
        </w:rPr>
        <w:t xml:space="preserve"> </w:t>
      </w:r>
      <w:r w:rsidR="00BA5402">
        <w:rPr>
          <w:lang w:eastAsia="en-US"/>
        </w:rPr>
        <w:t>hemp fibre and seeds</w:t>
      </w:r>
      <w:r w:rsidR="001C2905">
        <w:rPr>
          <w:lang w:eastAsia="en-US"/>
        </w:rPr>
        <w:t>,</w:t>
      </w:r>
      <w:r w:rsidR="0043297A">
        <w:rPr>
          <w:lang w:eastAsia="en-US"/>
        </w:rPr>
        <w:t xml:space="preserve"> </w:t>
      </w:r>
      <w:r w:rsidR="00B34DFE">
        <w:rPr>
          <w:lang w:eastAsia="en-US"/>
        </w:rPr>
        <w:t xml:space="preserve">complies with EU law.  </w:t>
      </w:r>
    </w:p>
    <w:p w14:paraId="05073098" w14:textId="5B5DD991" w:rsidR="00B34DFE" w:rsidRDefault="00B34DFE">
      <w:pPr>
        <w:pStyle w:val="Style1"/>
        <w:rPr>
          <w:lang w:eastAsia="en-US"/>
        </w:rPr>
      </w:pPr>
      <w:bookmarkStart w:id="3" w:name="_Ref172453980"/>
      <w:r>
        <w:rPr>
          <w:lang w:eastAsia="en-US"/>
        </w:rPr>
        <w:t xml:space="preserve">The ECJ accepted this recommendation: the question which had been referred by the national court was reformulated </w:t>
      </w:r>
      <w:r w:rsidR="00AF6C61">
        <w:rPr>
          <w:lang w:eastAsia="en-US"/>
        </w:rPr>
        <w:t xml:space="preserve">by the ECJ </w:t>
      </w:r>
      <w:r>
        <w:rPr>
          <w:lang w:eastAsia="en-US"/>
        </w:rPr>
        <w:t>as follows</w:t>
      </w:r>
      <w:r w:rsidR="006E7BF5">
        <w:rPr>
          <w:lang w:eastAsia="en-US"/>
        </w:rPr>
        <w:t xml:space="preserve"> (at paragraphs 44 and 45 of the judgment</w:t>
      </w:r>
      <w:r w:rsidR="00C04F81">
        <w:rPr>
          <w:lang w:eastAsia="en-US"/>
        </w:rPr>
        <w:t>)</w:t>
      </w:r>
      <w:r>
        <w:rPr>
          <w:lang w:eastAsia="en-US"/>
        </w:rPr>
        <w:t>:</w:t>
      </w:r>
      <w:bookmarkEnd w:id="3"/>
    </w:p>
    <w:p w14:paraId="084DA865" w14:textId="6154A17A" w:rsidR="006E7BF5" w:rsidRDefault="006E7BF5" w:rsidP="006E7BF5">
      <w:pPr>
        <w:pStyle w:val="43cm"/>
      </w:pPr>
      <w:r>
        <w:t xml:space="preserve">“Although the referring court refers, in the wording of its question, to limiting ‘the cultivation, industrialisation and marketing of hemp solely to fibre and seeds’, it is apparent from its own explanations that the question asked can be relevant to the case in the main proceedings only to the extent that it concerns the conformity with EU law of national legislation which prohibits the marketing of CBD when it is extracted from the </w:t>
      </w:r>
      <w:r w:rsidRPr="00B93764">
        <w:rPr>
          <w:i/>
          <w:iCs/>
        </w:rPr>
        <w:t>Cannabis sativa</w:t>
      </w:r>
      <w:r>
        <w:t xml:space="preserve"> plant in its entirety and not solely from its fibre and seeds.</w:t>
      </w:r>
    </w:p>
    <w:p w14:paraId="2641E656" w14:textId="77777777" w:rsidR="006E7BF5" w:rsidRDefault="006E7BF5" w:rsidP="006E7BF5">
      <w:pPr>
        <w:pStyle w:val="43cm"/>
      </w:pPr>
    </w:p>
    <w:p w14:paraId="7AEBE446" w14:textId="509DDD0F" w:rsidR="00B34DFE" w:rsidRDefault="006E7BF5" w:rsidP="006E7BF5">
      <w:pPr>
        <w:pStyle w:val="43cm"/>
      </w:pPr>
      <w:r>
        <w:t>It is therefore necessary to consider that, by its question, the referring court asks, in essence, whether Regulations No</w:t>
      </w:r>
      <w:r w:rsidR="008317F8">
        <w:t> </w:t>
      </w:r>
      <w:r>
        <w:t>1307/2013 and No</w:t>
      </w:r>
      <w:r w:rsidR="00C04F81">
        <w:t> </w:t>
      </w:r>
      <w:r>
        <w:t>1308/2013 and Articles</w:t>
      </w:r>
      <w:r w:rsidR="008317F8">
        <w:t> </w:t>
      </w:r>
      <w:r>
        <w:t>34 and</w:t>
      </w:r>
      <w:r w:rsidR="008317F8">
        <w:t> </w:t>
      </w:r>
      <w:r>
        <w:t xml:space="preserve">36 TFEU must be interpreted as precluding national legislation to the extent that it prohibits the marketing of CBD when it is extracted from the </w:t>
      </w:r>
      <w:r w:rsidRPr="00B93764">
        <w:rPr>
          <w:i/>
          <w:iCs/>
        </w:rPr>
        <w:t>Cannabis sativa</w:t>
      </w:r>
      <w:r>
        <w:t xml:space="preserve"> plant in its entirety and not solely from its fibre and seeds.</w:t>
      </w:r>
      <w:r w:rsidR="008317F8">
        <w:t>”</w:t>
      </w:r>
    </w:p>
    <w:p w14:paraId="7BE71507" w14:textId="77777777" w:rsidR="008317F8" w:rsidRDefault="008317F8" w:rsidP="006E7BF5">
      <w:pPr>
        <w:pStyle w:val="43cm"/>
      </w:pPr>
    </w:p>
    <w:p w14:paraId="36F47473" w14:textId="67EC3463" w:rsidR="004B2D28" w:rsidRDefault="00142D9C" w:rsidP="004B2D28">
      <w:pPr>
        <w:pStyle w:val="Style1"/>
        <w:rPr>
          <w:lang w:eastAsia="en-US"/>
        </w:rPr>
      </w:pPr>
      <w:r>
        <w:rPr>
          <w:lang w:eastAsia="en-US"/>
        </w:rPr>
        <w:t>T</w:t>
      </w:r>
      <w:r w:rsidR="00EC53A4">
        <w:rPr>
          <w:lang w:eastAsia="en-US"/>
        </w:rPr>
        <w:t xml:space="preserve">he </w:t>
      </w:r>
      <w:r w:rsidR="00AF6C61">
        <w:rPr>
          <w:lang w:eastAsia="en-US"/>
        </w:rPr>
        <w:t xml:space="preserve">aspect </w:t>
      </w:r>
      <w:r w:rsidR="00EC53A4">
        <w:rPr>
          <w:lang w:eastAsia="en-US"/>
        </w:rPr>
        <w:t xml:space="preserve">of the judgment </w:t>
      </w:r>
      <w:r w:rsidR="00AF6C61">
        <w:rPr>
          <w:lang w:eastAsia="en-US"/>
        </w:rPr>
        <w:t xml:space="preserve">which is </w:t>
      </w:r>
      <w:r w:rsidR="00EC53A4">
        <w:rPr>
          <w:lang w:eastAsia="en-US"/>
        </w:rPr>
        <w:t xml:space="preserve">relied upon by the </w:t>
      </w:r>
      <w:r w:rsidR="00CD1A1F">
        <w:rPr>
          <w:lang w:eastAsia="en-US"/>
        </w:rPr>
        <w:t xml:space="preserve">Applicant </w:t>
      </w:r>
      <w:r w:rsidR="00EC53A4">
        <w:rPr>
          <w:lang w:eastAsia="en-US"/>
        </w:rPr>
        <w:t xml:space="preserve">in the present proceedings concerns the </w:t>
      </w:r>
      <w:r w:rsidR="00AC7CDD">
        <w:rPr>
          <w:lang w:eastAsia="en-US"/>
        </w:rPr>
        <w:t xml:space="preserve">ECJ’s </w:t>
      </w:r>
      <w:r w:rsidR="00D7478B">
        <w:rPr>
          <w:lang w:eastAsia="en-US"/>
        </w:rPr>
        <w:t xml:space="preserve">consideration of the concept of </w:t>
      </w:r>
      <w:r w:rsidR="00323FA8">
        <w:rPr>
          <w:lang w:eastAsia="en-US"/>
        </w:rPr>
        <w:t xml:space="preserve">narcotic drugs.  </w:t>
      </w:r>
      <w:r w:rsidR="0015371E">
        <w:rPr>
          <w:lang w:eastAsia="en-US"/>
        </w:rPr>
        <w:t>The ECJ held that whereas the finished product would, on a literal interpretation, come within the concept of a “</w:t>
      </w:r>
      <w:r w:rsidR="0015371E" w:rsidRPr="0015371E">
        <w:rPr>
          <w:i/>
          <w:iCs/>
          <w:lang w:eastAsia="en-US"/>
        </w:rPr>
        <w:t>drug</w:t>
      </w:r>
      <w:r w:rsidR="0015371E">
        <w:rPr>
          <w:lang w:eastAsia="en-US"/>
        </w:rPr>
        <w:t xml:space="preserve">” within the meaning </w:t>
      </w:r>
      <w:r w:rsidR="002C5C9B">
        <w:rPr>
          <w:lang w:eastAsia="en-US"/>
        </w:rPr>
        <w:t xml:space="preserve">of the </w:t>
      </w:r>
      <w:r w:rsidR="00EC6BCA">
        <w:rPr>
          <w:lang w:eastAsia="en-US"/>
        </w:rPr>
        <w:t xml:space="preserve">Single </w:t>
      </w:r>
      <w:r w:rsidR="00EC6BCA">
        <w:rPr>
          <w:lang w:eastAsia="en-US"/>
        </w:rPr>
        <w:lastRenderedPageBreak/>
        <w:t>Convention on Narcotic Drugs</w:t>
      </w:r>
      <w:r w:rsidR="002C5C9B">
        <w:rPr>
          <w:lang w:eastAsia="en-US"/>
        </w:rPr>
        <w:t xml:space="preserve">, </w:t>
      </w:r>
      <w:r w:rsidR="003A4CCD">
        <w:rPr>
          <w:lang w:eastAsia="en-US"/>
        </w:rPr>
        <w:t>it was appropriate to apply a purposive approach to interpretation.  See paragraphs 70 to 78 of the judgment as follows:</w:t>
      </w:r>
    </w:p>
    <w:p w14:paraId="6DCEFF6A" w14:textId="26DBD0A8" w:rsidR="002C5C9B" w:rsidRDefault="003A4CCD" w:rsidP="002C5C9B">
      <w:pPr>
        <w:pStyle w:val="43cm"/>
      </w:pPr>
      <w:r>
        <w:t>“</w:t>
      </w:r>
      <w:r w:rsidR="002C5C9B">
        <w:t xml:space="preserve">In the case at hand, it is apparent from the information in the file before the Court that the CBD at issue in the main proceedings is extracted from the </w:t>
      </w:r>
      <w:r w:rsidR="002C5C9B" w:rsidRPr="00AC1B9A">
        <w:rPr>
          <w:i/>
          <w:iCs/>
        </w:rPr>
        <w:t>Cannabis sativa</w:t>
      </w:r>
      <w:r w:rsidR="002C5C9B">
        <w:t xml:space="preserve"> plant in its entirety and not solely </w:t>
      </w:r>
      <w:proofErr w:type="gramStart"/>
      <w:r w:rsidR="002C5C9B">
        <w:t>from the seeds and leaves of that plant,</w:t>
      </w:r>
      <w:proofErr w:type="gramEnd"/>
      <w:r w:rsidR="002C5C9B">
        <w:t xml:space="preserve"> to the exclusion of its flowering or fruiting tops.</w:t>
      </w:r>
    </w:p>
    <w:p w14:paraId="3929808A" w14:textId="77777777" w:rsidR="002C5C9B" w:rsidRDefault="002C5C9B" w:rsidP="002C5C9B">
      <w:pPr>
        <w:pStyle w:val="43cm"/>
      </w:pPr>
    </w:p>
    <w:p w14:paraId="083511DE" w14:textId="340FE66F" w:rsidR="002C5C9B" w:rsidRDefault="002C5C9B" w:rsidP="002C5C9B">
      <w:pPr>
        <w:pStyle w:val="43cm"/>
      </w:pPr>
      <w:r>
        <w:t xml:space="preserve">In those circumstances, it is true that a literal interpretation of the provisions of the Single Convention might lead to the conclusion that, in so far as CBD is extracted from a plant of the </w:t>
      </w:r>
      <w:r w:rsidRPr="00AC1B9A">
        <w:rPr>
          <w:i/>
          <w:iCs/>
        </w:rPr>
        <w:t>Cannabis</w:t>
      </w:r>
      <w:r>
        <w:t xml:space="preserve"> genus and that plant is used in its entirety</w:t>
      </w:r>
      <w:r w:rsidR="003A4CCD">
        <w:t> </w:t>
      </w:r>
      <w:r>
        <w:t>– including its flowering or fruiting tops</w:t>
      </w:r>
      <w:r w:rsidR="003A4CCD">
        <w:t> </w:t>
      </w:r>
      <w:r>
        <w:t>– it constitutes a cannabis extract within the meaning of Schedule</w:t>
      </w:r>
      <w:r w:rsidR="003A4CCD">
        <w:t> </w:t>
      </w:r>
      <w:r>
        <w:t>I of that convention and, consequently, a ‘drug’ within the meaning of Article 1(1)(j) of that convention.</w:t>
      </w:r>
    </w:p>
    <w:p w14:paraId="76FB1C0E" w14:textId="77777777" w:rsidR="002C5C9B" w:rsidRDefault="002C5C9B" w:rsidP="002C5C9B">
      <w:pPr>
        <w:pStyle w:val="43cm"/>
      </w:pPr>
    </w:p>
    <w:p w14:paraId="1A703DF3" w14:textId="6CB840C2" w:rsidR="002C5C9B" w:rsidRDefault="002C5C9B" w:rsidP="002C5C9B">
      <w:pPr>
        <w:pStyle w:val="43cm"/>
      </w:pPr>
      <w:r>
        <w:t>However, it must be observed that it follows from the elements in the file before the Court, which are summarised in paragraph</w:t>
      </w:r>
      <w:r w:rsidR="003A4CCD">
        <w:t> </w:t>
      </w:r>
      <w:r>
        <w:t xml:space="preserve">34 of the present judgment, that the CBD at issue in the main proceedings does not appear to have any psychotropic effect or any harmful effect on human health </w:t>
      </w:r>
      <w:proofErr w:type="gramStart"/>
      <w:r>
        <w:t>on the basis of</w:t>
      </w:r>
      <w:proofErr w:type="gramEnd"/>
      <w:r>
        <w:t xml:space="preserve"> available scientific data. </w:t>
      </w:r>
      <w:r w:rsidR="003A4CCD">
        <w:t xml:space="preserve"> </w:t>
      </w:r>
      <w:r>
        <w:t>Moreover, according to those elements in the file, the cannabis variety from which that substance was extracted, which was grown in the Czech Republic lawfully, has a THC content not exceeding 0.2%.</w:t>
      </w:r>
    </w:p>
    <w:p w14:paraId="5F05464D" w14:textId="77777777" w:rsidR="002C5C9B" w:rsidRDefault="002C5C9B" w:rsidP="002C5C9B">
      <w:pPr>
        <w:pStyle w:val="43cm"/>
      </w:pPr>
    </w:p>
    <w:p w14:paraId="6866EC8F" w14:textId="4D4B232C" w:rsidR="002C5C9B" w:rsidRDefault="002C5C9B" w:rsidP="002C5C9B">
      <w:pPr>
        <w:pStyle w:val="43cm"/>
      </w:pPr>
      <w:r>
        <w:t>As is apparent from paragraph</w:t>
      </w:r>
      <w:r w:rsidR="003A4CCD">
        <w:t> </w:t>
      </w:r>
      <w:r>
        <w:t xml:space="preserve">67 of the present judgment, the Single Convention is based, inter alia, on an objective of protecting the health and welfare of mankind. </w:t>
      </w:r>
      <w:r w:rsidR="003A4CCD">
        <w:t xml:space="preserve"> </w:t>
      </w:r>
      <w:r>
        <w:t>It is therefore appropriate to take that objective into account when interpreting that convention’s provisions.</w:t>
      </w:r>
    </w:p>
    <w:p w14:paraId="4F8E1C10" w14:textId="77777777" w:rsidR="002C5C9B" w:rsidRDefault="002C5C9B" w:rsidP="002C5C9B">
      <w:pPr>
        <w:pStyle w:val="43cm"/>
      </w:pPr>
    </w:p>
    <w:p w14:paraId="19D78428" w14:textId="1BD7A14F" w:rsidR="002C5C9B" w:rsidRDefault="002C5C9B" w:rsidP="002C5C9B">
      <w:pPr>
        <w:pStyle w:val="43cm"/>
      </w:pPr>
      <w:r>
        <w:t xml:space="preserve">Such an approach is all the more compelling since a reading of the commentary on the Single Convention published by the United Nations relating to the definition of ‘cannabis’ for the purposes of that convention leads to the conclusion that, having regard to the purpose and general spirit of that convention, that definition is intrinsically linked to the state of scientific knowledge in terms of the harmfulness of cannabis-derived products to human health. </w:t>
      </w:r>
      <w:r w:rsidR="003A4CCD">
        <w:t xml:space="preserve"> </w:t>
      </w:r>
      <w:r>
        <w:t>By way of illustration, it is thus apparent, in particular, from that commentary that the exclusion from the definition of cannabis set out in Article 1(1)(b) of the same convention of flowering or fruiting tops from which the resin has been extracted was justified by the fact that those tops contain only a negligible quantity of psychoactive ingredient.</w:t>
      </w:r>
    </w:p>
    <w:p w14:paraId="7BF5AD0C" w14:textId="77777777" w:rsidR="002C5C9B" w:rsidRDefault="002C5C9B" w:rsidP="002C5C9B">
      <w:pPr>
        <w:pStyle w:val="43cm"/>
      </w:pPr>
    </w:p>
    <w:p w14:paraId="1AFCA03F" w14:textId="1BF947A5" w:rsidR="002C5C9B" w:rsidRDefault="002C5C9B" w:rsidP="002C5C9B">
      <w:pPr>
        <w:pStyle w:val="43cm"/>
      </w:pPr>
      <w:r>
        <w:lastRenderedPageBreak/>
        <w:t>In the light of those factors, which it is for the referring court to verify, it must be held that, since CBD does not contain a psychoactive ingredient in the current state of scientific knowledge recalled in paragraph</w:t>
      </w:r>
      <w:r w:rsidR="003A4CCD">
        <w:t> </w:t>
      </w:r>
      <w:r>
        <w:t>34 of the present judgment, it would be contrary to the purpose and general spirit of the Single Convention to include it under the definition of ‘drugs’ within the meaning of that convention as a cannabis extract.</w:t>
      </w:r>
    </w:p>
    <w:p w14:paraId="689C402A" w14:textId="77777777" w:rsidR="002C5C9B" w:rsidRDefault="002C5C9B" w:rsidP="002C5C9B">
      <w:pPr>
        <w:pStyle w:val="43cm"/>
      </w:pPr>
    </w:p>
    <w:p w14:paraId="4D567CB3" w14:textId="453E39B1" w:rsidR="002C5C9B" w:rsidRDefault="002C5C9B" w:rsidP="002C5C9B">
      <w:pPr>
        <w:pStyle w:val="43cm"/>
      </w:pPr>
      <w:r>
        <w:t>It follows that the CBD at issue in the main proceedings is not a drug within the meaning of the Single Convention.</w:t>
      </w:r>
    </w:p>
    <w:p w14:paraId="09FAB905" w14:textId="77777777" w:rsidR="002C5C9B" w:rsidRDefault="002C5C9B" w:rsidP="002C5C9B">
      <w:pPr>
        <w:pStyle w:val="43cm"/>
      </w:pPr>
    </w:p>
    <w:p w14:paraId="7298AE0F" w14:textId="7F381057" w:rsidR="002C5C9B" w:rsidRDefault="002C5C9B" w:rsidP="002C5C9B">
      <w:pPr>
        <w:pStyle w:val="43cm"/>
      </w:pPr>
      <w:r>
        <w:t>Furthermore, it is also important to add that, as the Commission has also pointed out, the CBD at issue in the main proceedings was lawfully produced and marketed in the Czech Republic.</w:t>
      </w:r>
    </w:p>
    <w:p w14:paraId="665A6CF5" w14:textId="77777777" w:rsidR="002C5C9B" w:rsidRDefault="002C5C9B" w:rsidP="002C5C9B">
      <w:pPr>
        <w:pStyle w:val="43cm"/>
      </w:pPr>
    </w:p>
    <w:p w14:paraId="4DAEC84D" w14:textId="58760941" w:rsidR="002C5C9B" w:rsidRDefault="002C5C9B" w:rsidP="002C5C9B">
      <w:pPr>
        <w:pStyle w:val="43cm"/>
      </w:pPr>
      <w:r>
        <w:t>In the light of all the foregoing considerations, it must be concluded that Articles 34 and 36 TFEU are applicable to the CBD at issue in the main proceedings.</w:t>
      </w:r>
      <w:r w:rsidR="003A4CCD">
        <w:t>”</w:t>
      </w:r>
    </w:p>
    <w:p w14:paraId="51D0B9E8" w14:textId="77777777" w:rsidR="002C5C9B" w:rsidRDefault="002C5C9B" w:rsidP="002C5C9B">
      <w:pPr>
        <w:pStyle w:val="43cm"/>
      </w:pPr>
    </w:p>
    <w:p w14:paraId="5C2CAE20" w14:textId="0059767D" w:rsidR="000F6CE9" w:rsidRDefault="003E58F6" w:rsidP="000F6CE9">
      <w:pPr>
        <w:pStyle w:val="Style1"/>
      </w:pPr>
      <w:r>
        <w:t xml:space="preserve">The following two aspects of the judgment </w:t>
      </w:r>
      <w:r w:rsidR="00E13E25">
        <w:t xml:space="preserve">in </w:t>
      </w:r>
      <w:r w:rsidR="00E13E25" w:rsidRPr="00E13E25">
        <w:rPr>
          <w:i/>
          <w:iCs/>
        </w:rPr>
        <w:t>Kanavape</w:t>
      </w:r>
      <w:r w:rsidR="00E13E25">
        <w:t xml:space="preserve"> </w:t>
      </w:r>
      <w:r>
        <w:t xml:space="preserve">are </w:t>
      </w:r>
      <w:r w:rsidR="00E9548F">
        <w:t xml:space="preserve">potentially </w:t>
      </w:r>
      <w:r>
        <w:t xml:space="preserve">relevant to these judicial review proceedings.  First, </w:t>
      </w:r>
      <w:r w:rsidR="001973CB">
        <w:t xml:space="preserve">the judgment </w:t>
      </w:r>
      <w:r w:rsidR="00F05DCB">
        <w:t>is principally concerned with a legal issue</w:t>
      </w:r>
      <w:r w:rsidR="008C5B1C">
        <w:t xml:space="preserve"> not a factual issue.  The </w:t>
      </w:r>
      <w:r w:rsidR="00954155">
        <w:t>significance</w:t>
      </w:r>
      <w:r w:rsidR="008C5B1C">
        <w:t xml:space="preserve"> of the judgment </w:t>
      </w:r>
      <w:r w:rsidR="00E13E25">
        <w:t xml:space="preserve">lies in </w:t>
      </w:r>
      <w:r w:rsidR="008C5B1C">
        <w:t xml:space="preserve">its holding that it is appropriate </w:t>
      </w:r>
      <w:r w:rsidR="001973CB">
        <w:t xml:space="preserve">to adopt a purposive, rather than a literal, </w:t>
      </w:r>
      <w:r w:rsidR="00E9548F">
        <w:t xml:space="preserve">interpretation to the concept of a drug.  The concept is to be </w:t>
      </w:r>
      <w:r w:rsidR="008A74EA">
        <w:t>understood</w:t>
      </w:r>
      <w:r w:rsidR="00E9548F">
        <w:t xml:space="preserve"> by reference to the purpose and general spirit of </w:t>
      </w:r>
      <w:r w:rsidR="00B36FC2">
        <w:t xml:space="preserve">the </w:t>
      </w:r>
      <w:r w:rsidR="00E9548F">
        <w:t xml:space="preserve">Single Convention on Narcotic Drugs.  Secondly, </w:t>
      </w:r>
      <w:r w:rsidR="00B36FC2">
        <w:t xml:space="preserve">the judgment </w:t>
      </w:r>
      <w:r w:rsidR="00E13E25">
        <w:t xml:space="preserve">recognises </w:t>
      </w:r>
      <w:r w:rsidR="00B36FC2">
        <w:t xml:space="preserve">that the determination of whether a particular substance constitutes a </w:t>
      </w:r>
      <w:r w:rsidR="00954155">
        <w:t>drug</w:t>
      </w:r>
      <w:r w:rsidR="00EA76D5">
        <w:t xml:space="preserve"> is a </w:t>
      </w:r>
      <w:r w:rsidR="00EA76D5" w:rsidRPr="00E13E25">
        <w:rPr>
          <w:i/>
          <w:iCs/>
        </w:rPr>
        <w:t>question of fact</w:t>
      </w:r>
      <w:r w:rsidR="00EA76D5">
        <w:t xml:space="preserve">, and requires consideration of whether, </w:t>
      </w:r>
      <w:r w:rsidR="00E13E25">
        <w:t xml:space="preserve">having regard to </w:t>
      </w:r>
      <w:r w:rsidR="0082071A">
        <w:t>the current state of scientific knowledge</w:t>
      </w:r>
      <w:r w:rsidR="00EA76D5">
        <w:t xml:space="preserve">, </w:t>
      </w:r>
      <w:r w:rsidR="001C2D90">
        <w:t>such substance is harmful to human health.  The ECJ</w:t>
      </w:r>
      <w:r w:rsidR="008A74EA">
        <w:t xml:space="preserve"> stated that </w:t>
      </w:r>
      <w:r w:rsidR="000B291D">
        <w:t xml:space="preserve">it was ultimately a matter for </w:t>
      </w:r>
      <w:r w:rsidR="008A74EA">
        <w:t>the referring court, i.e.</w:t>
      </w:r>
      <w:r w:rsidR="00E338D0">
        <w:t> </w:t>
      </w:r>
      <w:r w:rsidR="008A74EA">
        <w:t xml:space="preserve">the French </w:t>
      </w:r>
      <w:r w:rsidR="00E338D0">
        <w:t xml:space="preserve">national </w:t>
      </w:r>
      <w:r w:rsidR="008A74EA">
        <w:t>court, to verify</w:t>
      </w:r>
      <w:r w:rsidR="000B291D">
        <w:t xml:space="preserve"> whether the substance at issue in the main proceedings fulfilled the</w:t>
      </w:r>
      <w:r w:rsidR="00D04006">
        <w:t xml:space="preserve"> definition of a drug</w:t>
      </w:r>
      <w:r w:rsidR="008A74EA">
        <w:t>.</w:t>
      </w:r>
    </w:p>
    <w:p w14:paraId="5386855D" w14:textId="77777777" w:rsidR="00914446" w:rsidRDefault="00914446" w:rsidP="00914446"/>
    <w:p w14:paraId="08FA527A" w14:textId="77777777" w:rsidR="00914446" w:rsidRDefault="00914446" w:rsidP="00914446"/>
    <w:p w14:paraId="1727BBC5" w14:textId="76E463D4" w:rsidR="00914446" w:rsidRDefault="00914446" w:rsidP="00914446">
      <w:pPr>
        <w:pStyle w:val="Heading1"/>
      </w:pPr>
      <w:r>
        <w:lastRenderedPageBreak/>
        <w:t xml:space="preserve">Events subsequent to judgment in </w:t>
      </w:r>
      <w:r w:rsidRPr="00A67E5A">
        <w:rPr>
          <w:i/>
          <w:iCs/>
        </w:rPr>
        <w:t>Kanavape</w:t>
      </w:r>
    </w:p>
    <w:p w14:paraId="499EDAA5" w14:textId="04EAF035" w:rsidR="00E41854" w:rsidRDefault="00AB5207" w:rsidP="00E41854">
      <w:pPr>
        <w:pStyle w:val="Style1"/>
      </w:pPr>
      <w:bookmarkStart w:id="4" w:name="_Ref172204139"/>
      <w:r>
        <w:t xml:space="preserve">There have been </w:t>
      </w:r>
      <w:proofErr w:type="gramStart"/>
      <w:r>
        <w:t>a number of</w:t>
      </w:r>
      <w:proofErr w:type="gramEnd"/>
      <w:r>
        <w:t xml:space="preserve"> events subsequent to the judgment in </w:t>
      </w:r>
      <w:r w:rsidRPr="00AB5207">
        <w:rPr>
          <w:i/>
          <w:iCs/>
        </w:rPr>
        <w:t>Kanavape</w:t>
      </w:r>
      <w:r>
        <w:t xml:space="preserve"> which are relevant to the interpretation of the </w:t>
      </w:r>
      <w:r w:rsidR="00EC6BCA">
        <w:t>Single Convention on Narcotic Drugs</w:t>
      </w:r>
      <w:r w:rsidR="00F95D60">
        <w:t>.</w:t>
      </w:r>
      <w:r w:rsidR="004154E0">
        <w:t xml:space="preserve">  These events relate to proposals to amend the </w:t>
      </w:r>
      <w:r w:rsidR="00D214BC">
        <w:t>s</w:t>
      </w:r>
      <w:r w:rsidR="004154E0">
        <w:t xml:space="preserve">chedules to the </w:t>
      </w:r>
      <w:r w:rsidR="00EA1D1F">
        <w:t>c</w:t>
      </w:r>
      <w:r w:rsidR="004154E0">
        <w:t>onvention.</w:t>
      </w:r>
      <w:bookmarkEnd w:id="4"/>
    </w:p>
    <w:p w14:paraId="702C3238" w14:textId="0E2453D9" w:rsidR="004154E0" w:rsidRDefault="002B0BF4" w:rsidP="00E41854">
      <w:pPr>
        <w:pStyle w:val="Style1"/>
      </w:pPr>
      <w:r>
        <w:t xml:space="preserve">The procedure for </w:t>
      </w:r>
      <w:r w:rsidR="003953D1">
        <w:t xml:space="preserve">the amendment of the schedules is prescribed under Article 3 of the </w:t>
      </w:r>
      <w:r w:rsidR="00EC6BCA">
        <w:t>Single Convention on Narcotic Drugs</w:t>
      </w:r>
      <w:r w:rsidR="003953D1">
        <w:t xml:space="preserve">.  </w:t>
      </w:r>
      <w:r w:rsidR="00E80F11">
        <w:t xml:space="preserve">Relevantly, </w:t>
      </w:r>
      <w:r w:rsidR="000C5EFF" w:rsidRPr="000C5EFF">
        <w:t>the World Health Organization</w:t>
      </w:r>
      <w:r w:rsidR="00D214BC">
        <w:t>, where it</w:t>
      </w:r>
      <w:r w:rsidR="000C5EFF" w:rsidRPr="000C5EFF">
        <w:t xml:space="preserve"> has information which in its opinion may require an amendment to any of the </w:t>
      </w:r>
      <w:r w:rsidR="00E61C94">
        <w:t>s</w:t>
      </w:r>
      <w:r w:rsidR="000C5EFF" w:rsidRPr="000C5EFF">
        <w:t xml:space="preserve">chedules, shall notify the Secretary-General </w:t>
      </w:r>
      <w:r w:rsidR="00363119">
        <w:t xml:space="preserve">of the United Nations </w:t>
      </w:r>
      <w:r w:rsidR="000C5EFF" w:rsidRPr="000C5EFF">
        <w:t>and furnish him with the information in support of the notification.</w:t>
      </w:r>
      <w:r w:rsidR="004C476B">
        <w:t xml:space="preserve">  </w:t>
      </w:r>
      <w:r w:rsidR="004C476B" w:rsidRPr="004C476B">
        <w:t>Where a notification relates to a drug already in Schedule</w:t>
      </w:r>
      <w:r w:rsidR="004C476B">
        <w:t> </w:t>
      </w:r>
      <w:r w:rsidR="004C476B" w:rsidRPr="004C476B">
        <w:t>I or Schedule</w:t>
      </w:r>
      <w:r w:rsidR="004C476B">
        <w:t> </w:t>
      </w:r>
      <w:r w:rsidR="004C476B" w:rsidRPr="004C476B">
        <w:t>II or to a preparation in Schedule III, the Commission</w:t>
      </w:r>
      <w:r w:rsidR="004C476B">
        <w:t xml:space="preserve"> </w:t>
      </w:r>
      <w:r w:rsidR="00363119" w:rsidRPr="00363119">
        <w:t>on Narcotic Drugs</w:t>
      </w:r>
      <w:r w:rsidR="00363119">
        <w:t xml:space="preserve"> </w:t>
      </w:r>
      <w:r w:rsidR="004C476B" w:rsidRPr="004C476B">
        <w:t>may, in accordance with the recommendation of the World Health Organization, amend any of the Schedules by</w:t>
      </w:r>
      <w:r w:rsidR="004C476B">
        <w:t xml:space="preserve">, </w:t>
      </w:r>
      <w:r w:rsidR="004C476B" w:rsidRPr="004C476B">
        <w:rPr>
          <w:i/>
          <w:iCs/>
        </w:rPr>
        <w:t>inter alia</w:t>
      </w:r>
      <w:r w:rsidR="004C476B">
        <w:t xml:space="preserve">, </w:t>
      </w:r>
      <w:r w:rsidR="00EE696C" w:rsidRPr="001977B8">
        <w:t xml:space="preserve">deleting </w:t>
      </w:r>
      <w:r w:rsidR="001977B8" w:rsidRPr="001977B8">
        <w:t>a drug or a preparation</w:t>
      </w:r>
      <w:proofErr w:type="gramStart"/>
      <w:r w:rsidR="00363119">
        <w:t>,</w:t>
      </w:r>
      <w:r w:rsidR="001977B8" w:rsidRPr="001977B8">
        <w:t xml:space="preserve"> as the case may be, from</w:t>
      </w:r>
      <w:proofErr w:type="gramEnd"/>
      <w:r w:rsidR="001977B8" w:rsidRPr="001977B8">
        <w:t xml:space="preserve"> a </w:t>
      </w:r>
      <w:r w:rsidR="001977B8">
        <w:t>s</w:t>
      </w:r>
      <w:r w:rsidR="001977B8" w:rsidRPr="001977B8">
        <w:t>chedule</w:t>
      </w:r>
      <w:r w:rsidR="001977B8">
        <w:t>.</w:t>
      </w:r>
    </w:p>
    <w:p w14:paraId="1B9AE89F" w14:textId="4096E7C4" w:rsidR="001977B8" w:rsidRDefault="00BA5645" w:rsidP="00E41854">
      <w:pPr>
        <w:pStyle w:val="Style1"/>
      </w:pPr>
      <w:r>
        <w:t xml:space="preserve">The World Health Organization had, in </w:t>
      </w:r>
      <w:r w:rsidR="001B7BAA">
        <w:t>January 2019,</w:t>
      </w:r>
      <w:r>
        <w:t xml:space="preserve"> made a series of recommendations </w:t>
      </w:r>
      <w:r w:rsidR="009E417D">
        <w:t xml:space="preserve">as to the most relevant level of international control for cannabis and cannabis-related substances.  </w:t>
      </w:r>
      <w:r w:rsidR="005D4822">
        <w:t xml:space="preserve">The WHO recommended that </w:t>
      </w:r>
      <w:r w:rsidR="001C2158">
        <w:t>pure cannabidiol (“</w:t>
      </w:r>
      <w:r w:rsidR="001C2158" w:rsidRPr="00754482">
        <w:rPr>
          <w:i/>
          <w:iCs/>
        </w:rPr>
        <w:t>CBD</w:t>
      </w:r>
      <w:r w:rsidR="001C2158">
        <w:t>”) should not be scheduled</w:t>
      </w:r>
      <w:r w:rsidR="00754482">
        <w:t>,</w:t>
      </w:r>
      <w:r w:rsidR="001C2158">
        <w:t xml:space="preserve"> </w:t>
      </w:r>
      <w:r w:rsidR="003B693D">
        <w:t xml:space="preserve">and </w:t>
      </w:r>
      <w:r w:rsidR="00754482">
        <w:t xml:space="preserve">that </w:t>
      </w:r>
      <w:r w:rsidR="003B693D">
        <w:t xml:space="preserve">this recommendation should be given effect to by </w:t>
      </w:r>
      <w:r w:rsidR="00CB7A6E">
        <w:t>adding</w:t>
      </w:r>
      <w:r w:rsidR="003B693D">
        <w:t xml:space="preserve"> </w:t>
      </w:r>
      <w:r w:rsidR="00CB7A6E">
        <w:t xml:space="preserve">a footnote to the entry for cannabis and cannabis resin </w:t>
      </w:r>
      <w:r w:rsidR="000C0869">
        <w:t>to read as follows:</w:t>
      </w:r>
    </w:p>
    <w:p w14:paraId="6C10C49D" w14:textId="5B326B1E" w:rsidR="002E3E3C" w:rsidRDefault="00382899" w:rsidP="00754482">
      <w:pPr>
        <w:pStyle w:val="43cm"/>
      </w:pPr>
      <w:r w:rsidRPr="00382899">
        <w:t>“Preparations containing predominantly cannabidiol and not more than 0</w:t>
      </w:r>
      <w:r w:rsidR="0044171A">
        <w:t>,</w:t>
      </w:r>
      <w:r w:rsidRPr="00382899">
        <w:t>2</w:t>
      </w:r>
      <w:r w:rsidR="00F30219">
        <w:t> </w:t>
      </w:r>
      <w:r w:rsidRPr="00382899">
        <w:t>percent of delta-9-tetrahydrocannabinol are not under international control”</w:t>
      </w:r>
      <w:r w:rsidR="002E3E3C">
        <w:t>.</w:t>
      </w:r>
    </w:p>
    <w:p w14:paraId="2C562704" w14:textId="77777777" w:rsidR="00754482" w:rsidRDefault="00754482" w:rsidP="00754482">
      <w:pPr>
        <w:pStyle w:val="43cm"/>
      </w:pPr>
    </w:p>
    <w:p w14:paraId="2896E47F" w14:textId="63A703B6" w:rsidR="002E3E3C" w:rsidRDefault="00E34CE2">
      <w:pPr>
        <w:pStyle w:val="Style1"/>
      </w:pPr>
      <w:r>
        <w:t xml:space="preserve">This recommendation was one of a number of </w:t>
      </w:r>
      <w:r w:rsidR="00E51240">
        <w:t xml:space="preserve">recommendations </w:t>
      </w:r>
      <w:r w:rsidR="00527591">
        <w:t xml:space="preserve">which </w:t>
      </w:r>
      <w:r w:rsidR="00E51240">
        <w:t xml:space="preserve">were to be considered by the </w:t>
      </w:r>
      <w:r w:rsidR="00E51240" w:rsidRPr="00E51240">
        <w:t xml:space="preserve">Commission on Narcotic Drugs </w:t>
      </w:r>
      <w:r w:rsidR="002820F4">
        <w:t>(“</w:t>
      </w:r>
      <w:r w:rsidR="002820F4" w:rsidRPr="002820F4">
        <w:rPr>
          <w:i/>
          <w:iCs/>
        </w:rPr>
        <w:t>CND</w:t>
      </w:r>
      <w:r w:rsidR="002820F4">
        <w:t xml:space="preserve">”) </w:t>
      </w:r>
      <w:r w:rsidR="00E51240" w:rsidRPr="00E51240">
        <w:t xml:space="preserve">at </w:t>
      </w:r>
      <w:r w:rsidR="00527591">
        <w:t xml:space="preserve">its </w:t>
      </w:r>
      <w:r w:rsidR="00E51240" w:rsidRPr="00E51240">
        <w:t xml:space="preserve">reconvened </w:t>
      </w:r>
      <w:r w:rsidR="00E51240" w:rsidRPr="00E51240">
        <w:lastRenderedPageBreak/>
        <w:t xml:space="preserve">sixty-third session </w:t>
      </w:r>
      <w:r w:rsidR="00527591">
        <w:t xml:space="preserve">in </w:t>
      </w:r>
      <w:r w:rsidR="00E51240" w:rsidRPr="00E51240">
        <w:t>December 2020</w:t>
      </w:r>
      <w:r w:rsidR="00527591">
        <w:t xml:space="preserve">.  </w:t>
      </w:r>
      <w:r w:rsidR="002820F4">
        <w:t xml:space="preserve">In advance of this date, the </w:t>
      </w:r>
      <w:r w:rsidR="00E27309">
        <w:t xml:space="preserve">Council </w:t>
      </w:r>
      <w:r w:rsidR="00660798">
        <w:t xml:space="preserve">of </w:t>
      </w:r>
      <w:r w:rsidR="000E1F7E">
        <w:t xml:space="preserve">the European Union </w:t>
      </w:r>
      <w:r w:rsidR="00680724">
        <w:t xml:space="preserve">had </w:t>
      </w:r>
      <w:r w:rsidR="00D80B2B">
        <w:t>adopted a decision, addressed to the Member States, on the position to be take</w:t>
      </w:r>
      <w:r w:rsidR="007D623D">
        <w:t>n</w:t>
      </w:r>
      <w:r w:rsidR="00D80B2B">
        <w:t xml:space="preserve"> on the European Union’s </w:t>
      </w:r>
      <w:r w:rsidR="003B1314">
        <w:t xml:space="preserve">behalf at </w:t>
      </w:r>
      <w:r w:rsidR="002820F4">
        <w:t xml:space="preserve">the </w:t>
      </w:r>
      <w:r w:rsidR="007D623D">
        <w:t xml:space="preserve">(then) </w:t>
      </w:r>
      <w:r w:rsidR="002820F4">
        <w:t xml:space="preserve">forthcoming </w:t>
      </w:r>
      <w:r w:rsidR="00A940F0">
        <w:t xml:space="preserve">session of the </w:t>
      </w:r>
      <w:r w:rsidR="002820F4">
        <w:t xml:space="preserve">CND.  </w:t>
      </w:r>
      <w:r w:rsidR="0028029B">
        <w:t>This decision</w:t>
      </w:r>
      <w:r w:rsidR="003A3751">
        <w:t xml:space="preserve">, </w:t>
      </w:r>
      <w:r w:rsidR="003A3751" w:rsidRPr="003A3751">
        <w:t>Council Decision (EU) 2021/3</w:t>
      </w:r>
      <w:r w:rsidR="003A3751">
        <w:t xml:space="preserve">, was adopted by the </w:t>
      </w:r>
      <w:r w:rsidR="000E1F7E">
        <w:t>Council of the European Union on 23 November 2020.</w:t>
      </w:r>
      <w:r w:rsidR="00660798">
        <w:t xml:space="preserve">  </w:t>
      </w:r>
      <w:r w:rsidR="00FF5BD0">
        <w:t>The Member States were advised to oppose the recommendation that the footnote (above) be added</w:t>
      </w:r>
      <w:r w:rsidR="00067745">
        <w:t xml:space="preserve"> to the entry for cannabis and cannabis resin in Schedule I of the </w:t>
      </w:r>
      <w:r w:rsidR="00EC6BCA">
        <w:t>Single Convention on Narcotic Drugs</w:t>
      </w:r>
      <w:r w:rsidR="00680724">
        <w:t>.</w:t>
      </w:r>
    </w:p>
    <w:p w14:paraId="0CDFA3B1" w14:textId="19B945BF" w:rsidR="00067745" w:rsidRDefault="00067745">
      <w:pPr>
        <w:pStyle w:val="Style1"/>
      </w:pPr>
      <w:r>
        <w:t xml:space="preserve">The rationale </w:t>
      </w:r>
      <w:r w:rsidR="00E74B1F">
        <w:t xml:space="preserve">for this </w:t>
      </w:r>
      <w:r w:rsidR="005F146B">
        <w:t xml:space="preserve">advice </w:t>
      </w:r>
      <w:r w:rsidR="00E74B1F">
        <w:t>is explained as follows, at recitals</w:t>
      </w:r>
      <w:r w:rsidR="00BE57B4">
        <w:t> (26) and (27) of the Council Decision:</w:t>
      </w:r>
    </w:p>
    <w:p w14:paraId="608B0818" w14:textId="2D8DF799" w:rsidR="00C2451D" w:rsidRDefault="00C2451D" w:rsidP="00C2451D">
      <w:pPr>
        <w:pStyle w:val="43cm"/>
      </w:pPr>
      <w:r>
        <w:t xml:space="preserve">“However, that recommendation would lower the current control level for those preparations.  Moreover, the establishment of that limit of 0,2 percent of </w:t>
      </w:r>
      <w:r w:rsidRPr="00C2451D">
        <w:rPr>
          <w:i/>
          <w:iCs/>
        </w:rPr>
        <w:t>delta</w:t>
      </w:r>
      <w:r>
        <w:t xml:space="preserve">-9-tetrahydrocannabinol is not sufficiently supported by scientific evidence, the wording of that recommendation does not exclude possible divergent interpretations concerning the way of calculating that limit of 0,2 percent of </w:t>
      </w:r>
      <w:r w:rsidRPr="00C2451D">
        <w:rPr>
          <w:i/>
          <w:iCs/>
        </w:rPr>
        <w:t>delta</w:t>
      </w:r>
      <w:r>
        <w:t>-9-tetrahydrocannabinol, and the technical implementation of that recommendation will be difficult for reasons of technical and administrative capacity. The differentiated treatment of cannabidiol compared to other cannabinoids is not in line with the existing structure of the Schedules of the Convention on Narcotic Drugs and the Convention on Psychotropic Substances. That recommendation, as it has been drafted, does not offer the necessary legal certainty.</w:t>
      </w:r>
    </w:p>
    <w:p w14:paraId="50C268B8" w14:textId="77777777" w:rsidR="00C2451D" w:rsidRDefault="00C2451D" w:rsidP="00C2451D">
      <w:pPr>
        <w:pStyle w:val="43cm"/>
      </w:pPr>
    </w:p>
    <w:p w14:paraId="6B44C035" w14:textId="3931CDE1" w:rsidR="00BE57B4" w:rsidRDefault="00C2451D" w:rsidP="00C2451D">
      <w:pPr>
        <w:pStyle w:val="43cm"/>
      </w:pPr>
      <w:r>
        <w:t xml:space="preserve">Therefore, the position of the Union should be to vote against the recommendation to add a footnote concerning ‘preparations containing predominantly cannabidiol and not more than 0.2 percent of </w:t>
      </w:r>
      <w:r w:rsidRPr="00C2451D">
        <w:rPr>
          <w:i/>
          <w:iCs/>
        </w:rPr>
        <w:t>delta</w:t>
      </w:r>
      <w:r>
        <w:t>-9-tetrahydrocannabinol’ to the entry for cannabis and cannabis resin in Schedule I of the Convention on Narcotic Drugs.”</w:t>
      </w:r>
    </w:p>
    <w:p w14:paraId="00468CA3" w14:textId="77777777" w:rsidR="00C2451D" w:rsidRDefault="00C2451D" w:rsidP="00C2451D">
      <w:pPr>
        <w:pStyle w:val="43cm"/>
      </w:pPr>
    </w:p>
    <w:p w14:paraId="16CD8D76" w14:textId="78E57BF0" w:rsidR="005565C9" w:rsidRDefault="00110FB2">
      <w:pPr>
        <w:pStyle w:val="Style1"/>
      </w:pPr>
      <w:bookmarkStart w:id="5" w:name="_Ref172204151"/>
      <w:r>
        <w:t xml:space="preserve">The recommendation to add the proposed footnote was rejected by the </w:t>
      </w:r>
      <w:r w:rsidR="006A57C1">
        <w:t xml:space="preserve">CND </w:t>
      </w:r>
      <w:r>
        <w:t xml:space="preserve">at its </w:t>
      </w:r>
      <w:r w:rsidR="00244831">
        <w:t>reconvened session in December 2020.</w:t>
      </w:r>
      <w:r w:rsidR="005565C9">
        <w:t xml:space="preserve">  The significance of the </w:t>
      </w:r>
      <w:r w:rsidR="006A57C1">
        <w:t xml:space="preserve">rejection of </w:t>
      </w:r>
      <w:r w:rsidR="006A57C1">
        <w:lastRenderedPageBreak/>
        <w:t>this recommendation</w:t>
      </w:r>
      <w:r w:rsidR="00A8139F">
        <w:t xml:space="preserve"> </w:t>
      </w:r>
      <w:r w:rsidR="005565C9">
        <w:t xml:space="preserve">for the present proceedings </w:t>
      </w:r>
      <w:r w:rsidR="00A8139F">
        <w:t>is</w:t>
      </w:r>
      <w:r w:rsidR="005565C9">
        <w:t xml:space="preserve"> discussed under the next heading below</w:t>
      </w:r>
      <w:r w:rsidR="0020080D">
        <w:t xml:space="preserve"> (in particular, at paragraphs</w:t>
      </w:r>
      <w:r w:rsidR="009E0098">
        <w:t> </w:t>
      </w:r>
      <w:r w:rsidR="009E0098">
        <w:fldChar w:fldCharType="begin"/>
      </w:r>
      <w:r w:rsidR="009E0098">
        <w:instrText xml:space="preserve"> REF _Ref172140915 \n \h </w:instrText>
      </w:r>
      <w:r w:rsidR="009E0098">
        <w:fldChar w:fldCharType="separate"/>
      </w:r>
      <w:r w:rsidR="002F3281">
        <w:t>47</w:t>
      </w:r>
      <w:r w:rsidR="009E0098">
        <w:fldChar w:fldCharType="end"/>
      </w:r>
      <w:r w:rsidR="009E0098">
        <w:t xml:space="preserve"> to</w:t>
      </w:r>
      <w:r w:rsidR="004A2BA2">
        <w:t> </w:t>
      </w:r>
      <w:r w:rsidR="004A2BA2">
        <w:fldChar w:fldCharType="begin"/>
      </w:r>
      <w:r w:rsidR="004A2BA2">
        <w:instrText xml:space="preserve"> REF _Ref172453727 \n \h </w:instrText>
      </w:r>
      <w:r w:rsidR="004A2BA2">
        <w:fldChar w:fldCharType="separate"/>
      </w:r>
      <w:r w:rsidR="002F3281">
        <w:t>51</w:t>
      </w:r>
      <w:r w:rsidR="004A2BA2">
        <w:fldChar w:fldCharType="end"/>
      </w:r>
      <w:r w:rsidR="0020080D">
        <w:t>)</w:t>
      </w:r>
      <w:r w:rsidR="00A8139F">
        <w:t>.</w:t>
      </w:r>
      <w:bookmarkEnd w:id="5"/>
    </w:p>
    <w:p w14:paraId="6E1959EC" w14:textId="77777777" w:rsidR="00DC6C0A" w:rsidRDefault="00DC6C0A" w:rsidP="00914446"/>
    <w:p w14:paraId="1472CBB5" w14:textId="77777777" w:rsidR="005565C9" w:rsidRDefault="005565C9" w:rsidP="00914446"/>
    <w:p w14:paraId="2C325A4B" w14:textId="028D8A6A" w:rsidR="00B70FC2" w:rsidRDefault="00B70FC2" w:rsidP="00B70FC2">
      <w:pPr>
        <w:pStyle w:val="Heading1"/>
      </w:pPr>
      <w:r>
        <w:t>Discussion</w:t>
      </w:r>
      <w:r w:rsidR="005925DE">
        <w:t xml:space="preserve"> of </w:t>
      </w:r>
      <w:r w:rsidR="00563919">
        <w:t>the “</w:t>
      </w:r>
      <w:r w:rsidR="00422806" w:rsidRPr="00563919">
        <w:rPr>
          <w:i/>
          <w:iCs/>
        </w:rPr>
        <w:t>f</w:t>
      </w:r>
      <w:r w:rsidR="005925DE" w:rsidRPr="00563919">
        <w:rPr>
          <w:i/>
          <w:iCs/>
        </w:rPr>
        <w:t xml:space="preserve">ree </w:t>
      </w:r>
      <w:r w:rsidR="00422806" w:rsidRPr="00563919">
        <w:rPr>
          <w:i/>
          <w:iCs/>
        </w:rPr>
        <w:t>m</w:t>
      </w:r>
      <w:r w:rsidR="005925DE" w:rsidRPr="00563919">
        <w:rPr>
          <w:i/>
          <w:iCs/>
        </w:rPr>
        <w:t xml:space="preserve">ovement of </w:t>
      </w:r>
      <w:r w:rsidR="00422806" w:rsidRPr="00563919">
        <w:rPr>
          <w:i/>
          <w:iCs/>
        </w:rPr>
        <w:t>g</w:t>
      </w:r>
      <w:r w:rsidR="005925DE" w:rsidRPr="00563919">
        <w:rPr>
          <w:i/>
          <w:iCs/>
        </w:rPr>
        <w:t>oods</w:t>
      </w:r>
      <w:r w:rsidR="00563919">
        <w:t>”</w:t>
      </w:r>
      <w:r w:rsidR="005925DE">
        <w:t xml:space="preserve"> ground</w:t>
      </w:r>
    </w:p>
    <w:p w14:paraId="70FE18C8" w14:textId="1DC57560" w:rsidR="00B70FC2" w:rsidRDefault="00E57252">
      <w:pPr>
        <w:pStyle w:val="Style1"/>
      </w:pPr>
      <w:r>
        <w:t xml:space="preserve">The </w:t>
      </w:r>
      <w:r w:rsidR="0020080D">
        <w:t xml:space="preserve">Applicant’s </w:t>
      </w:r>
      <w:r>
        <w:t>case is present</w:t>
      </w:r>
      <w:r w:rsidR="00A17ACA">
        <w:t>ed</w:t>
      </w:r>
      <w:r>
        <w:t xml:space="preserve"> at a high level of abstraction.  </w:t>
      </w:r>
      <w:r w:rsidR="009C6554">
        <w:t xml:space="preserve">The </w:t>
      </w:r>
      <w:r w:rsidR="0020080D">
        <w:t xml:space="preserve">Applicant </w:t>
      </w:r>
      <w:r w:rsidR="009C6554">
        <w:t xml:space="preserve">contends that </w:t>
      </w:r>
      <w:r w:rsidR="00B70FC2">
        <w:t xml:space="preserve">the </w:t>
      </w:r>
      <w:r w:rsidR="00781810">
        <w:t xml:space="preserve">ECJ, in its </w:t>
      </w:r>
      <w:r w:rsidR="00A17ACA">
        <w:t xml:space="preserve">judgment </w:t>
      </w:r>
      <w:r w:rsidR="008C4100">
        <w:t xml:space="preserve">in </w:t>
      </w:r>
      <w:r w:rsidR="008C4100" w:rsidRPr="00412AA9">
        <w:rPr>
          <w:i/>
          <w:iCs/>
        </w:rPr>
        <w:t>Kanavape</w:t>
      </w:r>
      <w:r w:rsidR="00781810">
        <w:t>,</w:t>
      </w:r>
      <w:r w:rsidR="008C4100">
        <w:t xml:space="preserve"> </w:t>
      </w:r>
      <w:r w:rsidR="00781810">
        <w:t xml:space="preserve">has determined </w:t>
      </w:r>
      <w:r w:rsidR="00B70FC2">
        <w:t xml:space="preserve">that a </w:t>
      </w:r>
      <w:r w:rsidR="000B428A">
        <w:t>CBD based product</w:t>
      </w:r>
      <w:r w:rsidR="00F6686F">
        <w:t xml:space="preserve"> </w:t>
      </w:r>
      <w:r w:rsidR="00A17ACA">
        <w:t xml:space="preserve">which contains less than 0.2 per cent THC </w:t>
      </w:r>
      <w:r w:rsidR="00F6686F">
        <w:t>is subject to the free movement of goods</w:t>
      </w:r>
      <w:r w:rsidR="00B70FC2">
        <w:t xml:space="preserve">. </w:t>
      </w:r>
      <w:r w:rsidR="00412AA9">
        <w:t xml:space="preserve"> </w:t>
      </w:r>
      <w:r w:rsidR="00B70FC2">
        <w:t xml:space="preserve">With respect, this </w:t>
      </w:r>
      <w:r w:rsidR="00A17ACA">
        <w:t xml:space="preserve">contention </w:t>
      </w:r>
      <w:r w:rsidR="00B70FC2">
        <w:t>is not well founded.  As is apparent from the passages from the Advocate General’s opinion and the ECJ’s judgment</w:t>
      </w:r>
      <w:r w:rsidR="00A17ACA">
        <w:t xml:space="preserve"> cited above</w:t>
      </w:r>
      <w:r w:rsidR="00B70FC2">
        <w:t xml:space="preserve">, the legal issue arising on the reference for a preliminary ruling </w:t>
      </w:r>
      <w:r w:rsidR="00EF65D1">
        <w:t xml:space="preserve">in </w:t>
      </w:r>
      <w:r w:rsidR="00EF65D1" w:rsidRPr="00412AA9">
        <w:rPr>
          <w:i/>
          <w:iCs/>
        </w:rPr>
        <w:t>Kanavape</w:t>
      </w:r>
      <w:r w:rsidR="00EF65D1">
        <w:t xml:space="preserve"> </w:t>
      </w:r>
      <w:r w:rsidR="00B70FC2">
        <w:t xml:space="preserve">was very narrow.  </w:t>
      </w:r>
      <w:r w:rsidR="007A2C60">
        <w:t xml:space="preserve">The reference </w:t>
      </w:r>
      <w:r w:rsidR="00607CC4">
        <w:t xml:space="preserve">turned on the </w:t>
      </w:r>
      <w:r w:rsidR="006E6424">
        <w:t xml:space="preserve">fact that the derogation, under </w:t>
      </w:r>
      <w:r w:rsidR="00607CC4">
        <w:t>French law</w:t>
      </w:r>
      <w:r w:rsidR="006E6424">
        <w:t xml:space="preserve">, was confined to </w:t>
      </w:r>
      <w:r w:rsidR="006E6424">
        <w:rPr>
          <w:lang w:eastAsia="en-US"/>
        </w:rPr>
        <w:t>the fibre and seeds</w:t>
      </w:r>
      <w:r w:rsidR="006E6424">
        <w:t xml:space="preserve"> of the cannabis plant.  </w:t>
      </w:r>
      <w:r w:rsidR="00B70FC2">
        <w:t>It ha</w:t>
      </w:r>
      <w:r w:rsidR="00563919">
        <w:t>d</w:t>
      </w:r>
      <w:r w:rsidR="00B70FC2">
        <w:t xml:space="preserve"> not been necessary for the ECJ to address the significance or otherwise of the threshold prescribed under French law in respect of the THC content of the plant variety.</w:t>
      </w:r>
      <w:r w:rsidR="00607CC4">
        <w:t xml:space="preserve">  </w:t>
      </w:r>
      <w:r w:rsidR="00651814">
        <w:t xml:space="preserve">It will be recalled that French law had required </w:t>
      </w:r>
      <w:r w:rsidR="00607CC4">
        <w:t xml:space="preserve">that the THC content </w:t>
      </w:r>
      <w:r w:rsidR="00607CC4" w:rsidRPr="00B61BFE">
        <w:t>of the plant</w:t>
      </w:r>
      <w:r w:rsidR="00607CC4">
        <w:t xml:space="preserve"> </w:t>
      </w:r>
      <w:r w:rsidR="008246F8">
        <w:t xml:space="preserve">variety </w:t>
      </w:r>
      <w:r w:rsidR="00607CC4">
        <w:t>should not exceed</w:t>
      </w:r>
      <w:r w:rsidR="00B61BFE">
        <w:t> </w:t>
      </w:r>
      <w:r w:rsidR="00607CC4">
        <w:t>0.2</w:t>
      </w:r>
      <w:r w:rsidR="00B61BFE">
        <w:t xml:space="preserve"> per</w:t>
      </w:r>
      <w:r w:rsidR="00563919">
        <w:t xml:space="preserve"> </w:t>
      </w:r>
      <w:r w:rsidR="00B61BFE">
        <w:t>cent.</w:t>
      </w:r>
    </w:p>
    <w:p w14:paraId="6ED18F22" w14:textId="1607FEC3" w:rsidR="006754E9" w:rsidRDefault="00DA469E">
      <w:pPr>
        <w:pStyle w:val="Style1"/>
      </w:pPr>
      <w:r>
        <w:t xml:space="preserve">Counsel for the </w:t>
      </w:r>
      <w:r w:rsidR="00D20032">
        <w:t xml:space="preserve">Applicant </w:t>
      </w:r>
      <w:r>
        <w:t>submits</w:t>
      </w:r>
      <w:r w:rsidR="008A290C">
        <w:t xml:space="preserve"> </w:t>
      </w:r>
      <w:r>
        <w:t xml:space="preserve">that there is </w:t>
      </w:r>
      <w:r w:rsidR="000A77A8">
        <w:t xml:space="preserve">mention made, </w:t>
      </w:r>
      <w:r w:rsidR="00540917">
        <w:t xml:space="preserve">in the narrative part of the judgment in </w:t>
      </w:r>
      <w:r w:rsidR="00540917" w:rsidRPr="003270CC">
        <w:rPr>
          <w:i/>
          <w:iCs/>
        </w:rPr>
        <w:t>Kanavape</w:t>
      </w:r>
      <w:r w:rsidR="000A77A8">
        <w:t>,</w:t>
      </w:r>
      <w:r w:rsidR="00540917">
        <w:t xml:space="preserve"> to </w:t>
      </w:r>
      <w:r w:rsidR="003270CC">
        <w:t xml:space="preserve">the </w:t>
      </w:r>
      <w:r w:rsidR="00ED6B98">
        <w:t xml:space="preserve">CBD based </w:t>
      </w:r>
      <w:r w:rsidR="003270CC">
        <w:t>pro</w:t>
      </w:r>
      <w:r w:rsidR="00834309">
        <w:t xml:space="preserve">duct </w:t>
      </w:r>
      <w:r w:rsidR="00ED6B98">
        <w:t xml:space="preserve">having been tested by the French authorities and </w:t>
      </w:r>
      <w:r w:rsidR="0028332E">
        <w:t xml:space="preserve">to </w:t>
      </w:r>
      <w:r w:rsidR="003270CC" w:rsidRPr="003270CC">
        <w:t xml:space="preserve">the level of THC present in the products tested </w:t>
      </w:r>
      <w:r w:rsidR="008A290C">
        <w:t xml:space="preserve">having been </w:t>
      </w:r>
      <w:r w:rsidR="003270CC" w:rsidRPr="003270CC">
        <w:t>below the legally permitted threshold</w:t>
      </w:r>
      <w:r w:rsidR="008A290C">
        <w:t xml:space="preserve">.  This submission is correct insofar as it </w:t>
      </w:r>
      <w:r w:rsidR="007949AA">
        <w:t>goes.</w:t>
      </w:r>
      <w:r w:rsidR="008A290C">
        <w:t xml:space="preserve">  Crucially, however, the</w:t>
      </w:r>
      <w:r w:rsidR="00D20032">
        <w:t xml:space="preserve"> existence of the </w:t>
      </w:r>
      <w:r w:rsidR="00047D74">
        <w:t>0.2 per</w:t>
      </w:r>
      <w:r w:rsidR="00D20032">
        <w:t xml:space="preserve"> </w:t>
      </w:r>
      <w:r w:rsidR="00047D74">
        <w:t xml:space="preserve">cent threshold </w:t>
      </w:r>
      <w:r w:rsidR="00513E39">
        <w:t xml:space="preserve">does not feature in </w:t>
      </w:r>
      <w:r w:rsidR="00047D74">
        <w:t xml:space="preserve">the operative part of the judgment.  It is simply not </w:t>
      </w:r>
      <w:r w:rsidR="00987B34">
        <w:t xml:space="preserve">an element </w:t>
      </w:r>
      <w:r w:rsidR="00047D74">
        <w:t xml:space="preserve">of the </w:t>
      </w:r>
      <w:r w:rsidR="00047D74" w:rsidRPr="00FF72C2">
        <w:rPr>
          <w:i/>
          <w:iCs/>
        </w:rPr>
        <w:t>ratio deci</w:t>
      </w:r>
      <w:r w:rsidR="00FF72C2" w:rsidRPr="00FF72C2">
        <w:rPr>
          <w:i/>
          <w:iCs/>
        </w:rPr>
        <w:t>dendi</w:t>
      </w:r>
      <w:r w:rsidR="00FF72C2">
        <w:t xml:space="preserve"> of the judgment.</w:t>
      </w:r>
      <w:r w:rsidR="004A2BA2">
        <w:t xml:space="preserve">  As explained </w:t>
      </w:r>
      <w:r w:rsidR="00DE1688">
        <w:t>at paragraphs </w:t>
      </w:r>
      <w:r w:rsidR="00DE1688">
        <w:fldChar w:fldCharType="begin"/>
      </w:r>
      <w:r w:rsidR="00DE1688">
        <w:instrText xml:space="preserve"> REF _Ref172453970 \n \h </w:instrText>
      </w:r>
      <w:r w:rsidR="00DE1688">
        <w:fldChar w:fldCharType="separate"/>
      </w:r>
      <w:r w:rsidR="002F3281">
        <w:t>25</w:t>
      </w:r>
      <w:r w:rsidR="00DE1688">
        <w:fldChar w:fldCharType="end"/>
      </w:r>
      <w:r w:rsidR="00DE1688">
        <w:t xml:space="preserve"> to</w:t>
      </w:r>
      <w:r w:rsidR="003306D0">
        <w:t> </w:t>
      </w:r>
      <w:r w:rsidR="00DE1688">
        <w:fldChar w:fldCharType="begin"/>
      </w:r>
      <w:r w:rsidR="00DE1688">
        <w:instrText xml:space="preserve"> REF _Ref172453980 \n \h </w:instrText>
      </w:r>
      <w:r w:rsidR="00DE1688">
        <w:fldChar w:fldCharType="separate"/>
      </w:r>
      <w:r w:rsidR="002F3281">
        <w:t>27</w:t>
      </w:r>
      <w:r w:rsidR="00DE1688">
        <w:fldChar w:fldCharType="end"/>
      </w:r>
      <w:r w:rsidR="003306D0">
        <w:t xml:space="preserve"> </w:t>
      </w:r>
      <w:r w:rsidR="004A2BA2">
        <w:t xml:space="preserve">above, the ECJ reworded the questions posed on the preliminary reference to narrow the issues, as had been recommended by the Advocate General. </w:t>
      </w:r>
    </w:p>
    <w:p w14:paraId="5A495DC2" w14:textId="5A1896BF" w:rsidR="00FF72C2" w:rsidRDefault="00FF72C2">
      <w:pPr>
        <w:pStyle w:val="Style1"/>
      </w:pPr>
      <w:r>
        <w:lastRenderedPageBreak/>
        <w:t xml:space="preserve">Moreover, the judgment </w:t>
      </w:r>
      <w:r w:rsidR="00987B34">
        <w:t xml:space="preserve">in </w:t>
      </w:r>
      <w:r w:rsidRPr="00FF72C2">
        <w:rPr>
          <w:i/>
          <w:iCs/>
        </w:rPr>
        <w:t>Kanavape</w:t>
      </w:r>
      <w:r>
        <w:t xml:space="preserve">, as is true of all </w:t>
      </w:r>
      <w:r w:rsidR="00CC2B59">
        <w:t xml:space="preserve">preliminary </w:t>
      </w:r>
      <w:r>
        <w:t>rulings on a reference</w:t>
      </w:r>
      <w:r w:rsidR="00CC2B59">
        <w:t xml:space="preserve"> pursuant to Article 267 TFEU</w:t>
      </w:r>
      <w:r>
        <w:t xml:space="preserve">, </w:t>
      </w:r>
      <w:r w:rsidR="006B7C04">
        <w:t xml:space="preserve">involves the determination of legal issues not factual issues.  The ECJ </w:t>
      </w:r>
      <w:r w:rsidR="00937873">
        <w:t xml:space="preserve">held that the schedules to the </w:t>
      </w:r>
      <w:r w:rsidR="00EC6BCA">
        <w:t>Single Convention on Narcotic Drugs</w:t>
      </w:r>
      <w:r w:rsidR="00937873">
        <w:t xml:space="preserve"> were to be given a purposive</w:t>
      </w:r>
      <w:r w:rsidR="00987B34">
        <w:t>,</w:t>
      </w:r>
      <w:r w:rsidR="00937873">
        <w:t xml:space="preserve"> rather than a literal</w:t>
      </w:r>
      <w:r w:rsidR="00987B34">
        <w:t>,</w:t>
      </w:r>
      <w:r w:rsidR="00937873">
        <w:t xml:space="preserve"> interpretation.  </w:t>
      </w:r>
      <w:r w:rsidR="00AE5C3D">
        <w:t xml:space="preserve">More specifically, </w:t>
      </w:r>
      <w:r w:rsidR="000E7F5F">
        <w:t xml:space="preserve">the ECJ held that </w:t>
      </w:r>
      <w:r w:rsidR="00AE5C3D">
        <w:t xml:space="preserve">it is appropriate </w:t>
      </w:r>
      <w:r w:rsidR="00AE5C3D" w:rsidRPr="00787FDC">
        <w:t xml:space="preserve">to take </w:t>
      </w:r>
      <w:r w:rsidR="000E7F5F">
        <w:t xml:space="preserve">the </w:t>
      </w:r>
      <w:r w:rsidR="00987B34">
        <w:t xml:space="preserve">stated </w:t>
      </w:r>
      <w:r w:rsidR="00AE5C3D" w:rsidRPr="00787FDC">
        <w:t>objective</w:t>
      </w:r>
      <w:r w:rsidR="00D35360">
        <w:t xml:space="preserve"> of the Convention</w:t>
      </w:r>
      <w:r w:rsidR="000E7F5F">
        <w:t xml:space="preserve">, i.e. the protection of </w:t>
      </w:r>
      <w:r w:rsidR="000E7F5F" w:rsidRPr="00787FDC">
        <w:t>the health and welfare of mankind</w:t>
      </w:r>
      <w:r w:rsidR="00D35360">
        <w:t>,</w:t>
      </w:r>
      <w:r w:rsidR="000E7F5F" w:rsidRPr="00787FDC">
        <w:t xml:space="preserve"> </w:t>
      </w:r>
      <w:r w:rsidR="00AE5C3D" w:rsidRPr="00787FDC">
        <w:t xml:space="preserve">into account when interpreting </w:t>
      </w:r>
      <w:r w:rsidR="00D35360">
        <w:t xml:space="preserve">its </w:t>
      </w:r>
      <w:r w:rsidR="00AE5C3D" w:rsidRPr="00787FDC">
        <w:t xml:space="preserve">provisions. </w:t>
      </w:r>
      <w:r w:rsidR="000E6187">
        <w:t xml:space="preserve"> </w:t>
      </w:r>
      <w:r w:rsidR="004E4A5D">
        <w:t xml:space="preserve">The ECJ </w:t>
      </w:r>
      <w:r w:rsidR="00691F3F">
        <w:t xml:space="preserve">was </w:t>
      </w:r>
      <w:r w:rsidR="004E4A5D">
        <w:t xml:space="preserve">careful to </w:t>
      </w:r>
      <w:r w:rsidR="00CC2B59">
        <w:t xml:space="preserve">acknowledge </w:t>
      </w:r>
      <w:r w:rsidR="004E4A5D">
        <w:t xml:space="preserve">that the application of this interpretation to the particular facts of the case was a matter for the </w:t>
      </w:r>
      <w:r w:rsidR="00E12DDC">
        <w:t>national court, which had made the reference</w:t>
      </w:r>
      <w:r w:rsidR="00691F3F">
        <w:t xml:space="preserve"> for a preliminary ruling</w:t>
      </w:r>
      <w:r w:rsidR="00E12DDC">
        <w:t xml:space="preserve">, to verify.  Put shortly, the ECJ left it to the French court to decide </w:t>
      </w:r>
      <w:r w:rsidR="000E6187">
        <w:t>whether</w:t>
      </w:r>
      <w:r w:rsidR="00E12DDC">
        <w:t xml:space="preserve">, </w:t>
      </w:r>
      <w:r w:rsidR="00E12DDC" w:rsidRPr="000E6187">
        <w:rPr>
          <w:i/>
          <w:iCs/>
        </w:rPr>
        <w:t>as a matter of fact</w:t>
      </w:r>
      <w:r w:rsidR="00E12DDC">
        <w:t xml:space="preserve">, the substance at issue in that case </w:t>
      </w:r>
      <w:r w:rsidR="00145A15">
        <w:t xml:space="preserve">would be </w:t>
      </w:r>
      <w:r w:rsidR="00E12DDC">
        <w:t>harmful</w:t>
      </w:r>
      <w:r w:rsidR="00F65B2A">
        <w:t xml:space="preserve"> to human health</w:t>
      </w:r>
      <w:r w:rsidR="00DB3D25">
        <w:t xml:space="preserve"> </w:t>
      </w:r>
      <w:r w:rsidR="00DB3D25" w:rsidRPr="00DB3D25">
        <w:t>having regard to the current state of scientific knowledge</w:t>
      </w:r>
      <w:r w:rsidR="00E12DDC">
        <w:t xml:space="preserve">.  </w:t>
      </w:r>
      <w:r w:rsidR="00CF7DD9">
        <w:t xml:space="preserve">Certainly, the </w:t>
      </w:r>
      <w:r w:rsidR="00F65B2A">
        <w:t>ECJ did</w:t>
      </w:r>
      <w:r w:rsidR="00A14A90">
        <w:t xml:space="preserve"> </w:t>
      </w:r>
      <w:r w:rsidR="00F65B2A">
        <w:t xml:space="preserve">not purport to make a finding of fact, of general application, that </w:t>
      </w:r>
      <w:r w:rsidR="00E515AE">
        <w:t xml:space="preserve">a </w:t>
      </w:r>
      <w:r w:rsidR="007247F3">
        <w:t xml:space="preserve">substance which </w:t>
      </w:r>
      <w:r w:rsidR="00A14A90">
        <w:t xml:space="preserve">contains less than </w:t>
      </w:r>
      <w:r w:rsidR="00E515AE">
        <w:t xml:space="preserve">0.2 per cent </w:t>
      </w:r>
      <w:r w:rsidR="007247F3">
        <w:t>THC</w:t>
      </w:r>
      <w:r w:rsidR="009B7A74">
        <w:t xml:space="preserve"> </w:t>
      </w:r>
      <w:r w:rsidR="00A14A90">
        <w:t xml:space="preserve">does not </w:t>
      </w:r>
      <w:r w:rsidR="009B7A74" w:rsidRPr="009B7A74">
        <w:t xml:space="preserve">present an unacceptable risk to </w:t>
      </w:r>
      <w:r w:rsidR="00CF7DD9">
        <w:t xml:space="preserve">human </w:t>
      </w:r>
      <w:r w:rsidR="009B7A74" w:rsidRPr="009B7A74">
        <w:t>health</w:t>
      </w:r>
      <w:r w:rsidR="007247F3">
        <w:t>.</w:t>
      </w:r>
    </w:p>
    <w:p w14:paraId="201C43DC" w14:textId="13D5A230" w:rsidR="00F425E6" w:rsidRDefault="00792FBD">
      <w:pPr>
        <w:pStyle w:val="Style1"/>
      </w:pPr>
      <w:r>
        <w:t xml:space="preserve">It should be noted that even if </w:t>
      </w:r>
      <w:r w:rsidRPr="00CA2D1E">
        <w:rPr>
          <w:i/>
          <w:iCs/>
        </w:rPr>
        <w:t>Kanavape</w:t>
      </w:r>
      <w:r>
        <w:t xml:space="preserve"> were authority for the </w:t>
      </w:r>
      <w:r w:rsidR="00465BFD">
        <w:t xml:space="preserve">asserted </w:t>
      </w:r>
      <w:r w:rsidR="0022345A">
        <w:t>proposition</w:t>
      </w:r>
      <w:r>
        <w:t xml:space="preserve">, this </w:t>
      </w:r>
      <w:r w:rsidR="0022345A">
        <w:t>would</w:t>
      </w:r>
      <w:r>
        <w:t xml:space="preserve"> not </w:t>
      </w:r>
      <w:r w:rsidR="0022345A">
        <w:t>necessarily</w:t>
      </w:r>
      <w:r>
        <w:t xml:space="preserve"> avail the </w:t>
      </w:r>
      <w:r w:rsidR="00E13564">
        <w:t>Applicant</w:t>
      </w:r>
      <w:r>
        <w:t>.  This is because the 0.2</w:t>
      </w:r>
      <w:r w:rsidR="00465BFD">
        <w:t xml:space="preserve"> per cent </w:t>
      </w:r>
      <w:r>
        <w:t xml:space="preserve">threshold </w:t>
      </w:r>
      <w:r w:rsidR="00DD0FFE">
        <w:t xml:space="preserve">mentioned by the referring court had been </w:t>
      </w:r>
      <w:r>
        <w:t xml:space="preserve">applicable </w:t>
      </w:r>
      <w:r w:rsidR="00DD0FFE">
        <w:t xml:space="preserve">solely </w:t>
      </w:r>
      <w:r>
        <w:t xml:space="preserve">to the </w:t>
      </w:r>
      <w:r w:rsidRPr="00E13564">
        <w:rPr>
          <w:i/>
          <w:iCs/>
        </w:rPr>
        <w:t>plant variety</w:t>
      </w:r>
      <w:r>
        <w:t xml:space="preserve"> from which the cannabis has been extracted: it is not a threshold for the </w:t>
      </w:r>
      <w:r w:rsidR="0022345A">
        <w:t xml:space="preserve">finished product.  This distinction appears to have </w:t>
      </w:r>
      <w:r w:rsidR="00DD0FFE">
        <w:t xml:space="preserve">been </w:t>
      </w:r>
      <w:r w:rsidR="0022345A">
        <w:t>missed</w:t>
      </w:r>
      <w:r w:rsidR="00CA2D1E">
        <w:t>,</w:t>
      </w:r>
      <w:r w:rsidR="0022345A">
        <w:t xml:space="preserve"> initially</w:t>
      </w:r>
      <w:r w:rsidR="00CA2D1E">
        <w:t>,</w:t>
      </w:r>
      <w:r w:rsidR="0022345A">
        <w:t xml:space="preserve"> by the French custom authorities and it became necessary for the </w:t>
      </w:r>
      <w:r w:rsidR="005C7F19">
        <w:t xml:space="preserve">French </w:t>
      </w:r>
      <w:r w:rsidR="005C7F19" w:rsidRPr="005C7F19">
        <w:t xml:space="preserve">Ministry of Justice </w:t>
      </w:r>
      <w:r w:rsidR="0022345A">
        <w:t xml:space="preserve">to issue </w:t>
      </w:r>
      <w:r w:rsidR="00F425E6">
        <w:t xml:space="preserve">the following </w:t>
      </w:r>
      <w:r w:rsidR="0022345A">
        <w:t>guidance in July 2018</w:t>
      </w:r>
      <w:r w:rsidR="00F425E6">
        <w:t>:</w:t>
      </w:r>
      <w:r w:rsidR="0022345A">
        <w:t xml:space="preserve"> </w:t>
      </w:r>
    </w:p>
    <w:p w14:paraId="569F67FB" w14:textId="67D95B30" w:rsidR="00F425E6" w:rsidRDefault="00F425E6" w:rsidP="00F425E6">
      <w:pPr>
        <w:pStyle w:val="43cm"/>
      </w:pPr>
      <w:r>
        <w:t>“</w:t>
      </w:r>
      <w:r w:rsidRPr="00F425E6">
        <w:t>Contrary to the argument sometimes put forward by establishments offering cannabidiol-based products for sale, the authorised delta-9-tetrahydrocannabinol content of 0.2% applies to the cannabis plant and not to the finished product resulting from it.</w:t>
      </w:r>
      <w:r>
        <w:t>”</w:t>
      </w:r>
    </w:p>
    <w:p w14:paraId="57CC62EC" w14:textId="77777777" w:rsidR="00F425E6" w:rsidRDefault="00F425E6" w:rsidP="00F425E6">
      <w:pPr>
        <w:pStyle w:val="43cm"/>
      </w:pPr>
    </w:p>
    <w:p w14:paraId="7F0CC490" w14:textId="6E83654D" w:rsidR="00E12DDC" w:rsidRDefault="00CD48B7">
      <w:pPr>
        <w:pStyle w:val="Style1"/>
      </w:pPr>
      <w:r>
        <w:lastRenderedPageBreak/>
        <w:t xml:space="preserve">It follows that the </w:t>
      </w:r>
      <w:r w:rsidR="003C704A">
        <w:t xml:space="preserve">proposition which the Applicant seeks to advance, namely that </w:t>
      </w:r>
      <w:r>
        <w:t xml:space="preserve">the supposed </w:t>
      </w:r>
      <w:r w:rsidR="005475C3">
        <w:t xml:space="preserve">0.2 per cent threshold </w:t>
      </w:r>
      <w:r>
        <w:t xml:space="preserve">is </w:t>
      </w:r>
      <w:r w:rsidR="005475C3">
        <w:t xml:space="preserve">referable to the </w:t>
      </w:r>
      <w:r w:rsidR="005475C3" w:rsidRPr="00CD48B7">
        <w:rPr>
          <w:i/>
          <w:iCs/>
        </w:rPr>
        <w:t>finish</w:t>
      </w:r>
      <w:r w:rsidR="008246F8" w:rsidRPr="00CD48B7">
        <w:rPr>
          <w:i/>
          <w:iCs/>
        </w:rPr>
        <w:t>ed</w:t>
      </w:r>
      <w:r w:rsidR="005475C3" w:rsidRPr="00CD48B7">
        <w:rPr>
          <w:i/>
          <w:iCs/>
        </w:rPr>
        <w:t xml:space="preserve"> products</w:t>
      </w:r>
      <w:r>
        <w:t>,</w:t>
      </w:r>
      <w:r w:rsidR="005475C3">
        <w:t xml:space="preserve"> is simply not borne out by the judgment in </w:t>
      </w:r>
      <w:r w:rsidR="005475C3" w:rsidRPr="00F425E6">
        <w:rPr>
          <w:i/>
          <w:iCs/>
        </w:rPr>
        <w:t>Kanavape</w:t>
      </w:r>
      <w:r w:rsidR="005475C3">
        <w:t>, on even the most generous reading.</w:t>
      </w:r>
    </w:p>
    <w:p w14:paraId="36693F5F" w14:textId="632889D4" w:rsidR="00E262C6" w:rsidRDefault="00E262C6">
      <w:pPr>
        <w:pStyle w:val="Style1"/>
      </w:pPr>
      <w:r>
        <w:t xml:space="preserve">(For completeness, it should be noted that no admissible evidence has been adduced in these judicial review proceedings to suggest that the </w:t>
      </w:r>
      <w:r w:rsidRPr="00DD0FFE">
        <w:rPr>
          <w:i/>
          <w:iCs/>
        </w:rPr>
        <w:t>finished products</w:t>
      </w:r>
      <w:r>
        <w:t>, which had been seized from the Applicant’s business premises, had a THC content of less than 0.2 per cent).</w:t>
      </w:r>
    </w:p>
    <w:p w14:paraId="5F09B727" w14:textId="1B349247" w:rsidR="00B70FC2" w:rsidRDefault="00F25234" w:rsidP="00B70FC2">
      <w:pPr>
        <w:pStyle w:val="Style1"/>
      </w:pPr>
      <w:r>
        <w:rPr>
          <w:lang w:eastAsia="en-US"/>
        </w:rPr>
        <w:t>A</w:t>
      </w:r>
      <w:r w:rsidR="00B70FC2">
        <w:rPr>
          <w:lang w:eastAsia="en-US"/>
        </w:rPr>
        <w:t xml:space="preserve">n argument in almost identical terms to that pursued in these proceedings has previously been rejected in </w:t>
      </w:r>
      <w:r w:rsidR="00B70FC2" w:rsidRPr="0000436C">
        <w:rPr>
          <w:i/>
          <w:iCs/>
          <w:lang w:eastAsia="en-US"/>
        </w:rPr>
        <w:t>Bogusas v. Minister for Health</w:t>
      </w:r>
      <w:r w:rsidR="00B70FC2">
        <w:rPr>
          <w:lang w:eastAsia="en-US"/>
        </w:rPr>
        <w:t xml:space="preserve"> </w:t>
      </w:r>
      <w:r w:rsidR="00B70FC2" w:rsidRPr="0000436C">
        <w:rPr>
          <w:lang w:eastAsia="en-US"/>
        </w:rPr>
        <w:t>[2022]</w:t>
      </w:r>
      <w:r w:rsidR="00B70FC2">
        <w:rPr>
          <w:lang w:eastAsia="en-US"/>
        </w:rPr>
        <w:t> </w:t>
      </w:r>
      <w:r w:rsidR="00B70FC2" w:rsidRPr="0000436C">
        <w:rPr>
          <w:lang w:eastAsia="en-US"/>
        </w:rPr>
        <w:t>IEHC</w:t>
      </w:r>
      <w:r w:rsidR="00B70FC2">
        <w:rPr>
          <w:lang w:eastAsia="en-US"/>
        </w:rPr>
        <w:t> </w:t>
      </w:r>
      <w:r w:rsidR="00B70FC2" w:rsidRPr="0000436C">
        <w:rPr>
          <w:lang w:eastAsia="en-US"/>
        </w:rPr>
        <w:t>621</w:t>
      </w:r>
      <w:r w:rsidR="00B70FC2">
        <w:rPr>
          <w:lang w:eastAsia="en-US"/>
        </w:rPr>
        <w:t xml:space="preserve">.  The High Court (Owens J.) held that the ECJ </w:t>
      </w:r>
      <w:r w:rsidR="00662302">
        <w:rPr>
          <w:lang w:eastAsia="en-US"/>
        </w:rPr>
        <w:t xml:space="preserve">in </w:t>
      </w:r>
      <w:r w:rsidR="00662302" w:rsidRPr="00662302">
        <w:rPr>
          <w:i/>
          <w:iCs/>
          <w:lang w:eastAsia="en-US"/>
        </w:rPr>
        <w:t>Kanavape</w:t>
      </w:r>
      <w:r w:rsidR="00662302">
        <w:rPr>
          <w:lang w:eastAsia="en-US"/>
        </w:rPr>
        <w:t xml:space="preserve"> </w:t>
      </w:r>
      <w:r w:rsidR="00B70FC2" w:rsidRPr="00897F27">
        <w:rPr>
          <w:lang w:eastAsia="en-US"/>
        </w:rPr>
        <w:t>did not conclude as a fact that THC is not a harmful drug</w:t>
      </w:r>
      <w:r w:rsidR="00B70FC2">
        <w:rPr>
          <w:lang w:eastAsia="en-US"/>
        </w:rPr>
        <w:t xml:space="preserve"> or </w:t>
      </w:r>
      <w:r w:rsidR="00B70FC2" w:rsidRPr="00897F27">
        <w:rPr>
          <w:lang w:eastAsia="en-US"/>
        </w:rPr>
        <w:t>harmful product</w:t>
      </w:r>
      <w:r w:rsidR="00B70FC2">
        <w:rPr>
          <w:lang w:eastAsia="en-US"/>
        </w:rPr>
        <w:t xml:space="preserve">.  </w:t>
      </w:r>
      <w:r w:rsidR="003E5878">
        <w:rPr>
          <w:lang w:eastAsia="en-US"/>
        </w:rPr>
        <w:t>(See</w:t>
      </w:r>
      <w:proofErr w:type="gramStart"/>
      <w:r w:rsidR="003E5878">
        <w:rPr>
          <w:lang w:eastAsia="en-US"/>
        </w:rPr>
        <w:t xml:space="preserve">, </w:t>
      </w:r>
      <w:r w:rsidR="003E5878" w:rsidRPr="006F7887">
        <w:rPr>
          <w:lang w:eastAsia="en-US"/>
        </w:rPr>
        <w:t xml:space="preserve">in particular, </w:t>
      </w:r>
      <w:r w:rsidR="003E5878" w:rsidRPr="006F7887">
        <w:rPr>
          <w:lang w:val="en-GB" w:eastAsia="en-GB"/>
        </w:rPr>
        <w:t>para</w:t>
      </w:r>
      <w:r w:rsidR="003E5878">
        <w:rPr>
          <w:lang w:val="en-GB" w:eastAsia="en-GB"/>
        </w:rPr>
        <w:t>graphs</w:t>
      </w:r>
      <w:proofErr w:type="gramEnd"/>
      <w:r w:rsidR="003E5878">
        <w:rPr>
          <w:lang w:val="en-GB" w:eastAsia="en-GB"/>
        </w:rPr>
        <w:t> </w:t>
      </w:r>
      <w:r w:rsidR="003E5878" w:rsidRPr="006F7887">
        <w:rPr>
          <w:lang w:eastAsia="en-US"/>
        </w:rPr>
        <w:t>114 to</w:t>
      </w:r>
      <w:r w:rsidR="003E5878">
        <w:rPr>
          <w:lang w:eastAsia="en-US"/>
        </w:rPr>
        <w:t> </w:t>
      </w:r>
      <w:r w:rsidR="003E5878" w:rsidRPr="006F7887">
        <w:rPr>
          <w:lang w:eastAsia="en-US"/>
        </w:rPr>
        <w:t>117</w:t>
      </w:r>
      <w:r w:rsidR="003E5878">
        <w:rPr>
          <w:lang w:eastAsia="en-US"/>
        </w:rPr>
        <w:t xml:space="preserve"> of the judgment).  </w:t>
      </w:r>
      <w:r w:rsidR="00B70FC2">
        <w:rPr>
          <w:lang w:eastAsia="en-US"/>
        </w:rPr>
        <w:t xml:space="preserve">Owens J. also rejected the submission that the </w:t>
      </w:r>
      <w:r w:rsidR="00EC6BCA">
        <w:rPr>
          <w:lang w:eastAsia="en-US"/>
        </w:rPr>
        <w:t>Single Convention on Narcotic Drugs</w:t>
      </w:r>
      <w:r w:rsidR="00B70FC2" w:rsidRPr="00897F27">
        <w:rPr>
          <w:lang w:eastAsia="en-US"/>
        </w:rPr>
        <w:t xml:space="preserve"> permitted </w:t>
      </w:r>
      <w:r w:rsidR="00B70FC2">
        <w:rPr>
          <w:lang w:eastAsia="en-US"/>
        </w:rPr>
        <w:t xml:space="preserve">the </w:t>
      </w:r>
      <w:r w:rsidR="00B70FC2" w:rsidRPr="00897F27">
        <w:rPr>
          <w:lang w:eastAsia="en-US"/>
        </w:rPr>
        <w:t xml:space="preserve">marketing to the public </w:t>
      </w:r>
      <w:r w:rsidR="00B70FC2">
        <w:rPr>
          <w:lang w:eastAsia="en-US"/>
        </w:rPr>
        <w:t xml:space="preserve">of </w:t>
      </w:r>
      <w:r w:rsidR="00B70FC2" w:rsidRPr="00897F27">
        <w:rPr>
          <w:lang w:eastAsia="en-US"/>
        </w:rPr>
        <w:t>Schedule</w:t>
      </w:r>
      <w:r w:rsidR="00B70FC2">
        <w:rPr>
          <w:lang w:eastAsia="en-US"/>
        </w:rPr>
        <w:t> </w:t>
      </w:r>
      <w:r w:rsidR="00B70FC2" w:rsidRPr="00897F27">
        <w:rPr>
          <w:lang w:eastAsia="en-US"/>
        </w:rPr>
        <w:t>I psychoactive drugs in preparations which contain small quantities of such drugs</w:t>
      </w:r>
      <w:r w:rsidR="00B70FC2">
        <w:rPr>
          <w:lang w:eastAsia="en-US"/>
        </w:rPr>
        <w:t>.</w:t>
      </w:r>
    </w:p>
    <w:p w14:paraId="1300A94B" w14:textId="0A9E5D59" w:rsidR="006B641F" w:rsidRDefault="004B5890" w:rsidP="00B16BBD">
      <w:pPr>
        <w:pStyle w:val="Style1"/>
        <w:numPr>
          <w:ilvl w:val="0"/>
          <w:numId w:val="4"/>
        </w:numPr>
        <w:ind w:left="567" w:hanging="567"/>
        <w:rPr>
          <w:lang w:eastAsia="en-US"/>
        </w:rPr>
      </w:pPr>
      <w:r w:rsidRPr="006F7887">
        <w:rPr>
          <w:lang w:eastAsia="en-US"/>
        </w:rPr>
        <w:t xml:space="preserve">The </w:t>
      </w:r>
      <w:r w:rsidR="00E60FA6" w:rsidRPr="006F7887">
        <w:rPr>
          <w:lang w:eastAsia="en-US"/>
        </w:rPr>
        <w:t xml:space="preserve">Applicant </w:t>
      </w:r>
      <w:r w:rsidRPr="006F7887">
        <w:rPr>
          <w:lang w:eastAsia="en-US"/>
        </w:rPr>
        <w:t xml:space="preserve">in the present case seeks to argue that the judgment of </w:t>
      </w:r>
      <w:r w:rsidRPr="00FE6030">
        <w:rPr>
          <w:lang w:val="en-GB" w:eastAsia="en-GB"/>
        </w:rPr>
        <w:t>Owens</w:t>
      </w:r>
      <w:r w:rsidR="00E60FA6" w:rsidRPr="00FE6030">
        <w:rPr>
          <w:lang w:val="en-GB" w:eastAsia="en-GB"/>
        </w:rPr>
        <w:t> </w:t>
      </w:r>
      <w:r w:rsidRPr="006F7887">
        <w:rPr>
          <w:lang w:eastAsia="en-US"/>
        </w:rPr>
        <w:t>J</w:t>
      </w:r>
      <w:r w:rsidR="00E60FA6">
        <w:rPr>
          <w:lang w:eastAsia="en-US"/>
        </w:rPr>
        <w:t>.</w:t>
      </w:r>
      <w:r w:rsidRPr="006F7887">
        <w:rPr>
          <w:lang w:eastAsia="en-US"/>
        </w:rPr>
        <w:t xml:space="preserve"> </w:t>
      </w:r>
      <w:r w:rsidRPr="005571E4">
        <w:rPr>
          <w:lang w:eastAsia="en-US"/>
        </w:rPr>
        <w:t xml:space="preserve">was incorrectly decided. </w:t>
      </w:r>
      <w:r w:rsidR="00E60FA6" w:rsidRPr="005571E4">
        <w:rPr>
          <w:lang w:eastAsia="en-US"/>
        </w:rPr>
        <w:t xml:space="preserve"> </w:t>
      </w:r>
      <w:r w:rsidR="00240FA2" w:rsidRPr="005571E4">
        <w:rPr>
          <w:lang w:eastAsia="en-US"/>
        </w:rPr>
        <w:t xml:space="preserve">This court </w:t>
      </w:r>
      <w:r w:rsidRPr="005571E4">
        <w:rPr>
          <w:lang w:eastAsia="en-US"/>
        </w:rPr>
        <w:t>is invited</w:t>
      </w:r>
      <w:r w:rsidR="00240FA2" w:rsidRPr="005571E4">
        <w:rPr>
          <w:lang w:eastAsia="en-US"/>
        </w:rPr>
        <w:t xml:space="preserve"> </w:t>
      </w:r>
      <w:r w:rsidRPr="005571E4">
        <w:rPr>
          <w:lang w:eastAsia="en-US"/>
        </w:rPr>
        <w:t>to refuse to follow the judgment</w:t>
      </w:r>
      <w:r w:rsidR="00240FA2" w:rsidRPr="005571E4">
        <w:rPr>
          <w:lang w:eastAsia="en-US"/>
        </w:rPr>
        <w:t xml:space="preserve"> in </w:t>
      </w:r>
      <w:r w:rsidR="00240FA2" w:rsidRPr="00FE6030">
        <w:rPr>
          <w:i/>
          <w:iCs/>
          <w:lang w:eastAsia="en-US"/>
        </w:rPr>
        <w:t>Bogusas v. Minister for Health</w:t>
      </w:r>
      <w:r w:rsidRPr="005571E4">
        <w:rPr>
          <w:lang w:eastAsia="en-US"/>
        </w:rPr>
        <w:t xml:space="preserve">. </w:t>
      </w:r>
      <w:r w:rsidR="000C30A1" w:rsidRPr="005571E4">
        <w:rPr>
          <w:lang w:eastAsia="en-US"/>
        </w:rPr>
        <w:t xml:space="preserve"> </w:t>
      </w:r>
      <w:r w:rsidRPr="005571E4">
        <w:rPr>
          <w:lang w:eastAsia="en-US"/>
        </w:rPr>
        <w:t xml:space="preserve">Before this could happen, </w:t>
      </w:r>
      <w:r w:rsidR="00065433">
        <w:rPr>
          <w:lang w:eastAsia="en-US"/>
        </w:rPr>
        <w:t xml:space="preserve">this </w:t>
      </w:r>
      <w:r w:rsidRPr="00FE6030">
        <w:rPr>
          <w:lang w:val="en-GB" w:eastAsia="en-GB"/>
        </w:rPr>
        <w:t xml:space="preserve">court </w:t>
      </w:r>
      <w:r w:rsidRPr="005571E4">
        <w:rPr>
          <w:lang w:eastAsia="en-US"/>
        </w:rPr>
        <w:t xml:space="preserve">would have to be satisfied that the </w:t>
      </w:r>
      <w:r w:rsidR="00065433">
        <w:rPr>
          <w:lang w:eastAsia="en-US"/>
        </w:rPr>
        <w:t xml:space="preserve">criteria </w:t>
      </w:r>
      <w:r w:rsidRPr="005571E4">
        <w:rPr>
          <w:lang w:eastAsia="en-US"/>
        </w:rPr>
        <w:t xml:space="preserve">identified in </w:t>
      </w:r>
      <w:r w:rsidR="00632FB8" w:rsidRPr="00FE6030">
        <w:rPr>
          <w:rStyle w:val="user-highlighted-active"/>
          <w:i/>
          <w:iCs/>
          <w:color w:val="333333"/>
          <w:shd w:val="clear" w:color="auto" w:fill="FFFFFF"/>
        </w:rPr>
        <w:t xml:space="preserve">Re Worldport Ireland </w:t>
      </w:r>
      <w:r w:rsidR="00C54521" w:rsidRPr="00FE6030">
        <w:rPr>
          <w:rStyle w:val="user-highlighted-active"/>
          <w:i/>
          <w:iCs/>
          <w:color w:val="333333"/>
          <w:shd w:val="clear" w:color="auto" w:fill="FFFFFF"/>
        </w:rPr>
        <w:t xml:space="preserve">Ltd </w:t>
      </w:r>
      <w:r w:rsidR="00B27949" w:rsidRPr="00FE6030">
        <w:rPr>
          <w:rStyle w:val="user-highlighted-active"/>
          <w:color w:val="333333"/>
          <w:shd w:val="clear" w:color="auto" w:fill="FFFFFF"/>
        </w:rPr>
        <w:t>[</w:t>
      </w:r>
      <w:r w:rsidR="005571E4" w:rsidRPr="00FE6030">
        <w:rPr>
          <w:rStyle w:val="user-highlighted-active"/>
          <w:color w:val="333333"/>
          <w:shd w:val="clear" w:color="auto" w:fill="FFFFFF"/>
        </w:rPr>
        <w:t>2005</w:t>
      </w:r>
      <w:r w:rsidR="00B27949" w:rsidRPr="00FE6030">
        <w:rPr>
          <w:rStyle w:val="user-highlighted-active"/>
          <w:color w:val="333333"/>
          <w:shd w:val="clear" w:color="auto" w:fill="FFFFFF"/>
        </w:rPr>
        <w:t>] IEHC </w:t>
      </w:r>
      <w:r w:rsidR="005571E4" w:rsidRPr="00FE6030">
        <w:rPr>
          <w:rStyle w:val="user-highlighted-active"/>
          <w:color w:val="333333"/>
          <w:shd w:val="clear" w:color="auto" w:fill="FFFFFF"/>
        </w:rPr>
        <w:t xml:space="preserve">189 </w:t>
      </w:r>
      <w:r w:rsidRPr="005571E4">
        <w:rPr>
          <w:lang w:eastAsia="en-US"/>
        </w:rPr>
        <w:t xml:space="preserve">have been met. </w:t>
      </w:r>
      <w:r w:rsidR="00AE6477" w:rsidRPr="005571E4">
        <w:rPr>
          <w:lang w:eastAsia="en-US"/>
        </w:rPr>
        <w:t xml:space="preserve"> </w:t>
      </w:r>
      <w:r w:rsidRPr="005571E4">
        <w:rPr>
          <w:lang w:eastAsia="en-US"/>
        </w:rPr>
        <w:t xml:space="preserve">These </w:t>
      </w:r>
      <w:r w:rsidR="00065433">
        <w:rPr>
          <w:lang w:eastAsia="en-US"/>
        </w:rPr>
        <w:t xml:space="preserve">criteria </w:t>
      </w:r>
      <w:r w:rsidRPr="005571E4">
        <w:rPr>
          <w:lang w:eastAsia="en-US"/>
        </w:rPr>
        <w:t xml:space="preserve">have </w:t>
      </w:r>
      <w:r w:rsidR="00DA62FF" w:rsidRPr="005571E4">
        <w:rPr>
          <w:lang w:eastAsia="en-US"/>
        </w:rPr>
        <w:t xml:space="preserve">recently been reiterated by </w:t>
      </w:r>
      <w:r w:rsidR="006B641F" w:rsidRPr="005571E4">
        <w:rPr>
          <w:lang w:eastAsia="en-US"/>
        </w:rPr>
        <w:t xml:space="preserve">the Supreme Court </w:t>
      </w:r>
      <w:r w:rsidR="005B2E47" w:rsidRPr="005571E4">
        <w:rPr>
          <w:lang w:eastAsia="en-US"/>
        </w:rPr>
        <w:t xml:space="preserve">in </w:t>
      </w:r>
      <w:r w:rsidR="005B2E47" w:rsidRPr="00FE6030">
        <w:rPr>
          <w:i/>
          <w:iCs/>
          <w:lang w:eastAsia="en-US"/>
        </w:rPr>
        <w:t>A</w:t>
      </w:r>
      <w:r w:rsidR="00065433">
        <w:rPr>
          <w:i/>
          <w:iCs/>
          <w:lang w:eastAsia="en-US"/>
        </w:rPr>
        <w:t>.</w:t>
      </w:r>
      <w:r w:rsidR="005B2E47" w:rsidRPr="00FE6030">
        <w:rPr>
          <w:i/>
          <w:iCs/>
          <w:lang w:eastAsia="en-US"/>
        </w:rPr>
        <w:t> v. Minister for Justice and Equality</w:t>
      </w:r>
      <w:r w:rsidR="005B2E47" w:rsidRPr="005571E4">
        <w:rPr>
          <w:lang w:eastAsia="en-US"/>
        </w:rPr>
        <w:t xml:space="preserve"> </w:t>
      </w:r>
      <w:r w:rsidR="00F549D9" w:rsidRPr="005571E4">
        <w:rPr>
          <w:lang w:eastAsia="en-US"/>
        </w:rPr>
        <w:t>[2020] IESC 70, [2021] 3 I.R. 140</w:t>
      </w:r>
      <w:r w:rsidR="00B27949">
        <w:rPr>
          <w:lang w:eastAsia="en-US"/>
        </w:rPr>
        <w:t xml:space="preserve">.  </w:t>
      </w:r>
      <w:r w:rsidR="00DA62FF">
        <w:rPr>
          <w:lang w:eastAsia="en-US"/>
        </w:rPr>
        <w:t xml:space="preserve">In brief, </w:t>
      </w:r>
      <w:r w:rsidR="00FE6030">
        <w:rPr>
          <w:lang w:eastAsia="en-US"/>
        </w:rPr>
        <w:t xml:space="preserve">a </w:t>
      </w:r>
      <w:r w:rsidR="006B641F" w:rsidRPr="006B641F">
        <w:rPr>
          <w:lang w:eastAsia="en-US"/>
        </w:rPr>
        <w:t>judge</w:t>
      </w:r>
      <w:r w:rsidR="00B16BBD">
        <w:rPr>
          <w:lang w:eastAsia="en-US"/>
        </w:rPr>
        <w:t xml:space="preserve"> should</w:t>
      </w:r>
      <w:r w:rsidR="00FE6030">
        <w:rPr>
          <w:lang w:eastAsia="en-US"/>
        </w:rPr>
        <w:t>,</w:t>
      </w:r>
      <w:r w:rsidR="00FE6030" w:rsidRPr="006B641F">
        <w:rPr>
          <w:lang w:eastAsia="en-US"/>
        </w:rPr>
        <w:t xml:space="preserve"> </w:t>
      </w:r>
      <w:proofErr w:type="gramStart"/>
      <w:r w:rsidR="00FE6030" w:rsidRPr="006B641F">
        <w:rPr>
          <w:lang w:eastAsia="en-US"/>
        </w:rPr>
        <w:t>as a general rule</w:t>
      </w:r>
      <w:proofErr w:type="gramEnd"/>
      <w:r w:rsidR="00FE6030">
        <w:rPr>
          <w:lang w:eastAsia="en-US"/>
        </w:rPr>
        <w:t>,</w:t>
      </w:r>
      <w:r w:rsidR="00B16BBD">
        <w:rPr>
          <w:lang w:eastAsia="en-US"/>
        </w:rPr>
        <w:t xml:space="preserve"> follow </w:t>
      </w:r>
      <w:r w:rsidR="006B641F" w:rsidRPr="006B641F">
        <w:rPr>
          <w:lang w:eastAsia="en-US"/>
        </w:rPr>
        <w:t xml:space="preserve">a decision of a colleague </w:t>
      </w:r>
      <w:r w:rsidR="00B16BBD" w:rsidRPr="006B641F">
        <w:rPr>
          <w:lang w:eastAsia="en-US"/>
        </w:rPr>
        <w:t xml:space="preserve">of the same jurisdiction </w:t>
      </w:r>
      <w:r w:rsidR="006B641F" w:rsidRPr="006B641F">
        <w:rPr>
          <w:lang w:eastAsia="en-US"/>
        </w:rPr>
        <w:t xml:space="preserve">unless there is a clear basis for departing from that </w:t>
      </w:r>
      <w:r w:rsidR="00065433">
        <w:rPr>
          <w:lang w:eastAsia="en-US"/>
        </w:rPr>
        <w:t xml:space="preserve">earlier </w:t>
      </w:r>
      <w:r w:rsidR="006B641F" w:rsidRPr="006B641F">
        <w:rPr>
          <w:lang w:eastAsia="en-US"/>
        </w:rPr>
        <w:t>decision.</w:t>
      </w:r>
      <w:r w:rsidR="006B641F">
        <w:rPr>
          <w:lang w:eastAsia="en-US"/>
        </w:rPr>
        <w:t xml:space="preserve">  </w:t>
      </w:r>
      <w:r w:rsidR="00DA62FF" w:rsidRPr="00DA62FF">
        <w:rPr>
          <w:lang w:eastAsia="en-US"/>
        </w:rPr>
        <w:t xml:space="preserve">Amongst the circumstances where it may be appropriate for a court </w:t>
      </w:r>
      <w:r w:rsidR="00CE12E6">
        <w:rPr>
          <w:lang w:eastAsia="en-US"/>
        </w:rPr>
        <w:t xml:space="preserve">not to follow a decision of co-ordinate jurisdiction </w:t>
      </w:r>
      <w:r w:rsidR="00DA62FF" w:rsidRPr="00DA62FF">
        <w:rPr>
          <w:lang w:eastAsia="en-US"/>
        </w:rPr>
        <w:t xml:space="preserve">would </w:t>
      </w:r>
      <w:r w:rsidR="00DA62FF" w:rsidRPr="00DA62FF">
        <w:rPr>
          <w:lang w:eastAsia="en-US"/>
        </w:rPr>
        <w:lastRenderedPageBreak/>
        <w:t xml:space="preserve">be where it was clear that the </w:t>
      </w:r>
      <w:r w:rsidR="001001D8">
        <w:rPr>
          <w:lang w:eastAsia="en-US"/>
        </w:rPr>
        <w:t xml:space="preserve">earlier </w:t>
      </w:r>
      <w:r w:rsidR="00DA62FF" w:rsidRPr="00DA62FF">
        <w:rPr>
          <w:lang w:eastAsia="en-US"/>
        </w:rPr>
        <w:t xml:space="preserve">decision was not based upon a review of significant relevant authority, where there is a clear error in the </w:t>
      </w:r>
      <w:r w:rsidR="001001D8">
        <w:rPr>
          <w:lang w:eastAsia="en-US"/>
        </w:rPr>
        <w:t xml:space="preserve">earlier </w:t>
      </w:r>
      <w:r w:rsidR="00CE12E6">
        <w:rPr>
          <w:lang w:eastAsia="en-US"/>
        </w:rPr>
        <w:t>decision</w:t>
      </w:r>
      <w:r w:rsidR="00DA62FF" w:rsidRPr="00DA62FF">
        <w:rPr>
          <w:lang w:eastAsia="en-US"/>
        </w:rPr>
        <w:t>, or where the jurisprudence of the court in the relevant area might be said to have advanced in the intervening period</w:t>
      </w:r>
      <w:r w:rsidR="00F63B98">
        <w:rPr>
          <w:lang w:eastAsia="en-US"/>
        </w:rPr>
        <w:t xml:space="preserve"> since the date of delivery of the first decision</w:t>
      </w:r>
      <w:r w:rsidR="00DA62FF">
        <w:rPr>
          <w:lang w:eastAsia="en-US"/>
        </w:rPr>
        <w:t>.</w:t>
      </w:r>
    </w:p>
    <w:p w14:paraId="5727D95C" w14:textId="441019DF" w:rsidR="00DA62FF" w:rsidRPr="006F7887" w:rsidRDefault="00451BD8" w:rsidP="004B5890">
      <w:pPr>
        <w:pStyle w:val="Style1"/>
        <w:numPr>
          <w:ilvl w:val="0"/>
          <w:numId w:val="4"/>
        </w:numPr>
        <w:ind w:left="567" w:hanging="567"/>
        <w:rPr>
          <w:lang w:eastAsia="en-US"/>
        </w:rPr>
      </w:pPr>
      <w:r>
        <w:rPr>
          <w:lang w:eastAsia="en-US"/>
        </w:rPr>
        <w:t xml:space="preserve">No such circumstances arise in relation to the </w:t>
      </w:r>
      <w:r w:rsidR="001001D8">
        <w:rPr>
          <w:lang w:eastAsia="en-US"/>
        </w:rPr>
        <w:t xml:space="preserve">judgment </w:t>
      </w:r>
      <w:r>
        <w:rPr>
          <w:lang w:eastAsia="en-US"/>
        </w:rPr>
        <w:t xml:space="preserve">in </w:t>
      </w:r>
      <w:r w:rsidRPr="0000436C">
        <w:rPr>
          <w:i/>
          <w:iCs/>
          <w:lang w:eastAsia="en-US"/>
        </w:rPr>
        <w:t>Bogusas v. Minister for Health</w:t>
      </w:r>
      <w:r>
        <w:rPr>
          <w:lang w:eastAsia="en-US"/>
        </w:rPr>
        <w:t xml:space="preserve">.  The judgment </w:t>
      </w:r>
      <w:r w:rsidR="0047417B">
        <w:rPr>
          <w:lang w:eastAsia="en-US"/>
        </w:rPr>
        <w:t xml:space="preserve">is closely reasoned and is predicated on a comprehensive survey of the </w:t>
      </w:r>
      <w:r w:rsidR="00B42228">
        <w:rPr>
          <w:lang w:eastAsia="en-US"/>
        </w:rPr>
        <w:t xml:space="preserve">relevant </w:t>
      </w:r>
      <w:r w:rsidR="0047417B">
        <w:rPr>
          <w:lang w:eastAsia="en-US"/>
        </w:rPr>
        <w:t>case la</w:t>
      </w:r>
      <w:r w:rsidR="00981440">
        <w:rPr>
          <w:lang w:eastAsia="en-US"/>
        </w:rPr>
        <w:t>w</w:t>
      </w:r>
      <w:r w:rsidR="00B42228">
        <w:rPr>
          <w:lang w:eastAsia="en-US"/>
        </w:rPr>
        <w:t>, statutory provisions and international conventions</w:t>
      </w:r>
      <w:r w:rsidR="00981440">
        <w:rPr>
          <w:lang w:eastAsia="en-US"/>
        </w:rPr>
        <w:t xml:space="preserve">.  The judgment </w:t>
      </w:r>
      <w:r w:rsidR="00B42228">
        <w:rPr>
          <w:lang w:eastAsia="en-US"/>
        </w:rPr>
        <w:t xml:space="preserve">is </w:t>
      </w:r>
      <w:r w:rsidR="00981440">
        <w:rPr>
          <w:lang w:eastAsia="en-US"/>
        </w:rPr>
        <w:t>of recent vintage (</w:t>
      </w:r>
      <w:r w:rsidR="004C6826">
        <w:rPr>
          <w:lang w:eastAsia="en-US"/>
        </w:rPr>
        <w:t>Octo</w:t>
      </w:r>
      <w:r w:rsidR="00981440">
        <w:rPr>
          <w:lang w:eastAsia="en-US"/>
        </w:rPr>
        <w:t xml:space="preserve">ber 2022) and there </w:t>
      </w:r>
      <w:r w:rsidR="00C22C0F">
        <w:rPr>
          <w:lang w:eastAsia="en-US"/>
        </w:rPr>
        <w:t xml:space="preserve">have </w:t>
      </w:r>
      <w:r w:rsidR="007A6FB4">
        <w:rPr>
          <w:lang w:eastAsia="en-US"/>
        </w:rPr>
        <w:t xml:space="preserve">been no </w:t>
      </w:r>
      <w:r w:rsidR="00C22C0F">
        <w:rPr>
          <w:lang w:eastAsia="en-US"/>
        </w:rPr>
        <w:t xml:space="preserve">jurisprudential changes in the interim which might </w:t>
      </w:r>
      <w:r w:rsidR="007A6FB4">
        <w:rPr>
          <w:lang w:eastAsia="en-US"/>
        </w:rPr>
        <w:t xml:space="preserve">render </w:t>
      </w:r>
      <w:r w:rsidR="00C22C0F">
        <w:rPr>
          <w:lang w:eastAsia="en-US"/>
        </w:rPr>
        <w:t xml:space="preserve">the rationale of the </w:t>
      </w:r>
      <w:r w:rsidR="001D1754">
        <w:rPr>
          <w:lang w:eastAsia="en-US"/>
        </w:rPr>
        <w:t>judgment</w:t>
      </w:r>
      <w:r w:rsidR="007A6FB4">
        <w:rPr>
          <w:lang w:eastAsia="en-US"/>
        </w:rPr>
        <w:t xml:space="preserve"> redundant</w:t>
      </w:r>
      <w:r w:rsidR="001D1754">
        <w:rPr>
          <w:lang w:eastAsia="en-US"/>
        </w:rPr>
        <w:t>.</w:t>
      </w:r>
    </w:p>
    <w:p w14:paraId="39ED599C" w14:textId="1071349A" w:rsidR="006754E9" w:rsidRDefault="004B5890" w:rsidP="00FD6B8B">
      <w:pPr>
        <w:pStyle w:val="Style1"/>
        <w:numPr>
          <w:ilvl w:val="0"/>
          <w:numId w:val="4"/>
        </w:numPr>
        <w:ind w:left="567" w:hanging="567"/>
      </w:pPr>
      <w:r w:rsidRPr="006F7887">
        <w:rPr>
          <w:lang w:eastAsia="en-US"/>
        </w:rPr>
        <w:t xml:space="preserve">Not only am I satisfied that the high threshold for refusing to follow </w:t>
      </w:r>
      <w:r w:rsidRPr="006F7887">
        <w:rPr>
          <w:lang w:val="en-GB" w:eastAsia="en-GB"/>
        </w:rPr>
        <w:t xml:space="preserve">a </w:t>
      </w:r>
      <w:r w:rsidRPr="006F7887">
        <w:rPr>
          <w:lang w:eastAsia="en-US"/>
        </w:rPr>
        <w:t xml:space="preserve">judgment </w:t>
      </w:r>
      <w:r w:rsidR="001D1754">
        <w:rPr>
          <w:lang w:eastAsia="en-US"/>
        </w:rPr>
        <w:t xml:space="preserve">of co-ordinate jurisdiction </w:t>
      </w:r>
      <w:r w:rsidRPr="006F7887">
        <w:rPr>
          <w:lang w:eastAsia="en-US"/>
        </w:rPr>
        <w:t xml:space="preserve">is not met, </w:t>
      </w:r>
      <w:r w:rsidR="0088005E">
        <w:rPr>
          <w:lang w:eastAsia="en-US"/>
        </w:rPr>
        <w:t>I am</w:t>
      </w:r>
      <w:r w:rsidR="007A6FB4">
        <w:rPr>
          <w:lang w:eastAsia="en-US"/>
        </w:rPr>
        <w:t xml:space="preserve"> also </w:t>
      </w:r>
      <w:r w:rsidR="0088005E">
        <w:rPr>
          <w:lang w:eastAsia="en-US"/>
        </w:rPr>
        <w:t xml:space="preserve">satisfied that </w:t>
      </w:r>
      <w:r w:rsidR="00E86614">
        <w:rPr>
          <w:lang w:eastAsia="en-US"/>
        </w:rPr>
        <w:t xml:space="preserve">the outcome of </w:t>
      </w:r>
      <w:r w:rsidRPr="006F7887">
        <w:rPr>
          <w:lang w:eastAsia="en-US"/>
        </w:rPr>
        <w:t xml:space="preserve">the judgment </w:t>
      </w:r>
      <w:r w:rsidR="0088005E">
        <w:rPr>
          <w:lang w:eastAsia="en-US"/>
        </w:rPr>
        <w:t xml:space="preserve">in </w:t>
      </w:r>
      <w:r w:rsidR="0088005E" w:rsidRPr="0000436C">
        <w:rPr>
          <w:i/>
          <w:iCs/>
          <w:lang w:eastAsia="en-US"/>
        </w:rPr>
        <w:t>Bogusas v. Minister for Health</w:t>
      </w:r>
      <w:r w:rsidR="0088005E" w:rsidRPr="006F7887">
        <w:rPr>
          <w:lang w:eastAsia="en-US"/>
        </w:rPr>
        <w:t xml:space="preserve"> </w:t>
      </w:r>
      <w:r w:rsidRPr="006F7887">
        <w:rPr>
          <w:lang w:eastAsia="en-US"/>
        </w:rPr>
        <w:t xml:space="preserve">is entirely correct. </w:t>
      </w:r>
      <w:r>
        <w:rPr>
          <w:lang w:eastAsia="en-US"/>
        </w:rPr>
        <w:t xml:space="preserve"> </w:t>
      </w:r>
      <w:r w:rsidRPr="006F7887">
        <w:rPr>
          <w:lang w:eastAsia="en-US"/>
        </w:rPr>
        <w:t xml:space="preserve">It involves a faithful implementation of the </w:t>
      </w:r>
      <w:r w:rsidR="00A63624">
        <w:rPr>
          <w:lang w:eastAsia="en-US"/>
        </w:rPr>
        <w:t xml:space="preserve">decision </w:t>
      </w:r>
      <w:r w:rsidRPr="006F7887">
        <w:rPr>
          <w:lang w:eastAsia="en-US"/>
        </w:rPr>
        <w:t xml:space="preserve">of the </w:t>
      </w:r>
      <w:r w:rsidR="00DE3C73">
        <w:rPr>
          <w:lang w:eastAsia="en-US"/>
        </w:rPr>
        <w:t xml:space="preserve">ECJ in </w:t>
      </w:r>
      <w:r w:rsidR="00D56AC7" w:rsidRPr="00A63624">
        <w:rPr>
          <w:i/>
          <w:iCs/>
          <w:lang w:eastAsia="en-US"/>
        </w:rPr>
        <w:t>Kanavape</w:t>
      </w:r>
      <w:r w:rsidRPr="006F7887">
        <w:rPr>
          <w:lang w:eastAsia="en-US"/>
        </w:rPr>
        <w:t>.</w:t>
      </w:r>
      <w:r w:rsidR="00AB18E7">
        <w:rPr>
          <w:lang w:eastAsia="en-US"/>
        </w:rPr>
        <w:t xml:space="preserve"> </w:t>
      </w:r>
      <w:r w:rsidR="00D742AE">
        <w:rPr>
          <w:lang w:eastAsia="en-US"/>
        </w:rPr>
        <w:t xml:space="preserve"> </w:t>
      </w:r>
    </w:p>
    <w:p w14:paraId="647C2F3F" w14:textId="0D6E932F" w:rsidR="00D720F3" w:rsidRDefault="00D720F3" w:rsidP="00FD6B8B">
      <w:pPr>
        <w:pStyle w:val="Style1"/>
        <w:numPr>
          <w:ilvl w:val="0"/>
          <w:numId w:val="4"/>
        </w:numPr>
        <w:ind w:left="567" w:hanging="567"/>
      </w:pPr>
      <w:r>
        <w:rPr>
          <w:lang w:eastAsia="en-US"/>
        </w:rPr>
        <w:t xml:space="preserve">For completeness, it should be recorded that the Applicant </w:t>
      </w:r>
      <w:r w:rsidR="00597C25">
        <w:rPr>
          <w:lang w:eastAsia="en-US"/>
        </w:rPr>
        <w:t xml:space="preserve">placed much emphasis on the </w:t>
      </w:r>
      <w:r w:rsidR="001E652E" w:rsidRPr="001E652E">
        <w:rPr>
          <w:i/>
          <w:iCs/>
          <w:lang w:eastAsia="en-US"/>
        </w:rPr>
        <w:t>ex tempore</w:t>
      </w:r>
      <w:r w:rsidR="001E652E">
        <w:rPr>
          <w:lang w:eastAsia="en-US"/>
        </w:rPr>
        <w:t xml:space="preserve"> </w:t>
      </w:r>
      <w:r w:rsidR="00597C25">
        <w:rPr>
          <w:lang w:eastAsia="en-US"/>
        </w:rPr>
        <w:t xml:space="preserve">judgment of the High Court (Egan J.) in </w:t>
      </w:r>
      <w:r w:rsidR="00CE6AA4" w:rsidRPr="00CE6AA4">
        <w:rPr>
          <w:i/>
          <w:iCs/>
          <w:lang w:eastAsia="en-US"/>
        </w:rPr>
        <w:t>Jenkins v. Director of Public Prosecutions</w:t>
      </w:r>
      <w:r w:rsidR="00CE6AA4">
        <w:rPr>
          <w:lang w:eastAsia="en-US"/>
        </w:rPr>
        <w:t xml:space="preserve"> [2022] IEHC 291.  </w:t>
      </w:r>
      <w:r w:rsidR="006013F8">
        <w:rPr>
          <w:lang w:eastAsia="en-US"/>
        </w:rPr>
        <w:t xml:space="preserve">There is no </w:t>
      </w:r>
      <w:proofErr w:type="gramStart"/>
      <w:r w:rsidR="006013F8">
        <w:rPr>
          <w:lang w:eastAsia="en-US"/>
        </w:rPr>
        <w:t>doubt</w:t>
      </w:r>
      <w:proofErr w:type="gramEnd"/>
      <w:r w:rsidR="006013F8">
        <w:rPr>
          <w:lang w:eastAsia="en-US"/>
        </w:rPr>
        <w:t xml:space="preserve"> </w:t>
      </w:r>
      <w:r w:rsidR="00145A15">
        <w:rPr>
          <w:lang w:eastAsia="en-US"/>
        </w:rPr>
        <w:t xml:space="preserve">but </w:t>
      </w:r>
      <w:r w:rsidR="006013F8">
        <w:rPr>
          <w:lang w:eastAsia="en-US"/>
        </w:rPr>
        <w:t xml:space="preserve">that </w:t>
      </w:r>
      <w:r w:rsidR="00145A15" w:rsidRPr="00145A15">
        <w:rPr>
          <w:i/>
          <w:iCs/>
          <w:lang w:eastAsia="en-US"/>
        </w:rPr>
        <w:t>Jenkins</w:t>
      </w:r>
      <w:r w:rsidR="00145A15">
        <w:rPr>
          <w:lang w:eastAsia="en-US"/>
        </w:rPr>
        <w:t xml:space="preserve"> </w:t>
      </w:r>
      <w:r w:rsidR="006013F8">
        <w:rPr>
          <w:lang w:eastAsia="en-US"/>
        </w:rPr>
        <w:t xml:space="preserve">is a comprehensive and impressive judgment.  Indeed, </w:t>
      </w:r>
      <w:r w:rsidR="00CF4141">
        <w:rPr>
          <w:lang w:eastAsia="en-US"/>
        </w:rPr>
        <w:t xml:space="preserve">it has been cited with approval by the </w:t>
      </w:r>
      <w:r w:rsidR="00D7101A">
        <w:rPr>
          <w:lang w:eastAsia="en-US"/>
        </w:rPr>
        <w:t xml:space="preserve">Court of Appeal in England and Wales: </w:t>
      </w:r>
      <w:r w:rsidR="00EB0121" w:rsidRPr="00EB0121">
        <w:rPr>
          <w:i/>
          <w:iCs/>
          <w:lang w:eastAsia="en-US"/>
        </w:rPr>
        <w:t>R. v. Margiotta</w:t>
      </w:r>
      <w:r w:rsidR="00EB0121" w:rsidRPr="00EB0121">
        <w:rPr>
          <w:lang w:eastAsia="en-US"/>
        </w:rPr>
        <w:t xml:space="preserve"> [2023]</w:t>
      </w:r>
      <w:r w:rsidR="00EB0121">
        <w:rPr>
          <w:lang w:eastAsia="en-US"/>
        </w:rPr>
        <w:t> </w:t>
      </w:r>
      <w:r w:rsidR="00EB0121" w:rsidRPr="00EB0121">
        <w:rPr>
          <w:lang w:eastAsia="en-US"/>
        </w:rPr>
        <w:t>EWCA Crim</w:t>
      </w:r>
      <w:r w:rsidR="00EB0121">
        <w:rPr>
          <w:lang w:eastAsia="en-US"/>
        </w:rPr>
        <w:t> </w:t>
      </w:r>
      <w:r w:rsidR="00EB0121" w:rsidRPr="00EB0121">
        <w:rPr>
          <w:lang w:eastAsia="en-US"/>
        </w:rPr>
        <w:t>759</w:t>
      </w:r>
      <w:r w:rsidR="00EB0121">
        <w:rPr>
          <w:lang w:eastAsia="en-US"/>
        </w:rPr>
        <w:t>.</w:t>
      </w:r>
      <w:r w:rsidR="001E652E">
        <w:rPr>
          <w:lang w:eastAsia="en-US"/>
        </w:rPr>
        <w:t xml:space="preserve">  Crucially, however, the judgment in </w:t>
      </w:r>
      <w:r w:rsidR="001E652E" w:rsidRPr="00B31449">
        <w:rPr>
          <w:i/>
          <w:iCs/>
          <w:lang w:eastAsia="en-US"/>
        </w:rPr>
        <w:t>Jenkins</w:t>
      </w:r>
      <w:r w:rsidR="001E652E">
        <w:rPr>
          <w:lang w:eastAsia="en-US"/>
        </w:rPr>
        <w:t xml:space="preserve"> was delivered in </w:t>
      </w:r>
      <w:r w:rsidR="00B31449">
        <w:rPr>
          <w:lang w:eastAsia="en-US"/>
        </w:rPr>
        <w:t>the context of an</w:t>
      </w:r>
      <w:r w:rsidR="008C0E68">
        <w:rPr>
          <w:lang w:eastAsia="en-US"/>
        </w:rPr>
        <w:t xml:space="preserve"> </w:t>
      </w:r>
      <w:r w:rsidR="00132F94">
        <w:rPr>
          <w:lang w:eastAsia="en-US"/>
        </w:rPr>
        <w:t xml:space="preserve">interlocutory </w:t>
      </w:r>
      <w:r w:rsidR="008C0E68">
        <w:rPr>
          <w:lang w:eastAsia="en-US"/>
        </w:rPr>
        <w:t xml:space="preserve">application for </w:t>
      </w:r>
      <w:r w:rsidR="00B31449">
        <w:rPr>
          <w:lang w:eastAsia="en-US"/>
        </w:rPr>
        <w:t>a stay</w:t>
      </w:r>
      <w:r w:rsidR="00132F94">
        <w:rPr>
          <w:lang w:eastAsia="en-US"/>
        </w:rPr>
        <w:t xml:space="preserve"> in relation to criminal proceedings</w:t>
      </w:r>
      <w:r w:rsidR="009623CC">
        <w:rPr>
          <w:lang w:eastAsia="en-US"/>
        </w:rPr>
        <w:t xml:space="preserve"> pending the determination of the substantive application for judicial review</w:t>
      </w:r>
      <w:r w:rsidR="00B31449">
        <w:rPr>
          <w:lang w:eastAsia="en-US"/>
        </w:rPr>
        <w:t xml:space="preserve">.  </w:t>
      </w:r>
      <w:r w:rsidR="008C0E68">
        <w:rPr>
          <w:lang w:eastAsia="en-US"/>
        </w:rPr>
        <w:t xml:space="preserve">The judgment goes no further than finding that the </w:t>
      </w:r>
      <w:r w:rsidR="00C307DD" w:rsidRPr="00C307DD">
        <w:rPr>
          <w:lang w:eastAsia="en-US"/>
        </w:rPr>
        <w:t xml:space="preserve">applicant </w:t>
      </w:r>
      <w:r w:rsidR="008C0E68">
        <w:rPr>
          <w:lang w:eastAsia="en-US"/>
        </w:rPr>
        <w:t xml:space="preserve">had </w:t>
      </w:r>
      <w:r w:rsidR="00C307DD" w:rsidRPr="00C307DD">
        <w:rPr>
          <w:lang w:eastAsia="en-US"/>
        </w:rPr>
        <w:t xml:space="preserve">established a </w:t>
      </w:r>
      <w:r w:rsidR="00012FAB">
        <w:rPr>
          <w:lang w:eastAsia="en-US"/>
        </w:rPr>
        <w:t>“</w:t>
      </w:r>
      <w:r w:rsidR="00C307DD" w:rsidRPr="00012FAB">
        <w:rPr>
          <w:i/>
          <w:iCs/>
          <w:lang w:eastAsia="en-US"/>
        </w:rPr>
        <w:t>fair issue to be tried</w:t>
      </w:r>
      <w:r w:rsidR="00012FAB">
        <w:rPr>
          <w:lang w:eastAsia="en-US"/>
        </w:rPr>
        <w:t>”</w:t>
      </w:r>
      <w:r w:rsidR="00C307DD" w:rsidRPr="00C307DD">
        <w:rPr>
          <w:lang w:eastAsia="en-US"/>
        </w:rPr>
        <w:t xml:space="preserve"> </w:t>
      </w:r>
      <w:r w:rsidR="00012FAB">
        <w:rPr>
          <w:lang w:eastAsia="en-US"/>
        </w:rPr>
        <w:t xml:space="preserve">on the question of whether </w:t>
      </w:r>
      <w:r w:rsidR="00C307DD" w:rsidRPr="00C307DD">
        <w:rPr>
          <w:lang w:eastAsia="en-US"/>
        </w:rPr>
        <w:t>the provision</w:t>
      </w:r>
      <w:r w:rsidR="002B1C68">
        <w:rPr>
          <w:lang w:eastAsia="en-US"/>
        </w:rPr>
        <w:t>s</w:t>
      </w:r>
      <w:r w:rsidR="00C307DD" w:rsidRPr="00C307DD">
        <w:rPr>
          <w:lang w:eastAsia="en-US"/>
        </w:rPr>
        <w:t xml:space="preserve"> </w:t>
      </w:r>
      <w:r w:rsidR="002B1C68">
        <w:rPr>
          <w:lang w:eastAsia="en-US"/>
        </w:rPr>
        <w:t xml:space="preserve">of </w:t>
      </w:r>
      <w:r w:rsidR="00EB0879">
        <w:rPr>
          <w:lang w:eastAsia="en-US"/>
        </w:rPr>
        <w:t xml:space="preserve">the Misuse of Drugs Act 1977 were incompatible </w:t>
      </w:r>
      <w:r w:rsidR="00C307DD" w:rsidRPr="00C307DD">
        <w:rPr>
          <w:lang w:eastAsia="en-US"/>
        </w:rPr>
        <w:t xml:space="preserve">with </w:t>
      </w:r>
      <w:r w:rsidR="0092408A">
        <w:rPr>
          <w:lang w:eastAsia="en-US"/>
        </w:rPr>
        <w:t xml:space="preserve">EU </w:t>
      </w:r>
      <w:r w:rsidR="00C307DD" w:rsidRPr="00C307DD">
        <w:rPr>
          <w:lang w:eastAsia="en-US"/>
        </w:rPr>
        <w:t>law</w:t>
      </w:r>
      <w:r w:rsidR="00012FAB">
        <w:rPr>
          <w:lang w:eastAsia="en-US"/>
        </w:rPr>
        <w:t xml:space="preserve">.  By </w:t>
      </w:r>
      <w:r w:rsidR="00012FAB">
        <w:rPr>
          <w:lang w:eastAsia="en-US"/>
        </w:rPr>
        <w:lastRenderedPageBreak/>
        <w:t xml:space="preserve">contrast, </w:t>
      </w:r>
      <w:r w:rsidR="004E01D2">
        <w:rPr>
          <w:lang w:eastAsia="en-US"/>
        </w:rPr>
        <w:t xml:space="preserve">this court is </w:t>
      </w:r>
      <w:r w:rsidR="00B94273">
        <w:rPr>
          <w:lang w:eastAsia="en-US"/>
        </w:rPr>
        <w:t xml:space="preserve">adjudicating upon </w:t>
      </w:r>
      <w:r w:rsidR="009623CC">
        <w:rPr>
          <w:lang w:eastAsia="en-US"/>
        </w:rPr>
        <w:t xml:space="preserve">a </w:t>
      </w:r>
      <w:r w:rsidR="00EA6AE5">
        <w:rPr>
          <w:lang w:eastAsia="en-US"/>
        </w:rPr>
        <w:t>substantive application for judicial review</w:t>
      </w:r>
      <w:r w:rsidR="00891BF1">
        <w:rPr>
          <w:lang w:eastAsia="en-US"/>
        </w:rPr>
        <w:t xml:space="preserve"> and is required</w:t>
      </w:r>
      <w:r w:rsidR="00793A74">
        <w:rPr>
          <w:lang w:eastAsia="en-US"/>
        </w:rPr>
        <w:t>,</w:t>
      </w:r>
      <w:r w:rsidR="00891BF1">
        <w:rPr>
          <w:lang w:eastAsia="en-US"/>
        </w:rPr>
        <w:t xml:space="preserve"> therefore</w:t>
      </w:r>
      <w:r w:rsidR="00793A74">
        <w:rPr>
          <w:lang w:eastAsia="en-US"/>
        </w:rPr>
        <w:t>,</w:t>
      </w:r>
      <w:r w:rsidR="00891BF1">
        <w:rPr>
          <w:lang w:eastAsia="en-US"/>
        </w:rPr>
        <w:t xml:space="preserve"> to make definitive findings on the legal issues</w:t>
      </w:r>
      <w:r w:rsidR="00267D6A">
        <w:rPr>
          <w:lang w:eastAsia="en-US"/>
        </w:rPr>
        <w:t xml:space="preserve"> rather than merely applying a test of arguability</w:t>
      </w:r>
      <w:r w:rsidR="00891BF1">
        <w:rPr>
          <w:lang w:eastAsia="en-US"/>
        </w:rPr>
        <w:t>.</w:t>
      </w:r>
    </w:p>
    <w:p w14:paraId="284373CE" w14:textId="17B21F76" w:rsidR="00121CEA" w:rsidRDefault="00511B52">
      <w:pPr>
        <w:pStyle w:val="Style1"/>
      </w:pPr>
      <w:bookmarkStart w:id="6" w:name="_Ref172140915"/>
      <w:r>
        <w:t xml:space="preserve">There is an additional </w:t>
      </w:r>
      <w:r w:rsidR="00A515C7">
        <w:t xml:space="preserve">reason for </w:t>
      </w:r>
      <w:r w:rsidR="00AA3E26">
        <w:t xml:space="preserve">saying </w:t>
      </w:r>
      <w:r w:rsidR="00807258">
        <w:t xml:space="preserve">that the </w:t>
      </w:r>
      <w:r w:rsidR="00A63624">
        <w:t xml:space="preserve">Applicant’s </w:t>
      </w:r>
      <w:r w:rsidR="00807258">
        <w:t xml:space="preserve">case is not well founded.  This reason relates to the events </w:t>
      </w:r>
      <w:proofErr w:type="gramStart"/>
      <w:r w:rsidR="00807258">
        <w:t>subsequent to</w:t>
      </w:r>
      <w:proofErr w:type="gramEnd"/>
      <w:r w:rsidR="00807258">
        <w:t xml:space="preserve"> the judgment in </w:t>
      </w:r>
      <w:r w:rsidR="00807258" w:rsidRPr="00E15B02">
        <w:rPr>
          <w:i/>
          <w:iCs/>
        </w:rPr>
        <w:t>Kanavape</w:t>
      </w:r>
      <w:r w:rsidR="00E15B02">
        <w:t>, namely</w:t>
      </w:r>
      <w:r w:rsidR="009E0098">
        <w:t>,</w:t>
      </w:r>
      <w:r w:rsidR="00E15B02">
        <w:t xml:space="preserve"> the rejection of proposed amendments to the </w:t>
      </w:r>
      <w:r w:rsidR="00EC6BCA">
        <w:t>Single Convention on Narcotic Drugs</w:t>
      </w:r>
      <w:r w:rsidR="00E15B02">
        <w:t>.</w:t>
      </w:r>
      <w:bookmarkEnd w:id="6"/>
      <w:r w:rsidR="00676453">
        <w:t xml:space="preserve">  </w:t>
      </w:r>
    </w:p>
    <w:p w14:paraId="366B9CBF" w14:textId="43A1516A" w:rsidR="00E24248" w:rsidRDefault="005565C9">
      <w:pPr>
        <w:pStyle w:val="Style1"/>
      </w:pPr>
      <w:r>
        <w:t xml:space="preserve">It will be recalled that the ECJ in </w:t>
      </w:r>
      <w:r w:rsidRPr="00B3052B">
        <w:rPr>
          <w:i/>
          <w:iCs/>
        </w:rPr>
        <w:t>Kanavape</w:t>
      </w:r>
      <w:r>
        <w:t xml:space="preserve"> had relied on the </w:t>
      </w:r>
      <w:r w:rsidR="006D3A7D">
        <w:t xml:space="preserve">definition </w:t>
      </w:r>
      <w:r>
        <w:t xml:space="preserve">of drugs under the </w:t>
      </w:r>
      <w:r w:rsidR="00EC6BCA">
        <w:t>Single Convention on Narcotic Drugs</w:t>
      </w:r>
      <w:r>
        <w:t xml:space="preserve"> as a proxy for determining whether a particular </w:t>
      </w:r>
      <w:r w:rsidR="00A96589">
        <w:t xml:space="preserve">substance or preparation </w:t>
      </w:r>
      <w:r>
        <w:t xml:space="preserve">attracted the principle of free movement of goods.  </w:t>
      </w:r>
      <w:r w:rsidR="00036958">
        <w:t xml:space="preserve">The Applicant misreads the judgment in </w:t>
      </w:r>
      <w:r w:rsidR="00036958" w:rsidRPr="00B3052B">
        <w:rPr>
          <w:i/>
          <w:iCs/>
        </w:rPr>
        <w:t>Kanavape</w:t>
      </w:r>
      <w:r w:rsidR="00036958">
        <w:t xml:space="preserve"> as </w:t>
      </w:r>
      <w:r w:rsidR="006D3A7D">
        <w:t xml:space="preserve">containing an implicit finding </w:t>
      </w:r>
      <w:r w:rsidR="004327C1">
        <w:t xml:space="preserve">of fact </w:t>
      </w:r>
      <w:r w:rsidR="00575F6B">
        <w:t xml:space="preserve">to the effect </w:t>
      </w:r>
      <w:r w:rsidR="006D3A7D">
        <w:t xml:space="preserve">that </w:t>
      </w:r>
      <w:r w:rsidR="00A83F04">
        <w:t xml:space="preserve">a CBD based product which contains less than 0.2 per cent THC </w:t>
      </w:r>
      <w:r w:rsidR="00601264">
        <w:t xml:space="preserve">does not come within the schedule of the </w:t>
      </w:r>
      <w:r w:rsidR="00EC6BCA">
        <w:t>Single Convention on Narcotic Drugs</w:t>
      </w:r>
      <w:r w:rsidR="0036283B">
        <w:t xml:space="preserve">.  </w:t>
      </w:r>
      <w:r w:rsidR="005D2D24">
        <w:t>For the reasons already explained, there is no such finding in the judgment.  But even if there had been such a finding</w:t>
      </w:r>
      <w:r w:rsidR="004F678F">
        <w:t>—and there is not—</w:t>
      </w:r>
      <w:r w:rsidR="005D2D24">
        <w:t xml:space="preserve">the </w:t>
      </w:r>
      <w:r w:rsidR="004F678F">
        <w:t xml:space="preserve">logic of same </w:t>
      </w:r>
      <w:r w:rsidR="000F33B0">
        <w:t xml:space="preserve">would have </w:t>
      </w:r>
      <w:r w:rsidR="004F678F">
        <w:t>been overtaken by events</w:t>
      </w:r>
      <w:r w:rsidR="00E24248">
        <w:t>, for the reasons which follow</w:t>
      </w:r>
      <w:r w:rsidR="004F678F">
        <w:t>.</w:t>
      </w:r>
    </w:p>
    <w:p w14:paraId="33111768" w14:textId="33533178" w:rsidR="00D73BDD" w:rsidRDefault="00D73BDD">
      <w:pPr>
        <w:pStyle w:val="Style1"/>
      </w:pPr>
      <w:r>
        <w:t xml:space="preserve">The </w:t>
      </w:r>
      <w:r w:rsidR="001E0A64" w:rsidRPr="001E0A64">
        <w:t>Vienna Convention of 23 May 1969 on the Law of Treaties (</w:t>
      </w:r>
      <w:r w:rsidR="001E0A64" w:rsidRPr="005F146B">
        <w:rPr>
          <w:i/>
          <w:iCs/>
        </w:rPr>
        <w:t>United Nations Treaty Series</w:t>
      </w:r>
      <w:r w:rsidR="001E0A64" w:rsidRPr="001E0A64">
        <w:t>, vol.</w:t>
      </w:r>
      <w:r w:rsidR="001E0A64">
        <w:t> </w:t>
      </w:r>
      <w:r w:rsidR="001E0A64" w:rsidRPr="001E0A64">
        <w:t>1155, p.</w:t>
      </w:r>
      <w:r w:rsidR="001E0A64">
        <w:t> </w:t>
      </w:r>
      <w:r w:rsidR="001E0A64" w:rsidRPr="001E0A64">
        <w:t>331)</w:t>
      </w:r>
      <w:r w:rsidR="001E0A64">
        <w:t xml:space="preserve"> </w:t>
      </w:r>
      <w:r>
        <w:t xml:space="preserve">provides that any subsequent agreement or subsequent practice in the application of </w:t>
      </w:r>
      <w:r w:rsidR="00E10446">
        <w:t>a</w:t>
      </w:r>
      <w:r>
        <w:t xml:space="preserve"> treaty</w:t>
      </w:r>
      <w:r w:rsidR="00E24248">
        <w:t>,</w:t>
      </w:r>
      <w:r>
        <w:t xml:space="preserve"> which establishes the agreement of the parties regarding its interpretation</w:t>
      </w:r>
      <w:r w:rsidR="00E24248">
        <w:t>,</w:t>
      </w:r>
      <w:r>
        <w:t xml:space="preserve"> may be taken into account in interpreting the relevant treaty.  </w:t>
      </w:r>
    </w:p>
    <w:p w14:paraId="24C635E0" w14:textId="324EF61D" w:rsidR="005565C9" w:rsidRDefault="00514D1E">
      <w:pPr>
        <w:pStyle w:val="Style1"/>
      </w:pPr>
      <w:r>
        <w:t xml:space="preserve">The contracting parties to the </w:t>
      </w:r>
      <w:r w:rsidR="00EC6BCA">
        <w:t>Single Convention on Narcotic Drugs</w:t>
      </w:r>
      <w:r>
        <w:t xml:space="preserve"> expressly rejected an </w:t>
      </w:r>
      <w:r w:rsidR="005565C9">
        <w:t>amendment which would have excluded p</w:t>
      </w:r>
      <w:r w:rsidR="005565C9" w:rsidRPr="00382899">
        <w:t>reparations containing not more than 0.2</w:t>
      </w:r>
      <w:r w:rsidR="005565C9">
        <w:t> </w:t>
      </w:r>
      <w:r w:rsidR="005565C9" w:rsidRPr="00382899">
        <w:t>percent of delta-9-tetrahydrocannabinol</w:t>
      </w:r>
      <w:r w:rsidR="005565C9">
        <w:t xml:space="preserve"> from measures of control</w:t>
      </w:r>
      <w:r w:rsidR="00670D54">
        <w:t xml:space="preserve">.  </w:t>
      </w:r>
      <w:r w:rsidR="00434280">
        <w:lastRenderedPageBreak/>
        <w:t xml:space="preserve">Having regard to this legislative history, </w:t>
      </w:r>
      <w:r w:rsidR="00B3052B">
        <w:t xml:space="preserve">the </w:t>
      </w:r>
      <w:r w:rsidR="00EC6BCA">
        <w:t>Single Convention on Narcotic Drugs</w:t>
      </w:r>
      <w:r w:rsidR="00434280">
        <w:t xml:space="preserve"> </w:t>
      </w:r>
      <w:r w:rsidR="00B3052B">
        <w:t xml:space="preserve">cannot </w:t>
      </w:r>
      <w:r w:rsidR="00196489">
        <w:t xml:space="preserve">sensibly </w:t>
      </w:r>
      <w:r w:rsidR="00434280">
        <w:t xml:space="preserve">be interpreted as </w:t>
      </w:r>
      <w:r w:rsidR="001642B8" w:rsidRPr="00B3052B">
        <w:rPr>
          <w:i/>
          <w:iCs/>
        </w:rPr>
        <w:t>excluding</w:t>
      </w:r>
      <w:r w:rsidR="001642B8">
        <w:t xml:space="preserve"> from its ambit preparations which </w:t>
      </w:r>
      <w:r w:rsidR="00571905">
        <w:t xml:space="preserve">fall below this threshold.  To apply such an interpretation would be </w:t>
      </w:r>
      <w:r w:rsidR="00A96589">
        <w:t xml:space="preserve">to </w:t>
      </w:r>
      <w:r w:rsidR="00571905">
        <w:t xml:space="preserve">disregard the express intentions of the </w:t>
      </w:r>
      <w:r w:rsidR="00E05FB4">
        <w:t>contracting parties</w:t>
      </w:r>
      <w:r w:rsidR="00196489">
        <w:t xml:space="preserve"> </w:t>
      </w:r>
      <w:r w:rsidR="009623CC">
        <w:t xml:space="preserve">as expressed in December 2020 </w:t>
      </w:r>
      <w:r w:rsidR="00196489">
        <w:t xml:space="preserve">and </w:t>
      </w:r>
      <w:r w:rsidR="005251CA">
        <w:t xml:space="preserve">would </w:t>
      </w:r>
      <w:r w:rsidR="00196489">
        <w:t>bring about the precise interpretation which they chose to reject</w:t>
      </w:r>
      <w:r w:rsidR="00E05FB4">
        <w:t xml:space="preserve">.  </w:t>
      </w:r>
      <w:r w:rsidR="0042789C">
        <w:t>It follows</w:t>
      </w:r>
      <w:r w:rsidR="0036283B">
        <w:t>, therefore,</w:t>
      </w:r>
      <w:r w:rsidR="0042789C">
        <w:t xml:space="preserve"> that </w:t>
      </w:r>
      <w:r w:rsidR="00A96589">
        <w:t xml:space="preserve">a </w:t>
      </w:r>
      <w:r w:rsidR="005565C9">
        <w:t>substance</w:t>
      </w:r>
      <w:r w:rsidR="00C924FE">
        <w:t xml:space="preserve"> or preparation</w:t>
      </w:r>
      <w:r w:rsidR="005565C9">
        <w:t xml:space="preserve"> which contain</w:t>
      </w:r>
      <w:r w:rsidR="00A96589">
        <w:t>s</w:t>
      </w:r>
      <w:r w:rsidR="005565C9">
        <w:t xml:space="preserve"> even a low level of THC come</w:t>
      </w:r>
      <w:r w:rsidR="00C924FE">
        <w:t>s</w:t>
      </w:r>
      <w:r w:rsidR="005565C9">
        <w:t xml:space="preserve"> within the concept of a narcotic drug</w:t>
      </w:r>
      <w:r w:rsidR="00C924FE">
        <w:t xml:space="preserve"> under the </w:t>
      </w:r>
      <w:r w:rsidR="00EC6BCA">
        <w:t>Single Convention on Narcotic Drugs</w:t>
      </w:r>
      <w:r w:rsidR="0036283B">
        <w:t>, and, by logical extension, is not a good which is entitled to benefit from the principle of the free movement of goods</w:t>
      </w:r>
      <w:r w:rsidR="00A96589">
        <w:t xml:space="preserve"> under Article 34 TFEU</w:t>
      </w:r>
      <w:r w:rsidR="0036283B">
        <w:t xml:space="preserve">.  </w:t>
      </w:r>
    </w:p>
    <w:p w14:paraId="01788CF2" w14:textId="0973F0B4" w:rsidR="004E6150" w:rsidRDefault="008A00A8" w:rsidP="00064AA1">
      <w:pPr>
        <w:pStyle w:val="Style1"/>
      </w:pPr>
      <w:bookmarkStart w:id="7" w:name="_Ref172453727"/>
      <w:r>
        <w:t>F</w:t>
      </w:r>
      <w:r w:rsidR="00C70F81">
        <w:t>inally, f</w:t>
      </w:r>
      <w:r w:rsidR="004E6150">
        <w:t xml:space="preserve">or completeness, it should be recorded that </w:t>
      </w:r>
      <w:r w:rsidR="00084901">
        <w:t xml:space="preserve">counsel for the Applicant had agitated for a reference </w:t>
      </w:r>
      <w:r w:rsidR="00926657">
        <w:t xml:space="preserve">to </w:t>
      </w:r>
      <w:r w:rsidR="00913E6F">
        <w:t>the ECJ</w:t>
      </w:r>
      <w:r w:rsidR="005F7809">
        <w:t>,</w:t>
      </w:r>
      <w:r w:rsidR="00913E6F">
        <w:t xml:space="preserve"> pursuant to Article 267 TFEU</w:t>
      </w:r>
      <w:r w:rsidR="005F7809">
        <w:t>,</w:t>
      </w:r>
      <w:r w:rsidR="00913E6F">
        <w:t xml:space="preserve"> </w:t>
      </w:r>
      <w:r w:rsidR="00C70F81">
        <w:t xml:space="preserve">on the grounds </w:t>
      </w:r>
      <w:r w:rsidR="003F0347">
        <w:t xml:space="preserve">of </w:t>
      </w:r>
      <w:r w:rsidR="00C70F81">
        <w:t xml:space="preserve">a </w:t>
      </w:r>
      <w:r w:rsidR="003F0347">
        <w:t xml:space="preserve">supposed </w:t>
      </w:r>
      <w:r w:rsidR="00C70F81" w:rsidRPr="009A2DC8">
        <w:t>discrepancy</w:t>
      </w:r>
      <w:r w:rsidR="00C70F81">
        <w:t xml:space="preserve"> </w:t>
      </w:r>
      <w:r w:rsidR="003F0347">
        <w:t xml:space="preserve">between the judgment </w:t>
      </w:r>
      <w:r w:rsidR="00E43687">
        <w:t xml:space="preserve">of the ECJ </w:t>
      </w:r>
      <w:r w:rsidR="003F0347">
        <w:t xml:space="preserve">in </w:t>
      </w:r>
      <w:r w:rsidR="003F0347" w:rsidRPr="00A84CC4">
        <w:rPr>
          <w:i/>
          <w:iCs/>
        </w:rPr>
        <w:t>Kanavape</w:t>
      </w:r>
      <w:r w:rsidR="003F0347">
        <w:t xml:space="preserve"> and the </w:t>
      </w:r>
      <w:r w:rsidR="009F136D">
        <w:t xml:space="preserve">position of the </w:t>
      </w:r>
      <w:r w:rsidR="00E43687">
        <w:t>Council of the European Union</w:t>
      </w:r>
      <w:r w:rsidR="00746EBB">
        <w:t xml:space="preserve"> as reflected in </w:t>
      </w:r>
      <w:r w:rsidR="00746EBB" w:rsidRPr="003A3751">
        <w:t>Council Decision (EU) 2021/3</w:t>
      </w:r>
      <w:r w:rsidR="00A41601">
        <w:t xml:space="preserve"> (discussed above)</w:t>
      </w:r>
      <w:r w:rsidR="00926657">
        <w:t xml:space="preserve">.  </w:t>
      </w:r>
      <w:r w:rsidR="00E43687">
        <w:t xml:space="preserve">With respect, there is no necessity for a reference.  First, </w:t>
      </w:r>
      <w:r w:rsidR="007D45EB">
        <w:t xml:space="preserve">the judgment in </w:t>
      </w:r>
      <w:r w:rsidR="007D45EB" w:rsidRPr="00955625">
        <w:rPr>
          <w:i/>
          <w:iCs/>
        </w:rPr>
        <w:t>Kanavape</w:t>
      </w:r>
      <w:r w:rsidR="007D45EB">
        <w:t xml:space="preserve"> does not have the effect which the Applicant has attributed to it.  Secondly, and in any event, the fact that </w:t>
      </w:r>
      <w:r w:rsidR="00644848">
        <w:t>an earlier judgment might not</w:t>
      </w:r>
      <w:r w:rsidR="005F7809">
        <w:t>—</w:t>
      </w:r>
      <w:proofErr w:type="gramStart"/>
      <w:r w:rsidR="00644848" w:rsidRPr="00300F9F">
        <w:t>as a result of</w:t>
      </w:r>
      <w:proofErr w:type="gramEnd"/>
      <w:r w:rsidR="00644848" w:rsidRPr="00300F9F">
        <w:t xml:space="preserve"> </w:t>
      </w:r>
      <w:r w:rsidR="00644848" w:rsidRPr="00310047">
        <w:rPr>
          <w:i/>
          <w:iCs/>
        </w:rPr>
        <w:t xml:space="preserve">subsequent </w:t>
      </w:r>
      <w:r w:rsidR="00644848" w:rsidRPr="00300F9F">
        <w:t>legislative developments</w:t>
      </w:r>
      <w:r w:rsidR="005F7809">
        <w:t>—</w:t>
      </w:r>
      <w:r w:rsidR="000E1222">
        <w:t xml:space="preserve">continue to represent good law is not a reason for </w:t>
      </w:r>
      <w:r w:rsidR="00427BB6">
        <w:t>saying that there is a discrepancy</w:t>
      </w:r>
      <w:r w:rsidR="005F7809">
        <w:t xml:space="preserve"> which requires to be resolved</w:t>
      </w:r>
      <w:r w:rsidR="00427BB6">
        <w:t>.</w:t>
      </w:r>
      <w:bookmarkEnd w:id="7"/>
      <w:r w:rsidR="005F7809">
        <w:t xml:space="preserve">  </w:t>
      </w:r>
      <w:r w:rsidR="00AE3451">
        <w:t xml:space="preserve">The legal position </w:t>
      </w:r>
      <w:r w:rsidR="009244C5">
        <w:t xml:space="preserve">in relation to THC </w:t>
      </w:r>
      <w:r w:rsidR="00AE3451">
        <w:t xml:space="preserve">is </w:t>
      </w:r>
      <w:r w:rsidR="009244C5">
        <w:t xml:space="preserve">entirely clear </w:t>
      </w:r>
      <w:proofErr w:type="gramStart"/>
      <w:r w:rsidR="009244C5">
        <w:t>as a result of</w:t>
      </w:r>
      <w:proofErr w:type="gramEnd"/>
      <w:r w:rsidR="009244C5">
        <w:t xml:space="preserve"> the rejection of the proposed amendments to the Single Convention on Narcotic Drugs.</w:t>
      </w:r>
    </w:p>
    <w:p w14:paraId="630D9390" w14:textId="77777777" w:rsidR="005565C9" w:rsidRDefault="005565C9" w:rsidP="005565C9"/>
    <w:p w14:paraId="42C4C084" w14:textId="77777777" w:rsidR="00807258" w:rsidRDefault="00807258" w:rsidP="00807258">
      <w:pPr>
        <w:rPr>
          <w:lang w:eastAsia="en-US"/>
        </w:rPr>
      </w:pPr>
    </w:p>
    <w:p w14:paraId="58BAA717" w14:textId="70279B18" w:rsidR="00807258" w:rsidRDefault="000165C4" w:rsidP="000165C4">
      <w:pPr>
        <w:pStyle w:val="Heading1"/>
        <w:rPr>
          <w:lang w:eastAsia="en-US"/>
        </w:rPr>
      </w:pPr>
      <w:r>
        <w:rPr>
          <w:lang w:eastAsia="en-US"/>
        </w:rPr>
        <w:lastRenderedPageBreak/>
        <w:t>Right to earn a livelihood</w:t>
      </w:r>
    </w:p>
    <w:p w14:paraId="3A68EE77" w14:textId="6EF9ED0A" w:rsidR="00807258" w:rsidRDefault="00075424" w:rsidP="00C90DC7">
      <w:pPr>
        <w:pStyle w:val="Style1"/>
        <w:rPr>
          <w:lang w:eastAsia="en-US"/>
        </w:rPr>
      </w:pPr>
      <w:r>
        <w:rPr>
          <w:lang w:eastAsia="en-US"/>
        </w:rPr>
        <w:t>In addition to the principal ground</w:t>
      </w:r>
      <w:r w:rsidR="00CB3680">
        <w:rPr>
          <w:lang w:eastAsia="en-US"/>
        </w:rPr>
        <w:t xml:space="preserve"> of challenge</w:t>
      </w:r>
      <w:r w:rsidR="00DD48AC">
        <w:rPr>
          <w:lang w:eastAsia="en-US"/>
        </w:rPr>
        <w:t xml:space="preserve"> (discussed above)</w:t>
      </w:r>
      <w:r w:rsidR="00AD089E">
        <w:rPr>
          <w:lang w:eastAsia="en-US"/>
        </w:rPr>
        <w:t xml:space="preserve">, the Applicant has sought </w:t>
      </w:r>
      <w:r w:rsidR="006E124C">
        <w:rPr>
          <w:lang w:eastAsia="en-US"/>
        </w:rPr>
        <w:t xml:space="preserve">to advance an argument that </w:t>
      </w:r>
      <w:r w:rsidR="00362B89">
        <w:rPr>
          <w:lang w:eastAsia="en-US"/>
        </w:rPr>
        <w:t xml:space="preserve">the </w:t>
      </w:r>
      <w:r w:rsidR="0060446D">
        <w:rPr>
          <w:lang w:eastAsia="en-US"/>
        </w:rPr>
        <w:t>designation of cannabinol derivatives, including, relevantly, tetrahydrocannabinol, as controlled drugs for the purpose of the Misuse of Drugs Act 1977</w:t>
      </w:r>
      <w:r w:rsidR="001F3791">
        <w:rPr>
          <w:lang w:eastAsia="en-US"/>
        </w:rPr>
        <w:t xml:space="preserve"> has</w:t>
      </w:r>
      <w:r w:rsidR="00AE2CE7">
        <w:rPr>
          <w:lang w:eastAsia="en-US"/>
        </w:rPr>
        <w:t xml:space="preserve"> interfered with her right to earn a livelihood.  </w:t>
      </w:r>
      <w:r w:rsidR="005916BF">
        <w:rPr>
          <w:lang w:eastAsia="en-US"/>
        </w:rPr>
        <w:t>This argument i</w:t>
      </w:r>
      <w:r w:rsidR="00DF2211">
        <w:rPr>
          <w:lang w:eastAsia="en-US"/>
        </w:rPr>
        <w:t xml:space="preserve">s made by reference to the </w:t>
      </w:r>
      <w:r w:rsidR="00962D2C">
        <w:rPr>
          <w:lang w:eastAsia="en-US"/>
        </w:rPr>
        <w:t>provisions of the Constitution of Ireland and the European Convention on Human Rights</w:t>
      </w:r>
      <w:r w:rsidR="00FA3CEE">
        <w:rPr>
          <w:lang w:eastAsia="en-US"/>
        </w:rPr>
        <w:t>, respectively</w:t>
      </w:r>
      <w:r w:rsidR="00962D2C">
        <w:rPr>
          <w:lang w:eastAsia="en-US"/>
        </w:rPr>
        <w:t>.</w:t>
      </w:r>
      <w:r w:rsidR="00E12C47">
        <w:rPr>
          <w:lang w:eastAsia="en-US"/>
        </w:rPr>
        <w:t xml:space="preserve">  </w:t>
      </w:r>
      <w:r w:rsidR="00CC5B7A">
        <w:rPr>
          <w:lang w:eastAsia="en-US"/>
        </w:rPr>
        <w:t>Counsel for the Applicant rested on his written legal submission</w:t>
      </w:r>
      <w:r w:rsidR="00067D13">
        <w:rPr>
          <w:lang w:eastAsia="en-US"/>
        </w:rPr>
        <w:t>s</w:t>
      </w:r>
      <w:r w:rsidR="00CC5B7A">
        <w:rPr>
          <w:lang w:eastAsia="en-US"/>
        </w:rPr>
        <w:t xml:space="preserve"> in respect of this aspect of the case.</w:t>
      </w:r>
    </w:p>
    <w:p w14:paraId="040BDC0B" w14:textId="77777777" w:rsidR="00F237C4" w:rsidRDefault="00F237C4" w:rsidP="00F237C4">
      <w:pPr>
        <w:pStyle w:val="Style1"/>
        <w:rPr>
          <w:lang w:eastAsia="en-US"/>
        </w:rPr>
      </w:pPr>
      <w:r>
        <w:rPr>
          <w:lang w:eastAsia="en-US"/>
        </w:rPr>
        <w:t xml:space="preserve">The nature of the constitutional right to work or to earn a livelihood has been described as follows by the Supreme Court in </w:t>
      </w:r>
      <w:r w:rsidRPr="00CF0C22">
        <w:rPr>
          <w:i/>
          <w:iCs/>
          <w:lang w:eastAsia="en-US"/>
        </w:rPr>
        <w:t>N.H.V. v. Minister for Justice and Equality</w:t>
      </w:r>
      <w:r>
        <w:rPr>
          <w:lang w:eastAsia="en-US"/>
        </w:rPr>
        <w:t xml:space="preserve"> [2017] IESC 35, </w:t>
      </w:r>
      <w:r w:rsidRPr="00406D6E">
        <w:rPr>
          <w:lang w:eastAsia="en-US"/>
        </w:rPr>
        <w:t>[2018]</w:t>
      </w:r>
      <w:r>
        <w:rPr>
          <w:lang w:eastAsia="en-US"/>
        </w:rPr>
        <w:t> </w:t>
      </w:r>
      <w:r w:rsidRPr="00406D6E">
        <w:rPr>
          <w:lang w:eastAsia="en-US"/>
        </w:rPr>
        <w:t>1</w:t>
      </w:r>
      <w:r>
        <w:rPr>
          <w:lang w:eastAsia="en-US"/>
        </w:rPr>
        <w:t> </w:t>
      </w:r>
      <w:r w:rsidRPr="00406D6E">
        <w:rPr>
          <w:lang w:eastAsia="en-US"/>
        </w:rPr>
        <w:t>I</w:t>
      </w:r>
      <w:r>
        <w:rPr>
          <w:lang w:eastAsia="en-US"/>
        </w:rPr>
        <w:t>.</w:t>
      </w:r>
      <w:r w:rsidRPr="00406D6E">
        <w:rPr>
          <w:lang w:eastAsia="en-US"/>
        </w:rPr>
        <w:t>R</w:t>
      </w:r>
      <w:r>
        <w:rPr>
          <w:lang w:eastAsia="en-US"/>
        </w:rPr>
        <w:t>. </w:t>
      </w:r>
      <w:r w:rsidRPr="00406D6E">
        <w:rPr>
          <w:lang w:eastAsia="en-US"/>
        </w:rPr>
        <w:t xml:space="preserve">246 </w:t>
      </w:r>
      <w:r>
        <w:rPr>
          <w:lang w:eastAsia="en-US"/>
        </w:rPr>
        <w:t>(at paragraph 13):</w:t>
      </w:r>
    </w:p>
    <w:p w14:paraId="56054CBD" w14:textId="0507856F" w:rsidR="00F237C4" w:rsidRDefault="00F237C4" w:rsidP="00F237C4">
      <w:pPr>
        <w:pStyle w:val="43cm"/>
      </w:pPr>
      <w:r>
        <w:t xml:space="preserve">“[…]  </w:t>
      </w:r>
      <w:r w:rsidRPr="00807258">
        <w:t xml:space="preserve">If there was some general and unspecified right to work, it would arguably be engaged, if not infringed, when an economy did not provide for full employment, when a person who was in employment was dismissed, or when someone was precluded from working because of a strike. </w:t>
      </w:r>
      <w:r w:rsidR="00067D13">
        <w:t xml:space="preserve"> </w:t>
      </w:r>
      <w:r w:rsidRPr="00807258">
        <w:t xml:space="preserve">I find it difficult to believe for example that the Constitution imposes on the Government an obligation (presumably enforceable by action in court) to pursue policies directed towards full employment, as was suggested in some of the international material submitted on behalf of the applicant. </w:t>
      </w:r>
      <w:r>
        <w:t xml:space="preserve"> </w:t>
      </w:r>
      <w:r w:rsidRPr="00807258">
        <w:t>It is easier I think to conceive of any constitutionally protected interest as a freedom, and in this case, freedom to seek work, which however implies a negative obligation not to prevent the person from seeking or obtaining employment, at least without substantial justification.</w:t>
      </w:r>
      <w:r>
        <w:t>”</w:t>
      </w:r>
    </w:p>
    <w:p w14:paraId="245DD816" w14:textId="77777777" w:rsidR="00F237C4" w:rsidRDefault="00F237C4" w:rsidP="00F237C4">
      <w:pPr>
        <w:pStyle w:val="43cm"/>
      </w:pPr>
    </w:p>
    <w:p w14:paraId="4FDCDC54" w14:textId="401623C8" w:rsidR="000165C4" w:rsidRDefault="000165C4" w:rsidP="000165C4">
      <w:pPr>
        <w:pStyle w:val="Style1"/>
        <w:rPr>
          <w:lang w:eastAsia="en-US"/>
        </w:rPr>
      </w:pPr>
      <w:r>
        <w:rPr>
          <w:lang w:eastAsia="en-US"/>
        </w:rPr>
        <w:t xml:space="preserve">The </w:t>
      </w:r>
      <w:r w:rsidR="00EA6A96">
        <w:rPr>
          <w:lang w:eastAsia="en-US"/>
        </w:rPr>
        <w:t xml:space="preserve">Applicant </w:t>
      </w:r>
      <w:r>
        <w:rPr>
          <w:lang w:eastAsia="en-US"/>
        </w:rPr>
        <w:t xml:space="preserve">submits that </w:t>
      </w:r>
      <w:r w:rsidR="00A10EA1">
        <w:rPr>
          <w:lang w:eastAsia="en-US"/>
        </w:rPr>
        <w:t>the “</w:t>
      </w:r>
      <w:r w:rsidR="00A10EA1" w:rsidRPr="00EA6A96">
        <w:rPr>
          <w:i/>
          <w:iCs/>
          <w:lang w:eastAsia="en-US"/>
        </w:rPr>
        <w:t>absolute prohibition</w:t>
      </w:r>
      <w:r w:rsidR="00A10EA1">
        <w:rPr>
          <w:lang w:eastAsia="en-US"/>
        </w:rPr>
        <w:t xml:space="preserve">” on the import and sale of all </w:t>
      </w:r>
      <w:r w:rsidR="009B509F">
        <w:rPr>
          <w:lang w:eastAsia="en-US"/>
        </w:rPr>
        <w:t>products</w:t>
      </w:r>
      <w:r w:rsidR="00A10EA1">
        <w:rPr>
          <w:lang w:eastAsia="en-US"/>
        </w:rPr>
        <w:t xml:space="preserve"> containing “</w:t>
      </w:r>
      <w:r w:rsidR="00A10EA1" w:rsidRPr="00612B50">
        <w:rPr>
          <w:i/>
          <w:iCs/>
          <w:lang w:eastAsia="en-US"/>
        </w:rPr>
        <w:t>even minimum levels</w:t>
      </w:r>
      <w:r w:rsidR="00A10EA1">
        <w:rPr>
          <w:lang w:eastAsia="en-US"/>
        </w:rPr>
        <w:t xml:space="preserve">” of </w:t>
      </w:r>
      <w:r w:rsidR="001D38FA">
        <w:rPr>
          <w:lang w:eastAsia="en-US"/>
        </w:rPr>
        <w:t>THC or tetrahydro derivatives of cannabino</w:t>
      </w:r>
      <w:r w:rsidR="009B509F">
        <w:rPr>
          <w:lang w:eastAsia="en-US"/>
        </w:rPr>
        <w:t>l represents an “</w:t>
      </w:r>
      <w:r w:rsidR="009B509F" w:rsidRPr="009B509F">
        <w:rPr>
          <w:i/>
          <w:iCs/>
          <w:lang w:eastAsia="en-US"/>
        </w:rPr>
        <w:t>unjust attack</w:t>
      </w:r>
      <w:r w:rsidR="009B509F">
        <w:rPr>
          <w:lang w:eastAsia="en-US"/>
        </w:rPr>
        <w:t xml:space="preserve">” </w:t>
      </w:r>
      <w:r w:rsidR="006A0850">
        <w:rPr>
          <w:lang w:eastAsia="en-US"/>
        </w:rPr>
        <w:t>up</w:t>
      </w:r>
      <w:r w:rsidR="009B509F">
        <w:rPr>
          <w:lang w:eastAsia="en-US"/>
        </w:rPr>
        <w:t xml:space="preserve">on the </w:t>
      </w:r>
      <w:r w:rsidR="00EA6A96">
        <w:rPr>
          <w:lang w:eastAsia="en-US"/>
        </w:rPr>
        <w:t xml:space="preserve">Applicant’s </w:t>
      </w:r>
      <w:r w:rsidR="00E85BB5">
        <w:rPr>
          <w:lang w:eastAsia="en-US"/>
        </w:rPr>
        <w:t xml:space="preserve">constitutional </w:t>
      </w:r>
      <w:r w:rsidR="00EA6A96">
        <w:rPr>
          <w:lang w:eastAsia="en-US"/>
        </w:rPr>
        <w:t>right to carry on business and earn a livelihood</w:t>
      </w:r>
      <w:r w:rsidR="006A0850">
        <w:rPr>
          <w:lang w:eastAsia="en-US"/>
        </w:rPr>
        <w:t>,</w:t>
      </w:r>
      <w:r w:rsidR="00EA6A96">
        <w:rPr>
          <w:lang w:eastAsia="en-US"/>
        </w:rPr>
        <w:t xml:space="preserve"> and </w:t>
      </w:r>
      <w:r w:rsidR="006A0850">
        <w:rPr>
          <w:lang w:eastAsia="en-US"/>
        </w:rPr>
        <w:t>up</w:t>
      </w:r>
      <w:r w:rsidR="00EA6A96">
        <w:rPr>
          <w:lang w:eastAsia="en-US"/>
        </w:rPr>
        <w:t xml:space="preserve">on her property rights.  </w:t>
      </w:r>
      <w:r w:rsidR="0063151D">
        <w:rPr>
          <w:lang w:eastAsia="en-US"/>
        </w:rPr>
        <w:t xml:space="preserve">The Applicant has </w:t>
      </w:r>
      <w:r w:rsidR="000C77CE">
        <w:rPr>
          <w:lang w:eastAsia="en-US"/>
        </w:rPr>
        <w:t xml:space="preserve">consciously </w:t>
      </w:r>
      <w:r w:rsidR="0063151D">
        <w:rPr>
          <w:lang w:eastAsia="en-US"/>
        </w:rPr>
        <w:t xml:space="preserve">chosen to </w:t>
      </w:r>
      <w:r w:rsidR="006F6413">
        <w:rPr>
          <w:lang w:eastAsia="en-US"/>
        </w:rPr>
        <w:t xml:space="preserve">link </w:t>
      </w:r>
      <w:r w:rsidR="0063151D">
        <w:rPr>
          <w:lang w:eastAsia="en-US"/>
        </w:rPr>
        <w:t xml:space="preserve">this submission </w:t>
      </w:r>
      <w:r w:rsidR="00E95218">
        <w:rPr>
          <w:lang w:eastAsia="en-US"/>
        </w:rPr>
        <w:t xml:space="preserve">inextricably </w:t>
      </w:r>
      <w:r w:rsidR="00FF471C">
        <w:rPr>
          <w:lang w:eastAsia="en-US"/>
        </w:rPr>
        <w:t xml:space="preserve">with </w:t>
      </w:r>
      <w:r w:rsidR="00772F22">
        <w:rPr>
          <w:lang w:eastAsia="en-US"/>
        </w:rPr>
        <w:lastRenderedPageBreak/>
        <w:t xml:space="preserve">her </w:t>
      </w:r>
      <w:r w:rsidR="00FF471C">
        <w:rPr>
          <w:lang w:eastAsia="en-US"/>
        </w:rPr>
        <w:t xml:space="preserve">EU law argument.  More specifically, </w:t>
      </w:r>
      <w:r w:rsidR="00CE563D">
        <w:rPr>
          <w:lang w:eastAsia="en-US"/>
        </w:rPr>
        <w:t xml:space="preserve">the constitutional argument </w:t>
      </w:r>
      <w:r w:rsidR="00292A10">
        <w:rPr>
          <w:lang w:eastAsia="en-US"/>
        </w:rPr>
        <w:t xml:space="preserve">is </w:t>
      </w:r>
      <w:r w:rsidR="00292A10" w:rsidRPr="000E7C88">
        <w:rPr>
          <w:lang w:eastAsia="en-US"/>
        </w:rPr>
        <w:t>expressly predicated on the</w:t>
      </w:r>
      <w:r w:rsidR="00250193" w:rsidRPr="000E7C88">
        <w:rPr>
          <w:lang w:eastAsia="en-US"/>
        </w:rPr>
        <w:t>—</w:t>
      </w:r>
      <w:r w:rsidR="00E85BB5" w:rsidRPr="000E7C88">
        <w:rPr>
          <w:lang w:eastAsia="en-US"/>
        </w:rPr>
        <w:t>mistaken</w:t>
      </w:r>
      <w:r w:rsidR="00250193" w:rsidRPr="000E7C88">
        <w:rPr>
          <w:lang w:eastAsia="en-US"/>
        </w:rPr>
        <w:t>—</w:t>
      </w:r>
      <w:r w:rsidR="00292A10" w:rsidRPr="000E7C88">
        <w:rPr>
          <w:lang w:eastAsia="en-US"/>
        </w:rPr>
        <w:t>assumption</w:t>
      </w:r>
      <w:r w:rsidR="00292A10">
        <w:rPr>
          <w:lang w:eastAsia="en-US"/>
        </w:rPr>
        <w:t xml:space="preserve"> that the </w:t>
      </w:r>
      <w:r w:rsidR="006E2FE5">
        <w:rPr>
          <w:lang w:eastAsia="en-US"/>
        </w:rPr>
        <w:t xml:space="preserve">statutory </w:t>
      </w:r>
      <w:r w:rsidR="00292A10">
        <w:rPr>
          <w:lang w:eastAsia="en-US"/>
        </w:rPr>
        <w:t xml:space="preserve">restrictions on </w:t>
      </w:r>
      <w:r w:rsidR="00D41F89">
        <w:rPr>
          <w:lang w:eastAsia="en-US"/>
        </w:rPr>
        <w:t xml:space="preserve">the </w:t>
      </w:r>
      <w:r w:rsidR="00292A10">
        <w:rPr>
          <w:lang w:eastAsia="en-US"/>
        </w:rPr>
        <w:t xml:space="preserve">import and sale </w:t>
      </w:r>
      <w:r w:rsidR="00D41F89">
        <w:rPr>
          <w:lang w:eastAsia="en-US"/>
        </w:rPr>
        <w:t xml:space="preserve">of products containing THC </w:t>
      </w:r>
      <w:r w:rsidR="00292A10">
        <w:rPr>
          <w:lang w:eastAsia="en-US"/>
        </w:rPr>
        <w:t>are not in compliance with EU law.</w:t>
      </w:r>
      <w:r w:rsidR="004A3828">
        <w:rPr>
          <w:lang w:eastAsia="en-US"/>
        </w:rPr>
        <w:t xml:space="preserve">  </w:t>
      </w:r>
      <w:r w:rsidR="00993483">
        <w:rPr>
          <w:lang w:eastAsia="en-US"/>
        </w:rPr>
        <w:t xml:space="preserve">This assumption is incorrect for all of the reasons explained under the previous heading.  </w:t>
      </w:r>
      <w:r w:rsidR="00F40B5E">
        <w:rPr>
          <w:lang w:eastAsia="en-US"/>
        </w:rPr>
        <w:t xml:space="preserve">The constitutional challenge is, therefore, </w:t>
      </w:r>
      <w:r w:rsidR="00250193">
        <w:rPr>
          <w:lang w:eastAsia="en-US"/>
        </w:rPr>
        <w:t xml:space="preserve">fatally flawed in that it </w:t>
      </w:r>
      <w:r w:rsidR="00993483">
        <w:rPr>
          <w:lang w:eastAsia="en-US"/>
        </w:rPr>
        <w:t xml:space="preserve">is </w:t>
      </w:r>
      <w:r w:rsidR="00691A32">
        <w:rPr>
          <w:lang w:eastAsia="en-US"/>
        </w:rPr>
        <w:t>founded on an incorrect</w:t>
      </w:r>
      <w:r w:rsidR="00E36756">
        <w:rPr>
          <w:lang w:eastAsia="en-US"/>
        </w:rPr>
        <w:t xml:space="preserve"> understanding </w:t>
      </w:r>
      <w:r w:rsidR="00B45F73">
        <w:rPr>
          <w:lang w:eastAsia="en-US"/>
        </w:rPr>
        <w:t xml:space="preserve">of the status of the </w:t>
      </w:r>
      <w:r w:rsidR="00A165B2">
        <w:rPr>
          <w:lang w:eastAsia="en-US"/>
        </w:rPr>
        <w:t xml:space="preserve">relevant </w:t>
      </w:r>
      <w:r w:rsidR="00B45F73">
        <w:rPr>
          <w:lang w:eastAsia="en-US"/>
        </w:rPr>
        <w:t>products</w:t>
      </w:r>
      <w:r w:rsidR="00A165B2">
        <w:rPr>
          <w:lang w:eastAsia="en-US"/>
        </w:rPr>
        <w:t>.</w:t>
      </w:r>
      <w:r w:rsidR="00B45F73">
        <w:rPr>
          <w:lang w:eastAsia="en-US"/>
        </w:rPr>
        <w:t xml:space="preserve"> </w:t>
      </w:r>
      <w:r w:rsidR="00A165B2">
        <w:rPr>
          <w:lang w:eastAsia="en-US"/>
        </w:rPr>
        <w:t xml:space="preserve"> </w:t>
      </w:r>
      <w:r w:rsidR="00160828">
        <w:rPr>
          <w:lang w:eastAsia="en-US"/>
        </w:rPr>
        <w:t xml:space="preserve">A </w:t>
      </w:r>
      <w:r w:rsidR="00A165B2">
        <w:rPr>
          <w:lang w:eastAsia="en-US"/>
        </w:rPr>
        <w:t>product</w:t>
      </w:r>
      <w:r w:rsidR="005D4D7F">
        <w:rPr>
          <w:lang w:eastAsia="en-US"/>
        </w:rPr>
        <w:t xml:space="preserve"> </w:t>
      </w:r>
      <w:r w:rsidR="005D4D7F">
        <w:t xml:space="preserve">which contains even a low level of THC is not a </w:t>
      </w:r>
      <w:r w:rsidR="00160828">
        <w:t>“</w:t>
      </w:r>
      <w:r w:rsidR="005D4D7F" w:rsidRPr="00160828">
        <w:rPr>
          <w:i/>
          <w:iCs/>
        </w:rPr>
        <w:t>good</w:t>
      </w:r>
      <w:r w:rsidR="00160828">
        <w:t>”</w:t>
      </w:r>
      <w:r w:rsidR="005D4D7F">
        <w:t xml:space="preserve"> which is entitled to benefit from the principle of the free movement of goods.</w:t>
      </w:r>
      <w:r w:rsidR="00110737">
        <w:t xml:space="preserve">  Indeed, if and insofar as EU law is relevant to the constitutional challenge</w:t>
      </w:r>
      <w:r w:rsidR="007440F6">
        <w:t xml:space="preserve"> at all</w:t>
      </w:r>
      <w:r w:rsidR="00110737">
        <w:t>, it</w:t>
      </w:r>
      <w:r w:rsidR="003418B3">
        <w:t xml:space="preserve"> suggests that the Irish State may be obliged to prohibit the import and sale</w:t>
      </w:r>
      <w:r w:rsidR="00DE3AF5">
        <w:t xml:space="preserve"> of such products</w:t>
      </w:r>
      <w:r w:rsidR="00915487">
        <w:t>.</w:t>
      </w:r>
      <w:r w:rsidR="003418B3">
        <w:t xml:space="preserve"> </w:t>
      </w:r>
      <w:r w:rsidR="008D2071">
        <w:t xml:space="preserve"> The ECJ </w:t>
      </w:r>
      <w:r w:rsidR="005E54E4">
        <w:t xml:space="preserve">has held that </w:t>
      </w:r>
      <w:r w:rsidR="005E54E4" w:rsidRPr="005E54E4">
        <w:t xml:space="preserve">since the harmfulness of narcotic drugs, including those derived from hemp, such as cannabis, is generally recognised, there is a prohibition in all the Member States on marketing them, with the exception of strictly controlled trade for use for medical and scientific purposes </w:t>
      </w:r>
      <w:r w:rsidR="008A2C44">
        <w:t>(</w:t>
      </w:r>
      <w:r w:rsidR="008D2071" w:rsidRPr="008D2071">
        <w:rPr>
          <w:i/>
          <w:iCs/>
        </w:rPr>
        <w:t>Josemans</w:t>
      </w:r>
      <w:r w:rsidR="008D2071" w:rsidRPr="008D2071">
        <w:t>, C</w:t>
      </w:r>
      <w:r w:rsidR="008D2071">
        <w:t>-</w:t>
      </w:r>
      <w:r w:rsidR="008D2071" w:rsidRPr="008D2071">
        <w:t>137/09, EU:C:2010:774</w:t>
      </w:r>
      <w:r w:rsidR="008A2C44">
        <w:t xml:space="preserve">, at paragraph 36).  There is a respectable argument that </w:t>
      </w:r>
      <w:r w:rsidR="00706B69">
        <w:t xml:space="preserve">even if the Applicant had established a </w:t>
      </w:r>
      <w:r w:rsidR="00706B69" w:rsidRPr="00035D1A">
        <w:rPr>
          <w:i/>
          <w:iCs/>
        </w:rPr>
        <w:t>prima facie</w:t>
      </w:r>
      <w:r w:rsidR="00706B69">
        <w:t xml:space="preserve"> infringement of her constitutional rights, same would be shielded by </w:t>
      </w:r>
      <w:r w:rsidR="007057B5">
        <w:t>Article 29.4</w:t>
      </w:r>
      <w:r w:rsidR="00D57142">
        <w:t>.6</w:t>
      </w:r>
      <w:r w:rsidR="002C59F9">
        <w:t>°</w:t>
      </w:r>
      <w:r w:rsidR="0072292A">
        <w:t xml:space="preserve"> of the Constitution of Ireland.</w:t>
      </w:r>
    </w:p>
    <w:p w14:paraId="7C20186B" w14:textId="77777777" w:rsidR="005967CB" w:rsidRDefault="00125451" w:rsidP="00212AD3">
      <w:pPr>
        <w:pStyle w:val="Style1"/>
      </w:pPr>
      <w:r>
        <w:t xml:space="preserve">The Applicant has made no meaningful attempt to explain how </w:t>
      </w:r>
      <w:r w:rsidR="00D10BA1">
        <w:t xml:space="preserve">the operation of a provision of the criminal law, which is of general application, </w:t>
      </w:r>
      <w:r w:rsidR="00740CFC">
        <w:t xml:space="preserve">might </w:t>
      </w:r>
      <w:r w:rsidR="00D10BA1">
        <w:t xml:space="preserve">involve a disproportionate interference with any </w:t>
      </w:r>
      <w:r w:rsidR="00052571">
        <w:t xml:space="preserve">personal </w:t>
      </w:r>
      <w:r w:rsidR="00D10BA1">
        <w:t xml:space="preserve">right of hers.  </w:t>
      </w:r>
      <w:r w:rsidR="007E1836">
        <w:t xml:space="preserve">The onus lies with the Applicant to put forward evidence which suggests that the prohibition on the possession and supply of a controlled drug is disproportionate.  The Applicant has failed to do so.  </w:t>
      </w:r>
      <w:r w:rsidR="001A2DDC">
        <w:t xml:space="preserve">The Applicant has not, for example, adduced </w:t>
      </w:r>
      <w:r w:rsidR="006832A5">
        <w:t xml:space="preserve">any evidence </w:t>
      </w:r>
      <w:r w:rsidR="006832A5">
        <w:lastRenderedPageBreak/>
        <w:t>to suggest that the products at issue do not have a harmful effect</w:t>
      </w:r>
      <w:r w:rsidR="00084BDD">
        <w:t xml:space="preserve">.  Indeed, the Applicant expressly concedes that </w:t>
      </w:r>
      <w:r w:rsidR="00084BDD" w:rsidRPr="00084BDD">
        <w:t>THC is a psychoactive substance</w:t>
      </w:r>
      <w:r w:rsidR="00A7448A">
        <w:t>.</w:t>
      </w:r>
    </w:p>
    <w:p w14:paraId="23668C72" w14:textId="613CFF6E" w:rsidR="00212AD3" w:rsidRDefault="00212AD3" w:rsidP="00212AD3">
      <w:pPr>
        <w:pStyle w:val="Style1"/>
      </w:pPr>
      <w:r>
        <w:rPr>
          <w:lang w:eastAsia="en-US"/>
        </w:rPr>
        <w:t xml:space="preserve">It is not necessary to address this issue further in circumstances where the Applicant has signally failed to </w:t>
      </w:r>
      <w:r w:rsidRPr="00A63AC1">
        <w:rPr>
          <w:lang w:eastAsia="en-US"/>
        </w:rPr>
        <w:t xml:space="preserve">substantiate </w:t>
      </w:r>
      <w:r>
        <w:rPr>
          <w:lang w:eastAsia="en-US"/>
        </w:rPr>
        <w:t xml:space="preserve">the constitutional challenge </w:t>
      </w:r>
      <w:r w:rsidRPr="00A63AC1">
        <w:rPr>
          <w:lang w:eastAsia="en-US"/>
        </w:rPr>
        <w:t>on either the facts or the law.</w:t>
      </w:r>
      <w:r>
        <w:rPr>
          <w:lang w:eastAsia="en-US"/>
        </w:rPr>
        <w:t xml:space="preserve">  </w:t>
      </w:r>
      <w:r w:rsidR="009D0DF1">
        <w:rPr>
          <w:lang w:eastAsia="en-US"/>
        </w:rPr>
        <w:t xml:space="preserve">As emphasised by the Court of Appeal in </w:t>
      </w:r>
      <w:r w:rsidR="00183C7B" w:rsidRPr="006A0A72">
        <w:rPr>
          <w:i/>
          <w:iCs/>
          <w:lang w:eastAsia="en-US"/>
        </w:rPr>
        <w:t>Muldoon</w:t>
      </w:r>
      <w:r w:rsidR="006A0A72" w:rsidRPr="006A0A72">
        <w:rPr>
          <w:i/>
          <w:iCs/>
          <w:lang w:eastAsia="en-US"/>
        </w:rPr>
        <w:t> v. Minister for the Environment and Local Government</w:t>
      </w:r>
      <w:r w:rsidR="006A0A72">
        <w:rPr>
          <w:lang w:eastAsia="en-US"/>
        </w:rPr>
        <w:t xml:space="preserve"> </w:t>
      </w:r>
      <w:r w:rsidR="008E5B95" w:rsidRPr="008E5B95">
        <w:rPr>
          <w:lang w:eastAsia="en-US"/>
        </w:rPr>
        <w:t>[2023]</w:t>
      </w:r>
      <w:r w:rsidR="008E5B95">
        <w:rPr>
          <w:lang w:eastAsia="en-US"/>
        </w:rPr>
        <w:t> </w:t>
      </w:r>
      <w:r w:rsidR="008E5B95" w:rsidRPr="008E5B95">
        <w:rPr>
          <w:lang w:eastAsia="en-US"/>
        </w:rPr>
        <w:t>IECA</w:t>
      </w:r>
      <w:r w:rsidR="008E5B95">
        <w:rPr>
          <w:lang w:eastAsia="en-US"/>
        </w:rPr>
        <w:t> </w:t>
      </w:r>
      <w:r w:rsidR="008E5B95" w:rsidRPr="008E5B95">
        <w:rPr>
          <w:lang w:eastAsia="en-US"/>
        </w:rPr>
        <w:t>61</w:t>
      </w:r>
      <w:r w:rsidR="00D00877">
        <w:rPr>
          <w:lang w:eastAsia="en-US"/>
        </w:rPr>
        <w:t xml:space="preserve"> (at paragraph 172)</w:t>
      </w:r>
      <w:r w:rsidR="00FA4F1F">
        <w:rPr>
          <w:lang w:eastAsia="en-US"/>
        </w:rPr>
        <w:t xml:space="preserve">, it is not appropriate for an applicant simply to </w:t>
      </w:r>
      <w:r w:rsidR="00672E45">
        <w:rPr>
          <w:lang w:eastAsia="en-US"/>
        </w:rPr>
        <w:t xml:space="preserve">make </w:t>
      </w:r>
      <w:r w:rsidR="00FA4F1F">
        <w:rPr>
          <w:lang w:eastAsia="en-US"/>
        </w:rPr>
        <w:t xml:space="preserve">a bare plea to the effect that </w:t>
      </w:r>
      <w:r w:rsidR="002C3200">
        <w:rPr>
          <w:lang w:eastAsia="en-US"/>
        </w:rPr>
        <w:t xml:space="preserve">their right to earn a livelihood has been interfered with. </w:t>
      </w:r>
    </w:p>
    <w:p w14:paraId="67342D22" w14:textId="5BB6B7ED" w:rsidR="00807258" w:rsidRDefault="00A7448A" w:rsidP="00A70D62">
      <w:pPr>
        <w:pStyle w:val="Style1"/>
        <w:rPr>
          <w:lang w:eastAsia="en-US"/>
        </w:rPr>
      </w:pPr>
      <w:r>
        <w:t xml:space="preserve">The Applicant’s case </w:t>
      </w:r>
      <w:r w:rsidR="009D0DF1">
        <w:t>under the</w:t>
      </w:r>
      <w:r w:rsidR="00020C36">
        <w:t xml:space="preserve"> European Convention on Human Rights is even less</w:t>
      </w:r>
      <w:r w:rsidR="009A0768">
        <w:t xml:space="preserve"> fleshed out</w:t>
      </w:r>
      <w:r w:rsidR="00020C36">
        <w:t xml:space="preserve">.  The only </w:t>
      </w:r>
      <w:r w:rsidR="000B0B7C">
        <w:t xml:space="preserve">judgment of the ECtHR </w:t>
      </w:r>
      <w:r w:rsidR="00020C36">
        <w:t xml:space="preserve">cited by the Applicant </w:t>
      </w:r>
      <w:r w:rsidR="005967CB">
        <w:t>(</w:t>
      </w:r>
      <w:r w:rsidR="00020C36">
        <w:t xml:space="preserve">in support of </w:t>
      </w:r>
      <w:r w:rsidR="000F6DFE">
        <w:t xml:space="preserve">her claim for </w:t>
      </w:r>
      <w:r w:rsidR="00020C36">
        <w:t>a declaration of incompatibility</w:t>
      </w:r>
      <w:r w:rsidR="000F6DFE">
        <w:t>)</w:t>
      </w:r>
      <w:r w:rsidR="00020C36">
        <w:t xml:space="preserve"> </w:t>
      </w:r>
      <w:r w:rsidR="00E34757">
        <w:t xml:space="preserve">which </w:t>
      </w:r>
      <w:r w:rsidR="00EF403B">
        <w:t xml:space="preserve">specifically </w:t>
      </w:r>
      <w:r w:rsidR="00E34757">
        <w:t xml:space="preserve">addresses the deprivation of the means of earning a living </w:t>
      </w:r>
      <w:r w:rsidR="00020C36">
        <w:t xml:space="preserve">is </w:t>
      </w:r>
      <w:r w:rsidR="000B0B7C" w:rsidRPr="000B0B7C">
        <w:rPr>
          <w:i/>
          <w:iCs/>
        </w:rPr>
        <w:t>Lallement v. France</w:t>
      </w:r>
      <w:r w:rsidR="000B0B7C">
        <w:t xml:space="preserve"> </w:t>
      </w:r>
      <w:r w:rsidR="00732BDC">
        <w:t>(</w:t>
      </w:r>
      <w:r w:rsidR="000B0B7C">
        <w:t xml:space="preserve">No. </w:t>
      </w:r>
      <w:r w:rsidR="00732BDC">
        <w:t>46044/99)</w:t>
      </w:r>
      <w:r w:rsidR="000B0B7C">
        <w:t xml:space="preserve">.  That judgment is concerned with </w:t>
      </w:r>
      <w:r w:rsidR="00A70D62">
        <w:t xml:space="preserve">the </w:t>
      </w:r>
      <w:r w:rsidR="00732BDC">
        <w:t xml:space="preserve">adequacy of compensation for </w:t>
      </w:r>
      <w:r w:rsidR="000F6DFE">
        <w:t xml:space="preserve">the </w:t>
      </w:r>
      <w:r w:rsidR="00732BDC">
        <w:t>expropriation of part of a dairy farm</w:t>
      </w:r>
      <w:r w:rsidR="00A70D62">
        <w:t>.  It has no resonance with the circumstances of the present case.</w:t>
      </w:r>
    </w:p>
    <w:p w14:paraId="3FA90F71" w14:textId="77777777" w:rsidR="00807258" w:rsidRDefault="00807258" w:rsidP="00807258">
      <w:pPr>
        <w:rPr>
          <w:lang w:eastAsia="en-US"/>
        </w:rPr>
      </w:pPr>
    </w:p>
    <w:p w14:paraId="5F0DAE15" w14:textId="77777777" w:rsidR="00A70D62" w:rsidRDefault="00A70D62" w:rsidP="00807258">
      <w:pPr>
        <w:rPr>
          <w:lang w:eastAsia="en-US"/>
        </w:rPr>
      </w:pPr>
    </w:p>
    <w:p w14:paraId="02F229ED" w14:textId="3B5EAC44" w:rsidR="00EB4452" w:rsidRDefault="00EB4452" w:rsidP="00555353">
      <w:pPr>
        <w:pStyle w:val="Heading1"/>
        <w:rPr>
          <w:lang w:eastAsia="en-US"/>
        </w:rPr>
      </w:pPr>
      <w:r>
        <w:rPr>
          <w:lang w:eastAsia="en-US"/>
        </w:rPr>
        <w:t>Conclusion</w:t>
      </w:r>
      <w:r w:rsidR="009027D2">
        <w:rPr>
          <w:lang w:eastAsia="en-US"/>
        </w:rPr>
        <w:t xml:space="preserve"> and proposed form of order</w:t>
      </w:r>
    </w:p>
    <w:p w14:paraId="6E58926E" w14:textId="1E2DE267" w:rsidR="00E149A7" w:rsidRPr="00E149A7" w:rsidRDefault="00D22300" w:rsidP="005E2B7B">
      <w:pPr>
        <w:pStyle w:val="Style1"/>
        <w:rPr>
          <w:rFonts w:cs="Calibri"/>
          <w:lang w:eastAsia="en-US"/>
        </w:rPr>
      </w:pPr>
      <w:r>
        <w:rPr>
          <w:lang w:eastAsia="en-US"/>
        </w:rPr>
        <w:t xml:space="preserve">The principal issue raised in these proceedings is whether the </w:t>
      </w:r>
      <w:r w:rsidR="00B750B7">
        <w:rPr>
          <w:lang w:eastAsia="en-US"/>
        </w:rPr>
        <w:t>designation</w:t>
      </w:r>
      <w:r w:rsidR="00D835E7">
        <w:rPr>
          <w:lang w:eastAsia="en-US"/>
        </w:rPr>
        <w:t xml:space="preserve"> </w:t>
      </w:r>
      <w:r w:rsidR="000162D8">
        <w:rPr>
          <w:lang w:eastAsia="en-US"/>
        </w:rPr>
        <w:t xml:space="preserve">of </w:t>
      </w:r>
      <w:r w:rsidR="009A42C2">
        <w:rPr>
          <w:lang w:eastAsia="en-US"/>
        </w:rPr>
        <w:t>cannabinol deri</w:t>
      </w:r>
      <w:r w:rsidR="00D835E7">
        <w:rPr>
          <w:lang w:eastAsia="en-US"/>
        </w:rPr>
        <w:t>vatives</w:t>
      </w:r>
      <w:r w:rsidR="00B5458C">
        <w:rPr>
          <w:lang w:eastAsia="en-US"/>
        </w:rPr>
        <w:t xml:space="preserve">, including, relevantly, </w:t>
      </w:r>
      <w:r w:rsidR="00EC0922">
        <w:rPr>
          <w:lang w:eastAsia="en-US"/>
        </w:rPr>
        <w:t>tetrahydro</w:t>
      </w:r>
      <w:r w:rsidR="009B0697">
        <w:rPr>
          <w:lang w:eastAsia="en-US"/>
        </w:rPr>
        <w:t>cann</w:t>
      </w:r>
      <w:r w:rsidR="00877C4D">
        <w:rPr>
          <w:lang w:eastAsia="en-US"/>
        </w:rPr>
        <w:t xml:space="preserve">abinol, </w:t>
      </w:r>
      <w:r w:rsidR="006C4834">
        <w:rPr>
          <w:lang w:eastAsia="en-US"/>
        </w:rPr>
        <w:t xml:space="preserve">as </w:t>
      </w:r>
      <w:r w:rsidR="00980D37">
        <w:rPr>
          <w:lang w:eastAsia="en-US"/>
        </w:rPr>
        <w:t xml:space="preserve">controlled drugs for the purpose of the Misuse of Drugs Act 1977 </w:t>
      </w:r>
      <w:r w:rsidR="00D52C13">
        <w:rPr>
          <w:lang w:eastAsia="en-US"/>
        </w:rPr>
        <w:t xml:space="preserve">is contrary to EU law. </w:t>
      </w:r>
      <w:r w:rsidR="001903B7">
        <w:rPr>
          <w:lang w:eastAsia="en-US"/>
        </w:rPr>
        <w:t xml:space="preserve"> </w:t>
      </w:r>
    </w:p>
    <w:p w14:paraId="5A684784" w14:textId="7ED5E832" w:rsidR="005E2B7B" w:rsidRPr="00581F46" w:rsidRDefault="005E2B7B">
      <w:pPr>
        <w:pStyle w:val="Style1"/>
        <w:rPr>
          <w:rFonts w:cs="Calibri"/>
          <w:lang w:eastAsia="en-US"/>
        </w:rPr>
      </w:pPr>
      <w:r>
        <w:rPr>
          <w:lang w:eastAsia="en-US"/>
        </w:rPr>
        <w:t xml:space="preserve">An argument in almost identical terms to that made by the Applicant has previously been rejected by the High Court in </w:t>
      </w:r>
      <w:r w:rsidRPr="00FD7C85">
        <w:rPr>
          <w:i/>
          <w:iCs/>
          <w:lang w:eastAsia="en-US"/>
        </w:rPr>
        <w:t>Bogusas v. Minister for Health</w:t>
      </w:r>
      <w:r>
        <w:rPr>
          <w:lang w:eastAsia="en-US"/>
        </w:rPr>
        <w:t xml:space="preserve"> </w:t>
      </w:r>
      <w:r w:rsidRPr="0000436C">
        <w:rPr>
          <w:lang w:eastAsia="en-US"/>
        </w:rPr>
        <w:t>[2022]</w:t>
      </w:r>
      <w:r>
        <w:rPr>
          <w:lang w:eastAsia="en-US"/>
        </w:rPr>
        <w:t> </w:t>
      </w:r>
      <w:r w:rsidRPr="0000436C">
        <w:rPr>
          <w:lang w:eastAsia="en-US"/>
        </w:rPr>
        <w:t>IEHC</w:t>
      </w:r>
      <w:r>
        <w:rPr>
          <w:lang w:eastAsia="en-US"/>
        </w:rPr>
        <w:t> </w:t>
      </w:r>
      <w:r w:rsidRPr="0000436C">
        <w:rPr>
          <w:lang w:eastAsia="en-US"/>
        </w:rPr>
        <w:t>621</w:t>
      </w:r>
      <w:r>
        <w:rPr>
          <w:lang w:eastAsia="en-US"/>
        </w:rPr>
        <w:t xml:space="preserve">.  </w:t>
      </w:r>
      <w:r w:rsidR="00E149A7">
        <w:rPr>
          <w:lang w:eastAsia="en-US"/>
        </w:rPr>
        <w:t xml:space="preserve">For the reasons explained </w:t>
      </w:r>
      <w:r w:rsidR="00EE447B">
        <w:rPr>
          <w:lang w:eastAsia="en-US"/>
        </w:rPr>
        <w:t>earlier</w:t>
      </w:r>
      <w:r w:rsidR="00E149A7">
        <w:rPr>
          <w:lang w:eastAsia="en-US"/>
        </w:rPr>
        <w:t xml:space="preserve">, </w:t>
      </w:r>
      <w:r w:rsidR="00E149A7" w:rsidRPr="006F7887">
        <w:rPr>
          <w:lang w:eastAsia="en-US"/>
        </w:rPr>
        <w:t xml:space="preserve">I </w:t>
      </w:r>
      <w:r w:rsidR="00EE447B">
        <w:rPr>
          <w:lang w:eastAsia="en-US"/>
        </w:rPr>
        <w:t>am n</w:t>
      </w:r>
      <w:r w:rsidR="00EE447B" w:rsidRPr="006F7887">
        <w:rPr>
          <w:lang w:eastAsia="en-US"/>
        </w:rPr>
        <w:t xml:space="preserve">ot only </w:t>
      </w:r>
      <w:r w:rsidR="00E149A7" w:rsidRPr="006F7887">
        <w:rPr>
          <w:lang w:eastAsia="en-US"/>
        </w:rPr>
        <w:t xml:space="preserve">satisfied that the high threshold for refusing to follow </w:t>
      </w:r>
      <w:r w:rsidR="00E149A7" w:rsidRPr="00FD7C85">
        <w:rPr>
          <w:lang w:val="en-GB" w:eastAsia="en-GB"/>
        </w:rPr>
        <w:t xml:space="preserve">a </w:t>
      </w:r>
      <w:r w:rsidR="00E149A7" w:rsidRPr="006F7887">
        <w:rPr>
          <w:lang w:eastAsia="en-US"/>
        </w:rPr>
        <w:t xml:space="preserve">judgment </w:t>
      </w:r>
      <w:r w:rsidR="00E149A7">
        <w:rPr>
          <w:lang w:eastAsia="en-US"/>
        </w:rPr>
        <w:t xml:space="preserve">of co-ordinate jurisdiction </w:t>
      </w:r>
      <w:r w:rsidR="00E149A7" w:rsidRPr="006F7887">
        <w:rPr>
          <w:lang w:eastAsia="en-US"/>
        </w:rPr>
        <w:lastRenderedPageBreak/>
        <w:t xml:space="preserve">is not met, </w:t>
      </w:r>
      <w:r w:rsidR="00A010AA">
        <w:rPr>
          <w:lang w:eastAsia="en-US"/>
        </w:rPr>
        <w:t xml:space="preserve">but </w:t>
      </w:r>
      <w:r w:rsidR="00E149A7">
        <w:rPr>
          <w:lang w:eastAsia="en-US"/>
        </w:rPr>
        <w:t xml:space="preserve">I am </w:t>
      </w:r>
      <w:r w:rsidR="00A010AA">
        <w:rPr>
          <w:lang w:eastAsia="en-US"/>
        </w:rPr>
        <w:t xml:space="preserve">also </w:t>
      </w:r>
      <w:r w:rsidR="00E149A7">
        <w:rPr>
          <w:lang w:eastAsia="en-US"/>
        </w:rPr>
        <w:t xml:space="preserve">satisfied that </w:t>
      </w:r>
      <w:r w:rsidR="00E95218">
        <w:rPr>
          <w:lang w:eastAsia="en-US"/>
        </w:rPr>
        <w:t xml:space="preserve">the outcome of </w:t>
      </w:r>
      <w:r w:rsidR="00E149A7" w:rsidRPr="006F7887">
        <w:rPr>
          <w:lang w:eastAsia="en-US"/>
        </w:rPr>
        <w:t xml:space="preserve">the judgment </w:t>
      </w:r>
      <w:r w:rsidR="00E149A7">
        <w:rPr>
          <w:lang w:eastAsia="en-US"/>
        </w:rPr>
        <w:t xml:space="preserve">in </w:t>
      </w:r>
      <w:r w:rsidR="00E149A7" w:rsidRPr="00FD7C85">
        <w:rPr>
          <w:i/>
          <w:iCs/>
          <w:lang w:eastAsia="en-US"/>
        </w:rPr>
        <w:t>Bogusas v. Minister for Health</w:t>
      </w:r>
      <w:r w:rsidR="00E149A7" w:rsidRPr="006F7887">
        <w:rPr>
          <w:lang w:eastAsia="en-US"/>
        </w:rPr>
        <w:t xml:space="preserve"> is entirely correct. </w:t>
      </w:r>
      <w:r w:rsidR="00E149A7">
        <w:rPr>
          <w:lang w:eastAsia="en-US"/>
        </w:rPr>
        <w:t xml:space="preserve"> </w:t>
      </w:r>
      <w:r w:rsidR="00E149A7" w:rsidRPr="006F7887">
        <w:rPr>
          <w:lang w:eastAsia="en-US"/>
        </w:rPr>
        <w:t xml:space="preserve">It involves a faithful implementation of the </w:t>
      </w:r>
      <w:r w:rsidR="00E149A7">
        <w:rPr>
          <w:lang w:eastAsia="en-US"/>
        </w:rPr>
        <w:t xml:space="preserve">decision </w:t>
      </w:r>
      <w:r w:rsidR="00E149A7" w:rsidRPr="006F7887">
        <w:rPr>
          <w:lang w:eastAsia="en-US"/>
        </w:rPr>
        <w:t xml:space="preserve">of the </w:t>
      </w:r>
      <w:r w:rsidR="00E149A7">
        <w:rPr>
          <w:lang w:eastAsia="en-US"/>
        </w:rPr>
        <w:t xml:space="preserve">ECJ in </w:t>
      </w:r>
      <w:r w:rsidR="00E149A7" w:rsidRPr="00FD7C85">
        <w:rPr>
          <w:i/>
          <w:iCs/>
          <w:lang w:eastAsia="en-US"/>
        </w:rPr>
        <w:t>Kanavape</w:t>
      </w:r>
      <w:r w:rsidR="00955364">
        <w:rPr>
          <w:lang w:eastAsia="en-US"/>
        </w:rPr>
        <w:t>,</w:t>
      </w:r>
      <w:r w:rsidR="00A21181">
        <w:rPr>
          <w:lang w:eastAsia="en-US"/>
        </w:rPr>
        <w:t xml:space="preserve"> Case C</w:t>
      </w:r>
      <w:r w:rsidR="00A21181">
        <w:rPr>
          <w:lang w:eastAsia="en-US"/>
        </w:rPr>
        <w:noBreakHyphen/>
      </w:r>
      <w:r w:rsidR="00A21181" w:rsidRPr="00C50B67">
        <w:rPr>
          <w:lang w:eastAsia="en-US"/>
        </w:rPr>
        <w:t>663/18</w:t>
      </w:r>
      <w:r w:rsidR="00A21181">
        <w:rPr>
          <w:lang w:eastAsia="en-US"/>
        </w:rPr>
        <w:t>, E</w:t>
      </w:r>
      <w:r w:rsidR="00A21181" w:rsidRPr="008D790C">
        <w:rPr>
          <w:lang w:eastAsia="en-US"/>
        </w:rPr>
        <w:t>U:C:2020:938</w:t>
      </w:r>
      <w:r w:rsidR="007927DE">
        <w:rPr>
          <w:lang w:eastAsia="en-US"/>
        </w:rPr>
        <w:t>.</w:t>
      </w:r>
      <w:r w:rsidR="000B6322">
        <w:rPr>
          <w:lang w:eastAsia="en-US"/>
        </w:rPr>
        <w:t xml:space="preserve">  </w:t>
      </w:r>
    </w:p>
    <w:p w14:paraId="1CB37249" w14:textId="7E25F4A7" w:rsidR="00EB4452" w:rsidRDefault="009D1422" w:rsidP="005509F8">
      <w:pPr>
        <w:pStyle w:val="Style1"/>
        <w:rPr>
          <w:lang w:eastAsia="en-US"/>
        </w:rPr>
      </w:pPr>
      <w:r>
        <w:t xml:space="preserve">Moreover, </w:t>
      </w:r>
      <w:r w:rsidR="00D56F34">
        <w:t>h</w:t>
      </w:r>
      <w:r w:rsidR="006B2BB5">
        <w:t xml:space="preserve">aving regard to </w:t>
      </w:r>
      <w:r w:rsidR="00D56F34">
        <w:t xml:space="preserve">the </w:t>
      </w:r>
      <w:r w:rsidR="006B2BB5">
        <w:t>legislative history</w:t>
      </w:r>
      <w:r w:rsidR="00D56F34">
        <w:t xml:space="preserve"> summarised at paragraphs</w:t>
      </w:r>
      <w:r w:rsidR="00486675">
        <w:t> </w:t>
      </w:r>
      <w:r w:rsidR="00486675">
        <w:fldChar w:fldCharType="begin"/>
      </w:r>
      <w:r w:rsidR="00486675">
        <w:instrText xml:space="preserve"> REF _Ref172204139 \n \h </w:instrText>
      </w:r>
      <w:r w:rsidR="00486675">
        <w:fldChar w:fldCharType="separate"/>
      </w:r>
      <w:r w:rsidR="002F3281">
        <w:t>30</w:t>
      </w:r>
      <w:r w:rsidR="00486675">
        <w:fldChar w:fldCharType="end"/>
      </w:r>
      <w:r w:rsidR="00486675">
        <w:t xml:space="preserve"> to </w:t>
      </w:r>
      <w:r w:rsidR="00486675">
        <w:fldChar w:fldCharType="begin"/>
      </w:r>
      <w:r w:rsidR="00486675">
        <w:instrText xml:space="preserve"> REF _Ref172204151 \n \h </w:instrText>
      </w:r>
      <w:r w:rsidR="00486675">
        <w:fldChar w:fldCharType="separate"/>
      </w:r>
      <w:r w:rsidR="002F3281">
        <w:t>35</w:t>
      </w:r>
      <w:r w:rsidR="00486675">
        <w:fldChar w:fldCharType="end"/>
      </w:r>
      <w:r w:rsidR="00486675">
        <w:t xml:space="preserve"> above</w:t>
      </w:r>
      <w:r w:rsidR="006B2BB5">
        <w:t xml:space="preserve">, the Single Convention on Narcotic Drugs cannot sensibly be interpreted as </w:t>
      </w:r>
      <w:r w:rsidR="006B2BB5" w:rsidRPr="00B3052B">
        <w:rPr>
          <w:i/>
          <w:iCs/>
        </w:rPr>
        <w:t>excluding</w:t>
      </w:r>
      <w:r w:rsidR="006B2BB5">
        <w:t xml:space="preserve"> from its ambit preparations which fall below</w:t>
      </w:r>
      <w:r w:rsidR="00AF1436">
        <w:t xml:space="preserve"> </w:t>
      </w:r>
      <w:r w:rsidR="00E1238E">
        <w:t xml:space="preserve">a threshold of </w:t>
      </w:r>
      <w:r w:rsidR="00AF1436" w:rsidRPr="00382899">
        <w:t>0.2</w:t>
      </w:r>
      <w:r w:rsidR="00AF1436">
        <w:t> </w:t>
      </w:r>
      <w:r w:rsidR="00AF1436" w:rsidRPr="00382899">
        <w:t>percent of delta-9-tetrahydrocannabinol</w:t>
      </w:r>
      <w:r w:rsidR="006B2BB5">
        <w:t>.</w:t>
      </w:r>
      <w:r w:rsidR="00813F68">
        <w:t xml:space="preserve">  It follows, therefore, that a substance or preparation which contains even a low level of THC comes within the concept of a narcotic drug under the Single Convention on Narcotic Drugs, and, by logical extension, is not a </w:t>
      </w:r>
      <w:r w:rsidR="00BE4E81">
        <w:t>“</w:t>
      </w:r>
      <w:r w:rsidR="00813F68" w:rsidRPr="00BE4E81">
        <w:rPr>
          <w:i/>
          <w:iCs/>
        </w:rPr>
        <w:t>good</w:t>
      </w:r>
      <w:r w:rsidR="00BE4E81">
        <w:t>”</w:t>
      </w:r>
      <w:r w:rsidR="00813F68">
        <w:t xml:space="preserve"> which is entitled to benefit from the principle of the free movement of goods under Article 34 TFEU.  </w:t>
      </w:r>
    </w:p>
    <w:p w14:paraId="1B0D2063" w14:textId="7B136844" w:rsidR="005251CA" w:rsidRDefault="005251CA" w:rsidP="005251CA">
      <w:pPr>
        <w:pStyle w:val="Style1"/>
      </w:pPr>
      <w:bookmarkStart w:id="8" w:name="_Ref172275465"/>
      <w:r>
        <w:t xml:space="preserve">It </w:t>
      </w:r>
      <w:r w:rsidR="00BE4E81">
        <w:t>flows</w:t>
      </w:r>
      <w:r>
        <w:t xml:space="preserve">—as a corollary of </w:t>
      </w:r>
      <w:r w:rsidR="009A2DC8">
        <w:t xml:space="preserve">this court’s </w:t>
      </w:r>
      <w:r>
        <w:t xml:space="preserve">finding that legislative restrictions on the import or sale of a substance or preparation which contains even a low level of THC do not engage Article 34 TFEU—that the relevant provisions of the Misuse of Drugs Act 1977 do not require to </w:t>
      </w:r>
      <w:r w:rsidRPr="00DE7DC9">
        <w:t>be justified on one of the grounds of public interest laid down in Article</w:t>
      </w:r>
      <w:r>
        <w:t> </w:t>
      </w:r>
      <w:r w:rsidRPr="00DE7DC9">
        <w:t xml:space="preserve">36 TFEU or by imperative </w:t>
      </w:r>
      <w:bookmarkEnd w:id="8"/>
      <w:r w:rsidRPr="00DE7DC9">
        <w:t>requirements.</w:t>
      </w:r>
      <w:r>
        <w:t xml:space="preserve">  There is no basis, therefore, for </w:t>
      </w:r>
      <w:r w:rsidR="009E3C78">
        <w:t xml:space="preserve">the declaratory and </w:t>
      </w:r>
      <w:r>
        <w:t xml:space="preserve">mandatory relief sought at </w:t>
      </w:r>
      <w:r w:rsidR="00761C52">
        <w:t>part</w:t>
      </w:r>
      <w:r>
        <w:t> (d) of the statement of grounds.</w:t>
      </w:r>
    </w:p>
    <w:p w14:paraId="702835C5" w14:textId="54DD6620" w:rsidR="00555353" w:rsidRDefault="005A4212">
      <w:pPr>
        <w:pStyle w:val="Style1"/>
        <w:rPr>
          <w:lang w:eastAsia="en-US"/>
        </w:rPr>
      </w:pPr>
      <w:r>
        <w:t xml:space="preserve">The </w:t>
      </w:r>
      <w:r w:rsidR="005B3404">
        <w:t xml:space="preserve">separate </w:t>
      </w:r>
      <w:r w:rsidR="00634633">
        <w:t xml:space="preserve">grounds </w:t>
      </w:r>
      <w:r w:rsidR="00781AD7">
        <w:t xml:space="preserve">pleaded </w:t>
      </w:r>
      <w:r w:rsidR="00634633">
        <w:t>by reference to the r</w:t>
      </w:r>
      <w:r w:rsidR="00411A10">
        <w:t xml:space="preserve">ight to earn a livelihood </w:t>
      </w:r>
      <w:r w:rsidR="00896968">
        <w:t>are, with respect, makeweight grounds only.  No meaningful attempt has been</w:t>
      </w:r>
      <w:r w:rsidR="00781AD7">
        <w:t xml:space="preserve"> </w:t>
      </w:r>
      <w:r w:rsidR="00896968">
        <w:t xml:space="preserve">made to </w:t>
      </w:r>
      <w:r w:rsidR="00A63AC1">
        <w:t xml:space="preserve">substantiate </w:t>
      </w:r>
      <w:r w:rsidR="00896968">
        <w:t>these grounds on either the facts or the law.</w:t>
      </w:r>
    </w:p>
    <w:p w14:paraId="495BEC40" w14:textId="14C1C61F" w:rsidR="00896968" w:rsidRPr="00266A40" w:rsidRDefault="009027D2" w:rsidP="00555353">
      <w:pPr>
        <w:pStyle w:val="Style1"/>
        <w:rPr>
          <w:lang w:eastAsia="en-US"/>
        </w:rPr>
      </w:pPr>
      <w:r>
        <w:t xml:space="preserve">Accordingly, the </w:t>
      </w:r>
      <w:r w:rsidR="00896968">
        <w:t xml:space="preserve">application for judicial review </w:t>
      </w:r>
      <w:r>
        <w:t xml:space="preserve">must be dismissed in its entirety.  As to legal costs, my </w:t>
      </w:r>
      <w:r w:rsidRPr="00555353">
        <w:rPr>
          <w:i/>
          <w:iCs/>
        </w:rPr>
        <w:t>provisional</w:t>
      </w:r>
      <w:r>
        <w:t xml:space="preserve"> view is that the Respondents, having been entirely successful in the</w:t>
      </w:r>
      <w:r w:rsidR="00515EFC">
        <w:t>ir defence of the</w:t>
      </w:r>
      <w:r>
        <w:t xml:space="preserve"> proceedings, are entitled to recover their costs as against the Applicant.  This would represent the default position </w:t>
      </w:r>
      <w:r>
        <w:lastRenderedPageBreak/>
        <w:t xml:space="preserve">under section 169 of the Legal Services Regulation Act 2015.  If either party wishes to contend for a different form of costs order, they should contact the registrar </w:t>
      </w:r>
      <w:r w:rsidR="00030CA0">
        <w:t xml:space="preserve">on or before </w:t>
      </w:r>
      <w:r w:rsidR="008B1D18">
        <w:t>20</w:t>
      </w:r>
      <w:r w:rsidR="00030CA0">
        <w:t xml:space="preserve"> September 2024 </w:t>
      </w:r>
      <w:r>
        <w:t xml:space="preserve">and </w:t>
      </w:r>
      <w:r w:rsidR="00030CA0">
        <w:t>arrange to have the matter listed before me, on a date convenient to the parties, to hear submissions on costs.</w:t>
      </w:r>
    </w:p>
    <w:p w14:paraId="676B48E0" w14:textId="77777777" w:rsidR="006F7887" w:rsidRDefault="006F7887">
      <w:pPr>
        <w:rPr>
          <w:lang w:eastAsia="en-US"/>
        </w:rPr>
      </w:pPr>
    </w:p>
    <w:p w14:paraId="4B2DC083" w14:textId="77777777" w:rsidR="00030CA0" w:rsidRDefault="00030CA0">
      <w:pPr>
        <w:rPr>
          <w:lang w:eastAsia="en-US"/>
        </w:rPr>
      </w:pPr>
    </w:p>
    <w:p w14:paraId="18C95BBC" w14:textId="77777777" w:rsidR="00D833EB" w:rsidRPr="006F7887" w:rsidRDefault="00D833EB">
      <w:pPr>
        <w:rPr>
          <w:lang w:eastAsia="en-US"/>
        </w:rPr>
      </w:pPr>
    </w:p>
    <w:p w14:paraId="13F74D75" w14:textId="582E172A" w:rsidR="006F7887" w:rsidRPr="00886B8D" w:rsidRDefault="00886B8D" w:rsidP="00886B8D">
      <w:pPr>
        <w:spacing w:after="120"/>
        <w:rPr>
          <w:i/>
          <w:iCs/>
        </w:rPr>
      </w:pPr>
      <w:r w:rsidRPr="00886B8D">
        <w:rPr>
          <w:i/>
          <w:iCs/>
        </w:rPr>
        <w:t xml:space="preserve">Appearances </w:t>
      </w:r>
    </w:p>
    <w:p w14:paraId="30422673" w14:textId="0FA0C22B" w:rsidR="00886B8D" w:rsidRDefault="00886B8D" w:rsidP="003746A1">
      <w:r>
        <w:t xml:space="preserve">Derek Shortall SC and Stephen T. Faulkner </w:t>
      </w:r>
      <w:r w:rsidR="00C934A0">
        <w:t>for the applicant instructed by Mulholland Law</w:t>
      </w:r>
    </w:p>
    <w:p w14:paraId="7B850D49" w14:textId="33065213" w:rsidR="00C934A0" w:rsidRDefault="00101ADC" w:rsidP="003746A1">
      <w:r>
        <w:t>William Abrahamson SC and Frank Kennedy for the first</w:t>
      </w:r>
      <w:r w:rsidR="00C6674E">
        <w:t xml:space="preserve"> to fourth named</w:t>
      </w:r>
      <w:r>
        <w:t xml:space="preserve"> respondent</w:t>
      </w:r>
      <w:r w:rsidR="00C6674E">
        <w:t>s</w:t>
      </w:r>
      <w:r>
        <w:t xml:space="preserve"> instructed by the Chief State Solicitor</w:t>
      </w:r>
    </w:p>
    <w:p w14:paraId="6757894D" w14:textId="202479E8" w:rsidR="00C934A0" w:rsidRDefault="00C934A0" w:rsidP="003746A1">
      <w:r>
        <w:t xml:space="preserve">James Dwyer SC and Conor McKenna for </w:t>
      </w:r>
      <w:r w:rsidR="00C6674E">
        <w:t>the fifth named</w:t>
      </w:r>
      <w:r w:rsidR="00670CA6">
        <w:t xml:space="preserve"> respondent instructed by the Chief Prosecution Solicitor </w:t>
      </w:r>
    </w:p>
    <w:p w14:paraId="7A490648" w14:textId="77777777" w:rsidR="00C6674E" w:rsidRDefault="00C6674E" w:rsidP="003746A1"/>
    <w:sectPr w:rsidR="00C6674E" w:rsidSect="0041556A">
      <w:headerReference w:type="default" r:id="rId9"/>
      <w:footerReference w:type="first" r:id="rId10"/>
      <w:pgSz w:w="11906" w:h="16838"/>
      <w:pgMar w:top="1440" w:right="1843" w:bottom="144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8AD39" w14:textId="77777777" w:rsidR="0069318A" w:rsidRDefault="0069318A" w:rsidP="0041556A">
      <w:r>
        <w:separator/>
      </w:r>
    </w:p>
  </w:endnote>
  <w:endnote w:type="continuationSeparator" w:id="0">
    <w:p w14:paraId="5C7C1AC7" w14:textId="77777777" w:rsidR="0069318A" w:rsidRDefault="0069318A" w:rsidP="0041556A">
      <w:r>
        <w:continuationSeparator/>
      </w:r>
    </w:p>
  </w:endnote>
  <w:endnote w:type="continuationNotice" w:id="1">
    <w:p w14:paraId="714F94EF" w14:textId="77777777" w:rsidR="0069318A" w:rsidRDefault="00693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B41AD" w14:textId="79768643" w:rsidR="0041556A" w:rsidRDefault="0041556A" w:rsidP="0041556A">
    <w:pPr>
      <w:pStyle w:val="Footer"/>
      <w:jc w:val="center"/>
    </w:pPr>
    <w:r>
      <w:t>NO REDACTION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984FA" w14:textId="77777777" w:rsidR="0069318A" w:rsidRDefault="0069318A" w:rsidP="0041556A">
      <w:r>
        <w:separator/>
      </w:r>
    </w:p>
  </w:footnote>
  <w:footnote w:type="continuationSeparator" w:id="0">
    <w:p w14:paraId="2DD8C55B" w14:textId="77777777" w:rsidR="0069318A" w:rsidRDefault="0069318A" w:rsidP="0041556A">
      <w:r>
        <w:continuationSeparator/>
      </w:r>
    </w:p>
  </w:footnote>
  <w:footnote w:type="continuationNotice" w:id="1">
    <w:p w14:paraId="6136D7A3" w14:textId="77777777" w:rsidR="0069318A" w:rsidRDefault="006931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18371"/>
      <w:docPartObj>
        <w:docPartGallery w:val="Page Numbers (Top of Page)"/>
        <w:docPartUnique/>
      </w:docPartObj>
    </w:sdtPr>
    <w:sdtEndPr>
      <w:rPr>
        <w:noProof/>
      </w:rPr>
    </w:sdtEndPr>
    <w:sdtContent>
      <w:p w14:paraId="42620D66" w14:textId="24E519B5" w:rsidR="003746A1" w:rsidRDefault="003746A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5E45051" w14:textId="77777777" w:rsidR="003746A1" w:rsidRDefault="00374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D3521"/>
    <w:multiLevelType w:val="hybridMultilevel"/>
    <w:tmpl w:val="FADC55F2"/>
    <w:lvl w:ilvl="0" w:tplc="8A72DD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AB57385"/>
    <w:multiLevelType w:val="hybridMultilevel"/>
    <w:tmpl w:val="FFFFFFFF"/>
    <w:lvl w:ilvl="0" w:tplc="38705C42">
      <w:start w:val="3"/>
      <w:numFmt w:val="decimal"/>
      <w:lvlText w:val="%1."/>
      <w:lvlJc w:val="left"/>
      <w:pPr>
        <w:ind w:left="720" w:hanging="360"/>
      </w:pPr>
      <w:rPr>
        <w:b/>
      </w:rPr>
    </w:lvl>
    <w:lvl w:ilvl="1" w:tplc="752630D2">
      <w:start w:val="1"/>
      <w:numFmt w:val="decimal"/>
      <w:lvlText w:val="%2."/>
      <w:lvlJc w:val="left"/>
      <w:pPr>
        <w:ind w:left="1440" w:hanging="360"/>
      </w:pPr>
    </w:lvl>
    <w:lvl w:ilvl="2" w:tplc="0650C331">
      <w:start w:val="1"/>
      <w:numFmt w:val="decimal"/>
      <w:lvlText w:val="%3."/>
      <w:lvlJc w:val="left"/>
      <w:pPr>
        <w:ind w:left="2160" w:hanging="360"/>
      </w:pPr>
    </w:lvl>
    <w:lvl w:ilvl="3" w:tplc="2DB638C8">
      <w:start w:val="1"/>
      <w:numFmt w:val="decimal"/>
      <w:lvlText w:val="%4."/>
      <w:lvlJc w:val="left"/>
      <w:pPr>
        <w:ind w:left="2880" w:hanging="360"/>
      </w:pPr>
    </w:lvl>
    <w:lvl w:ilvl="4" w:tplc="350E4ADE">
      <w:start w:val="1"/>
      <w:numFmt w:val="decimal"/>
      <w:lvlText w:val="%5."/>
      <w:lvlJc w:val="left"/>
      <w:pPr>
        <w:ind w:left="3600" w:hanging="360"/>
      </w:pPr>
    </w:lvl>
    <w:lvl w:ilvl="5" w:tplc="006115F6">
      <w:start w:val="1"/>
      <w:numFmt w:val="decimal"/>
      <w:lvlText w:val="%6."/>
      <w:lvlJc w:val="left"/>
      <w:pPr>
        <w:ind w:left="4320" w:hanging="360"/>
      </w:pPr>
    </w:lvl>
    <w:lvl w:ilvl="6" w:tplc="7415E243">
      <w:start w:val="1"/>
      <w:numFmt w:val="decimal"/>
      <w:lvlText w:val="%7."/>
      <w:lvlJc w:val="left"/>
      <w:pPr>
        <w:ind w:left="5040" w:hanging="360"/>
      </w:pPr>
    </w:lvl>
    <w:lvl w:ilvl="7" w:tplc="0FC7B0D0">
      <w:start w:val="1"/>
      <w:numFmt w:val="decimal"/>
      <w:lvlText w:val="%8."/>
      <w:lvlJc w:val="left"/>
      <w:pPr>
        <w:ind w:left="5760" w:hanging="360"/>
      </w:pPr>
    </w:lvl>
    <w:lvl w:ilvl="8" w:tplc="6A3D5277">
      <w:start w:val="1"/>
      <w:numFmt w:val="decimal"/>
      <w:lvlText w:val="%9."/>
      <w:lvlJc w:val="left"/>
      <w:pPr>
        <w:ind w:left="6480" w:hanging="360"/>
      </w:pPr>
    </w:lvl>
  </w:abstractNum>
  <w:abstractNum w:abstractNumId="2" w15:restartNumberingAfterBreak="0">
    <w:nsid w:val="27690F70"/>
    <w:multiLevelType w:val="hybridMultilevel"/>
    <w:tmpl w:val="3D80CE68"/>
    <w:lvl w:ilvl="0" w:tplc="E60CF5F8">
      <w:start w:val="1"/>
      <w:numFmt w:val="decimal"/>
      <w:pStyle w:val="Style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31A4D2"/>
    <w:multiLevelType w:val="hybridMultilevel"/>
    <w:tmpl w:val="FFFFFFFF"/>
    <w:lvl w:ilvl="0" w:tplc="38705C42">
      <w:start w:val="4"/>
      <w:numFmt w:val="decimal"/>
      <w:lvlText w:val="%1."/>
      <w:lvlJc w:val="left"/>
      <w:pPr>
        <w:ind w:left="720" w:hanging="360"/>
      </w:pPr>
      <w:rPr>
        <w:b/>
      </w:rPr>
    </w:lvl>
    <w:lvl w:ilvl="1" w:tplc="752630D2">
      <w:start w:val="1"/>
      <w:numFmt w:val="decimal"/>
      <w:lvlText w:val="%2."/>
      <w:lvlJc w:val="left"/>
      <w:pPr>
        <w:ind w:left="1440" w:hanging="360"/>
      </w:pPr>
    </w:lvl>
    <w:lvl w:ilvl="2" w:tplc="0650C331">
      <w:start w:val="1"/>
      <w:numFmt w:val="decimal"/>
      <w:lvlText w:val="%3."/>
      <w:lvlJc w:val="left"/>
      <w:pPr>
        <w:ind w:left="2160" w:hanging="360"/>
      </w:pPr>
    </w:lvl>
    <w:lvl w:ilvl="3" w:tplc="2DB638C8">
      <w:start w:val="1"/>
      <w:numFmt w:val="decimal"/>
      <w:lvlText w:val="%4."/>
      <w:lvlJc w:val="left"/>
      <w:pPr>
        <w:ind w:left="2880" w:hanging="360"/>
      </w:pPr>
    </w:lvl>
    <w:lvl w:ilvl="4" w:tplc="350E4ADE">
      <w:start w:val="1"/>
      <w:numFmt w:val="decimal"/>
      <w:lvlText w:val="%5."/>
      <w:lvlJc w:val="left"/>
      <w:pPr>
        <w:ind w:left="3600" w:hanging="360"/>
      </w:pPr>
    </w:lvl>
    <w:lvl w:ilvl="5" w:tplc="006115F6">
      <w:start w:val="1"/>
      <w:numFmt w:val="decimal"/>
      <w:lvlText w:val="%6."/>
      <w:lvlJc w:val="left"/>
      <w:pPr>
        <w:ind w:left="4320" w:hanging="360"/>
      </w:pPr>
    </w:lvl>
    <w:lvl w:ilvl="6" w:tplc="7415E243">
      <w:start w:val="1"/>
      <w:numFmt w:val="decimal"/>
      <w:lvlText w:val="%7."/>
      <w:lvlJc w:val="left"/>
      <w:pPr>
        <w:ind w:left="5040" w:hanging="360"/>
      </w:pPr>
    </w:lvl>
    <w:lvl w:ilvl="7" w:tplc="0FC7B0D0">
      <w:start w:val="1"/>
      <w:numFmt w:val="decimal"/>
      <w:lvlText w:val="%8."/>
      <w:lvlJc w:val="left"/>
      <w:pPr>
        <w:ind w:left="5760" w:hanging="360"/>
      </w:pPr>
    </w:lvl>
    <w:lvl w:ilvl="8" w:tplc="6A3D5277">
      <w:start w:val="1"/>
      <w:numFmt w:val="decimal"/>
      <w:lvlText w:val="%9."/>
      <w:lvlJc w:val="left"/>
      <w:pPr>
        <w:ind w:left="6480" w:hanging="360"/>
      </w:pPr>
    </w:lvl>
  </w:abstractNum>
  <w:abstractNum w:abstractNumId="4" w15:restartNumberingAfterBreak="0">
    <w:nsid w:val="48C16469"/>
    <w:multiLevelType w:val="hybridMultilevel"/>
    <w:tmpl w:val="AD5E678A"/>
    <w:lvl w:ilvl="0" w:tplc="CA8E65B2">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402490D"/>
    <w:multiLevelType w:val="hybridMultilevel"/>
    <w:tmpl w:val="FFFFFFFF"/>
    <w:lvl w:ilvl="0" w:tplc="1AF6C6A8">
      <w:start w:val="1"/>
      <w:numFmt w:val="decimal"/>
      <w:lvlText w:val="%1."/>
      <w:lvlJc w:val="left"/>
      <w:pPr>
        <w:ind w:left="720" w:hanging="360"/>
      </w:pPr>
    </w:lvl>
    <w:lvl w:ilvl="1" w:tplc="2EF2A2E0">
      <w:start w:val="1"/>
      <w:numFmt w:val="decimal"/>
      <w:lvlText w:val="%2."/>
      <w:lvlJc w:val="left"/>
      <w:pPr>
        <w:ind w:left="1440" w:hanging="360"/>
      </w:pPr>
    </w:lvl>
    <w:lvl w:ilvl="2" w:tplc="54024964">
      <w:start w:val="1"/>
      <w:numFmt w:val="decimal"/>
      <w:lvlText w:val="%3."/>
      <w:lvlJc w:val="left"/>
      <w:pPr>
        <w:ind w:left="2160" w:hanging="360"/>
      </w:pPr>
    </w:lvl>
    <w:lvl w:ilvl="3" w:tplc="210D852A">
      <w:start w:val="1"/>
      <w:numFmt w:val="decimal"/>
      <w:lvlText w:val="%4."/>
      <w:lvlJc w:val="left"/>
      <w:pPr>
        <w:ind w:left="2880" w:hanging="360"/>
      </w:pPr>
    </w:lvl>
    <w:lvl w:ilvl="4" w:tplc="21FC75EF">
      <w:start w:val="1"/>
      <w:numFmt w:val="decimal"/>
      <w:lvlText w:val="%5."/>
      <w:lvlJc w:val="left"/>
      <w:pPr>
        <w:ind w:left="3600" w:hanging="360"/>
      </w:pPr>
    </w:lvl>
    <w:lvl w:ilvl="5" w:tplc="79DA0257">
      <w:start w:val="1"/>
      <w:numFmt w:val="decimal"/>
      <w:lvlText w:val="%6."/>
      <w:lvlJc w:val="left"/>
      <w:pPr>
        <w:ind w:left="4320" w:hanging="360"/>
      </w:pPr>
    </w:lvl>
    <w:lvl w:ilvl="6" w:tplc="4A3BACAA">
      <w:start w:val="1"/>
      <w:numFmt w:val="decimal"/>
      <w:lvlText w:val="%7."/>
      <w:lvlJc w:val="left"/>
      <w:pPr>
        <w:ind w:left="5040" w:hanging="360"/>
      </w:pPr>
    </w:lvl>
    <w:lvl w:ilvl="7" w:tplc="384FBF69">
      <w:start w:val="1"/>
      <w:numFmt w:val="decimal"/>
      <w:lvlText w:val="%8."/>
      <w:lvlJc w:val="left"/>
      <w:pPr>
        <w:ind w:left="5760" w:hanging="360"/>
      </w:pPr>
    </w:lvl>
    <w:lvl w:ilvl="8" w:tplc="7B2F95C5">
      <w:start w:val="1"/>
      <w:numFmt w:val="decimal"/>
      <w:lvlText w:val="%9."/>
      <w:lvlJc w:val="left"/>
      <w:pPr>
        <w:ind w:left="6480" w:hanging="360"/>
      </w:pPr>
    </w:lvl>
  </w:abstractNum>
  <w:abstractNum w:abstractNumId="6" w15:restartNumberingAfterBreak="0">
    <w:nsid w:val="6A3D524C"/>
    <w:multiLevelType w:val="hybridMultilevel"/>
    <w:tmpl w:val="FFFFFFFF"/>
    <w:lvl w:ilvl="0" w:tplc="38705C42">
      <w:start w:val="1"/>
      <w:numFmt w:val="decimal"/>
      <w:lvlText w:val="%1."/>
      <w:lvlJc w:val="left"/>
      <w:pPr>
        <w:ind w:left="720" w:hanging="360"/>
      </w:pPr>
      <w:rPr>
        <w:b/>
      </w:rPr>
    </w:lvl>
    <w:lvl w:ilvl="1" w:tplc="752630D2">
      <w:start w:val="1"/>
      <w:numFmt w:val="decimal"/>
      <w:lvlText w:val="%2."/>
      <w:lvlJc w:val="left"/>
      <w:pPr>
        <w:ind w:left="1440" w:hanging="360"/>
      </w:pPr>
    </w:lvl>
    <w:lvl w:ilvl="2" w:tplc="0650C331">
      <w:start w:val="1"/>
      <w:numFmt w:val="decimal"/>
      <w:lvlText w:val="%3."/>
      <w:lvlJc w:val="left"/>
      <w:pPr>
        <w:ind w:left="2160" w:hanging="360"/>
      </w:pPr>
    </w:lvl>
    <w:lvl w:ilvl="3" w:tplc="2DB638C8">
      <w:start w:val="1"/>
      <w:numFmt w:val="decimal"/>
      <w:lvlText w:val="%4."/>
      <w:lvlJc w:val="left"/>
      <w:pPr>
        <w:ind w:left="2880" w:hanging="360"/>
      </w:pPr>
    </w:lvl>
    <w:lvl w:ilvl="4" w:tplc="350E4ADE">
      <w:start w:val="1"/>
      <w:numFmt w:val="decimal"/>
      <w:lvlText w:val="%5."/>
      <w:lvlJc w:val="left"/>
      <w:pPr>
        <w:ind w:left="3600" w:hanging="360"/>
      </w:pPr>
    </w:lvl>
    <w:lvl w:ilvl="5" w:tplc="006115F6">
      <w:start w:val="1"/>
      <w:numFmt w:val="decimal"/>
      <w:lvlText w:val="%6."/>
      <w:lvlJc w:val="left"/>
      <w:pPr>
        <w:ind w:left="4320" w:hanging="360"/>
      </w:pPr>
    </w:lvl>
    <w:lvl w:ilvl="6" w:tplc="7415E243">
      <w:start w:val="1"/>
      <w:numFmt w:val="decimal"/>
      <w:lvlText w:val="%7."/>
      <w:lvlJc w:val="left"/>
      <w:pPr>
        <w:ind w:left="5040" w:hanging="360"/>
      </w:pPr>
    </w:lvl>
    <w:lvl w:ilvl="7" w:tplc="0FC7B0D0">
      <w:start w:val="1"/>
      <w:numFmt w:val="decimal"/>
      <w:lvlText w:val="%8."/>
      <w:lvlJc w:val="left"/>
      <w:pPr>
        <w:ind w:left="5760" w:hanging="360"/>
      </w:pPr>
    </w:lvl>
    <w:lvl w:ilvl="8" w:tplc="6A3D5277">
      <w:start w:val="1"/>
      <w:numFmt w:val="decimal"/>
      <w:lvlText w:val="%9."/>
      <w:lvlJc w:val="left"/>
      <w:pPr>
        <w:ind w:left="6480" w:hanging="360"/>
      </w:pPr>
    </w:lvl>
  </w:abstractNum>
  <w:abstractNum w:abstractNumId="7" w15:restartNumberingAfterBreak="0">
    <w:nsid w:val="6E0E629B"/>
    <w:multiLevelType w:val="hybridMultilevel"/>
    <w:tmpl w:val="E9807142"/>
    <w:lvl w:ilvl="0" w:tplc="78C0F546">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494C0B5"/>
    <w:multiLevelType w:val="hybridMultilevel"/>
    <w:tmpl w:val="FFFFFFFF"/>
    <w:lvl w:ilvl="0" w:tplc="38705C42">
      <w:start w:val="2"/>
      <w:numFmt w:val="decimal"/>
      <w:lvlText w:val="%1."/>
      <w:lvlJc w:val="left"/>
      <w:pPr>
        <w:ind w:left="720" w:hanging="360"/>
      </w:pPr>
      <w:rPr>
        <w:b/>
      </w:rPr>
    </w:lvl>
    <w:lvl w:ilvl="1" w:tplc="752630D2">
      <w:start w:val="1"/>
      <w:numFmt w:val="decimal"/>
      <w:lvlText w:val="%2."/>
      <w:lvlJc w:val="left"/>
      <w:pPr>
        <w:ind w:left="1440" w:hanging="360"/>
      </w:pPr>
    </w:lvl>
    <w:lvl w:ilvl="2" w:tplc="0650C331">
      <w:start w:val="1"/>
      <w:numFmt w:val="decimal"/>
      <w:lvlText w:val="%3."/>
      <w:lvlJc w:val="left"/>
      <w:pPr>
        <w:ind w:left="2160" w:hanging="360"/>
      </w:pPr>
    </w:lvl>
    <w:lvl w:ilvl="3" w:tplc="2DB638C8">
      <w:start w:val="1"/>
      <w:numFmt w:val="decimal"/>
      <w:lvlText w:val="%4."/>
      <w:lvlJc w:val="left"/>
      <w:pPr>
        <w:ind w:left="2880" w:hanging="360"/>
      </w:pPr>
    </w:lvl>
    <w:lvl w:ilvl="4" w:tplc="350E4ADE">
      <w:start w:val="1"/>
      <w:numFmt w:val="decimal"/>
      <w:lvlText w:val="%5."/>
      <w:lvlJc w:val="left"/>
      <w:pPr>
        <w:ind w:left="3600" w:hanging="360"/>
      </w:pPr>
    </w:lvl>
    <w:lvl w:ilvl="5" w:tplc="006115F6">
      <w:start w:val="1"/>
      <w:numFmt w:val="decimal"/>
      <w:lvlText w:val="%6."/>
      <w:lvlJc w:val="left"/>
      <w:pPr>
        <w:ind w:left="4320" w:hanging="360"/>
      </w:pPr>
    </w:lvl>
    <w:lvl w:ilvl="6" w:tplc="7415E243">
      <w:start w:val="1"/>
      <w:numFmt w:val="decimal"/>
      <w:lvlText w:val="%7."/>
      <w:lvlJc w:val="left"/>
      <w:pPr>
        <w:ind w:left="5040" w:hanging="360"/>
      </w:pPr>
    </w:lvl>
    <w:lvl w:ilvl="7" w:tplc="0FC7B0D0">
      <w:start w:val="1"/>
      <w:numFmt w:val="decimal"/>
      <w:lvlText w:val="%8."/>
      <w:lvlJc w:val="left"/>
      <w:pPr>
        <w:ind w:left="5760" w:hanging="360"/>
      </w:pPr>
    </w:lvl>
    <w:lvl w:ilvl="8" w:tplc="6A3D5277">
      <w:start w:val="1"/>
      <w:numFmt w:val="decimal"/>
      <w:lvlText w:val="%9."/>
      <w:lvlJc w:val="left"/>
      <w:pPr>
        <w:ind w:left="6480" w:hanging="360"/>
      </w:pPr>
    </w:lvl>
  </w:abstractNum>
  <w:num w:numId="1" w16cid:durableId="1006903377">
    <w:abstractNumId w:val="7"/>
  </w:num>
  <w:num w:numId="2" w16cid:durableId="1411461143">
    <w:abstractNumId w:val="0"/>
  </w:num>
  <w:num w:numId="3" w16cid:durableId="1527136532">
    <w:abstractNumId w:val="4"/>
  </w:num>
  <w:num w:numId="4" w16cid:durableId="925921885">
    <w:abstractNumId w:val="2"/>
  </w:num>
  <w:num w:numId="5" w16cid:durableId="2082100255">
    <w:abstractNumId w:val="2"/>
  </w:num>
  <w:num w:numId="6" w16cid:durableId="227957418">
    <w:abstractNumId w:val="2"/>
  </w:num>
  <w:num w:numId="7" w16cid:durableId="660040286">
    <w:abstractNumId w:val="2"/>
  </w:num>
  <w:num w:numId="8" w16cid:durableId="1468278697">
    <w:abstractNumId w:val="2"/>
  </w:num>
  <w:num w:numId="9" w16cid:durableId="153033228">
    <w:abstractNumId w:val="5"/>
  </w:num>
  <w:num w:numId="10" w16cid:durableId="908080351">
    <w:abstractNumId w:val="6"/>
  </w:num>
  <w:num w:numId="11" w16cid:durableId="353314207">
    <w:abstractNumId w:val="8"/>
  </w:num>
  <w:num w:numId="12" w16cid:durableId="397437694">
    <w:abstractNumId w:val="1"/>
  </w:num>
  <w:num w:numId="13" w16cid:durableId="1823886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C6B133-A167-491C-892D-B99617C59F36}"/>
    <w:docVar w:name="dgnword-eventsink" w:val="2676146713056"/>
  </w:docVars>
  <w:rsids>
    <w:rsidRoot w:val="006F7887"/>
    <w:rsid w:val="0000436C"/>
    <w:rsid w:val="00004FE6"/>
    <w:rsid w:val="00012FAB"/>
    <w:rsid w:val="000132DE"/>
    <w:rsid w:val="00014D4D"/>
    <w:rsid w:val="000162D8"/>
    <w:rsid w:val="000165C4"/>
    <w:rsid w:val="00016F42"/>
    <w:rsid w:val="00020C36"/>
    <w:rsid w:val="00021F6E"/>
    <w:rsid w:val="00023E79"/>
    <w:rsid w:val="000303B3"/>
    <w:rsid w:val="00030CA0"/>
    <w:rsid w:val="00035D1A"/>
    <w:rsid w:val="000368D9"/>
    <w:rsid w:val="00036958"/>
    <w:rsid w:val="00037411"/>
    <w:rsid w:val="000411E6"/>
    <w:rsid w:val="00042A55"/>
    <w:rsid w:val="00043EEB"/>
    <w:rsid w:val="00044D31"/>
    <w:rsid w:val="00045D9B"/>
    <w:rsid w:val="00047D74"/>
    <w:rsid w:val="00052571"/>
    <w:rsid w:val="00055EEC"/>
    <w:rsid w:val="000618B6"/>
    <w:rsid w:val="00065433"/>
    <w:rsid w:val="000666BA"/>
    <w:rsid w:val="000669A3"/>
    <w:rsid w:val="00067745"/>
    <w:rsid w:val="00067D13"/>
    <w:rsid w:val="00070DBF"/>
    <w:rsid w:val="00075424"/>
    <w:rsid w:val="00083ABD"/>
    <w:rsid w:val="000844F0"/>
    <w:rsid w:val="00084901"/>
    <w:rsid w:val="00084BDD"/>
    <w:rsid w:val="00085FB2"/>
    <w:rsid w:val="00087507"/>
    <w:rsid w:val="00087DB4"/>
    <w:rsid w:val="0009713F"/>
    <w:rsid w:val="000A77A8"/>
    <w:rsid w:val="000B0583"/>
    <w:rsid w:val="000B0B7C"/>
    <w:rsid w:val="000B291D"/>
    <w:rsid w:val="000B428A"/>
    <w:rsid w:val="000B6322"/>
    <w:rsid w:val="000B7C0D"/>
    <w:rsid w:val="000C0869"/>
    <w:rsid w:val="000C11D0"/>
    <w:rsid w:val="000C227B"/>
    <w:rsid w:val="000C30A1"/>
    <w:rsid w:val="000C3D4B"/>
    <w:rsid w:val="000C5EFF"/>
    <w:rsid w:val="000C77CE"/>
    <w:rsid w:val="000D0467"/>
    <w:rsid w:val="000D154D"/>
    <w:rsid w:val="000D43C9"/>
    <w:rsid w:val="000D4A1C"/>
    <w:rsid w:val="000E1222"/>
    <w:rsid w:val="000E1F7E"/>
    <w:rsid w:val="000E6187"/>
    <w:rsid w:val="000E7C88"/>
    <w:rsid w:val="000E7EBA"/>
    <w:rsid w:val="000E7F5F"/>
    <w:rsid w:val="000F1D27"/>
    <w:rsid w:val="000F33B0"/>
    <w:rsid w:val="000F6CE9"/>
    <w:rsid w:val="000F6DFE"/>
    <w:rsid w:val="000F6F77"/>
    <w:rsid w:val="001001D8"/>
    <w:rsid w:val="00101ADC"/>
    <w:rsid w:val="0010255E"/>
    <w:rsid w:val="001029EC"/>
    <w:rsid w:val="00107DEF"/>
    <w:rsid w:val="00110737"/>
    <w:rsid w:val="00110FB2"/>
    <w:rsid w:val="0011190F"/>
    <w:rsid w:val="0011269B"/>
    <w:rsid w:val="00121CEA"/>
    <w:rsid w:val="001230ED"/>
    <w:rsid w:val="00125451"/>
    <w:rsid w:val="00125560"/>
    <w:rsid w:val="00132F94"/>
    <w:rsid w:val="00133501"/>
    <w:rsid w:val="0013600B"/>
    <w:rsid w:val="00142BF9"/>
    <w:rsid w:val="00142D9C"/>
    <w:rsid w:val="00145A15"/>
    <w:rsid w:val="0015371E"/>
    <w:rsid w:val="00160828"/>
    <w:rsid w:val="00161445"/>
    <w:rsid w:val="00162157"/>
    <w:rsid w:val="00163F6C"/>
    <w:rsid w:val="001642B8"/>
    <w:rsid w:val="00173600"/>
    <w:rsid w:val="00173878"/>
    <w:rsid w:val="00181936"/>
    <w:rsid w:val="00182792"/>
    <w:rsid w:val="00183C7B"/>
    <w:rsid w:val="001858F0"/>
    <w:rsid w:val="00185E3C"/>
    <w:rsid w:val="001903B7"/>
    <w:rsid w:val="00191D75"/>
    <w:rsid w:val="00196489"/>
    <w:rsid w:val="001973CB"/>
    <w:rsid w:val="001977B8"/>
    <w:rsid w:val="001A088D"/>
    <w:rsid w:val="001A2DDC"/>
    <w:rsid w:val="001A3E9A"/>
    <w:rsid w:val="001A6B26"/>
    <w:rsid w:val="001A77D7"/>
    <w:rsid w:val="001B0B29"/>
    <w:rsid w:val="001B7BAA"/>
    <w:rsid w:val="001C2158"/>
    <w:rsid w:val="001C2905"/>
    <w:rsid w:val="001C2D90"/>
    <w:rsid w:val="001C6783"/>
    <w:rsid w:val="001D1754"/>
    <w:rsid w:val="001D38FA"/>
    <w:rsid w:val="001D39E9"/>
    <w:rsid w:val="001D67BB"/>
    <w:rsid w:val="001D6B6E"/>
    <w:rsid w:val="001D7866"/>
    <w:rsid w:val="001E0A64"/>
    <w:rsid w:val="001E19EC"/>
    <w:rsid w:val="001E4852"/>
    <w:rsid w:val="001E568E"/>
    <w:rsid w:val="001E5B4E"/>
    <w:rsid w:val="001E652E"/>
    <w:rsid w:val="001F3791"/>
    <w:rsid w:val="001F3FB5"/>
    <w:rsid w:val="001F4822"/>
    <w:rsid w:val="001F561D"/>
    <w:rsid w:val="0020080D"/>
    <w:rsid w:val="00200E6E"/>
    <w:rsid w:val="00201041"/>
    <w:rsid w:val="002015EF"/>
    <w:rsid w:val="00203CA4"/>
    <w:rsid w:val="00205072"/>
    <w:rsid w:val="00212AD3"/>
    <w:rsid w:val="00214290"/>
    <w:rsid w:val="00217710"/>
    <w:rsid w:val="00220248"/>
    <w:rsid w:val="00221E6B"/>
    <w:rsid w:val="0022345A"/>
    <w:rsid w:val="002251E0"/>
    <w:rsid w:val="00240FA2"/>
    <w:rsid w:val="00244831"/>
    <w:rsid w:val="00246BD0"/>
    <w:rsid w:val="00247BD3"/>
    <w:rsid w:val="00250193"/>
    <w:rsid w:val="002525C1"/>
    <w:rsid w:val="002529D5"/>
    <w:rsid w:val="002530A7"/>
    <w:rsid w:val="0025526F"/>
    <w:rsid w:val="002605B6"/>
    <w:rsid w:val="0026459A"/>
    <w:rsid w:val="00266A40"/>
    <w:rsid w:val="00267D6A"/>
    <w:rsid w:val="00270B67"/>
    <w:rsid w:val="00270BE1"/>
    <w:rsid w:val="00275728"/>
    <w:rsid w:val="0027665C"/>
    <w:rsid w:val="00277808"/>
    <w:rsid w:val="0028029B"/>
    <w:rsid w:val="002820F4"/>
    <w:rsid w:val="0028332E"/>
    <w:rsid w:val="0029102A"/>
    <w:rsid w:val="00292A10"/>
    <w:rsid w:val="00293D37"/>
    <w:rsid w:val="002A043A"/>
    <w:rsid w:val="002A121B"/>
    <w:rsid w:val="002A5587"/>
    <w:rsid w:val="002A5C6A"/>
    <w:rsid w:val="002A60A1"/>
    <w:rsid w:val="002A6884"/>
    <w:rsid w:val="002B0BF4"/>
    <w:rsid w:val="002B1C68"/>
    <w:rsid w:val="002B1F9A"/>
    <w:rsid w:val="002B502A"/>
    <w:rsid w:val="002B70AF"/>
    <w:rsid w:val="002B7939"/>
    <w:rsid w:val="002C0F5D"/>
    <w:rsid w:val="002C1461"/>
    <w:rsid w:val="002C3200"/>
    <w:rsid w:val="002C485F"/>
    <w:rsid w:val="002C585C"/>
    <w:rsid w:val="002C59F9"/>
    <w:rsid w:val="002C5C9B"/>
    <w:rsid w:val="002D41BD"/>
    <w:rsid w:val="002D6DF1"/>
    <w:rsid w:val="002E3E3C"/>
    <w:rsid w:val="002F3281"/>
    <w:rsid w:val="002F464A"/>
    <w:rsid w:val="002F4FFA"/>
    <w:rsid w:val="00300F9F"/>
    <w:rsid w:val="00307320"/>
    <w:rsid w:val="00310047"/>
    <w:rsid w:val="00320426"/>
    <w:rsid w:val="003208C7"/>
    <w:rsid w:val="00321360"/>
    <w:rsid w:val="00323FA8"/>
    <w:rsid w:val="003270CC"/>
    <w:rsid w:val="003306D0"/>
    <w:rsid w:val="003418B3"/>
    <w:rsid w:val="00347C39"/>
    <w:rsid w:val="003515A4"/>
    <w:rsid w:val="0036283B"/>
    <w:rsid w:val="00362B89"/>
    <w:rsid w:val="00363119"/>
    <w:rsid w:val="00367352"/>
    <w:rsid w:val="003746A1"/>
    <w:rsid w:val="00375E60"/>
    <w:rsid w:val="00382899"/>
    <w:rsid w:val="00383055"/>
    <w:rsid w:val="0039425C"/>
    <w:rsid w:val="003953D1"/>
    <w:rsid w:val="00396E9A"/>
    <w:rsid w:val="003974A9"/>
    <w:rsid w:val="003A1E2F"/>
    <w:rsid w:val="003A3751"/>
    <w:rsid w:val="003A47B5"/>
    <w:rsid w:val="003A4CCD"/>
    <w:rsid w:val="003A4D99"/>
    <w:rsid w:val="003B1314"/>
    <w:rsid w:val="003B60B5"/>
    <w:rsid w:val="003B693D"/>
    <w:rsid w:val="003B72E0"/>
    <w:rsid w:val="003B7ED1"/>
    <w:rsid w:val="003C16C7"/>
    <w:rsid w:val="003C308F"/>
    <w:rsid w:val="003C5C8D"/>
    <w:rsid w:val="003C704A"/>
    <w:rsid w:val="003D51FC"/>
    <w:rsid w:val="003E5878"/>
    <w:rsid w:val="003E58F6"/>
    <w:rsid w:val="003F0347"/>
    <w:rsid w:val="003F726A"/>
    <w:rsid w:val="00402455"/>
    <w:rsid w:val="00404938"/>
    <w:rsid w:val="00406D6E"/>
    <w:rsid w:val="00411A10"/>
    <w:rsid w:val="00412AA9"/>
    <w:rsid w:val="004154E0"/>
    <w:rsid w:val="0041556A"/>
    <w:rsid w:val="004174D9"/>
    <w:rsid w:val="00422806"/>
    <w:rsid w:val="00423E98"/>
    <w:rsid w:val="0042469A"/>
    <w:rsid w:val="00426197"/>
    <w:rsid w:val="004263B0"/>
    <w:rsid w:val="004267FA"/>
    <w:rsid w:val="0042789C"/>
    <w:rsid w:val="00427B77"/>
    <w:rsid w:val="00427BB6"/>
    <w:rsid w:val="004327C1"/>
    <w:rsid w:val="0043297A"/>
    <w:rsid w:val="00434280"/>
    <w:rsid w:val="00437B4D"/>
    <w:rsid w:val="00437F42"/>
    <w:rsid w:val="0044171A"/>
    <w:rsid w:val="0044568D"/>
    <w:rsid w:val="004511AD"/>
    <w:rsid w:val="00451BD8"/>
    <w:rsid w:val="00463BA7"/>
    <w:rsid w:val="00465BFD"/>
    <w:rsid w:val="0047417B"/>
    <w:rsid w:val="00474948"/>
    <w:rsid w:val="00480F50"/>
    <w:rsid w:val="0048179F"/>
    <w:rsid w:val="004843EA"/>
    <w:rsid w:val="0048502E"/>
    <w:rsid w:val="00486675"/>
    <w:rsid w:val="00491917"/>
    <w:rsid w:val="00493712"/>
    <w:rsid w:val="0049731B"/>
    <w:rsid w:val="004A2BA2"/>
    <w:rsid w:val="004A2F1B"/>
    <w:rsid w:val="004A3828"/>
    <w:rsid w:val="004A52E6"/>
    <w:rsid w:val="004B0A2E"/>
    <w:rsid w:val="004B1409"/>
    <w:rsid w:val="004B2D28"/>
    <w:rsid w:val="004B5890"/>
    <w:rsid w:val="004C0ED5"/>
    <w:rsid w:val="004C2FAB"/>
    <w:rsid w:val="004C476B"/>
    <w:rsid w:val="004C51B6"/>
    <w:rsid w:val="004C6826"/>
    <w:rsid w:val="004D1E6F"/>
    <w:rsid w:val="004D3347"/>
    <w:rsid w:val="004D3FDE"/>
    <w:rsid w:val="004E01D2"/>
    <w:rsid w:val="004E4A5D"/>
    <w:rsid w:val="004E6150"/>
    <w:rsid w:val="004F1E2A"/>
    <w:rsid w:val="004F5BA5"/>
    <w:rsid w:val="004F678F"/>
    <w:rsid w:val="004F7080"/>
    <w:rsid w:val="00506E02"/>
    <w:rsid w:val="00507526"/>
    <w:rsid w:val="00510DED"/>
    <w:rsid w:val="00511B52"/>
    <w:rsid w:val="00513745"/>
    <w:rsid w:val="00513CE1"/>
    <w:rsid w:val="00513E39"/>
    <w:rsid w:val="00514D1E"/>
    <w:rsid w:val="00515EFC"/>
    <w:rsid w:val="00523F6A"/>
    <w:rsid w:val="005251CA"/>
    <w:rsid w:val="00525587"/>
    <w:rsid w:val="005262ED"/>
    <w:rsid w:val="00527591"/>
    <w:rsid w:val="00536267"/>
    <w:rsid w:val="00537BEA"/>
    <w:rsid w:val="00540917"/>
    <w:rsid w:val="005425AF"/>
    <w:rsid w:val="005475C3"/>
    <w:rsid w:val="005503AE"/>
    <w:rsid w:val="005509F8"/>
    <w:rsid w:val="0055378D"/>
    <w:rsid w:val="00554989"/>
    <w:rsid w:val="00555353"/>
    <w:rsid w:val="00556598"/>
    <w:rsid w:val="005565C9"/>
    <w:rsid w:val="005571E4"/>
    <w:rsid w:val="00563919"/>
    <w:rsid w:val="005640C9"/>
    <w:rsid w:val="005703A9"/>
    <w:rsid w:val="00571905"/>
    <w:rsid w:val="005741B1"/>
    <w:rsid w:val="00575F6B"/>
    <w:rsid w:val="00580377"/>
    <w:rsid w:val="00581F46"/>
    <w:rsid w:val="00585C3C"/>
    <w:rsid w:val="00586AAA"/>
    <w:rsid w:val="005912CF"/>
    <w:rsid w:val="005916BF"/>
    <w:rsid w:val="005925DE"/>
    <w:rsid w:val="0059679B"/>
    <w:rsid w:val="005967CB"/>
    <w:rsid w:val="00597C25"/>
    <w:rsid w:val="005A4100"/>
    <w:rsid w:val="005A4212"/>
    <w:rsid w:val="005A6B33"/>
    <w:rsid w:val="005B1ED8"/>
    <w:rsid w:val="005B2E47"/>
    <w:rsid w:val="005B3404"/>
    <w:rsid w:val="005B6075"/>
    <w:rsid w:val="005B71DB"/>
    <w:rsid w:val="005C4B34"/>
    <w:rsid w:val="005C525C"/>
    <w:rsid w:val="005C7F19"/>
    <w:rsid w:val="005D2D24"/>
    <w:rsid w:val="005D4822"/>
    <w:rsid w:val="005D4D7F"/>
    <w:rsid w:val="005D5C7E"/>
    <w:rsid w:val="005D6CBA"/>
    <w:rsid w:val="005E2B7B"/>
    <w:rsid w:val="005E54E4"/>
    <w:rsid w:val="005E5DDC"/>
    <w:rsid w:val="005F0600"/>
    <w:rsid w:val="005F146B"/>
    <w:rsid w:val="005F5DBD"/>
    <w:rsid w:val="005F5F6F"/>
    <w:rsid w:val="005F7809"/>
    <w:rsid w:val="00600D59"/>
    <w:rsid w:val="00601264"/>
    <w:rsid w:val="006013F8"/>
    <w:rsid w:val="006016F2"/>
    <w:rsid w:val="00601940"/>
    <w:rsid w:val="0060217A"/>
    <w:rsid w:val="0060446D"/>
    <w:rsid w:val="00607CC4"/>
    <w:rsid w:val="006117B5"/>
    <w:rsid w:val="00612B50"/>
    <w:rsid w:val="0062117E"/>
    <w:rsid w:val="00621FB1"/>
    <w:rsid w:val="00622962"/>
    <w:rsid w:val="006236D3"/>
    <w:rsid w:val="00626087"/>
    <w:rsid w:val="0063151D"/>
    <w:rsid w:val="00632FB8"/>
    <w:rsid w:val="00634633"/>
    <w:rsid w:val="006358AC"/>
    <w:rsid w:val="00641DEE"/>
    <w:rsid w:val="00644848"/>
    <w:rsid w:val="00651814"/>
    <w:rsid w:val="00660798"/>
    <w:rsid w:val="00661E38"/>
    <w:rsid w:val="00662302"/>
    <w:rsid w:val="00665475"/>
    <w:rsid w:val="0066702B"/>
    <w:rsid w:val="00670CA6"/>
    <w:rsid w:val="00670D54"/>
    <w:rsid w:val="00672E45"/>
    <w:rsid w:val="006744B6"/>
    <w:rsid w:val="006754E9"/>
    <w:rsid w:val="00676453"/>
    <w:rsid w:val="006773D8"/>
    <w:rsid w:val="00680724"/>
    <w:rsid w:val="006814E7"/>
    <w:rsid w:val="006832A5"/>
    <w:rsid w:val="006869F5"/>
    <w:rsid w:val="00687C4B"/>
    <w:rsid w:val="00691A32"/>
    <w:rsid w:val="00691F3F"/>
    <w:rsid w:val="0069318A"/>
    <w:rsid w:val="0069350C"/>
    <w:rsid w:val="006A0850"/>
    <w:rsid w:val="006A09C4"/>
    <w:rsid w:val="006A0A72"/>
    <w:rsid w:val="006A3020"/>
    <w:rsid w:val="006A57C1"/>
    <w:rsid w:val="006A67BE"/>
    <w:rsid w:val="006A7CF2"/>
    <w:rsid w:val="006B0892"/>
    <w:rsid w:val="006B1CEC"/>
    <w:rsid w:val="006B1FFA"/>
    <w:rsid w:val="006B2BB5"/>
    <w:rsid w:val="006B37D6"/>
    <w:rsid w:val="006B5710"/>
    <w:rsid w:val="006B641F"/>
    <w:rsid w:val="006B75D1"/>
    <w:rsid w:val="006B7C04"/>
    <w:rsid w:val="006C151B"/>
    <w:rsid w:val="006C1DD3"/>
    <w:rsid w:val="006C4834"/>
    <w:rsid w:val="006D15E7"/>
    <w:rsid w:val="006D3A7D"/>
    <w:rsid w:val="006D4BD4"/>
    <w:rsid w:val="006E124C"/>
    <w:rsid w:val="006E130E"/>
    <w:rsid w:val="006E2FE5"/>
    <w:rsid w:val="006E3E64"/>
    <w:rsid w:val="006E6424"/>
    <w:rsid w:val="006E7BF5"/>
    <w:rsid w:val="006F6413"/>
    <w:rsid w:val="006F7887"/>
    <w:rsid w:val="0070058E"/>
    <w:rsid w:val="00702345"/>
    <w:rsid w:val="00702E38"/>
    <w:rsid w:val="0070327C"/>
    <w:rsid w:val="00705770"/>
    <w:rsid w:val="007057B5"/>
    <w:rsid w:val="00706B69"/>
    <w:rsid w:val="00707FE2"/>
    <w:rsid w:val="0071483A"/>
    <w:rsid w:val="0071798C"/>
    <w:rsid w:val="0072292A"/>
    <w:rsid w:val="007247F3"/>
    <w:rsid w:val="00726701"/>
    <w:rsid w:val="00732BDC"/>
    <w:rsid w:val="0073393B"/>
    <w:rsid w:val="00740CFC"/>
    <w:rsid w:val="00741FBA"/>
    <w:rsid w:val="00743C86"/>
    <w:rsid w:val="007440F6"/>
    <w:rsid w:val="00746EBB"/>
    <w:rsid w:val="00753B35"/>
    <w:rsid w:val="00754049"/>
    <w:rsid w:val="00754482"/>
    <w:rsid w:val="00761115"/>
    <w:rsid w:val="00761C52"/>
    <w:rsid w:val="00764784"/>
    <w:rsid w:val="00772EE6"/>
    <w:rsid w:val="00772F22"/>
    <w:rsid w:val="00781810"/>
    <w:rsid w:val="00781AD7"/>
    <w:rsid w:val="00782A8E"/>
    <w:rsid w:val="00784C83"/>
    <w:rsid w:val="00787FDC"/>
    <w:rsid w:val="0079117A"/>
    <w:rsid w:val="007927DE"/>
    <w:rsid w:val="00792FBD"/>
    <w:rsid w:val="00793A74"/>
    <w:rsid w:val="007949AA"/>
    <w:rsid w:val="007969BF"/>
    <w:rsid w:val="007A17F1"/>
    <w:rsid w:val="007A1FBA"/>
    <w:rsid w:val="007A2C60"/>
    <w:rsid w:val="007A4297"/>
    <w:rsid w:val="007A52CB"/>
    <w:rsid w:val="007A6FB4"/>
    <w:rsid w:val="007A7325"/>
    <w:rsid w:val="007C0A94"/>
    <w:rsid w:val="007C70BC"/>
    <w:rsid w:val="007C7DC5"/>
    <w:rsid w:val="007D45EB"/>
    <w:rsid w:val="007D623D"/>
    <w:rsid w:val="007E1836"/>
    <w:rsid w:val="007E3C77"/>
    <w:rsid w:val="007F0C4C"/>
    <w:rsid w:val="007F17F9"/>
    <w:rsid w:val="007F56A7"/>
    <w:rsid w:val="0080404A"/>
    <w:rsid w:val="00807258"/>
    <w:rsid w:val="00811FA3"/>
    <w:rsid w:val="008122F1"/>
    <w:rsid w:val="00813F68"/>
    <w:rsid w:val="00815C46"/>
    <w:rsid w:val="00820121"/>
    <w:rsid w:val="0082071A"/>
    <w:rsid w:val="008216C5"/>
    <w:rsid w:val="0082408F"/>
    <w:rsid w:val="0082449D"/>
    <w:rsid w:val="008246F8"/>
    <w:rsid w:val="00825215"/>
    <w:rsid w:val="0082763F"/>
    <w:rsid w:val="008317F8"/>
    <w:rsid w:val="00834309"/>
    <w:rsid w:val="00836B16"/>
    <w:rsid w:val="00843767"/>
    <w:rsid w:val="0084627E"/>
    <w:rsid w:val="00850E97"/>
    <w:rsid w:val="008705DD"/>
    <w:rsid w:val="00875189"/>
    <w:rsid w:val="00875731"/>
    <w:rsid w:val="00875CB1"/>
    <w:rsid w:val="00876225"/>
    <w:rsid w:val="00877C4D"/>
    <w:rsid w:val="0088005E"/>
    <w:rsid w:val="0088293B"/>
    <w:rsid w:val="008852B7"/>
    <w:rsid w:val="008859D4"/>
    <w:rsid w:val="00886B8D"/>
    <w:rsid w:val="00891BF1"/>
    <w:rsid w:val="00892308"/>
    <w:rsid w:val="00893840"/>
    <w:rsid w:val="00896968"/>
    <w:rsid w:val="00897F27"/>
    <w:rsid w:val="008A00A8"/>
    <w:rsid w:val="008A290C"/>
    <w:rsid w:val="008A2C44"/>
    <w:rsid w:val="008A3211"/>
    <w:rsid w:val="008A33D8"/>
    <w:rsid w:val="008A4556"/>
    <w:rsid w:val="008A53C7"/>
    <w:rsid w:val="008A5D36"/>
    <w:rsid w:val="008A5F90"/>
    <w:rsid w:val="008A74EA"/>
    <w:rsid w:val="008B1D18"/>
    <w:rsid w:val="008C0E68"/>
    <w:rsid w:val="008C2E55"/>
    <w:rsid w:val="008C4100"/>
    <w:rsid w:val="008C5B1C"/>
    <w:rsid w:val="008C790D"/>
    <w:rsid w:val="008C7D28"/>
    <w:rsid w:val="008D084A"/>
    <w:rsid w:val="008D2071"/>
    <w:rsid w:val="008D790C"/>
    <w:rsid w:val="008E5B95"/>
    <w:rsid w:val="008E7852"/>
    <w:rsid w:val="008F01B3"/>
    <w:rsid w:val="008F39FB"/>
    <w:rsid w:val="009027D2"/>
    <w:rsid w:val="00904923"/>
    <w:rsid w:val="00904960"/>
    <w:rsid w:val="00905D5E"/>
    <w:rsid w:val="00907DEC"/>
    <w:rsid w:val="00913E6F"/>
    <w:rsid w:val="00914446"/>
    <w:rsid w:val="00915487"/>
    <w:rsid w:val="0092408A"/>
    <w:rsid w:val="009243B8"/>
    <w:rsid w:val="009244C5"/>
    <w:rsid w:val="009249BB"/>
    <w:rsid w:val="00925CA9"/>
    <w:rsid w:val="00926657"/>
    <w:rsid w:val="009279F7"/>
    <w:rsid w:val="009376B0"/>
    <w:rsid w:val="00937873"/>
    <w:rsid w:val="00937C62"/>
    <w:rsid w:val="009404B7"/>
    <w:rsid w:val="00954155"/>
    <w:rsid w:val="00955364"/>
    <w:rsid w:val="0095542E"/>
    <w:rsid w:val="00955625"/>
    <w:rsid w:val="009604DB"/>
    <w:rsid w:val="009623CC"/>
    <w:rsid w:val="00962D2C"/>
    <w:rsid w:val="00965945"/>
    <w:rsid w:val="00966792"/>
    <w:rsid w:val="0097140C"/>
    <w:rsid w:val="009744C1"/>
    <w:rsid w:val="00975141"/>
    <w:rsid w:val="00977CF6"/>
    <w:rsid w:val="00980D37"/>
    <w:rsid w:val="00981440"/>
    <w:rsid w:val="0098241A"/>
    <w:rsid w:val="009858EB"/>
    <w:rsid w:val="0098755E"/>
    <w:rsid w:val="00987B34"/>
    <w:rsid w:val="00992366"/>
    <w:rsid w:val="00993483"/>
    <w:rsid w:val="009A0768"/>
    <w:rsid w:val="009A2DC8"/>
    <w:rsid w:val="009A41A2"/>
    <w:rsid w:val="009A42C2"/>
    <w:rsid w:val="009B0697"/>
    <w:rsid w:val="009B3637"/>
    <w:rsid w:val="009B3B5E"/>
    <w:rsid w:val="009B509F"/>
    <w:rsid w:val="009B6653"/>
    <w:rsid w:val="009B74DB"/>
    <w:rsid w:val="009B7A74"/>
    <w:rsid w:val="009C6554"/>
    <w:rsid w:val="009C7D4F"/>
    <w:rsid w:val="009D0CC2"/>
    <w:rsid w:val="009D0DF1"/>
    <w:rsid w:val="009D1422"/>
    <w:rsid w:val="009E0098"/>
    <w:rsid w:val="009E3C78"/>
    <w:rsid w:val="009E3CDA"/>
    <w:rsid w:val="009E4086"/>
    <w:rsid w:val="009E417D"/>
    <w:rsid w:val="009E4BC1"/>
    <w:rsid w:val="009F136D"/>
    <w:rsid w:val="009F24D7"/>
    <w:rsid w:val="009F2F84"/>
    <w:rsid w:val="009F7F89"/>
    <w:rsid w:val="00A010AA"/>
    <w:rsid w:val="00A048E4"/>
    <w:rsid w:val="00A07BFB"/>
    <w:rsid w:val="00A10EA1"/>
    <w:rsid w:val="00A14A90"/>
    <w:rsid w:val="00A14E38"/>
    <w:rsid w:val="00A165B2"/>
    <w:rsid w:val="00A17ACA"/>
    <w:rsid w:val="00A17D1F"/>
    <w:rsid w:val="00A21181"/>
    <w:rsid w:val="00A23CB5"/>
    <w:rsid w:val="00A24928"/>
    <w:rsid w:val="00A264CF"/>
    <w:rsid w:val="00A36578"/>
    <w:rsid w:val="00A41531"/>
    <w:rsid w:val="00A41601"/>
    <w:rsid w:val="00A455FC"/>
    <w:rsid w:val="00A515C7"/>
    <w:rsid w:val="00A5270D"/>
    <w:rsid w:val="00A55E4D"/>
    <w:rsid w:val="00A56952"/>
    <w:rsid w:val="00A63624"/>
    <w:rsid w:val="00A63AC1"/>
    <w:rsid w:val="00A64EC7"/>
    <w:rsid w:val="00A64FC2"/>
    <w:rsid w:val="00A66EF2"/>
    <w:rsid w:val="00A67E5A"/>
    <w:rsid w:val="00A70D62"/>
    <w:rsid w:val="00A713B3"/>
    <w:rsid w:val="00A7448A"/>
    <w:rsid w:val="00A77BCD"/>
    <w:rsid w:val="00A77C8F"/>
    <w:rsid w:val="00A8139F"/>
    <w:rsid w:val="00A81C41"/>
    <w:rsid w:val="00A83F04"/>
    <w:rsid w:val="00A84CC4"/>
    <w:rsid w:val="00A852D1"/>
    <w:rsid w:val="00A935B1"/>
    <w:rsid w:val="00A940F0"/>
    <w:rsid w:val="00A95698"/>
    <w:rsid w:val="00A95BF1"/>
    <w:rsid w:val="00A96589"/>
    <w:rsid w:val="00AA3E26"/>
    <w:rsid w:val="00AB0353"/>
    <w:rsid w:val="00AB18E7"/>
    <w:rsid w:val="00AB5207"/>
    <w:rsid w:val="00AB53A1"/>
    <w:rsid w:val="00AC1B9A"/>
    <w:rsid w:val="00AC2634"/>
    <w:rsid w:val="00AC361A"/>
    <w:rsid w:val="00AC7CDD"/>
    <w:rsid w:val="00AD089E"/>
    <w:rsid w:val="00AD0DBB"/>
    <w:rsid w:val="00AD7874"/>
    <w:rsid w:val="00AE2CE7"/>
    <w:rsid w:val="00AE3451"/>
    <w:rsid w:val="00AE5C3D"/>
    <w:rsid w:val="00AE6477"/>
    <w:rsid w:val="00AF0612"/>
    <w:rsid w:val="00AF1436"/>
    <w:rsid w:val="00AF6C61"/>
    <w:rsid w:val="00B04A41"/>
    <w:rsid w:val="00B05C24"/>
    <w:rsid w:val="00B10789"/>
    <w:rsid w:val="00B16BBD"/>
    <w:rsid w:val="00B263DB"/>
    <w:rsid w:val="00B27949"/>
    <w:rsid w:val="00B3052B"/>
    <w:rsid w:val="00B31035"/>
    <w:rsid w:val="00B31449"/>
    <w:rsid w:val="00B3178C"/>
    <w:rsid w:val="00B34DFE"/>
    <w:rsid w:val="00B36FC2"/>
    <w:rsid w:val="00B42228"/>
    <w:rsid w:val="00B45139"/>
    <w:rsid w:val="00B45F73"/>
    <w:rsid w:val="00B4726C"/>
    <w:rsid w:val="00B47B82"/>
    <w:rsid w:val="00B51205"/>
    <w:rsid w:val="00B51F85"/>
    <w:rsid w:val="00B52276"/>
    <w:rsid w:val="00B544DB"/>
    <w:rsid w:val="00B5458C"/>
    <w:rsid w:val="00B54EC4"/>
    <w:rsid w:val="00B61BFE"/>
    <w:rsid w:val="00B70FC2"/>
    <w:rsid w:val="00B7179C"/>
    <w:rsid w:val="00B73234"/>
    <w:rsid w:val="00B750B7"/>
    <w:rsid w:val="00B80E73"/>
    <w:rsid w:val="00B859D0"/>
    <w:rsid w:val="00B91634"/>
    <w:rsid w:val="00B93764"/>
    <w:rsid w:val="00B94273"/>
    <w:rsid w:val="00B94752"/>
    <w:rsid w:val="00B96594"/>
    <w:rsid w:val="00BA02C9"/>
    <w:rsid w:val="00BA1569"/>
    <w:rsid w:val="00BA5402"/>
    <w:rsid w:val="00BA5645"/>
    <w:rsid w:val="00BA6297"/>
    <w:rsid w:val="00BB04D8"/>
    <w:rsid w:val="00BB2F9D"/>
    <w:rsid w:val="00BC3905"/>
    <w:rsid w:val="00BC5AFE"/>
    <w:rsid w:val="00BC5CDC"/>
    <w:rsid w:val="00BD143D"/>
    <w:rsid w:val="00BD5361"/>
    <w:rsid w:val="00BE0093"/>
    <w:rsid w:val="00BE142F"/>
    <w:rsid w:val="00BE4E81"/>
    <w:rsid w:val="00BE553D"/>
    <w:rsid w:val="00BE57B4"/>
    <w:rsid w:val="00BF1BBE"/>
    <w:rsid w:val="00C04F81"/>
    <w:rsid w:val="00C0579A"/>
    <w:rsid w:val="00C057C8"/>
    <w:rsid w:val="00C160D9"/>
    <w:rsid w:val="00C20953"/>
    <w:rsid w:val="00C22C0F"/>
    <w:rsid w:val="00C2451D"/>
    <w:rsid w:val="00C27A4E"/>
    <w:rsid w:val="00C307DD"/>
    <w:rsid w:val="00C3181E"/>
    <w:rsid w:val="00C3716C"/>
    <w:rsid w:val="00C41A9B"/>
    <w:rsid w:val="00C4786D"/>
    <w:rsid w:val="00C50B67"/>
    <w:rsid w:val="00C54521"/>
    <w:rsid w:val="00C607A1"/>
    <w:rsid w:val="00C6674E"/>
    <w:rsid w:val="00C70F81"/>
    <w:rsid w:val="00C7148D"/>
    <w:rsid w:val="00C7345F"/>
    <w:rsid w:val="00C773C8"/>
    <w:rsid w:val="00C810FA"/>
    <w:rsid w:val="00C82C27"/>
    <w:rsid w:val="00C83D26"/>
    <w:rsid w:val="00C8529E"/>
    <w:rsid w:val="00C90DC7"/>
    <w:rsid w:val="00C91B53"/>
    <w:rsid w:val="00C924C6"/>
    <w:rsid w:val="00C924FE"/>
    <w:rsid w:val="00C934A0"/>
    <w:rsid w:val="00C94AFB"/>
    <w:rsid w:val="00CA2D1E"/>
    <w:rsid w:val="00CA2E0B"/>
    <w:rsid w:val="00CB1F58"/>
    <w:rsid w:val="00CB3680"/>
    <w:rsid w:val="00CB5373"/>
    <w:rsid w:val="00CB7A6E"/>
    <w:rsid w:val="00CC2514"/>
    <w:rsid w:val="00CC26B5"/>
    <w:rsid w:val="00CC2B59"/>
    <w:rsid w:val="00CC5B7A"/>
    <w:rsid w:val="00CC6554"/>
    <w:rsid w:val="00CD1A1F"/>
    <w:rsid w:val="00CD3A89"/>
    <w:rsid w:val="00CD48B7"/>
    <w:rsid w:val="00CD59E7"/>
    <w:rsid w:val="00CD5B14"/>
    <w:rsid w:val="00CE12E6"/>
    <w:rsid w:val="00CE2F9F"/>
    <w:rsid w:val="00CE563D"/>
    <w:rsid w:val="00CE6AA4"/>
    <w:rsid w:val="00CF0C22"/>
    <w:rsid w:val="00CF2C44"/>
    <w:rsid w:val="00CF4141"/>
    <w:rsid w:val="00CF7DD9"/>
    <w:rsid w:val="00D00877"/>
    <w:rsid w:val="00D032E0"/>
    <w:rsid w:val="00D04006"/>
    <w:rsid w:val="00D10BA1"/>
    <w:rsid w:val="00D11706"/>
    <w:rsid w:val="00D17AF7"/>
    <w:rsid w:val="00D17E97"/>
    <w:rsid w:val="00D20032"/>
    <w:rsid w:val="00D214BC"/>
    <w:rsid w:val="00D22300"/>
    <w:rsid w:val="00D30D98"/>
    <w:rsid w:val="00D31572"/>
    <w:rsid w:val="00D32CA8"/>
    <w:rsid w:val="00D35360"/>
    <w:rsid w:val="00D36A20"/>
    <w:rsid w:val="00D41F89"/>
    <w:rsid w:val="00D44DBA"/>
    <w:rsid w:val="00D453F4"/>
    <w:rsid w:val="00D45A6A"/>
    <w:rsid w:val="00D519D5"/>
    <w:rsid w:val="00D52C13"/>
    <w:rsid w:val="00D53F66"/>
    <w:rsid w:val="00D55D25"/>
    <w:rsid w:val="00D56AC7"/>
    <w:rsid w:val="00D56F34"/>
    <w:rsid w:val="00D57142"/>
    <w:rsid w:val="00D60F40"/>
    <w:rsid w:val="00D62BAD"/>
    <w:rsid w:val="00D62D52"/>
    <w:rsid w:val="00D7101A"/>
    <w:rsid w:val="00D7129C"/>
    <w:rsid w:val="00D720F3"/>
    <w:rsid w:val="00D73BDD"/>
    <w:rsid w:val="00D742AE"/>
    <w:rsid w:val="00D7478B"/>
    <w:rsid w:val="00D8077B"/>
    <w:rsid w:val="00D80B2B"/>
    <w:rsid w:val="00D833EB"/>
    <w:rsid w:val="00D835E7"/>
    <w:rsid w:val="00D93C1A"/>
    <w:rsid w:val="00D96BC6"/>
    <w:rsid w:val="00DA02F7"/>
    <w:rsid w:val="00DA3510"/>
    <w:rsid w:val="00DA4286"/>
    <w:rsid w:val="00DA469E"/>
    <w:rsid w:val="00DA53DD"/>
    <w:rsid w:val="00DA62FF"/>
    <w:rsid w:val="00DB1AC4"/>
    <w:rsid w:val="00DB3D25"/>
    <w:rsid w:val="00DC1650"/>
    <w:rsid w:val="00DC3568"/>
    <w:rsid w:val="00DC49E5"/>
    <w:rsid w:val="00DC4ADB"/>
    <w:rsid w:val="00DC6C0A"/>
    <w:rsid w:val="00DC79D6"/>
    <w:rsid w:val="00DD0FFE"/>
    <w:rsid w:val="00DD48AC"/>
    <w:rsid w:val="00DE1688"/>
    <w:rsid w:val="00DE3AF5"/>
    <w:rsid w:val="00DE3C73"/>
    <w:rsid w:val="00DE4FB7"/>
    <w:rsid w:val="00DE7DC9"/>
    <w:rsid w:val="00DF2211"/>
    <w:rsid w:val="00DF4CD2"/>
    <w:rsid w:val="00DF61E8"/>
    <w:rsid w:val="00E01107"/>
    <w:rsid w:val="00E05FB4"/>
    <w:rsid w:val="00E07ECA"/>
    <w:rsid w:val="00E10446"/>
    <w:rsid w:val="00E11478"/>
    <w:rsid w:val="00E11DAB"/>
    <w:rsid w:val="00E1238E"/>
    <w:rsid w:val="00E12C47"/>
    <w:rsid w:val="00E12DDC"/>
    <w:rsid w:val="00E13564"/>
    <w:rsid w:val="00E13E25"/>
    <w:rsid w:val="00E149A7"/>
    <w:rsid w:val="00E15B02"/>
    <w:rsid w:val="00E21902"/>
    <w:rsid w:val="00E23A70"/>
    <w:rsid w:val="00E23C3C"/>
    <w:rsid w:val="00E24248"/>
    <w:rsid w:val="00E25CA1"/>
    <w:rsid w:val="00E262C6"/>
    <w:rsid w:val="00E26D2C"/>
    <w:rsid w:val="00E27309"/>
    <w:rsid w:val="00E31719"/>
    <w:rsid w:val="00E338D0"/>
    <w:rsid w:val="00E34757"/>
    <w:rsid w:val="00E34CE2"/>
    <w:rsid w:val="00E35139"/>
    <w:rsid w:val="00E36756"/>
    <w:rsid w:val="00E41854"/>
    <w:rsid w:val="00E418DE"/>
    <w:rsid w:val="00E43687"/>
    <w:rsid w:val="00E46369"/>
    <w:rsid w:val="00E50DF1"/>
    <w:rsid w:val="00E51240"/>
    <w:rsid w:val="00E515AE"/>
    <w:rsid w:val="00E539F1"/>
    <w:rsid w:val="00E5663E"/>
    <w:rsid w:val="00E57252"/>
    <w:rsid w:val="00E60FA6"/>
    <w:rsid w:val="00E6134C"/>
    <w:rsid w:val="00E61C94"/>
    <w:rsid w:val="00E72BAB"/>
    <w:rsid w:val="00E73911"/>
    <w:rsid w:val="00E74B1F"/>
    <w:rsid w:val="00E80F11"/>
    <w:rsid w:val="00E8252B"/>
    <w:rsid w:val="00E85BB5"/>
    <w:rsid w:val="00E86344"/>
    <w:rsid w:val="00E86614"/>
    <w:rsid w:val="00E8785E"/>
    <w:rsid w:val="00E93797"/>
    <w:rsid w:val="00E94BF3"/>
    <w:rsid w:val="00E95218"/>
    <w:rsid w:val="00E9548F"/>
    <w:rsid w:val="00E955DC"/>
    <w:rsid w:val="00E956B8"/>
    <w:rsid w:val="00EA1D1F"/>
    <w:rsid w:val="00EA24B1"/>
    <w:rsid w:val="00EA6A96"/>
    <w:rsid w:val="00EA6AE5"/>
    <w:rsid w:val="00EA76D5"/>
    <w:rsid w:val="00EA7D66"/>
    <w:rsid w:val="00EB0121"/>
    <w:rsid w:val="00EB0879"/>
    <w:rsid w:val="00EB1A38"/>
    <w:rsid w:val="00EB4452"/>
    <w:rsid w:val="00EB4BE6"/>
    <w:rsid w:val="00EB5781"/>
    <w:rsid w:val="00EB77FA"/>
    <w:rsid w:val="00EC0647"/>
    <w:rsid w:val="00EC0922"/>
    <w:rsid w:val="00EC53A4"/>
    <w:rsid w:val="00EC56EA"/>
    <w:rsid w:val="00EC5AA4"/>
    <w:rsid w:val="00EC6BCA"/>
    <w:rsid w:val="00ED0CCF"/>
    <w:rsid w:val="00ED1A89"/>
    <w:rsid w:val="00ED3452"/>
    <w:rsid w:val="00ED6B98"/>
    <w:rsid w:val="00EE447B"/>
    <w:rsid w:val="00EE5CD5"/>
    <w:rsid w:val="00EE696C"/>
    <w:rsid w:val="00EE6A67"/>
    <w:rsid w:val="00EF02AC"/>
    <w:rsid w:val="00EF0829"/>
    <w:rsid w:val="00EF2465"/>
    <w:rsid w:val="00EF3114"/>
    <w:rsid w:val="00EF3B6C"/>
    <w:rsid w:val="00EF3C5D"/>
    <w:rsid w:val="00EF403B"/>
    <w:rsid w:val="00EF65D1"/>
    <w:rsid w:val="00F03684"/>
    <w:rsid w:val="00F05DCB"/>
    <w:rsid w:val="00F07B49"/>
    <w:rsid w:val="00F10849"/>
    <w:rsid w:val="00F10CD4"/>
    <w:rsid w:val="00F125E3"/>
    <w:rsid w:val="00F13109"/>
    <w:rsid w:val="00F15E6B"/>
    <w:rsid w:val="00F20CD2"/>
    <w:rsid w:val="00F21456"/>
    <w:rsid w:val="00F237C4"/>
    <w:rsid w:val="00F238AC"/>
    <w:rsid w:val="00F23FFB"/>
    <w:rsid w:val="00F245F6"/>
    <w:rsid w:val="00F25234"/>
    <w:rsid w:val="00F30219"/>
    <w:rsid w:val="00F31D98"/>
    <w:rsid w:val="00F355B9"/>
    <w:rsid w:val="00F3787D"/>
    <w:rsid w:val="00F40B5E"/>
    <w:rsid w:val="00F425E6"/>
    <w:rsid w:val="00F43E6D"/>
    <w:rsid w:val="00F5102D"/>
    <w:rsid w:val="00F51160"/>
    <w:rsid w:val="00F549D9"/>
    <w:rsid w:val="00F63B98"/>
    <w:rsid w:val="00F656C6"/>
    <w:rsid w:val="00F65B2A"/>
    <w:rsid w:val="00F6686F"/>
    <w:rsid w:val="00F729AE"/>
    <w:rsid w:val="00F73EB1"/>
    <w:rsid w:val="00F80AD8"/>
    <w:rsid w:val="00F817E8"/>
    <w:rsid w:val="00F84424"/>
    <w:rsid w:val="00F849D4"/>
    <w:rsid w:val="00F84C73"/>
    <w:rsid w:val="00F9031F"/>
    <w:rsid w:val="00F95D60"/>
    <w:rsid w:val="00FA3CEE"/>
    <w:rsid w:val="00FA4F1F"/>
    <w:rsid w:val="00FA6273"/>
    <w:rsid w:val="00FB4DCD"/>
    <w:rsid w:val="00FC7DA9"/>
    <w:rsid w:val="00FD422E"/>
    <w:rsid w:val="00FD6B8B"/>
    <w:rsid w:val="00FD7C85"/>
    <w:rsid w:val="00FE190D"/>
    <w:rsid w:val="00FE2D4E"/>
    <w:rsid w:val="00FE6030"/>
    <w:rsid w:val="00FE6C2F"/>
    <w:rsid w:val="00FF0CED"/>
    <w:rsid w:val="00FF0E71"/>
    <w:rsid w:val="00FF471C"/>
    <w:rsid w:val="00FF5BD0"/>
    <w:rsid w:val="00FF6CDA"/>
    <w:rsid w:val="00FF72C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98A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38"/>
    <w:pPr>
      <w:spacing w:after="0" w:line="240" w:lineRule="auto"/>
      <w:jc w:val="both"/>
    </w:pPr>
    <w:rPr>
      <w:rFonts w:ascii="Times New Roman" w:hAnsi="Times New Roman" w:cs="Times New Roman"/>
      <w:sz w:val="24"/>
      <w:szCs w:val="24"/>
      <w:lang w:eastAsia="en-IE"/>
    </w:rPr>
  </w:style>
  <w:style w:type="paragraph" w:styleId="Heading1">
    <w:name w:val="heading 1"/>
    <w:basedOn w:val="Normal"/>
    <w:next w:val="Normal"/>
    <w:link w:val="Heading1Char"/>
    <w:uiPriority w:val="9"/>
    <w:qFormat/>
    <w:rsid w:val="00C8529E"/>
    <w:pPr>
      <w:keepNext/>
      <w:keepLines/>
      <w:tabs>
        <w:tab w:val="left" w:pos="567"/>
      </w:tabs>
      <w:spacing w:after="24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C8529E"/>
    <w:pPr>
      <w:keepNext/>
      <w:keepLines/>
      <w:tabs>
        <w:tab w:val="left" w:pos="1134"/>
      </w:tabs>
      <w:spacing w:after="120"/>
      <w:ind w:left="567"/>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3">
    <w:name w:val="3 + 1.3"/>
    <w:basedOn w:val="Normal"/>
    <w:qFormat/>
    <w:rsid w:val="00C8529E"/>
    <w:pPr>
      <w:ind w:left="2438" w:hanging="737"/>
    </w:pPr>
  </w:style>
  <w:style w:type="paragraph" w:customStyle="1" w:styleId="3cm">
    <w:name w:val="3 cm"/>
    <w:basedOn w:val="Normal"/>
    <w:qFormat/>
    <w:rsid w:val="00C8529E"/>
    <w:pPr>
      <w:ind w:left="1701"/>
    </w:pPr>
  </w:style>
  <w:style w:type="paragraph" w:customStyle="1" w:styleId="4cm">
    <w:name w:val="4 cm"/>
    <w:basedOn w:val="Normal"/>
    <w:autoRedefine/>
    <w:qFormat/>
    <w:rsid w:val="00C8529E"/>
    <w:pPr>
      <w:ind w:left="2438"/>
    </w:pPr>
  </w:style>
  <w:style w:type="paragraph" w:customStyle="1" w:styleId="4313">
    <w:name w:val="4.3 + 1.3"/>
    <w:basedOn w:val="Normal"/>
    <w:qFormat/>
    <w:rsid w:val="00C8529E"/>
    <w:pPr>
      <w:ind w:left="3175" w:hanging="737"/>
    </w:pPr>
  </w:style>
  <w:style w:type="paragraph" w:customStyle="1" w:styleId="43cm">
    <w:name w:val="4.3 cm"/>
    <w:basedOn w:val="Normal"/>
    <w:autoRedefine/>
    <w:qFormat/>
    <w:rsid w:val="00F20CD2"/>
    <w:pPr>
      <w:ind w:left="2438"/>
    </w:pPr>
    <w:rPr>
      <w:lang w:eastAsia="en-US"/>
    </w:rPr>
  </w:style>
  <w:style w:type="paragraph" w:customStyle="1" w:styleId="56cm">
    <w:name w:val="5.6 cm"/>
    <w:basedOn w:val="Normal"/>
    <w:autoRedefine/>
    <w:qFormat/>
    <w:rsid w:val="00C8529E"/>
    <w:pPr>
      <w:ind w:left="3175"/>
    </w:pPr>
  </w:style>
  <w:style w:type="character" w:customStyle="1" w:styleId="Heading1Char">
    <w:name w:val="Heading 1 Char"/>
    <w:basedOn w:val="DefaultParagraphFont"/>
    <w:link w:val="Heading1"/>
    <w:uiPriority w:val="9"/>
    <w:rsid w:val="00C8529E"/>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C8529E"/>
    <w:rPr>
      <w:rFonts w:ascii="Times New Roman" w:eastAsiaTheme="majorEastAsia" w:hAnsi="Times New Roman" w:cstheme="majorBidi"/>
      <w:b/>
      <w:i/>
      <w:sz w:val="24"/>
      <w:szCs w:val="26"/>
    </w:rPr>
  </w:style>
  <w:style w:type="paragraph" w:customStyle="1" w:styleId="Style1">
    <w:name w:val="Style1"/>
    <w:basedOn w:val="Normal"/>
    <w:qFormat/>
    <w:rsid w:val="003746A1"/>
    <w:pPr>
      <w:numPr>
        <w:numId w:val="8"/>
      </w:numPr>
      <w:spacing w:line="480" w:lineRule="auto"/>
      <w:ind w:left="567" w:hanging="567"/>
    </w:pPr>
  </w:style>
  <w:style w:type="paragraph" w:customStyle="1" w:styleId="Style2">
    <w:name w:val="Style2"/>
    <w:basedOn w:val="Style1"/>
    <w:qFormat/>
    <w:rsid w:val="00C3181E"/>
    <w:pPr>
      <w:numPr>
        <w:numId w:val="0"/>
      </w:numPr>
      <w:ind w:left="2268" w:hanging="1701"/>
    </w:pPr>
    <w:rPr>
      <w:rFonts w:eastAsiaTheme="minorHAnsi" w:cstheme="minorBidi"/>
      <w:kern w:val="0"/>
      <w:szCs w:val="22"/>
      <w:lang w:eastAsia="en-US"/>
    </w:rPr>
  </w:style>
  <w:style w:type="paragraph" w:styleId="Header">
    <w:name w:val="header"/>
    <w:basedOn w:val="Normal"/>
    <w:link w:val="HeaderChar"/>
    <w:uiPriority w:val="99"/>
    <w:unhideWhenUsed/>
    <w:rsid w:val="0041556A"/>
    <w:pPr>
      <w:tabs>
        <w:tab w:val="center" w:pos="4513"/>
        <w:tab w:val="right" w:pos="9026"/>
      </w:tabs>
    </w:pPr>
  </w:style>
  <w:style w:type="character" w:customStyle="1" w:styleId="HeaderChar">
    <w:name w:val="Header Char"/>
    <w:basedOn w:val="DefaultParagraphFont"/>
    <w:link w:val="Header"/>
    <w:uiPriority w:val="99"/>
    <w:rsid w:val="0041556A"/>
    <w:rPr>
      <w:rFonts w:ascii="Times New Roman" w:hAnsi="Times New Roman" w:cs="Times New Roman"/>
      <w:sz w:val="24"/>
      <w:szCs w:val="24"/>
      <w:lang w:eastAsia="en-IE"/>
    </w:rPr>
  </w:style>
  <w:style w:type="paragraph" w:styleId="Footer">
    <w:name w:val="footer"/>
    <w:basedOn w:val="Normal"/>
    <w:link w:val="FooterChar"/>
    <w:uiPriority w:val="99"/>
    <w:unhideWhenUsed/>
    <w:rsid w:val="0041556A"/>
    <w:pPr>
      <w:tabs>
        <w:tab w:val="center" w:pos="4513"/>
        <w:tab w:val="right" w:pos="9026"/>
      </w:tabs>
    </w:pPr>
  </w:style>
  <w:style w:type="character" w:customStyle="1" w:styleId="FooterChar">
    <w:name w:val="Footer Char"/>
    <w:basedOn w:val="DefaultParagraphFont"/>
    <w:link w:val="Footer"/>
    <w:uiPriority w:val="99"/>
    <w:rsid w:val="0041556A"/>
    <w:rPr>
      <w:rFonts w:ascii="Times New Roman" w:hAnsi="Times New Roman" w:cs="Times New Roman"/>
      <w:sz w:val="24"/>
      <w:szCs w:val="24"/>
      <w:lang w:eastAsia="en-IE"/>
    </w:rPr>
  </w:style>
  <w:style w:type="paragraph" w:customStyle="1" w:styleId="Style3">
    <w:name w:val="Style3"/>
    <w:basedOn w:val="Style1"/>
    <w:qFormat/>
    <w:rsid w:val="000C0869"/>
    <w:pPr>
      <w:numPr>
        <w:numId w:val="0"/>
      </w:numPr>
      <w:ind w:left="567"/>
    </w:pPr>
  </w:style>
  <w:style w:type="paragraph" w:styleId="Revision">
    <w:name w:val="Revision"/>
    <w:hidden/>
    <w:uiPriority w:val="99"/>
    <w:semiHidden/>
    <w:rsid w:val="004F7080"/>
    <w:pPr>
      <w:spacing w:after="0" w:line="240" w:lineRule="auto"/>
    </w:pPr>
    <w:rPr>
      <w:rFonts w:ascii="Times New Roman" w:hAnsi="Times New Roman" w:cs="Times New Roman"/>
      <w:sz w:val="24"/>
      <w:szCs w:val="24"/>
      <w:lang w:eastAsia="en-IE"/>
    </w:rPr>
  </w:style>
  <w:style w:type="character" w:customStyle="1" w:styleId="user-highlighted-active">
    <w:name w:val="user-highlighted-active"/>
    <w:basedOn w:val="DefaultParagraphFont"/>
    <w:rsid w:val="00632FB8"/>
  </w:style>
  <w:style w:type="character" w:styleId="CommentReference">
    <w:name w:val="annotation reference"/>
    <w:basedOn w:val="DefaultParagraphFont"/>
    <w:uiPriority w:val="99"/>
    <w:semiHidden/>
    <w:unhideWhenUsed/>
    <w:rsid w:val="002A60A1"/>
    <w:rPr>
      <w:sz w:val="16"/>
      <w:szCs w:val="16"/>
    </w:rPr>
  </w:style>
  <w:style w:type="paragraph" w:styleId="CommentText">
    <w:name w:val="annotation text"/>
    <w:basedOn w:val="Normal"/>
    <w:link w:val="CommentTextChar"/>
    <w:uiPriority w:val="99"/>
    <w:unhideWhenUsed/>
    <w:rsid w:val="002A60A1"/>
    <w:rPr>
      <w:sz w:val="20"/>
      <w:szCs w:val="20"/>
    </w:rPr>
  </w:style>
  <w:style w:type="character" w:customStyle="1" w:styleId="CommentTextChar">
    <w:name w:val="Comment Text Char"/>
    <w:basedOn w:val="DefaultParagraphFont"/>
    <w:link w:val="CommentText"/>
    <w:uiPriority w:val="99"/>
    <w:rsid w:val="002A60A1"/>
    <w:rPr>
      <w:rFonts w:ascii="Times New Roman" w:hAnsi="Times New Roman" w:cs="Times New Roman"/>
      <w:sz w:val="20"/>
      <w:szCs w:val="20"/>
      <w:lang w:eastAsia="en-IE"/>
    </w:rPr>
  </w:style>
  <w:style w:type="paragraph" w:styleId="CommentSubject">
    <w:name w:val="annotation subject"/>
    <w:basedOn w:val="CommentText"/>
    <w:next w:val="CommentText"/>
    <w:link w:val="CommentSubjectChar"/>
    <w:uiPriority w:val="99"/>
    <w:semiHidden/>
    <w:unhideWhenUsed/>
    <w:rsid w:val="002A60A1"/>
    <w:rPr>
      <w:b/>
      <w:bCs/>
    </w:rPr>
  </w:style>
  <w:style w:type="character" w:customStyle="1" w:styleId="CommentSubjectChar">
    <w:name w:val="Comment Subject Char"/>
    <w:basedOn w:val="CommentTextChar"/>
    <w:link w:val="CommentSubject"/>
    <w:uiPriority w:val="99"/>
    <w:semiHidden/>
    <w:rsid w:val="002A60A1"/>
    <w:rPr>
      <w:rFonts w:ascii="Times New Roman" w:hAnsi="Times New Roman" w:cs="Times New Roman"/>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260374">
      <w:bodyDiv w:val="1"/>
      <w:marLeft w:val="0"/>
      <w:marRight w:val="0"/>
      <w:marTop w:val="0"/>
      <w:marBottom w:val="0"/>
      <w:divBdr>
        <w:top w:val="none" w:sz="0" w:space="0" w:color="auto"/>
        <w:left w:val="none" w:sz="0" w:space="0" w:color="auto"/>
        <w:bottom w:val="none" w:sz="0" w:space="0" w:color="auto"/>
        <w:right w:val="none" w:sz="0" w:space="0" w:color="auto"/>
      </w:divBdr>
    </w:div>
    <w:div w:id="870413443">
      <w:bodyDiv w:val="1"/>
      <w:marLeft w:val="0"/>
      <w:marRight w:val="0"/>
      <w:marTop w:val="0"/>
      <w:marBottom w:val="0"/>
      <w:divBdr>
        <w:top w:val="none" w:sz="0" w:space="0" w:color="auto"/>
        <w:left w:val="none" w:sz="0" w:space="0" w:color="auto"/>
        <w:bottom w:val="none" w:sz="0" w:space="0" w:color="auto"/>
        <w:right w:val="none" w:sz="0" w:space="0" w:color="auto"/>
      </w:divBdr>
    </w:div>
    <w:div w:id="894008341">
      <w:bodyDiv w:val="1"/>
      <w:marLeft w:val="0"/>
      <w:marRight w:val="0"/>
      <w:marTop w:val="0"/>
      <w:marBottom w:val="0"/>
      <w:divBdr>
        <w:top w:val="none" w:sz="0" w:space="0" w:color="auto"/>
        <w:left w:val="none" w:sz="0" w:space="0" w:color="auto"/>
        <w:bottom w:val="none" w:sz="0" w:space="0" w:color="auto"/>
        <w:right w:val="none" w:sz="0" w:space="0" w:color="auto"/>
      </w:divBdr>
    </w:div>
    <w:div w:id="1040939004">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0"/>
          <w:marRight w:val="0"/>
          <w:marTop w:val="0"/>
          <w:marBottom w:val="0"/>
          <w:divBdr>
            <w:top w:val="none" w:sz="0" w:space="0" w:color="auto"/>
            <w:left w:val="none" w:sz="0" w:space="0" w:color="auto"/>
            <w:bottom w:val="none" w:sz="0" w:space="0" w:color="auto"/>
            <w:right w:val="none" w:sz="0" w:space="0" w:color="auto"/>
          </w:divBdr>
        </w:div>
      </w:divsChild>
    </w:div>
    <w:div w:id="1218129396">
      <w:bodyDiv w:val="1"/>
      <w:marLeft w:val="0"/>
      <w:marRight w:val="0"/>
      <w:marTop w:val="0"/>
      <w:marBottom w:val="0"/>
      <w:divBdr>
        <w:top w:val="none" w:sz="0" w:space="0" w:color="auto"/>
        <w:left w:val="none" w:sz="0" w:space="0" w:color="auto"/>
        <w:bottom w:val="none" w:sz="0" w:space="0" w:color="auto"/>
        <w:right w:val="none" w:sz="0" w:space="0" w:color="auto"/>
      </w:divBdr>
    </w:div>
    <w:div w:id="1400445838">
      <w:bodyDiv w:val="1"/>
      <w:marLeft w:val="0"/>
      <w:marRight w:val="0"/>
      <w:marTop w:val="0"/>
      <w:marBottom w:val="0"/>
      <w:divBdr>
        <w:top w:val="none" w:sz="0" w:space="0" w:color="auto"/>
        <w:left w:val="none" w:sz="0" w:space="0" w:color="auto"/>
        <w:bottom w:val="none" w:sz="0" w:space="0" w:color="auto"/>
        <w:right w:val="none" w:sz="0" w:space="0" w:color="auto"/>
      </w:divBdr>
    </w:div>
    <w:div w:id="14865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F58A4-B16C-45BA-986F-9509EF1F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6138</Words>
  <Characters>34989</Characters>
  <Application>Microsoft Office Word</Application>
  <DocSecurity>0</DocSecurity>
  <Lines>291</Lines>
  <Paragraphs>82</Paragraphs>
  <ScaleCrop>false</ScaleCrop>
  <Company/>
  <LinksUpToDate>false</LinksUpToDate>
  <CharactersWithSpaces>41045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2024-07-30T09:08:00Z</dcterms:created>
  <dcterms:modified xsi:type="dcterms:W3CDTF">2024-07-30T09:08:00Z</dcterms:modified>
</cp:coreProperties>
</file>