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4138" w14:textId="1A1865F8" w:rsidR="00083822" w:rsidRPr="00633550" w:rsidRDefault="00BD5F76" w:rsidP="00F31D86">
      <w:pPr>
        <w:pStyle w:val="Heading3"/>
        <w:rPr>
          <w:rFonts w:asciiTheme="minorHAnsi" w:hAnsiTheme="minorHAnsi" w:cstheme="minorHAnsi"/>
          <w:b/>
          <w:bCs/>
        </w:rPr>
      </w:pPr>
      <w:r w:rsidRPr="00633550">
        <w:rPr>
          <w:rFonts w:asciiTheme="minorHAnsi" w:hAnsiTheme="minorHAnsi" w:cstheme="minorHAnsi"/>
          <w:b/>
          <w:bCs/>
        </w:rPr>
        <w:t>European Drug Report 202</w:t>
      </w:r>
      <w:r w:rsidR="00B55642">
        <w:rPr>
          <w:rFonts w:asciiTheme="minorHAnsi" w:hAnsiTheme="minorHAnsi" w:cstheme="minorHAnsi"/>
          <w:b/>
          <w:bCs/>
        </w:rPr>
        <w:t>4</w:t>
      </w:r>
    </w:p>
    <w:p w14:paraId="2A5827BC" w14:textId="21260AA0" w:rsidR="00486B46" w:rsidRPr="00F31D86" w:rsidRDefault="00AF61F7" w:rsidP="00556785">
      <w:pPr>
        <w:pStyle w:val="Heading2"/>
        <w:spacing w:line="312" w:lineRule="auto"/>
        <w:rPr>
          <w:rFonts w:asciiTheme="minorHAnsi" w:hAnsiTheme="minorHAnsi" w:cstheme="minorHAnsi"/>
          <w:bCs/>
          <w:color w:val="auto"/>
          <w:sz w:val="22"/>
          <w:szCs w:val="22"/>
          <w:lang w:val="en-GB"/>
        </w:rPr>
      </w:pPr>
      <w:r>
        <w:rPr>
          <w:rFonts w:asciiTheme="minorHAnsi" w:hAnsiTheme="minorHAnsi" w:cstheme="minorHAnsi"/>
          <w:color w:val="auto"/>
          <w:sz w:val="22"/>
          <w:szCs w:val="22"/>
          <w:lang w:val="en-GB"/>
        </w:rPr>
        <w:t>Tu</w:t>
      </w:r>
      <w:r w:rsidR="00CB7667" w:rsidRPr="00F31D86">
        <w:rPr>
          <w:rFonts w:asciiTheme="minorHAnsi" w:hAnsiTheme="minorHAnsi" w:cstheme="minorHAnsi"/>
          <w:color w:val="auto"/>
          <w:sz w:val="22"/>
          <w:szCs w:val="22"/>
          <w:lang w:val="en-GB"/>
        </w:rPr>
        <w:t>esday</w:t>
      </w:r>
      <w:r w:rsidR="0010007A" w:rsidRPr="00F31D86">
        <w:rPr>
          <w:rFonts w:asciiTheme="minorHAnsi" w:hAnsiTheme="minorHAnsi" w:cstheme="minorHAnsi"/>
          <w:color w:val="auto"/>
          <w:sz w:val="22"/>
          <w:szCs w:val="22"/>
          <w:lang w:val="en-GB"/>
        </w:rPr>
        <w:t xml:space="preserve"> </w:t>
      </w:r>
      <w:r w:rsidR="00083822" w:rsidRPr="00F31D86">
        <w:rPr>
          <w:rFonts w:asciiTheme="minorHAnsi" w:hAnsiTheme="minorHAnsi" w:cstheme="minorHAnsi"/>
          <w:color w:val="auto"/>
          <w:sz w:val="22"/>
          <w:szCs w:val="22"/>
          <w:lang w:val="en-GB"/>
        </w:rPr>
        <w:t>1</w:t>
      </w:r>
      <w:r w:rsidR="00B55642">
        <w:rPr>
          <w:rFonts w:asciiTheme="minorHAnsi" w:hAnsiTheme="minorHAnsi" w:cstheme="minorHAnsi"/>
          <w:color w:val="auto"/>
          <w:sz w:val="22"/>
          <w:szCs w:val="22"/>
          <w:lang w:val="en-GB"/>
        </w:rPr>
        <w:t>1</w:t>
      </w:r>
      <w:r w:rsidR="00BD5F76" w:rsidRPr="00F31D86">
        <w:rPr>
          <w:rFonts w:asciiTheme="minorHAnsi" w:hAnsiTheme="minorHAnsi" w:cstheme="minorHAnsi"/>
          <w:color w:val="auto"/>
          <w:sz w:val="22"/>
          <w:szCs w:val="22"/>
          <w:lang w:val="en-GB"/>
        </w:rPr>
        <w:t xml:space="preserve"> June</w:t>
      </w:r>
      <w:r w:rsidR="0010007A" w:rsidRPr="00F31D86">
        <w:rPr>
          <w:rFonts w:asciiTheme="minorHAnsi" w:hAnsiTheme="minorHAnsi" w:cstheme="minorHAnsi"/>
          <w:color w:val="auto"/>
          <w:sz w:val="22"/>
          <w:szCs w:val="22"/>
          <w:lang w:val="en-GB"/>
        </w:rPr>
        <w:t xml:space="preserve"> </w:t>
      </w:r>
      <w:r w:rsidR="00083822" w:rsidRPr="00F31D86">
        <w:rPr>
          <w:rFonts w:asciiTheme="minorHAnsi" w:hAnsiTheme="minorHAnsi" w:cstheme="minorHAnsi"/>
          <w:color w:val="auto"/>
          <w:sz w:val="22"/>
          <w:szCs w:val="22"/>
          <w:lang w:val="en-GB"/>
        </w:rPr>
        <w:t>202</w:t>
      </w:r>
      <w:r w:rsidR="00B55642">
        <w:rPr>
          <w:rFonts w:asciiTheme="minorHAnsi" w:hAnsiTheme="minorHAnsi" w:cstheme="minorHAnsi"/>
          <w:color w:val="auto"/>
          <w:sz w:val="22"/>
          <w:szCs w:val="22"/>
          <w:lang w:val="en-GB"/>
        </w:rPr>
        <w:t>4</w:t>
      </w:r>
      <w:r w:rsidR="0075317C" w:rsidRPr="00F31D86">
        <w:rPr>
          <w:rFonts w:asciiTheme="minorHAnsi" w:hAnsiTheme="minorHAnsi" w:cstheme="minorHAnsi"/>
          <w:color w:val="auto"/>
          <w:sz w:val="22"/>
          <w:szCs w:val="22"/>
          <w:lang w:val="en-GB"/>
        </w:rPr>
        <w:t xml:space="preserve"> </w:t>
      </w:r>
      <w:r w:rsidR="00575633" w:rsidRPr="00F31D86">
        <w:rPr>
          <w:rFonts w:asciiTheme="minorHAnsi" w:hAnsiTheme="minorHAnsi" w:cstheme="minorHAnsi"/>
          <w:color w:val="auto"/>
          <w:sz w:val="22"/>
          <w:szCs w:val="22"/>
          <w:lang w:val="en-GB"/>
        </w:rPr>
        <w:t>10.00 am</w:t>
      </w:r>
      <w:r w:rsidR="000E1043" w:rsidRPr="00F31D86">
        <w:rPr>
          <w:rFonts w:asciiTheme="minorHAnsi" w:hAnsiTheme="minorHAnsi" w:cstheme="minorHAnsi"/>
          <w:color w:val="auto"/>
          <w:sz w:val="22"/>
          <w:szCs w:val="22"/>
        </w:rPr>
        <w:t xml:space="preserve">: </w:t>
      </w:r>
      <w:r w:rsidR="00705CFB" w:rsidRPr="00F31D86">
        <w:rPr>
          <w:rFonts w:asciiTheme="minorHAnsi" w:hAnsiTheme="minorHAnsi" w:cstheme="minorHAnsi"/>
          <w:color w:val="auto"/>
          <w:sz w:val="22"/>
          <w:szCs w:val="22"/>
        </w:rPr>
        <w:t xml:space="preserve"> </w:t>
      </w:r>
      <w:r w:rsidR="008D5544" w:rsidRPr="00F31D86">
        <w:rPr>
          <w:rFonts w:asciiTheme="minorHAnsi" w:hAnsiTheme="minorHAnsi" w:cstheme="minorHAnsi"/>
          <w:bCs/>
          <w:color w:val="auto"/>
          <w:sz w:val="22"/>
          <w:szCs w:val="22"/>
        </w:rPr>
        <w:t>The</w:t>
      </w:r>
      <w:r w:rsidR="001B0E85" w:rsidRPr="00F31D86">
        <w:rPr>
          <w:rFonts w:asciiTheme="minorHAnsi" w:hAnsiTheme="minorHAnsi" w:cstheme="minorHAnsi"/>
          <w:bCs/>
          <w:color w:val="auto"/>
          <w:sz w:val="22"/>
          <w:szCs w:val="22"/>
        </w:rPr>
        <w:t xml:space="preserve"> European Monitoring Centre for Drugs and Drug Addiction (EMCDDA) </w:t>
      </w:r>
      <w:r w:rsidR="00AF1A9D">
        <w:rPr>
          <w:rFonts w:asciiTheme="minorHAnsi" w:hAnsiTheme="minorHAnsi" w:cstheme="minorHAnsi"/>
          <w:bCs/>
          <w:color w:val="auto"/>
          <w:sz w:val="22"/>
          <w:szCs w:val="22"/>
        </w:rPr>
        <w:t>today</w:t>
      </w:r>
      <w:r w:rsidR="007A7638" w:rsidRPr="00F31D86">
        <w:rPr>
          <w:rFonts w:asciiTheme="minorHAnsi" w:hAnsiTheme="minorHAnsi" w:cstheme="minorHAnsi"/>
          <w:bCs/>
          <w:color w:val="auto"/>
          <w:sz w:val="22"/>
          <w:szCs w:val="22"/>
        </w:rPr>
        <w:t xml:space="preserve"> </w:t>
      </w:r>
      <w:r w:rsidR="008D5544" w:rsidRPr="00F31D86">
        <w:rPr>
          <w:rFonts w:asciiTheme="minorHAnsi" w:hAnsiTheme="minorHAnsi" w:cstheme="minorHAnsi"/>
          <w:bCs/>
          <w:color w:val="auto"/>
          <w:sz w:val="22"/>
          <w:szCs w:val="22"/>
        </w:rPr>
        <w:t>publish</w:t>
      </w:r>
      <w:r w:rsidR="00AF1A9D">
        <w:rPr>
          <w:rFonts w:asciiTheme="minorHAnsi" w:hAnsiTheme="minorHAnsi" w:cstheme="minorHAnsi"/>
          <w:bCs/>
          <w:color w:val="auto"/>
          <w:sz w:val="22"/>
          <w:szCs w:val="22"/>
        </w:rPr>
        <w:t>es</w:t>
      </w:r>
      <w:r w:rsidR="008D5544" w:rsidRPr="00F31D86">
        <w:rPr>
          <w:rFonts w:asciiTheme="minorHAnsi" w:hAnsiTheme="minorHAnsi" w:cstheme="minorHAnsi"/>
          <w:bCs/>
          <w:color w:val="auto"/>
          <w:sz w:val="22"/>
          <w:szCs w:val="22"/>
        </w:rPr>
        <w:t xml:space="preserve"> </w:t>
      </w:r>
      <w:hyperlink r:id="rId10" w:history="1">
        <w:r w:rsidR="008D5544" w:rsidRPr="00C26A73">
          <w:rPr>
            <w:rStyle w:val="Hyperlink"/>
            <w:rFonts w:asciiTheme="minorHAnsi" w:hAnsiTheme="minorHAnsi" w:cstheme="minorHAnsi"/>
            <w:bCs/>
            <w:color w:val="auto"/>
            <w:sz w:val="22"/>
            <w:szCs w:val="22"/>
            <w:u w:val="none"/>
          </w:rPr>
          <w:t>the</w:t>
        </w:r>
        <w:r w:rsidR="008D5544" w:rsidRPr="00C26A73">
          <w:rPr>
            <w:rStyle w:val="Hyperlink"/>
            <w:rFonts w:asciiTheme="minorHAnsi" w:hAnsiTheme="minorHAnsi" w:cstheme="minorHAnsi"/>
            <w:bCs/>
            <w:sz w:val="22"/>
            <w:szCs w:val="22"/>
          </w:rPr>
          <w:t xml:space="preserve"> </w:t>
        </w:r>
        <w:r w:rsidR="001B0E85" w:rsidRPr="00C26A73">
          <w:rPr>
            <w:rStyle w:val="Hyperlink"/>
            <w:rFonts w:asciiTheme="minorHAnsi" w:hAnsiTheme="minorHAnsi" w:cstheme="minorHAnsi"/>
            <w:b/>
            <w:bCs/>
            <w:i/>
            <w:sz w:val="22"/>
            <w:szCs w:val="22"/>
          </w:rPr>
          <w:t xml:space="preserve">European drug report </w:t>
        </w:r>
        <w:r w:rsidR="00824831" w:rsidRPr="00C26A73">
          <w:rPr>
            <w:rStyle w:val="Hyperlink"/>
            <w:rFonts w:asciiTheme="minorHAnsi" w:hAnsiTheme="minorHAnsi" w:cstheme="minorHAnsi"/>
            <w:b/>
            <w:bCs/>
            <w:i/>
            <w:sz w:val="22"/>
            <w:szCs w:val="22"/>
          </w:rPr>
          <w:t>20</w:t>
        </w:r>
        <w:r w:rsidR="00667B97" w:rsidRPr="00C26A73">
          <w:rPr>
            <w:rStyle w:val="Hyperlink"/>
            <w:rFonts w:asciiTheme="minorHAnsi" w:hAnsiTheme="minorHAnsi" w:cstheme="minorHAnsi"/>
            <w:b/>
            <w:bCs/>
            <w:i/>
            <w:sz w:val="22"/>
            <w:szCs w:val="22"/>
          </w:rPr>
          <w:t>2</w:t>
        </w:r>
        <w:r w:rsidR="00B55642" w:rsidRPr="00C26A73">
          <w:rPr>
            <w:rStyle w:val="Hyperlink"/>
            <w:rFonts w:asciiTheme="minorHAnsi" w:hAnsiTheme="minorHAnsi" w:cstheme="minorHAnsi"/>
            <w:b/>
            <w:bCs/>
            <w:i/>
            <w:sz w:val="22"/>
            <w:szCs w:val="22"/>
          </w:rPr>
          <w:t>4</w:t>
        </w:r>
        <w:r w:rsidR="001B0E85" w:rsidRPr="00C26A73">
          <w:rPr>
            <w:rStyle w:val="Hyperlink"/>
            <w:rFonts w:asciiTheme="minorHAnsi" w:hAnsiTheme="minorHAnsi" w:cstheme="minorHAnsi"/>
            <w:b/>
            <w:bCs/>
            <w:i/>
            <w:sz w:val="22"/>
            <w:szCs w:val="22"/>
          </w:rPr>
          <w:t>: trends and developments</w:t>
        </w:r>
      </w:hyperlink>
      <w:r w:rsidR="001B0E85" w:rsidRPr="00F31D86">
        <w:rPr>
          <w:rFonts w:asciiTheme="minorHAnsi" w:hAnsiTheme="minorHAnsi" w:cstheme="minorHAnsi"/>
          <w:bCs/>
          <w:color w:val="auto"/>
          <w:sz w:val="22"/>
          <w:szCs w:val="22"/>
        </w:rPr>
        <w:t xml:space="preserve">.  </w:t>
      </w:r>
      <w:r w:rsidR="00216B3A" w:rsidRPr="00F31D86">
        <w:rPr>
          <w:rFonts w:asciiTheme="minorHAnsi" w:hAnsiTheme="minorHAnsi" w:cstheme="minorHAnsi"/>
          <w:bCs/>
          <w:color w:val="auto"/>
          <w:sz w:val="22"/>
          <w:szCs w:val="22"/>
          <w:lang w:val="en-GB"/>
        </w:rPr>
        <w:t>The purpose of this report is to provide an overview and summary of the European drug situation up to the end of 202</w:t>
      </w:r>
      <w:r w:rsidR="00B55642">
        <w:rPr>
          <w:rFonts w:asciiTheme="minorHAnsi" w:hAnsiTheme="minorHAnsi" w:cstheme="minorHAnsi"/>
          <w:bCs/>
          <w:color w:val="auto"/>
          <w:sz w:val="22"/>
          <w:szCs w:val="22"/>
          <w:lang w:val="en-GB"/>
        </w:rPr>
        <w:t>3</w:t>
      </w:r>
      <w:r w:rsidR="00216B3A" w:rsidRPr="00F31D86">
        <w:rPr>
          <w:rFonts w:asciiTheme="minorHAnsi" w:hAnsiTheme="minorHAnsi" w:cstheme="minorHAnsi"/>
          <w:bCs/>
          <w:color w:val="auto"/>
          <w:sz w:val="22"/>
          <w:szCs w:val="22"/>
          <w:lang w:val="en-GB"/>
        </w:rPr>
        <w:t xml:space="preserve">. </w:t>
      </w:r>
    </w:p>
    <w:p w14:paraId="0BC2B93B" w14:textId="77777777" w:rsidR="00AF1A9D" w:rsidRDefault="00AF1A9D" w:rsidP="00556785">
      <w:pPr>
        <w:pStyle w:val="Heading2"/>
        <w:spacing w:line="312" w:lineRule="auto"/>
        <w:rPr>
          <w:rFonts w:asciiTheme="minorHAnsi" w:hAnsiTheme="minorHAnsi" w:cstheme="minorHAnsi"/>
          <w:bCs/>
          <w:color w:val="auto"/>
          <w:sz w:val="22"/>
          <w:szCs w:val="22"/>
          <w:lang w:val="en"/>
        </w:rPr>
      </w:pPr>
    </w:p>
    <w:p w14:paraId="56F7C9EC" w14:textId="557BCDC3" w:rsidR="00830639" w:rsidRPr="00F31D86" w:rsidRDefault="000E1043" w:rsidP="00556785">
      <w:pPr>
        <w:pStyle w:val="Heading2"/>
        <w:spacing w:line="312" w:lineRule="auto"/>
        <w:rPr>
          <w:rFonts w:asciiTheme="minorHAnsi" w:hAnsiTheme="minorHAnsi" w:cstheme="minorHAnsi"/>
          <w:bCs/>
          <w:color w:val="auto"/>
          <w:sz w:val="22"/>
          <w:szCs w:val="22"/>
          <w:lang w:val="en"/>
        </w:rPr>
      </w:pPr>
      <w:r w:rsidRPr="00F31D86">
        <w:rPr>
          <w:rFonts w:asciiTheme="minorHAnsi" w:hAnsiTheme="minorHAnsi" w:cstheme="minorHAnsi"/>
          <w:bCs/>
          <w:color w:val="auto"/>
          <w:sz w:val="22"/>
          <w:szCs w:val="22"/>
          <w:lang w:val="en"/>
        </w:rPr>
        <w:t>The H</w:t>
      </w:r>
      <w:r w:rsidR="00FF54F7" w:rsidRPr="00F31D86">
        <w:rPr>
          <w:rFonts w:asciiTheme="minorHAnsi" w:hAnsiTheme="minorHAnsi" w:cstheme="minorHAnsi"/>
          <w:bCs/>
          <w:color w:val="auto"/>
          <w:sz w:val="22"/>
          <w:szCs w:val="22"/>
          <w:lang w:val="en"/>
        </w:rPr>
        <w:t xml:space="preserve">ealth Research </w:t>
      </w:r>
      <w:r w:rsidRPr="00F31D86">
        <w:rPr>
          <w:rFonts w:asciiTheme="minorHAnsi" w:hAnsiTheme="minorHAnsi" w:cstheme="minorHAnsi"/>
          <w:bCs/>
          <w:color w:val="auto"/>
          <w:sz w:val="22"/>
          <w:szCs w:val="22"/>
          <w:lang w:val="en"/>
        </w:rPr>
        <w:t>B</w:t>
      </w:r>
      <w:r w:rsidR="00FF54F7" w:rsidRPr="00F31D86">
        <w:rPr>
          <w:rFonts w:asciiTheme="minorHAnsi" w:hAnsiTheme="minorHAnsi" w:cstheme="minorHAnsi"/>
          <w:bCs/>
          <w:color w:val="auto"/>
          <w:sz w:val="22"/>
          <w:szCs w:val="22"/>
          <w:lang w:val="en"/>
        </w:rPr>
        <w:t>oard</w:t>
      </w:r>
      <w:r w:rsidRPr="00F31D86">
        <w:rPr>
          <w:rFonts w:asciiTheme="minorHAnsi" w:hAnsiTheme="minorHAnsi" w:cstheme="minorHAnsi"/>
          <w:bCs/>
          <w:color w:val="auto"/>
          <w:sz w:val="22"/>
          <w:szCs w:val="22"/>
          <w:lang w:val="en"/>
        </w:rPr>
        <w:t xml:space="preserve"> </w:t>
      </w:r>
      <w:r w:rsidR="001F3A16" w:rsidRPr="00F31D86">
        <w:rPr>
          <w:rFonts w:asciiTheme="minorHAnsi" w:hAnsiTheme="minorHAnsi" w:cstheme="minorHAnsi"/>
          <w:bCs/>
          <w:color w:val="auto"/>
          <w:sz w:val="22"/>
          <w:szCs w:val="22"/>
          <w:lang w:val="en"/>
        </w:rPr>
        <w:t xml:space="preserve">(HRB) </w:t>
      </w:r>
      <w:r w:rsidRPr="00F31D86">
        <w:rPr>
          <w:rFonts w:asciiTheme="minorHAnsi" w:hAnsiTheme="minorHAnsi" w:cstheme="minorHAnsi"/>
          <w:bCs/>
          <w:color w:val="auto"/>
          <w:sz w:val="22"/>
          <w:szCs w:val="22"/>
          <w:lang w:val="en"/>
        </w:rPr>
        <w:t xml:space="preserve">provides the Irish </w:t>
      </w:r>
      <w:r w:rsidR="00FF54F7" w:rsidRPr="00F31D86">
        <w:rPr>
          <w:rFonts w:asciiTheme="minorHAnsi" w:hAnsiTheme="minorHAnsi" w:cstheme="minorHAnsi"/>
          <w:bCs/>
          <w:color w:val="auto"/>
          <w:sz w:val="22"/>
          <w:szCs w:val="22"/>
          <w:lang w:val="en"/>
        </w:rPr>
        <w:t xml:space="preserve">data and </w:t>
      </w:r>
      <w:r w:rsidR="007652D5" w:rsidRPr="00F31D86">
        <w:rPr>
          <w:rFonts w:asciiTheme="minorHAnsi" w:hAnsiTheme="minorHAnsi" w:cstheme="minorHAnsi"/>
          <w:bCs/>
          <w:color w:val="auto"/>
          <w:sz w:val="22"/>
          <w:szCs w:val="22"/>
          <w:lang w:val="en"/>
        </w:rPr>
        <w:t>research</w:t>
      </w:r>
      <w:r w:rsidR="00FF54F7" w:rsidRPr="00F31D86">
        <w:rPr>
          <w:rFonts w:asciiTheme="minorHAnsi" w:hAnsiTheme="minorHAnsi" w:cstheme="minorHAnsi"/>
          <w:bCs/>
          <w:color w:val="auto"/>
          <w:sz w:val="22"/>
          <w:szCs w:val="22"/>
          <w:lang w:val="en"/>
        </w:rPr>
        <w:t xml:space="preserve"> </w:t>
      </w:r>
      <w:r w:rsidRPr="00F31D86">
        <w:rPr>
          <w:rFonts w:asciiTheme="minorHAnsi" w:hAnsiTheme="minorHAnsi" w:cstheme="minorHAnsi"/>
          <w:bCs/>
          <w:color w:val="auto"/>
          <w:sz w:val="22"/>
          <w:szCs w:val="22"/>
          <w:lang w:val="en"/>
        </w:rPr>
        <w:t xml:space="preserve">for the EMCDDA </w:t>
      </w:r>
      <w:r w:rsidR="009B1468" w:rsidRPr="00F31D86">
        <w:rPr>
          <w:rFonts w:asciiTheme="minorHAnsi" w:hAnsiTheme="minorHAnsi" w:cstheme="minorHAnsi"/>
          <w:bCs/>
          <w:color w:val="auto"/>
          <w:sz w:val="22"/>
          <w:szCs w:val="22"/>
          <w:lang w:val="en"/>
        </w:rPr>
        <w:t xml:space="preserve">report. </w:t>
      </w:r>
      <w:r w:rsidR="00486B46" w:rsidRPr="00F31D86">
        <w:rPr>
          <w:rFonts w:asciiTheme="minorHAnsi" w:hAnsiTheme="minorHAnsi" w:cstheme="minorHAnsi"/>
          <w:bCs/>
          <w:color w:val="auto"/>
          <w:sz w:val="22"/>
          <w:szCs w:val="22"/>
          <w:lang w:val="en"/>
        </w:rPr>
        <w:t xml:space="preserve">This media brief provides an overview of the </w:t>
      </w:r>
      <w:r w:rsidR="00DF584E" w:rsidRPr="00F31D86">
        <w:rPr>
          <w:rFonts w:asciiTheme="minorHAnsi" w:hAnsiTheme="minorHAnsi" w:cstheme="minorHAnsi"/>
          <w:bCs/>
          <w:color w:val="auto"/>
          <w:sz w:val="22"/>
          <w:szCs w:val="22"/>
          <w:lang w:val="en"/>
        </w:rPr>
        <w:t xml:space="preserve">drug </w:t>
      </w:r>
      <w:r w:rsidR="00486B46" w:rsidRPr="00F31D86">
        <w:rPr>
          <w:rFonts w:asciiTheme="minorHAnsi" w:hAnsiTheme="minorHAnsi" w:cstheme="minorHAnsi"/>
          <w:bCs/>
          <w:color w:val="auto"/>
          <w:sz w:val="22"/>
          <w:szCs w:val="22"/>
          <w:lang w:val="en"/>
        </w:rPr>
        <w:t>situation</w:t>
      </w:r>
      <w:r w:rsidR="00AF1A9D">
        <w:rPr>
          <w:rFonts w:asciiTheme="minorHAnsi" w:hAnsiTheme="minorHAnsi" w:cstheme="minorHAnsi"/>
          <w:bCs/>
          <w:color w:val="auto"/>
          <w:sz w:val="22"/>
          <w:szCs w:val="22"/>
          <w:lang w:val="en"/>
        </w:rPr>
        <w:t xml:space="preserve"> in</w:t>
      </w:r>
      <w:r w:rsidR="00486B46" w:rsidRPr="00F31D86">
        <w:rPr>
          <w:rFonts w:asciiTheme="minorHAnsi" w:hAnsiTheme="minorHAnsi" w:cstheme="minorHAnsi"/>
          <w:bCs/>
          <w:color w:val="auto"/>
          <w:sz w:val="22"/>
          <w:szCs w:val="22"/>
          <w:lang w:val="en"/>
        </w:rPr>
        <w:t xml:space="preserve"> Europe and a comparison with the Irish drug situation</w:t>
      </w:r>
      <w:r w:rsidR="00D85E6B">
        <w:rPr>
          <w:rFonts w:asciiTheme="minorHAnsi" w:hAnsiTheme="minorHAnsi" w:cstheme="minorHAnsi"/>
          <w:bCs/>
          <w:color w:val="auto"/>
          <w:sz w:val="22"/>
          <w:szCs w:val="22"/>
          <w:lang w:val="en"/>
        </w:rPr>
        <w:t>*</w:t>
      </w:r>
      <w:r w:rsidR="00486B46" w:rsidRPr="00F31D86">
        <w:rPr>
          <w:rFonts w:asciiTheme="minorHAnsi" w:hAnsiTheme="minorHAnsi" w:cstheme="minorHAnsi"/>
          <w:bCs/>
          <w:color w:val="auto"/>
          <w:sz w:val="22"/>
          <w:szCs w:val="22"/>
          <w:lang w:val="en"/>
        </w:rPr>
        <w:t xml:space="preserve"> where possible.</w:t>
      </w:r>
    </w:p>
    <w:p w14:paraId="66048835" w14:textId="56EA4154" w:rsidR="00984AAD" w:rsidRPr="00556785" w:rsidRDefault="00984AAD" w:rsidP="00556785">
      <w:pPr>
        <w:spacing w:line="312" w:lineRule="auto"/>
        <w:rPr>
          <w:rFonts w:asciiTheme="minorHAnsi" w:hAnsiTheme="minorHAnsi" w:cstheme="minorHAnsi"/>
          <w:sz w:val="22"/>
          <w:lang w:val="en"/>
        </w:rPr>
      </w:pPr>
    </w:p>
    <w:p w14:paraId="5DABADCB" w14:textId="2A691824" w:rsidR="00D067F9" w:rsidRPr="00556785" w:rsidRDefault="00984AAD" w:rsidP="00556785">
      <w:pPr>
        <w:spacing w:after="200" w:line="312" w:lineRule="auto"/>
        <w:rPr>
          <w:rFonts w:asciiTheme="minorHAnsi" w:hAnsiTheme="minorHAnsi" w:cstheme="minorHAnsi"/>
          <w:sz w:val="22"/>
          <w:lang w:val="en-GB"/>
        </w:rPr>
      </w:pPr>
      <w:r w:rsidRPr="00556785">
        <w:rPr>
          <w:rFonts w:asciiTheme="minorHAnsi" w:hAnsiTheme="minorHAnsi" w:cstheme="minorHAnsi"/>
          <w:sz w:val="22"/>
          <w:lang w:val="en-GB"/>
        </w:rPr>
        <w:t xml:space="preserve">The </w:t>
      </w:r>
      <w:r w:rsidR="00486B46" w:rsidRPr="00556785">
        <w:rPr>
          <w:rFonts w:asciiTheme="minorHAnsi" w:hAnsiTheme="minorHAnsi" w:cstheme="minorHAnsi"/>
          <w:sz w:val="22"/>
          <w:lang w:val="en-GB"/>
        </w:rPr>
        <w:t xml:space="preserve">European drug </w:t>
      </w:r>
      <w:r w:rsidRPr="00556785">
        <w:rPr>
          <w:rFonts w:asciiTheme="minorHAnsi" w:hAnsiTheme="minorHAnsi" w:cstheme="minorHAnsi"/>
          <w:sz w:val="22"/>
          <w:lang w:val="en-GB"/>
        </w:rPr>
        <w:t xml:space="preserve">report highlights </w:t>
      </w:r>
    </w:p>
    <w:p w14:paraId="637F82A2" w14:textId="77777777" w:rsidR="00425E27" w:rsidRPr="00425E27" w:rsidRDefault="00425E27" w:rsidP="00425E27">
      <w:pPr>
        <w:pStyle w:val="ListParagraph"/>
        <w:numPr>
          <w:ilvl w:val="0"/>
          <w:numId w:val="33"/>
        </w:numPr>
        <w:spacing w:line="312" w:lineRule="auto"/>
        <w:rPr>
          <w:rFonts w:asciiTheme="minorHAnsi" w:hAnsiTheme="minorHAnsi" w:cstheme="minorHAnsi"/>
          <w:lang w:val="en-GB"/>
        </w:rPr>
      </w:pPr>
      <w:r w:rsidRPr="00425E27">
        <w:rPr>
          <w:rFonts w:asciiTheme="minorHAnsi" w:hAnsiTheme="minorHAnsi" w:cstheme="minorHAnsi"/>
          <w:lang w:val="en-GB"/>
        </w:rPr>
        <w:t xml:space="preserve">Drug availability remains high in Europe, </w:t>
      </w:r>
      <w:bookmarkStart w:id="0" w:name="_Hlk165903875"/>
      <w:r w:rsidRPr="00425E27">
        <w:rPr>
          <w:rFonts w:asciiTheme="minorHAnsi" w:hAnsiTheme="minorHAnsi" w:cstheme="minorHAnsi"/>
          <w:lang w:val="en-GB"/>
        </w:rPr>
        <w:t>with a wider range of psychoactive substances, often of high potency or purity, or in new forms, mixtures and combinations</w:t>
      </w:r>
      <w:bookmarkEnd w:id="0"/>
      <w:r w:rsidRPr="00425E27">
        <w:rPr>
          <w:rFonts w:asciiTheme="minorHAnsi" w:hAnsiTheme="minorHAnsi" w:cstheme="minorHAnsi"/>
          <w:lang w:val="en-GB"/>
        </w:rPr>
        <w:t>, and many products mis-sold and so presenting serious health risks.</w:t>
      </w:r>
    </w:p>
    <w:p w14:paraId="2DC35F90" w14:textId="56EB7BD5" w:rsidR="00425E27" w:rsidRPr="00425E27" w:rsidRDefault="00425E27" w:rsidP="00425E27">
      <w:pPr>
        <w:pStyle w:val="ListParagraph"/>
        <w:numPr>
          <w:ilvl w:val="0"/>
          <w:numId w:val="33"/>
        </w:numPr>
        <w:spacing w:line="312" w:lineRule="auto"/>
        <w:rPr>
          <w:rFonts w:asciiTheme="minorHAnsi" w:hAnsiTheme="minorHAnsi" w:cstheme="minorHAnsi"/>
          <w:lang w:val="en-GB"/>
        </w:rPr>
      </w:pPr>
      <w:r w:rsidRPr="00425E27">
        <w:rPr>
          <w:rFonts w:asciiTheme="minorHAnsi" w:hAnsiTheme="minorHAnsi" w:cstheme="minorHAnsi"/>
          <w:lang w:val="en-GB"/>
        </w:rPr>
        <w:t>Adulteration of cannabis with synthetic cannabinoids and MDMA with cathinones and synthetic opioids is becoming more common, as</w:t>
      </w:r>
      <w:r w:rsidR="00AB1059">
        <w:rPr>
          <w:rFonts w:asciiTheme="minorHAnsi" w:hAnsiTheme="minorHAnsi" w:cstheme="minorHAnsi"/>
          <w:lang w:val="en-GB"/>
        </w:rPr>
        <w:t xml:space="preserve"> well as</w:t>
      </w:r>
      <w:r w:rsidRPr="00425E27">
        <w:rPr>
          <w:rFonts w:asciiTheme="minorHAnsi" w:hAnsiTheme="minorHAnsi" w:cstheme="minorHAnsi"/>
          <w:lang w:val="en-GB"/>
        </w:rPr>
        <w:t xml:space="preserve"> synthetic stimulant mixtures such as ‘pink cocaine’</w:t>
      </w:r>
    </w:p>
    <w:p w14:paraId="3B35E191" w14:textId="77777777" w:rsidR="00425E27" w:rsidRPr="00425E27" w:rsidRDefault="00425E27" w:rsidP="00425E27">
      <w:pPr>
        <w:pStyle w:val="ListParagraph"/>
        <w:numPr>
          <w:ilvl w:val="0"/>
          <w:numId w:val="33"/>
        </w:numPr>
        <w:spacing w:line="312" w:lineRule="auto"/>
        <w:rPr>
          <w:rFonts w:asciiTheme="minorHAnsi" w:hAnsiTheme="minorHAnsi" w:cstheme="minorHAnsi"/>
          <w:lang w:val="en-GB"/>
        </w:rPr>
      </w:pPr>
      <w:r w:rsidRPr="00425E27">
        <w:rPr>
          <w:rFonts w:asciiTheme="minorHAnsi" w:hAnsiTheme="minorHAnsi" w:cstheme="minorHAnsi"/>
          <w:lang w:val="en-GB"/>
        </w:rPr>
        <w:t>The use of two or more psychoactive substances at the same time or close together is increasing.  Polydrug use carries its own health risk and makes effective responses more problematic.</w:t>
      </w:r>
    </w:p>
    <w:p w14:paraId="1D1B51BE" w14:textId="77777777" w:rsidR="00425E27" w:rsidRPr="00425E27" w:rsidRDefault="00425E27" w:rsidP="00425E27">
      <w:pPr>
        <w:pStyle w:val="ListParagraph"/>
        <w:numPr>
          <w:ilvl w:val="0"/>
          <w:numId w:val="33"/>
        </w:numPr>
        <w:spacing w:line="312" w:lineRule="auto"/>
        <w:rPr>
          <w:rFonts w:asciiTheme="minorHAnsi" w:hAnsiTheme="minorHAnsi" w:cstheme="minorHAnsi"/>
          <w:lang w:val="en-GB"/>
        </w:rPr>
      </w:pPr>
      <w:r w:rsidRPr="00425E27">
        <w:rPr>
          <w:rFonts w:asciiTheme="minorHAnsi" w:hAnsiTheme="minorHAnsi" w:cstheme="minorHAnsi"/>
        </w:rPr>
        <w:t xml:space="preserve">Heroin remains the </w:t>
      </w:r>
      <w:proofErr w:type="gramStart"/>
      <w:r w:rsidRPr="00425E27">
        <w:rPr>
          <w:rFonts w:asciiTheme="minorHAnsi" w:hAnsiTheme="minorHAnsi" w:cstheme="minorHAnsi"/>
        </w:rPr>
        <w:t>most commonly used</w:t>
      </w:r>
      <w:proofErr w:type="gramEnd"/>
      <w:r w:rsidRPr="00425E27">
        <w:rPr>
          <w:rFonts w:asciiTheme="minorHAnsi" w:hAnsiTheme="minorHAnsi" w:cstheme="minorHAnsi"/>
        </w:rPr>
        <w:t xml:space="preserve"> illicit opioid in Europe but use of </w:t>
      </w:r>
      <w:r w:rsidRPr="00425E27">
        <w:rPr>
          <w:rFonts w:asciiTheme="minorHAnsi" w:hAnsiTheme="minorHAnsi" w:cstheme="minorHAnsi"/>
          <w:bCs/>
          <w:iCs/>
          <w:lang w:val="en-GB"/>
        </w:rPr>
        <w:t>internationally controlled synthetic opioids (e.g. fentanyl) and new (</w:t>
      </w:r>
      <w:r w:rsidRPr="00425E27">
        <w:rPr>
          <w:rFonts w:asciiTheme="minorHAnsi" w:hAnsiTheme="minorHAnsi" w:cstheme="minorHAnsi"/>
        </w:rPr>
        <w:t>uncontrolled)</w:t>
      </w:r>
      <w:r w:rsidRPr="00425E27">
        <w:rPr>
          <w:rFonts w:asciiTheme="minorHAnsi" w:hAnsiTheme="minorHAnsi" w:cstheme="minorHAnsi"/>
          <w:bCs/>
          <w:iCs/>
          <w:lang w:val="en-GB"/>
        </w:rPr>
        <w:t xml:space="preserve"> synthetic opioids (e.g. </w:t>
      </w:r>
      <w:r w:rsidRPr="00425E27">
        <w:rPr>
          <w:rFonts w:asciiTheme="minorHAnsi" w:hAnsiTheme="minorHAnsi" w:cstheme="minorHAnsi"/>
        </w:rPr>
        <w:t>fentanyl derivatives</w:t>
      </w:r>
      <w:r w:rsidRPr="00425E27">
        <w:rPr>
          <w:rFonts w:asciiTheme="minorHAnsi" w:hAnsiTheme="minorHAnsi" w:cstheme="minorHAnsi"/>
          <w:bCs/>
          <w:iCs/>
          <w:lang w:val="en-GB"/>
        </w:rPr>
        <w:t>) is increasing.</w:t>
      </w:r>
    </w:p>
    <w:p w14:paraId="30A6ECD6" w14:textId="1B13C26E" w:rsidR="00453B64" w:rsidRPr="00556785" w:rsidRDefault="00453B64" w:rsidP="00D4366A">
      <w:pPr>
        <w:spacing w:after="200" w:line="312" w:lineRule="auto"/>
        <w:rPr>
          <w:rFonts w:asciiTheme="minorHAnsi" w:hAnsiTheme="minorHAnsi" w:cstheme="minorHAnsi"/>
          <w:sz w:val="22"/>
          <w:lang w:val="en-GB"/>
        </w:rPr>
      </w:pPr>
      <w:r w:rsidRPr="00556785">
        <w:rPr>
          <w:rFonts w:asciiTheme="minorHAnsi" w:hAnsiTheme="minorHAnsi" w:cstheme="minorHAnsi"/>
          <w:b/>
          <w:bCs/>
          <w:sz w:val="22"/>
          <w:lang w:val="en-GB"/>
        </w:rPr>
        <w:t xml:space="preserve">EMCDDA Director Alexis Goosdeel says: </w:t>
      </w:r>
      <w:r w:rsidR="00F37CDA" w:rsidRPr="00F37CDA">
        <w:rPr>
          <w:rFonts w:asciiTheme="minorHAnsi" w:hAnsiTheme="minorHAnsi" w:cstheme="minorHAnsi"/>
          <w:sz w:val="22"/>
          <w:lang w:val="en-GB"/>
        </w:rPr>
        <w:t xml:space="preserve"> </w:t>
      </w:r>
      <w:r w:rsidR="00D4366A" w:rsidRPr="00D4366A">
        <w:rPr>
          <w:rFonts w:asciiTheme="minorHAnsi" w:hAnsiTheme="minorHAnsi" w:cstheme="minorHAnsi"/>
          <w:sz w:val="22"/>
          <w:lang w:val="en-GB"/>
        </w:rPr>
        <w:t>'In this year's European Drug Report, we highlight the growing challenges posed by a highly complex and rapidly evolving drug market, where established illicit drugs are polysubstance use is driving a range of health risks, especially when drug mixtures are unknowingly consumed. We also reflect today on potential future problems in the drugs field and the need to be better prepared to face them. I am pleased to announce, therefore, that, as the new European Union Drugs Agency, we will have a stronger mandate to anticipate future emerging threats and trends, alert in real time on new risks for health and security, help the EU and Member States to respond, and learn from experience to adapt and improve our drug strategies and interventions'.</w:t>
      </w:r>
    </w:p>
    <w:p w14:paraId="3163E0CE" w14:textId="77777777" w:rsidR="001C76A2" w:rsidRPr="00556785" w:rsidRDefault="001C76A2" w:rsidP="00556785">
      <w:pPr>
        <w:pStyle w:val="NormalWeb"/>
        <w:spacing w:line="312" w:lineRule="auto"/>
        <w:rPr>
          <w:rFonts w:asciiTheme="minorHAnsi" w:hAnsiTheme="minorHAnsi" w:cstheme="minorHAnsi"/>
          <w:b/>
          <w:i/>
          <w:iCs/>
          <w:sz w:val="22"/>
          <w:szCs w:val="22"/>
          <w:lang w:val="en-GB"/>
        </w:rPr>
      </w:pPr>
      <w:r w:rsidRPr="00556785">
        <w:rPr>
          <w:rFonts w:asciiTheme="minorHAnsi" w:hAnsiTheme="minorHAnsi" w:cstheme="minorHAnsi"/>
          <w:b/>
          <w:i/>
          <w:iCs/>
          <w:sz w:val="22"/>
          <w:szCs w:val="22"/>
          <w:lang w:val="en-GB"/>
        </w:rPr>
        <w:t>Latest data</w:t>
      </w:r>
    </w:p>
    <w:p w14:paraId="4FFDCDE7" w14:textId="77777777" w:rsidR="00434981" w:rsidRPr="00556785" w:rsidRDefault="001C76A2" w:rsidP="00556785">
      <w:pPr>
        <w:pStyle w:val="NormalWeb"/>
        <w:numPr>
          <w:ilvl w:val="0"/>
          <w:numId w:val="25"/>
        </w:numPr>
        <w:spacing w:line="312" w:lineRule="auto"/>
        <w:rPr>
          <w:rFonts w:asciiTheme="minorHAnsi" w:hAnsiTheme="minorHAnsi" w:cstheme="minorHAnsi"/>
          <w:bCs/>
          <w:sz w:val="22"/>
          <w:szCs w:val="22"/>
          <w:lang w:val="en-GB"/>
        </w:rPr>
      </w:pPr>
      <w:r w:rsidRPr="00556785">
        <w:rPr>
          <w:rFonts w:asciiTheme="minorHAnsi" w:hAnsiTheme="minorHAnsi" w:cstheme="minorHAnsi"/>
          <w:bCs/>
          <w:sz w:val="22"/>
          <w:szCs w:val="22"/>
          <w:lang w:val="en-GB"/>
        </w:rPr>
        <w:t>Around 83</w:t>
      </w:r>
      <w:r w:rsidR="002E0CAA" w:rsidRPr="00556785">
        <w:rPr>
          <w:rFonts w:asciiTheme="minorHAnsi" w:hAnsiTheme="minorHAnsi" w:cstheme="minorHAnsi"/>
          <w:bCs/>
          <w:sz w:val="22"/>
          <w:szCs w:val="22"/>
          <w:lang w:val="en-GB"/>
        </w:rPr>
        <w:t>.4</w:t>
      </w:r>
      <w:r w:rsidRPr="00556785">
        <w:rPr>
          <w:rFonts w:asciiTheme="minorHAnsi" w:hAnsiTheme="minorHAnsi" w:cstheme="minorHAnsi"/>
          <w:bCs/>
          <w:sz w:val="22"/>
          <w:szCs w:val="22"/>
          <w:lang w:val="en-GB"/>
        </w:rPr>
        <w:t> million or 2</w:t>
      </w:r>
      <w:r w:rsidR="002E0CAA" w:rsidRPr="00556785">
        <w:rPr>
          <w:rFonts w:asciiTheme="minorHAnsi" w:hAnsiTheme="minorHAnsi" w:cstheme="minorHAnsi"/>
          <w:bCs/>
          <w:sz w:val="22"/>
          <w:szCs w:val="22"/>
          <w:lang w:val="en-GB"/>
        </w:rPr>
        <w:t xml:space="preserve">9 </w:t>
      </w:r>
      <w:r w:rsidRPr="00556785">
        <w:rPr>
          <w:rFonts w:asciiTheme="minorHAnsi" w:hAnsiTheme="minorHAnsi" w:cstheme="minorHAnsi"/>
          <w:bCs/>
          <w:sz w:val="22"/>
          <w:szCs w:val="22"/>
          <w:lang w:val="en-GB"/>
        </w:rPr>
        <w:t xml:space="preserve">% of adults (aged 15-64) in the European Union are estimated to have used </w:t>
      </w:r>
      <w:r w:rsidR="00E74916" w:rsidRPr="00556785">
        <w:rPr>
          <w:rFonts w:asciiTheme="minorHAnsi" w:hAnsiTheme="minorHAnsi" w:cstheme="minorHAnsi"/>
          <w:bCs/>
          <w:sz w:val="22"/>
          <w:szCs w:val="22"/>
          <w:lang w:val="en-GB"/>
        </w:rPr>
        <w:t>illegal</w:t>
      </w:r>
      <w:r w:rsidRPr="00556785">
        <w:rPr>
          <w:rFonts w:asciiTheme="minorHAnsi" w:hAnsiTheme="minorHAnsi" w:cstheme="minorHAnsi"/>
          <w:bCs/>
          <w:sz w:val="22"/>
          <w:szCs w:val="22"/>
          <w:lang w:val="en-GB"/>
        </w:rPr>
        <w:t xml:space="preserve"> drugs at least once in their lifetime.</w:t>
      </w:r>
    </w:p>
    <w:p w14:paraId="5FB40A23" w14:textId="7A7323DD" w:rsidR="001C76A2" w:rsidRPr="009E50F9" w:rsidRDefault="00434981" w:rsidP="00556785">
      <w:pPr>
        <w:pStyle w:val="NormalWeb"/>
        <w:numPr>
          <w:ilvl w:val="0"/>
          <w:numId w:val="25"/>
        </w:numPr>
        <w:spacing w:line="312" w:lineRule="auto"/>
        <w:rPr>
          <w:rFonts w:asciiTheme="minorHAnsi" w:hAnsiTheme="minorHAnsi" w:cstheme="minorHAnsi"/>
          <w:bCs/>
          <w:sz w:val="22"/>
          <w:szCs w:val="22"/>
          <w:lang w:val="en-GB"/>
        </w:rPr>
      </w:pPr>
      <w:r w:rsidRPr="009E50F9">
        <w:rPr>
          <w:rFonts w:asciiTheme="minorHAnsi" w:hAnsiTheme="minorHAnsi" w:cstheme="minorHAnsi"/>
          <w:bCs/>
          <w:sz w:val="22"/>
          <w:szCs w:val="22"/>
          <w:lang w:val="en-GB"/>
        </w:rPr>
        <w:t xml:space="preserve">Cannabis remains by far the </w:t>
      </w:r>
      <w:proofErr w:type="gramStart"/>
      <w:r w:rsidRPr="009E50F9">
        <w:rPr>
          <w:rFonts w:asciiTheme="minorHAnsi" w:hAnsiTheme="minorHAnsi" w:cstheme="minorHAnsi"/>
          <w:bCs/>
          <w:sz w:val="22"/>
          <w:szCs w:val="22"/>
          <w:lang w:val="en-GB"/>
        </w:rPr>
        <w:t>most commonly consumed</w:t>
      </w:r>
      <w:proofErr w:type="gramEnd"/>
      <w:r w:rsidRPr="009E50F9">
        <w:rPr>
          <w:rFonts w:asciiTheme="minorHAnsi" w:hAnsiTheme="minorHAnsi" w:cstheme="minorHAnsi"/>
          <w:bCs/>
          <w:sz w:val="22"/>
          <w:szCs w:val="22"/>
          <w:lang w:val="en-GB"/>
        </w:rPr>
        <w:t xml:space="preserve"> illicit drug in Europe. National surveys of cannabis use would suggest that overall, around 8 % of European adults are estimated to have used cannabis in the last year.</w:t>
      </w:r>
      <w:r w:rsidR="001C76A2" w:rsidRPr="009E50F9">
        <w:rPr>
          <w:rFonts w:asciiTheme="minorHAnsi" w:hAnsiTheme="minorHAnsi" w:cstheme="minorHAnsi"/>
          <w:bCs/>
          <w:sz w:val="22"/>
          <w:szCs w:val="22"/>
          <w:lang w:val="en-GB"/>
        </w:rPr>
        <w:t xml:space="preserve"> </w:t>
      </w:r>
    </w:p>
    <w:p w14:paraId="4555DE9E" w14:textId="2623001A" w:rsidR="00247FBF" w:rsidRPr="00556785" w:rsidRDefault="00247FBF" w:rsidP="00556785">
      <w:pPr>
        <w:pStyle w:val="NormalWeb"/>
        <w:numPr>
          <w:ilvl w:val="0"/>
          <w:numId w:val="25"/>
        </w:numPr>
        <w:spacing w:line="312" w:lineRule="auto"/>
        <w:rPr>
          <w:rFonts w:asciiTheme="minorHAnsi" w:hAnsiTheme="minorHAnsi" w:cstheme="minorHAnsi"/>
          <w:bCs/>
          <w:sz w:val="22"/>
          <w:szCs w:val="22"/>
          <w:lang w:val="en-GB"/>
        </w:rPr>
      </w:pPr>
      <w:r w:rsidRPr="00556785">
        <w:rPr>
          <w:rFonts w:asciiTheme="minorHAnsi" w:hAnsiTheme="minorHAnsi" w:cstheme="minorHAnsi"/>
          <w:bCs/>
          <w:sz w:val="22"/>
          <w:szCs w:val="22"/>
          <w:lang w:val="en-GB"/>
        </w:rPr>
        <w:lastRenderedPageBreak/>
        <w:t>Cannabis remains the most widely consumed substance, with over 22 million European adults reporting its use in the last year</w:t>
      </w:r>
      <w:r w:rsidR="00A85FB0" w:rsidRPr="00556785">
        <w:rPr>
          <w:rFonts w:asciiTheme="minorHAnsi" w:hAnsiTheme="minorHAnsi" w:cstheme="minorHAnsi"/>
          <w:bCs/>
          <w:sz w:val="22"/>
          <w:szCs w:val="22"/>
          <w:lang w:val="en-GB"/>
        </w:rPr>
        <w:t xml:space="preserve">.  Last year drug use is largely concentrated among young adults and is estimated at 15.5% among EU inhabitants aged 15–34 years. </w:t>
      </w:r>
    </w:p>
    <w:p w14:paraId="1FB48C62" w14:textId="210FEE29" w:rsidR="00247FBF" w:rsidRPr="00556785" w:rsidRDefault="00247FBF" w:rsidP="00556785">
      <w:pPr>
        <w:pStyle w:val="NormalWeb"/>
        <w:numPr>
          <w:ilvl w:val="0"/>
          <w:numId w:val="25"/>
        </w:numPr>
        <w:spacing w:line="312" w:lineRule="auto"/>
        <w:rPr>
          <w:rFonts w:asciiTheme="minorHAnsi" w:hAnsiTheme="minorHAnsi" w:cstheme="minorHAnsi"/>
          <w:bCs/>
          <w:sz w:val="22"/>
          <w:szCs w:val="22"/>
          <w:lang w:val="en-GB"/>
        </w:rPr>
      </w:pPr>
      <w:r w:rsidRPr="00556785">
        <w:rPr>
          <w:rFonts w:asciiTheme="minorHAnsi" w:hAnsiTheme="minorHAnsi" w:cstheme="minorHAnsi"/>
          <w:bCs/>
          <w:sz w:val="22"/>
          <w:szCs w:val="22"/>
          <w:lang w:val="en-GB"/>
        </w:rPr>
        <w:t>It is estimated that in the last year 3.5 million adults consumed cocaine, 2.6 million MDMA and 2 million amphetamines.</w:t>
      </w:r>
      <w:r w:rsidR="00A85FB0" w:rsidRPr="00556785">
        <w:rPr>
          <w:rFonts w:asciiTheme="minorHAnsi" w:hAnsiTheme="minorHAnsi" w:cstheme="minorHAnsi"/>
          <w:bCs/>
          <w:sz w:val="22"/>
          <w:szCs w:val="22"/>
          <w:lang w:val="en-GB"/>
        </w:rPr>
        <w:t xml:space="preserve">  Surveys indicate that </w:t>
      </w:r>
      <w:r w:rsidR="00437885" w:rsidRPr="00556785">
        <w:rPr>
          <w:rFonts w:asciiTheme="minorHAnsi" w:hAnsiTheme="minorHAnsi" w:cstheme="minorHAnsi"/>
          <w:bCs/>
          <w:sz w:val="22"/>
          <w:szCs w:val="22"/>
          <w:lang w:val="en-GB"/>
        </w:rPr>
        <w:t>nearly 2.2million 15–34-year-olds (2.2% of this age group) used cocaine in the last year.</w:t>
      </w:r>
    </w:p>
    <w:p w14:paraId="4B5C9A69" w14:textId="7B306944" w:rsidR="00A85EEA" w:rsidRPr="00556785" w:rsidRDefault="00A85EEA" w:rsidP="00556785">
      <w:pPr>
        <w:pStyle w:val="NormalWeb"/>
        <w:numPr>
          <w:ilvl w:val="0"/>
          <w:numId w:val="25"/>
        </w:numPr>
        <w:spacing w:line="312" w:lineRule="auto"/>
        <w:rPr>
          <w:rFonts w:asciiTheme="minorHAnsi" w:hAnsiTheme="minorHAnsi" w:cstheme="minorHAnsi"/>
          <w:bCs/>
          <w:sz w:val="22"/>
          <w:szCs w:val="22"/>
          <w:lang w:val="en-GB"/>
        </w:rPr>
      </w:pPr>
      <w:r w:rsidRPr="00556785">
        <w:rPr>
          <w:rFonts w:asciiTheme="minorHAnsi" w:hAnsiTheme="minorHAnsi" w:cstheme="minorHAnsi"/>
          <w:bCs/>
          <w:sz w:val="22"/>
          <w:szCs w:val="22"/>
          <w:lang w:val="en-GB"/>
        </w:rPr>
        <w:t xml:space="preserve">Around </w:t>
      </w:r>
      <w:r w:rsidR="00486B46" w:rsidRPr="00556785">
        <w:rPr>
          <w:rFonts w:asciiTheme="minorHAnsi" w:hAnsiTheme="minorHAnsi" w:cstheme="minorHAnsi"/>
          <w:bCs/>
          <w:sz w:val="22"/>
          <w:szCs w:val="22"/>
          <w:lang w:val="en-GB"/>
        </w:rPr>
        <w:t>one</w:t>
      </w:r>
      <w:r w:rsidRPr="00556785">
        <w:rPr>
          <w:rFonts w:asciiTheme="minorHAnsi" w:hAnsiTheme="minorHAnsi" w:cstheme="minorHAnsi"/>
          <w:bCs/>
          <w:sz w:val="22"/>
          <w:szCs w:val="22"/>
          <w:lang w:val="en-GB"/>
        </w:rPr>
        <w:t xml:space="preserve"> million Europeans used heroin or another illicit opioid in </w:t>
      </w:r>
      <w:r w:rsidR="00437885" w:rsidRPr="00556785">
        <w:rPr>
          <w:rFonts w:asciiTheme="minorHAnsi" w:hAnsiTheme="minorHAnsi" w:cstheme="minorHAnsi"/>
          <w:bCs/>
          <w:sz w:val="22"/>
          <w:szCs w:val="22"/>
          <w:lang w:val="en-GB"/>
        </w:rPr>
        <w:t>2020</w:t>
      </w:r>
      <w:r w:rsidRPr="00556785">
        <w:rPr>
          <w:rFonts w:asciiTheme="minorHAnsi" w:hAnsiTheme="minorHAnsi" w:cstheme="minorHAnsi"/>
          <w:bCs/>
          <w:sz w:val="22"/>
          <w:szCs w:val="22"/>
          <w:lang w:val="en-GB"/>
        </w:rPr>
        <w:t>.</w:t>
      </w:r>
      <w:r w:rsidR="00437885" w:rsidRPr="00556785">
        <w:rPr>
          <w:rFonts w:asciiTheme="minorHAnsi" w:hAnsiTheme="minorHAnsi" w:cstheme="minorHAnsi"/>
          <w:bCs/>
          <w:sz w:val="22"/>
          <w:szCs w:val="22"/>
          <w:lang w:val="en-GB"/>
        </w:rPr>
        <w:t xml:space="preserve"> </w:t>
      </w:r>
    </w:p>
    <w:p w14:paraId="508317A3" w14:textId="724E5D1C" w:rsidR="00A85EEA" w:rsidRPr="00556785" w:rsidRDefault="00A85EEA" w:rsidP="00556785">
      <w:pPr>
        <w:pStyle w:val="NormalWeb"/>
        <w:numPr>
          <w:ilvl w:val="0"/>
          <w:numId w:val="25"/>
        </w:numPr>
        <w:spacing w:line="312" w:lineRule="auto"/>
        <w:rPr>
          <w:rFonts w:asciiTheme="minorHAnsi" w:hAnsiTheme="minorHAnsi" w:cstheme="minorHAnsi"/>
          <w:bCs/>
          <w:sz w:val="22"/>
          <w:szCs w:val="22"/>
          <w:lang w:val="en-GB"/>
        </w:rPr>
      </w:pPr>
      <w:r w:rsidRPr="00556785">
        <w:rPr>
          <w:rFonts w:asciiTheme="minorHAnsi" w:hAnsiTheme="minorHAnsi" w:cstheme="minorHAnsi"/>
          <w:bCs/>
          <w:sz w:val="22"/>
          <w:szCs w:val="22"/>
          <w:lang w:val="en-GB"/>
        </w:rPr>
        <w:t>Opioids, often in combination with other substances, were found in around three quarters of fatal overdoses reported in the European Union for 2020.</w:t>
      </w:r>
    </w:p>
    <w:p w14:paraId="78BA5D48" w14:textId="743F7D91" w:rsidR="00E956B1" w:rsidRPr="00D85E6B" w:rsidRDefault="00E956B1" w:rsidP="00556785">
      <w:pPr>
        <w:pStyle w:val="Heading3"/>
        <w:spacing w:line="312" w:lineRule="auto"/>
        <w:rPr>
          <w:rFonts w:asciiTheme="minorHAnsi" w:hAnsiTheme="minorHAnsi" w:cstheme="minorHAnsi"/>
          <w:b/>
          <w:bCs/>
          <w:color w:val="auto"/>
          <w:sz w:val="22"/>
          <w:szCs w:val="22"/>
          <w:lang w:val="en-GB" w:eastAsia="en-GB"/>
        </w:rPr>
      </w:pPr>
      <w:r w:rsidRPr="00D85E6B">
        <w:rPr>
          <w:rFonts w:asciiTheme="minorHAnsi" w:hAnsiTheme="minorHAnsi" w:cstheme="minorHAnsi"/>
          <w:b/>
          <w:bCs/>
          <w:color w:val="auto"/>
          <w:sz w:val="22"/>
          <w:szCs w:val="22"/>
          <w:lang w:val="en-GB" w:eastAsia="en-GB"/>
        </w:rPr>
        <w:t>Cocaine</w:t>
      </w:r>
    </w:p>
    <w:p w14:paraId="23C0F439" w14:textId="7ED1C8B5" w:rsidR="00556785" w:rsidRDefault="00556785" w:rsidP="00556785">
      <w:pPr>
        <w:spacing w:line="312" w:lineRule="auto"/>
        <w:rPr>
          <w:rFonts w:asciiTheme="minorHAnsi" w:hAnsiTheme="minorHAnsi" w:cstheme="minorHAnsi"/>
          <w:sz w:val="22"/>
        </w:rPr>
      </w:pPr>
      <w:r w:rsidRPr="009E50F9">
        <w:rPr>
          <w:rFonts w:asciiTheme="minorHAnsi" w:hAnsiTheme="minorHAnsi" w:cstheme="minorHAnsi"/>
          <w:sz w:val="22"/>
        </w:rPr>
        <w:t xml:space="preserve">Cocaine is the second </w:t>
      </w:r>
      <w:proofErr w:type="gramStart"/>
      <w:r w:rsidRPr="009E50F9">
        <w:rPr>
          <w:rFonts w:asciiTheme="minorHAnsi" w:hAnsiTheme="minorHAnsi" w:cstheme="minorHAnsi"/>
          <w:sz w:val="22"/>
        </w:rPr>
        <w:t>most commonly used</w:t>
      </w:r>
      <w:proofErr w:type="gramEnd"/>
      <w:r w:rsidRPr="009E50F9">
        <w:rPr>
          <w:rFonts w:asciiTheme="minorHAnsi" w:hAnsiTheme="minorHAnsi" w:cstheme="minorHAnsi"/>
          <w:sz w:val="22"/>
        </w:rPr>
        <w:t xml:space="preserve"> illicit drug in Europe</w:t>
      </w:r>
      <w:r w:rsidR="00D85E6B" w:rsidRPr="00D85E6B">
        <w:rPr>
          <w:rFonts w:asciiTheme="minorHAnsi" w:hAnsiTheme="minorHAnsi" w:cstheme="minorHAnsi"/>
          <w:sz w:val="22"/>
        </w:rPr>
        <w:t xml:space="preserve"> </w:t>
      </w:r>
      <w:r w:rsidR="00D85E6B" w:rsidRPr="009E50F9">
        <w:rPr>
          <w:rFonts w:asciiTheme="minorHAnsi" w:hAnsiTheme="minorHAnsi" w:cstheme="minorHAnsi"/>
          <w:sz w:val="22"/>
        </w:rPr>
        <w:t>after cannabis</w:t>
      </w:r>
      <w:r w:rsidRPr="009E50F9">
        <w:rPr>
          <w:rFonts w:asciiTheme="minorHAnsi" w:hAnsiTheme="minorHAnsi" w:cstheme="minorHAnsi"/>
          <w:sz w:val="22"/>
        </w:rPr>
        <w:t xml:space="preserve">. Cocaine is usually available in two forms in Europe, the most common is cocaine powder (the salt form) and less commonly available is crack cocaine, a freebase form of the drug that can be smoked. </w:t>
      </w:r>
    </w:p>
    <w:p w14:paraId="16EC249F" w14:textId="77777777" w:rsidR="00715B73" w:rsidRDefault="00715B73" w:rsidP="00715B73">
      <w:pPr>
        <w:spacing w:line="312" w:lineRule="auto"/>
        <w:rPr>
          <w:rFonts w:asciiTheme="minorHAnsi" w:hAnsiTheme="minorHAnsi" w:cstheme="minorHAnsi"/>
          <w:sz w:val="22"/>
        </w:rPr>
      </w:pPr>
    </w:p>
    <w:p w14:paraId="16446469" w14:textId="0E100067" w:rsidR="00715B73" w:rsidRPr="00715B73" w:rsidRDefault="00715B73" w:rsidP="00715B73">
      <w:pPr>
        <w:spacing w:line="312" w:lineRule="auto"/>
        <w:rPr>
          <w:rFonts w:asciiTheme="minorHAnsi" w:hAnsiTheme="minorHAnsi" w:cstheme="minorHAnsi"/>
          <w:sz w:val="22"/>
        </w:rPr>
      </w:pPr>
      <w:r w:rsidRPr="00715B73">
        <w:rPr>
          <w:rFonts w:asciiTheme="minorHAnsi" w:hAnsiTheme="minorHAnsi" w:cstheme="minorHAnsi"/>
          <w:sz w:val="22"/>
        </w:rPr>
        <w:t xml:space="preserve">Political events in Colombia, Brazil and Ecuador have contributed to the increase in cocaine trafficked to Europe. </w:t>
      </w:r>
      <w:r w:rsidRPr="00715B73">
        <w:rPr>
          <w:rFonts w:asciiTheme="minorHAnsi" w:hAnsiTheme="minorHAnsi" w:cstheme="minorHAnsi"/>
          <w:sz w:val="22"/>
          <w:lang w:val="en-GB"/>
        </w:rPr>
        <w:t xml:space="preserve">For the sixth consecutive year, record quantities of cocaine were seized by EU Member States in 2022, amounting to a reported 323 tonnes.  As seizures of cocaine increase in Antwerp and other large ports, traffickers have made greater use of smaller ports and countries bordering the EU.  </w:t>
      </w:r>
      <w:r w:rsidRPr="00715B73">
        <w:rPr>
          <w:rFonts w:asciiTheme="minorHAnsi" w:hAnsiTheme="minorHAnsi" w:cstheme="minorHAnsi"/>
          <w:sz w:val="22"/>
        </w:rPr>
        <w:t xml:space="preserve">Northern European countries, including Sweden, Finland and Norway, reported record cocaine seizures in </w:t>
      </w:r>
      <w:proofErr w:type="gramStart"/>
      <w:r w:rsidRPr="00715B73">
        <w:rPr>
          <w:rFonts w:asciiTheme="minorHAnsi" w:hAnsiTheme="minorHAnsi" w:cstheme="minorHAnsi"/>
          <w:sz w:val="22"/>
        </w:rPr>
        <w:t>sea ports</w:t>
      </w:r>
      <w:proofErr w:type="gramEnd"/>
      <w:r w:rsidRPr="00715B73">
        <w:rPr>
          <w:rFonts w:asciiTheme="minorHAnsi" w:hAnsiTheme="minorHAnsi" w:cstheme="minorHAnsi"/>
          <w:sz w:val="22"/>
        </w:rPr>
        <w:t xml:space="preserve"> in 2023.</w:t>
      </w:r>
    </w:p>
    <w:p w14:paraId="48537947" w14:textId="77777777" w:rsidR="00E60F37" w:rsidRPr="009E50F9" w:rsidRDefault="00E60F37" w:rsidP="00556785">
      <w:pPr>
        <w:spacing w:line="312" w:lineRule="auto"/>
        <w:rPr>
          <w:rFonts w:asciiTheme="minorHAnsi" w:hAnsiTheme="minorHAnsi" w:cstheme="minorHAnsi"/>
          <w:sz w:val="22"/>
        </w:rPr>
      </w:pPr>
    </w:p>
    <w:p w14:paraId="1BBD9DD4" w14:textId="1B0C55A1" w:rsidR="00F020F5" w:rsidRDefault="00556785" w:rsidP="00F020F5">
      <w:pPr>
        <w:spacing w:line="312" w:lineRule="auto"/>
        <w:rPr>
          <w:rFonts w:asciiTheme="minorHAnsi" w:hAnsiTheme="minorHAnsi" w:cstheme="minorHAnsi"/>
          <w:sz w:val="22"/>
        </w:rPr>
      </w:pPr>
      <w:r w:rsidRPr="009E50F9">
        <w:rPr>
          <w:rFonts w:asciiTheme="minorHAnsi" w:hAnsiTheme="minorHAnsi" w:cstheme="minorHAnsi"/>
          <w:sz w:val="22"/>
        </w:rPr>
        <w:t>Cocaine purity at retail level remains high by historical standards and its price is stable. Additionally, there is now a well-established secondary cocaine production industry in Europe, with 3</w:t>
      </w:r>
      <w:r w:rsidR="00715B73">
        <w:rPr>
          <w:rFonts w:asciiTheme="minorHAnsi" w:hAnsiTheme="minorHAnsi" w:cstheme="minorHAnsi"/>
          <w:sz w:val="22"/>
        </w:rPr>
        <w:t>9</w:t>
      </w:r>
      <w:r w:rsidRPr="009E50F9">
        <w:rPr>
          <w:rFonts w:asciiTheme="minorHAnsi" w:hAnsiTheme="minorHAnsi" w:cstheme="minorHAnsi"/>
          <w:sz w:val="22"/>
        </w:rPr>
        <w:t xml:space="preserve"> cocaine laboratories dismantled in 202</w:t>
      </w:r>
      <w:r w:rsidR="00715B73">
        <w:rPr>
          <w:rFonts w:asciiTheme="minorHAnsi" w:hAnsiTheme="minorHAnsi" w:cstheme="minorHAnsi"/>
          <w:sz w:val="22"/>
        </w:rPr>
        <w:t>2</w:t>
      </w:r>
      <w:r w:rsidRPr="009E50F9">
        <w:rPr>
          <w:rFonts w:asciiTheme="minorHAnsi" w:hAnsiTheme="minorHAnsi" w:cstheme="minorHAnsi"/>
          <w:sz w:val="22"/>
        </w:rPr>
        <w:t xml:space="preserve">, an increase on the previous year. </w:t>
      </w:r>
      <w:r w:rsidR="00F020F5" w:rsidRPr="009E50F9">
        <w:rPr>
          <w:rFonts w:asciiTheme="minorHAnsi" w:hAnsiTheme="minorHAnsi" w:cstheme="minorHAnsi"/>
          <w:sz w:val="22"/>
        </w:rPr>
        <w:t xml:space="preserve">The available data </w:t>
      </w:r>
      <w:r w:rsidR="002D2AA6">
        <w:rPr>
          <w:rFonts w:asciiTheme="minorHAnsi" w:hAnsiTheme="minorHAnsi" w:cstheme="minorHAnsi"/>
          <w:sz w:val="22"/>
        </w:rPr>
        <w:t>suggests</w:t>
      </w:r>
      <w:r w:rsidR="00F020F5" w:rsidRPr="009E50F9">
        <w:rPr>
          <w:rFonts w:asciiTheme="minorHAnsi" w:hAnsiTheme="minorHAnsi" w:cstheme="minorHAnsi"/>
          <w:sz w:val="22"/>
        </w:rPr>
        <w:t xml:space="preserve"> that the drug was involved in about a fifth of overdose deaths in 2021. </w:t>
      </w:r>
    </w:p>
    <w:p w14:paraId="345696BE" w14:textId="77777777" w:rsidR="002D2AA6" w:rsidRPr="00F020F5" w:rsidRDefault="002D2AA6" w:rsidP="00CF53A4">
      <w:pPr>
        <w:spacing w:line="312" w:lineRule="auto"/>
        <w:rPr>
          <w:rFonts w:asciiTheme="minorHAnsi" w:hAnsiTheme="minorHAnsi" w:cstheme="minorHAnsi"/>
          <w:szCs w:val="20"/>
        </w:rPr>
      </w:pPr>
    </w:p>
    <w:p w14:paraId="6C14660A" w14:textId="73F12B9C" w:rsidR="0089797A" w:rsidRPr="008E6BAF" w:rsidRDefault="00D85E6B" w:rsidP="00556785">
      <w:pPr>
        <w:spacing w:line="312" w:lineRule="auto"/>
        <w:rPr>
          <w:rFonts w:asciiTheme="minorHAnsi" w:hAnsiTheme="minorHAnsi" w:cstheme="minorHAnsi"/>
          <w:b/>
          <w:bCs/>
          <w:i/>
          <w:iCs/>
          <w:color w:val="17365D" w:themeColor="text2" w:themeShade="BF"/>
          <w:sz w:val="22"/>
        </w:rPr>
      </w:pPr>
      <w:r>
        <w:rPr>
          <w:rFonts w:asciiTheme="minorHAnsi" w:hAnsiTheme="minorHAnsi" w:cstheme="minorHAnsi"/>
          <w:b/>
          <w:bCs/>
          <w:i/>
          <w:iCs/>
          <w:color w:val="17365D" w:themeColor="text2" w:themeShade="BF"/>
          <w:sz w:val="22"/>
        </w:rPr>
        <w:t>European situation</w:t>
      </w:r>
    </w:p>
    <w:p w14:paraId="45BAEE03" w14:textId="0622EA60" w:rsidR="00556785" w:rsidRDefault="00556785" w:rsidP="00556785">
      <w:pPr>
        <w:pStyle w:val="ListParagraph"/>
        <w:numPr>
          <w:ilvl w:val="0"/>
          <w:numId w:val="29"/>
        </w:numPr>
        <w:spacing w:before="120" w:after="120" w:line="312" w:lineRule="auto"/>
        <w:ind w:left="284" w:hanging="284"/>
        <w:contextualSpacing w:val="0"/>
        <w:rPr>
          <w:rFonts w:asciiTheme="minorHAnsi" w:hAnsiTheme="minorHAnsi" w:cstheme="minorHAnsi"/>
        </w:rPr>
      </w:pPr>
      <w:r w:rsidRPr="009E50F9">
        <w:rPr>
          <w:rFonts w:asciiTheme="minorHAnsi" w:hAnsiTheme="minorHAnsi" w:cstheme="minorHAnsi"/>
        </w:rPr>
        <w:t>The purity of cocaine has been on an upward trend over the past decade, and in 2021 reached a level 43% higher than the index year of 2011.</w:t>
      </w:r>
    </w:p>
    <w:p w14:paraId="73C5E022" w14:textId="3CCE6815" w:rsidR="00DF23BC" w:rsidRPr="009E50F9" w:rsidRDefault="00DF23BC" w:rsidP="00556785">
      <w:pPr>
        <w:pStyle w:val="ListParagraph"/>
        <w:numPr>
          <w:ilvl w:val="0"/>
          <w:numId w:val="29"/>
        </w:numPr>
        <w:spacing w:before="120" w:after="120" w:line="312" w:lineRule="auto"/>
        <w:ind w:left="284" w:hanging="284"/>
        <w:contextualSpacing w:val="0"/>
        <w:rPr>
          <w:rFonts w:asciiTheme="minorHAnsi" w:hAnsiTheme="minorHAnsi" w:cstheme="minorHAnsi"/>
        </w:rPr>
      </w:pPr>
      <w:r w:rsidRPr="00DF23BC">
        <w:rPr>
          <w:rFonts w:asciiTheme="minorHAnsi" w:hAnsiTheme="minorHAnsi" w:cstheme="minorHAnsi"/>
        </w:rPr>
        <w:t xml:space="preserve">In 2023, cocaine residues in municipal wastewater increased in 50 out of 72 cities with data compared with 2022, while 12 cities reported no </w:t>
      </w:r>
      <w:proofErr w:type="gramStart"/>
      <w:r w:rsidRPr="00DF23BC">
        <w:rPr>
          <w:rFonts w:asciiTheme="minorHAnsi" w:hAnsiTheme="minorHAnsi" w:cstheme="minorHAnsi"/>
        </w:rPr>
        <w:t>change</w:t>
      </w:r>
      <w:proofErr w:type="gramEnd"/>
      <w:r w:rsidRPr="00DF23BC">
        <w:rPr>
          <w:rFonts w:asciiTheme="minorHAnsi" w:hAnsiTheme="minorHAnsi" w:cstheme="minorHAnsi"/>
        </w:rPr>
        <w:t xml:space="preserve"> and 10 cities reported a decrease</w:t>
      </w:r>
      <w:r w:rsidR="00D85E6B">
        <w:rPr>
          <w:rFonts w:asciiTheme="minorHAnsi" w:hAnsiTheme="minorHAnsi" w:cstheme="minorHAnsi"/>
        </w:rPr>
        <w:t>.</w:t>
      </w:r>
    </w:p>
    <w:p w14:paraId="3938939F" w14:textId="5F46553B" w:rsidR="00556785" w:rsidRDefault="00556785" w:rsidP="00556785">
      <w:pPr>
        <w:pStyle w:val="ListParagraph"/>
        <w:numPr>
          <w:ilvl w:val="0"/>
          <w:numId w:val="29"/>
        </w:numPr>
        <w:spacing w:before="120" w:after="120" w:line="312" w:lineRule="auto"/>
        <w:ind w:left="284" w:hanging="284"/>
        <w:contextualSpacing w:val="0"/>
        <w:rPr>
          <w:rFonts w:asciiTheme="minorHAnsi" w:hAnsiTheme="minorHAnsi" w:cstheme="minorHAnsi"/>
        </w:rPr>
      </w:pPr>
      <w:r w:rsidRPr="009E50F9">
        <w:rPr>
          <w:rFonts w:asciiTheme="minorHAnsi" w:hAnsiTheme="minorHAnsi" w:cstheme="minorHAnsi"/>
        </w:rPr>
        <w:t>In the European Union, surveys indicate that nearly 2.</w:t>
      </w:r>
      <w:r w:rsidR="00373F6B">
        <w:rPr>
          <w:rFonts w:asciiTheme="minorHAnsi" w:hAnsiTheme="minorHAnsi" w:cstheme="minorHAnsi"/>
        </w:rPr>
        <w:t>5</w:t>
      </w:r>
      <w:r w:rsidRPr="009E50F9">
        <w:rPr>
          <w:rFonts w:asciiTheme="minorHAnsi" w:hAnsiTheme="minorHAnsi" w:cstheme="minorHAnsi"/>
        </w:rPr>
        <w:t> million 15- to 34-year-olds (2.</w:t>
      </w:r>
      <w:r w:rsidR="00373F6B">
        <w:rPr>
          <w:rFonts w:asciiTheme="minorHAnsi" w:hAnsiTheme="minorHAnsi" w:cstheme="minorHAnsi"/>
        </w:rPr>
        <w:t>5</w:t>
      </w:r>
      <w:r w:rsidRPr="009E50F9">
        <w:rPr>
          <w:rFonts w:asciiTheme="minorHAnsi" w:hAnsiTheme="minorHAnsi" w:cstheme="minorHAnsi"/>
        </w:rPr>
        <w:t> % of this age group) used cocaine in the last year. Of the 1</w:t>
      </w:r>
      <w:r w:rsidR="00762F58">
        <w:rPr>
          <w:rFonts w:asciiTheme="minorHAnsi" w:hAnsiTheme="minorHAnsi" w:cstheme="minorHAnsi"/>
        </w:rPr>
        <w:t>3</w:t>
      </w:r>
      <w:r w:rsidRPr="009E50F9">
        <w:rPr>
          <w:rFonts w:asciiTheme="minorHAnsi" w:hAnsiTheme="minorHAnsi" w:cstheme="minorHAnsi"/>
        </w:rPr>
        <w:t xml:space="preserve"> European countries that have conducted surveys since 202</w:t>
      </w:r>
      <w:r w:rsidR="00762F58">
        <w:rPr>
          <w:rFonts w:asciiTheme="minorHAnsi" w:hAnsiTheme="minorHAnsi" w:cstheme="minorHAnsi"/>
        </w:rPr>
        <w:t>1</w:t>
      </w:r>
      <w:r w:rsidRPr="009E50F9">
        <w:rPr>
          <w:rFonts w:asciiTheme="minorHAnsi" w:hAnsiTheme="minorHAnsi" w:cstheme="minorHAnsi"/>
        </w:rPr>
        <w:t xml:space="preserve">, </w:t>
      </w:r>
      <w:r w:rsidR="00D85E6B">
        <w:rPr>
          <w:rFonts w:asciiTheme="minorHAnsi" w:hAnsiTheme="minorHAnsi" w:cstheme="minorHAnsi"/>
        </w:rPr>
        <w:t>five</w:t>
      </w:r>
      <w:r w:rsidRPr="009E50F9">
        <w:rPr>
          <w:rFonts w:asciiTheme="minorHAnsi" w:hAnsiTheme="minorHAnsi" w:cstheme="minorHAnsi"/>
        </w:rPr>
        <w:t xml:space="preserve"> reported higher estimates than their previous comparable survey.</w:t>
      </w:r>
    </w:p>
    <w:p w14:paraId="0261BC94" w14:textId="510DB78C" w:rsidR="00EC52D5" w:rsidRDefault="00815E34" w:rsidP="00EC52D5">
      <w:pPr>
        <w:pStyle w:val="ListParagraph"/>
        <w:numPr>
          <w:ilvl w:val="0"/>
          <w:numId w:val="29"/>
        </w:numPr>
        <w:spacing w:before="120" w:after="120" w:line="312" w:lineRule="auto"/>
        <w:ind w:left="284" w:hanging="284"/>
        <w:contextualSpacing w:val="0"/>
        <w:rPr>
          <w:rFonts w:asciiTheme="minorHAnsi" w:hAnsiTheme="minorHAnsi" w:cstheme="minorHAnsi"/>
        </w:rPr>
      </w:pPr>
      <w:r w:rsidRPr="00815E34">
        <w:rPr>
          <w:rFonts w:asciiTheme="minorHAnsi" w:hAnsiTheme="minorHAnsi" w:cstheme="minorHAnsi"/>
        </w:rPr>
        <w:t>Cocaine was the second most common problem drug among people entering specialised drug treatment for the first time in their lives, cited by an estimated 29 000 clients or 21% of all first-time entrants</w:t>
      </w:r>
      <w:r w:rsidR="00787EF2">
        <w:rPr>
          <w:rFonts w:asciiTheme="minorHAnsi" w:hAnsiTheme="minorHAnsi" w:cstheme="minorHAnsi"/>
        </w:rPr>
        <w:t>.</w:t>
      </w:r>
    </w:p>
    <w:p w14:paraId="2638446B" w14:textId="48D4D72F" w:rsidR="00AD24DC" w:rsidRDefault="00EC52D5" w:rsidP="00AD24DC">
      <w:pPr>
        <w:pStyle w:val="ListParagraph"/>
        <w:numPr>
          <w:ilvl w:val="0"/>
          <w:numId w:val="29"/>
        </w:numPr>
        <w:spacing w:before="120" w:after="120" w:line="312" w:lineRule="auto"/>
        <w:ind w:left="284" w:hanging="284"/>
        <w:contextualSpacing w:val="0"/>
        <w:rPr>
          <w:rFonts w:asciiTheme="minorHAnsi" w:hAnsiTheme="minorHAnsi" w:cstheme="minorHAnsi"/>
        </w:rPr>
      </w:pPr>
      <w:r w:rsidRPr="00EC52D5">
        <w:rPr>
          <w:rFonts w:asciiTheme="minorHAnsi" w:hAnsiTheme="minorHAnsi" w:cstheme="minorHAnsi"/>
        </w:rPr>
        <w:lastRenderedPageBreak/>
        <w:t>Among the 19 European countries providing data for both years, cocaine, mostly in the presence of opioids, was involved in 996 (2 %) overdose deaths in 2022 (807 or 20% in 2021).</w:t>
      </w:r>
    </w:p>
    <w:p w14:paraId="5D2EF1E2" w14:textId="1D8FE2E9" w:rsidR="00216B3A" w:rsidRPr="000F379A" w:rsidRDefault="00AC4137" w:rsidP="00FF3008">
      <w:pPr>
        <w:pStyle w:val="ListParagraph"/>
        <w:numPr>
          <w:ilvl w:val="0"/>
          <w:numId w:val="29"/>
        </w:numPr>
        <w:spacing w:before="120" w:after="120" w:line="312" w:lineRule="auto"/>
        <w:ind w:left="284" w:hanging="284"/>
        <w:contextualSpacing w:val="0"/>
        <w:rPr>
          <w:rFonts w:asciiTheme="minorHAnsi" w:hAnsiTheme="minorHAnsi" w:cstheme="minorHAnsi"/>
          <w:bCs/>
        </w:rPr>
      </w:pPr>
      <w:r w:rsidRPr="00AD24DC">
        <w:rPr>
          <w:rFonts w:asciiTheme="minorHAnsi" w:hAnsiTheme="minorHAnsi" w:cstheme="minorHAnsi"/>
        </w:rPr>
        <w:t>Just six EU countries accounted for 90 % of the estimated 8</w:t>
      </w:r>
      <w:r w:rsidR="00D85E6B">
        <w:rPr>
          <w:rFonts w:asciiTheme="minorHAnsi" w:hAnsiTheme="minorHAnsi" w:cstheme="minorHAnsi"/>
        </w:rPr>
        <w:t>,</w:t>
      </w:r>
      <w:r w:rsidRPr="00AD24DC">
        <w:rPr>
          <w:rFonts w:asciiTheme="minorHAnsi" w:hAnsiTheme="minorHAnsi" w:cstheme="minorHAnsi"/>
        </w:rPr>
        <w:t>000 crack-related treatment entries in, of which 3</w:t>
      </w:r>
      <w:r w:rsidR="00D85E6B">
        <w:rPr>
          <w:rFonts w:asciiTheme="minorHAnsi" w:hAnsiTheme="minorHAnsi" w:cstheme="minorHAnsi"/>
        </w:rPr>
        <w:t>,</w:t>
      </w:r>
      <w:r w:rsidRPr="00AD24DC">
        <w:rPr>
          <w:rFonts w:asciiTheme="minorHAnsi" w:hAnsiTheme="minorHAnsi" w:cstheme="minorHAnsi"/>
        </w:rPr>
        <w:t xml:space="preserve">000 were first-time entrants. </w:t>
      </w:r>
    </w:p>
    <w:p w14:paraId="5876A7F5" w14:textId="77777777" w:rsidR="000F379A" w:rsidRPr="005F1A33" w:rsidRDefault="000F379A" w:rsidP="000F379A">
      <w:pPr>
        <w:pStyle w:val="ListParagraph"/>
        <w:spacing w:before="120" w:after="120" w:line="312" w:lineRule="auto"/>
        <w:ind w:left="284"/>
        <w:contextualSpacing w:val="0"/>
        <w:rPr>
          <w:rFonts w:asciiTheme="minorHAnsi" w:hAnsiTheme="minorHAnsi" w:cstheme="minorHAnsi"/>
          <w:bCs/>
        </w:rPr>
      </w:pPr>
    </w:p>
    <w:p w14:paraId="682D3014" w14:textId="77777777" w:rsidR="001F6635" w:rsidRPr="00D85E6B" w:rsidRDefault="001F6635" w:rsidP="001F6635">
      <w:pPr>
        <w:pStyle w:val="Heading4"/>
        <w:spacing w:line="312" w:lineRule="auto"/>
        <w:rPr>
          <w:b/>
          <w:bCs/>
          <w:sz w:val="22"/>
          <w:szCs w:val="24"/>
        </w:rPr>
      </w:pPr>
      <w:r w:rsidRPr="00D85E6B">
        <w:rPr>
          <w:b/>
          <w:bCs/>
          <w:sz w:val="22"/>
          <w:szCs w:val="24"/>
        </w:rPr>
        <w:t>Irish comparison</w:t>
      </w:r>
    </w:p>
    <w:p w14:paraId="289A5B17" w14:textId="6FF330C1" w:rsidR="001F6635" w:rsidRPr="00803E6E" w:rsidRDefault="001F6635" w:rsidP="001F6635">
      <w:pPr>
        <w:numPr>
          <w:ilvl w:val="0"/>
          <w:numId w:val="11"/>
        </w:numPr>
        <w:spacing w:line="312" w:lineRule="auto"/>
        <w:rPr>
          <w:rFonts w:asciiTheme="minorHAnsi" w:hAnsiTheme="minorHAnsi" w:cs="Tahoma"/>
          <w:sz w:val="22"/>
        </w:rPr>
      </w:pPr>
      <w:r w:rsidRPr="004B5245">
        <w:rPr>
          <w:rFonts w:asciiTheme="minorHAnsi" w:hAnsiTheme="minorHAnsi" w:cs="Arial"/>
          <w:sz w:val="22"/>
          <w:lang w:val="en-GB"/>
        </w:rPr>
        <w:t>In Ireland the most recent</w:t>
      </w:r>
      <w:r w:rsidR="000C6B26">
        <w:rPr>
          <w:rFonts w:asciiTheme="minorHAnsi" w:hAnsiTheme="minorHAnsi" w:cs="Arial"/>
          <w:sz w:val="22"/>
          <w:lang w:val="en-GB"/>
        </w:rPr>
        <w:t xml:space="preserve"> National Drug and Alcohol Survey (</w:t>
      </w:r>
      <w:r w:rsidRPr="000A0264">
        <w:rPr>
          <w:rFonts w:asciiTheme="minorHAnsi" w:hAnsiTheme="minorHAnsi" w:cs="Tahoma"/>
          <w:sz w:val="22"/>
          <w:lang w:val="en-IE"/>
        </w:rPr>
        <w:t>NDAS</w:t>
      </w:r>
      <w:r w:rsidR="000C6B26">
        <w:rPr>
          <w:rFonts w:asciiTheme="minorHAnsi" w:hAnsiTheme="minorHAnsi" w:cs="Tahoma"/>
          <w:sz w:val="22"/>
          <w:lang w:val="en-IE"/>
        </w:rPr>
        <w:t>)</w:t>
      </w:r>
      <w:r w:rsidRPr="000A0264">
        <w:rPr>
          <w:rFonts w:asciiTheme="minorHAnsi" w:hAnsiTheme="minorHAnsi" w:cs="Tahoma"/>
          <w:sz w:val="22"/>
          <w:lang w:val="en-GB"/>
        </w:rPr>
        <w:t xml:space="preserve"> </w:t>
      </w:r>
      <w:r w:rsidRPr="004B5245">
        <w:rPr>
          <w:rFonts w:asciiTheme="minorHAnsi" w:hAnsiTheme="minorHAnsi" w:cs="Arial"/>
          <w:sz w:val="22"/>
          <w:lang w:val="en-GB"/>
        </w:rPr>
        <w:t xml:space="preserve">in 2019-20 shows that 4.7 per cent of </w:t>
      </w:r>
      <w:r w:rsidRPr="004B5245">
        <w:rPr>
          <w:rFonts w:asciiTheme="minorHAnsi" w:hAnsiTheme="minorHAnsi" w:cs="Tahoma"/>
          <w:sz w:val="22"/>
        </w:rPr>
        <w:t>15–34-year</w:t>
      </w:r>
      <w:r w:rsidRPr="004B5245">
        <w:rPr>
          <w:rFonts w:asciiTheme="minorHAnsi" w:hAnsiTheme="minorHAnsi" w:cs="Tahoma"/>
          <w:sz w:val="22"/>
          <w:lang w:val="ga-IE"/>
        </w:rPr>
        <w:t>-olds</w:t>
      </w:r>
      <w:r w:rsidRPr="004B5245">
        <w:rPr>
          <w:rFonts w:asciiTheme="minorHAnsi" w:hAnsiTheme="minorHAnsi" w:cs="Tahoma"/>
          <w:sz w:val="22"/>
        </w:rPr>
        <w:t xml:space="preserve"> </w:t>
      </w:r>
      <w:r w:rsidRPr="004B5245">
        <w:rPr>
          <w:rFonts w:asciiTheme="minorHAnsi" w:hAnsiTheme="minorHAnsi" w:cs="Arial"/>
          <w:sz w:val="22"/>
          <w:lang w:val="en-GB"/>
        </w:rPr>
        <w:t>used cocaine in the last yea</w:t>
      </w:r>
      <w:r>
        <w:rPr>
          <w:rFonts w:asciiTheme="minorHAnsi" w:hAnsiTheme="minorHAnsi" w:cs="Arial"/>
          <w:sz w:val="22"/>
          <w:lang w:val="en-GB"/>
        </w:rPr>
        <w:t>r</w:t>
      </w:r>
      <w:r w:rsidR="00803E6E">
        <w:rPr>
          <w:rFonts w:asciiTheme="minorHAnsi" w:hAnsiTheme="minorHAnsi" w:cs="Arial"/>
          <w:sz w:val="22"/>
          <w:lang w:val="en-GB"/>
        </w:rPr>
        <w:t>.</w:t>
      </w:r>
    </w:p>
    <w:p w14:paraId="3D85899F" w14:textId="03A2B8FC" w:rsidR="00803E6E" w:rsidRDefault="00FF58E7" w:rsidP="001F6635">
      <w:pPr>
        <w:numPr>
          <w:ilvl w:val="0"/>
          <w:numId w:val="11"/>
        </w:numPr>
        <w:spacing w:line="312" w:lineRule="auto"/>
        <w:rPr>
          <w:rFonts w:asciiTheme="minorHAnsi" w:hAnsiTheme="minorHAnsi" w:cs="Tahoma"/>
          <w:sz w:val="22"/>
        </w:rPr>
      </w:pPr>
      <w:r w:rsidRPr="00FF58E7">
        <w:rPr>
          <w:rFonts w:asciiTheme="minorHAnsi" w:hAnsiTheme="minorHAnsi" w:cs="Tahoma"/>
          <w:sz w:val="22"/>
        </w:rPr>
        <w:t xml:space="preserve">Cocaine was the most common drug reported </w:t>
      </w:r>
      <w:r>
        <w:rPr>
          <w:rFonts w:asciiTheme="minorHAnsi" w:hAnsiTheme="minorHAnsi" w:cs="Tahoma"/>
          <w:sz w:val="22"/>
        </w:rPr>
        <w:t xml:space="preserve">for those entering </w:t>
      </w:r>
      <w:r w:rsidR="002C13EC">
        <w:rPr>
          <w:rFonts w:asciiTheme="minorHAnsi" w:hAnsiTheme="minorHAnsi" w:cs="Tahoma"/>
          <w:sz w:val="22"/>
        </w:rPr>
        <w:t>treatment in Ireland in</w:t>
      </w:r>
      <w:r w:rsidRPr="00FF58E7">
        <w:rPr>
          <w:rFonts w:asciiTheme="minorHAnsi" w:hAnsiTheme="minorHAnsi" w:cs="Tahoma"/>
          <w:sz w:val="22"/>
        </w:rPr>
        <w:t xml:space="preserve"> 2022, accounting for 34% of all cases, a 2</w:t>
      </w:r>
      <w:r w:rsidR="00D85E6B">
        <w:rPr>
          <w:rFonts w:asciiTheme="minorHAnsi" w:hAnsiTheme="minorHAnsi" w:cs="Tahoma"/>
          <w:sz w:val="22"/>
        </w:rPr>
        <w:t>6</w:t>
      </w:r>
      <w:r w:rsidRPr="00FF58E7">
        <w:rPr>
          <w:rFonts w:asciiTheme="minorHAnsi" w:hAnsiTheme="minorHAnsi" w:cs="Tahoma"/>
          <w:sz w:val="22"/>
        </w:rPr>
        <w:t xml:space="preserve">% increase from 2021. Cocaine was also the most common main drug among new cases in 2022, </w:t>
      </w:r>
      <w:proofErr w:type="gramStart"/>
      <w:r w:rsidRPr="00FF58E7">
        <w:rPr>
          <w:rFonts w:asciiTheme="minorHAnsi" w:hAnsiTheme="minorHAnsi" w:cs="Tahoma"/>
          <w:sz w:val="22"/>
        </w:rPr>
        <w:t>similar to</w:t>
      </w:r>
      <w:proofErr w:type="gramEnd"/>
      <w:r w:rsidRPr="00FF58E7">
        <w:rPr>
          <w:rFonts w:asciiTheme="minorHAnsi" w:hAnsiTheme="minorHAnsi" w:cs="Tahoma"/>
          <w:sz w:val="22"/>
        </w:rPr>
        <w:t xml:space="preserve"> the previous two years. </w:t>
      </w:r>
    </w:p>
    <w:p w14:paraId="790EA5B3" w14:textId="5E44E88D" w:rsidR="004A1A0B" w:rsidRPr="004B5245" w:rsidRDefault="004A1A0B" w:rsidP="001F6635">
      <w:pPr>
        <w:numPr>
          <w:ilvl w:val="0"/>
          <w:numId w:val="11"/>
        </w:numPr>
        <w:spacing w:line="312" w:lineRule="auto"/>
        <w:rPr>
          <w:rFonts w:asciiTheme="minorHAnsi" w:hAnsiTheme="minorHAnsi" w:cs="Tahoma"/>
          <w:sz w:val="22"/>
        </w:rPr>
      </w:pPr>
      <w:r w:rsidRPr="004A1A0B">
        <w:rPr>
          <w:rFonts w:asciiTheme="minorHAnsi" w:hAnsiTheme="minorHAnsi" w:cs="Tahoma"/>
          <w:sz w:val="22"/>
        </w:rPr>
        <w:t>In 2022, 898</w:t>
      </w:r>
      <w:r>
        <w:rPr>
          <w:rFonts w:asciiTheme="minorHAnsi" w:hAnsiTheme="minorHAnsi" w:cs="Tahoma"/>
          <w:sz w:val="22"/>
        </w:rPr>
        <w:t xml:space="preserve"> treatment</w:t>
      </w:r>
      <w:r w:rsidRPr="004A1A0B">
        <w:rPr>
          <w:rFonts w:asciiTheme="minorHAnsi" w:hAnsiTheme="minorHAnsi" w:cs="Tahoma"/>
          <w:sz w:val="22"/>
        </w:rPr>
        <w:t xml:space="preserve"> cases were recorded with crack cocaine as the main problem</w:t>
      </w:r>
      <w:r>
        <w:rPr>
          <w:rFonts w:asciiTheme="minorHAnsi" w:hAnsiTheme="minorHAnsi" w:cs="Tahoma"/>
          <w:sz w:val="22"/>
        </w:rPr>
        <w:t>.</w:t>
      </w:r>
    </w:p>
    <w:p w14:paraId="24267CB5" w14:textId="77777777" w:rsidR="00D85E6B" w:rsidRDefault="0025142A" w:rsidP="00D85E6B">
      <w:pPr>
        <w:numPr>
          <w:ilvl w:val="0"/>
          <w:numId w:val="11"/>
        </w:numPr>
        <w:spacing w:line="312" w:lineRule="auto"/>
        <w:rPr>
          <w:rFonts w:asciiTheme="minorHAnsi" w:hAnsiTheme="minorHAnsi" w:cs="Tahoma"/>
          <w:bCs/>
          <w:sz w:val="22"/>
        </w:rPr>
      </w:pPr>
      <w:r w:rsidRPr="0025142A">
        <w:rPr>
          <w:rFonts w:asciiTheme="minorHAnsi" w:hAnsiTheme="minorHAnsi" w:cs="Tahoma"/>
          <w:bCs/>
          <w:sz w:val="22"/>
        </w:rPr>
        <w:t>Cocaine poisoning deaths increased from 24 deaths in 2011 to 130 in 2020</w:t>
      </w:r>
      <w:r w:rsidR="00093A13">
        <w:rPr>
          <w:rFonts w:asciiTheme="minorHAnsi" w:hAnsiTheme="minorHAnsi" w:cs="Tahoma"/>
          <w:bCs/>
          <w:sz w:val="22"/>
        </w:rPr>
        <w:t xml:space="preserve">, </w:t>
      </w:r>
      <w:r w:rsidR="00D85E6B">
        <w:rPr>
          <w:rFonts w:asciiTheme="minorHAnsi" w:hAnsiTheme="minorHAnsi" w:cs="Tahoma"/>
          <w:bCs/>
          <w:sz w:val="22"/>
        </w:rPr>
        <w:t xml:space="preserve">representing </w:t>
      </w:r>
      <w:r w:rsidR="00093A13">
        <w:rPr>
          <w:rFonts w:asciiTheme="minorHAnsi" w:hAnsiTheme="minorHAnsi" w:cs="Tahoma"/>
          <w:bCs/>
          <w:sz w:val="22"/>
        </w:rPr>
        <w:t>3 in 10 of all poisoning deaths</w:t>
      </w:r>
      <w:r w:rsidRPr="0025142A">
        <w:rPr>
          <w:rFonts w:asciiTheme="minorHAnsi" w:hAnsiTheme="minorHAnsi" w:cs="Tahoma"/>
          <w:bCs/>
          <w:sz w:val="22"/>
        </w:rPr>
        <w:t>.</w:t>
      </w:r>
    </w:p>
    <w:p w14:paraId="59E12809" w14:textId="1DC18560" w:rsidR="005F1A33" w:rsidRPr="00D85E6B" w:rsidRDefault="001F6635" w:rsidP="00D85E6B">
      <w:pPr>
        <w:numPr>
          <w:ilvl w:val="0"/>
          <w:numId w:val="11"/>
        </w:numPr>
        <w:spacing w:line="312" w:lineRule="auto"/>
        <w:rPr>
          <w:rFonts w:asciiTheme="minorHAnsi" w:hAnsiTheme="minorHAnsi" w:cs="Tahoma"/>
          <w:bCs/>
          <w:sz w:val="22"/>
        </w:rPr>
      </w:pPr>
      <w:r w:rsidRPr="00D85E6B">
        <w:rPr>
          <w:rFonts w:asciiTheme="minorHAnsi" w:hAnsiTheme="minorHAnsi" w:cs="Tahoma"/>
          <w:bCs/>
          <w:sz w:val="22"/>
        </w:rPr>
        <w:t xml:space="preserve">Forensic Science Ireland reported that the cocaine content of seized samples has remained broadly consistent over the four-year period 2016-19, with an increase at street level from 34.7% to 46.5%, noted. </w:t>
      </w:r>
    </w:p>
    <w:p w14:paraId="1FE83C3D" w14:textId="0BA7D018" w:rsidR="000F379A" w:rsidRPr="00D85E6B" w:rsidRDefault="00DF14DD" w:rsidP="000F379A">
      <w:pPr>
        <w:spacing w:before="120" w:after="120" w:line="312" w:lineRule="auto"/>
        <w:rPr>
          <w:rFonts w:asciiTheme="minorHAnsi" w:hAnsiTheme="minorHAnsi" w:cstheme="minorHAnsi"/>
          <w:b/>
        </w:rPr>
      </w:pPr>
      <w:r w:rsidRPr="00D85E6B">
        <w:rPr>
          <w:rFonts w:asciiTheme="minorHAnsi" w:hAnsiTheme="minorHAnsi" w:cs="Tahoma"/>
          <w:b/>
          <w:sz w:val="22"/>
        </w:rPr>
        <w:t>Cannabis</w:t>
      </w:r>
    </w:p>
    <w:p w14:paraId="39BCA2B1" w14:textId="738AF482" w:rsidR="00F30BED" w:rsidRPr="00F30BED" w:rsidRDefault="00F30BED" w:rsidP="00F30BED">
      <w:pPr>
        <w:pStyle w:val="NormalWeb"/>
        <w:spacing w:after="0" w:line="312" w:lineRule="auto"/>
        <w:rPr>
          <w:rFonts w:asciiTheme="minorHAnsi" w:hAnsiTheme="minorHAnsi" w:cstheme="minorHAnsi"/>
          <w:bCs/>
          <w:iCs/>
          <w:sz w:val="22"/>
          <w:lang w:val="en-GB" w:eastAsia="en-GB"/>
        </w:rPr>
      </w:pPr>
      <w:r w:rsidRPr="00F30BED">
        <w:rPr>
          <w:rFonts w:asciiTheme="minorHAnsi" w:hAnsiTheme="minorHAnsi" w:cstheme="minorHAnsi"/>
          <w:bCs/>
          <w:iCs/>
          <w:sz w:val="22"/>
          <w:lang w:val="en-GB" w:eastAsia="en-GB"/>
        </w:rPr>
        <w:t>The cannabis market is becoming increasingly diverse in both the potency of products available and the form in which it is available for ingestion, for instance extracts and edibles.  The average THC content of cannabis resin is nearly 25%, and herbal cannabis, more than 10%.  The</w:t>
      </w:r>
      <w:r w:rsidR="00EE563E">
        <w:rPr>
          <w:rFonts w:asciiTheme="minorHAnsi" w:hAnsiTheme="minorHAnsi" w:cstheme="minorHAnsi"/>
          <w:bCs/>
          <w:iCs/>
          <w:sz w:val="22"/>
          <w:lang w:val="en-GB" w:eastAsia="en-GB"/>
        </w:rPr>
        <w:t>s</w:t>
      </w:r>
      <w:r w:rsidRPr="00F30BED">
        <w:rPr>
          <w:rFonts w:asciiTheme="minorHAnsi" w:hAnsiTheme="minorHAnsi" w:cstheme="minorHAnsi"/>
          <w:bCs/>
          <w:iCs/>
          <w:sz w:val="22"/>
          <w:lang w:val="en-GB" w:eastAsia="en-GB"/>
        </w:rPr>
        <w:t xml:space="preserve">e are historically high levels of purity and this, as well as the frequency cannabis is used, is a cause of concern for treatment providers.  </w:t>
      </w:r>
    </w:p>
    <w:p w14:paraId="14BA447C" w14:textId="5D96A86E" w:rsidR="00F30BED" w:rsidRPr="00F30BED" w:rsidRDefault="00F30BED" w:rsidP="00F30BED">
      <w:pPr>
        <w:pStyle w:val="NormalWeb"/>
        <w:spacing w:after="0" w:line="312" w:lineRule="auto"/>
        <w:rPr>
          <w:rFonts w:asciiTheme="minorHAnsi" w:hAnsiTheme="minorHAnsi" w:cstheme="minorHAnsi"/>
          <w:bCs/>
          <w:iCs/>
          <w:sz w:val="22"/>
          <w:lang w:val="en-GB" w:eastAsia="en-GB"/>
        </w:rPr>
      </w:pPr>
      <w:r w:rsidRPr="00F30BED">
        <w:rPr>
          <w:rFonts w:asciiTheme="minorHAnsi" w:hAnsiTheme="minorHAnsi" w:cstheme="minorHAnsi"/>
          <w:bCs/>
          <w:iCs/>
          <w:sz w:val="22"/>
          <w:lang w:val="en-GB" w:eastAsia="en-GB"/>
        </w:rPr>
        <w:t xml:space="preserve">Cannabis use is associated with </w:t>
      </w:r>
      <w:proofErr w:type="gramStart"/>
      <w:r w:rsidRPr="00F30BED">
        <w:rPr>
          <w:rFonts w:asciiTheme="minorHAnsi" w:hAnsiTheme="minorHAnsi" w:cstheme="minorHAnsi"/>
          <w:bCs/>
          <w:iCs/>
          <w:sz w:val="22"/>
          <w:lang w:val="en-GB" w:eastAsia="en-GB"/>
        </w:rPr>
        <w:t>a number of</w:t>
      </w:r>
      <w:proofErr w:type="gramEnd"/>
      <w:r w:rsidRPr="00F30BED">
        <w:rPr>
          <w:rFonts w:asciiTheme="minorHAnsi" w:hAnsiTheme="minorHAnsi" w:cstheme="minorHAnsi"/>
          <w:bCs/>
          <w:iCs/>
          <w:sz w:val="22"/>
          <w:lang w:val="en-GB" w:eastAsia="en-GB"/>
        </w:rPr>
        <w:t xml:space="preserve"> physical problems, but causal relationship is uncertain due to the wide variety of products on offer. There is also concern around adulteration with synthetic cannabinoids, </w:t>
      </w:r>
      <w:r w:rsidR="00D85E6B">
        <w:rPr>
          <w:rFonts w:asciiTheme="minorHAnsi" w:hAnsiTheme="minorHAnsi" w:cstheme="minorHAnsi"/>
          <w:bCs/>
          <w:iCs/>
          <w:sz w:val="22"/>
          <w:lang w:val="en-GB" w:eastAsia="en-GB"/>
        </w:rPr>
        <w:t xml:space="preserve">with </w:t>
      </w:r>
      <w:r w:rsidRPr="00F30BED">
        <w:rPr>
          <w:rFonts w:asciiTheme="minorHAnsi" w:hAnsiTheme="minorHAnsi" w:cstheme="minorHAnsi"/>
          <w:bCs/>
          <w:iCs/>
          <w:sz w:val="22"/>
          <w:lang w:val="en-GB" w:eastAsia="en-GB"/>
        </w:rPr>
        <w:t>nine new forms identified in 2023.  The most commonly detected seme-synthetic opioid is hexahydrocannabinol (</w:t>
      </w:r>
      <w:hyperlink r:id="rId11" w:history="1">
        <w:r w:rsidRPr="00F30BED">
          <w:rPr>
            <w:rStyle w:val="Hyperlink"/>
            <w:rFonts w:asciiTheme="minorHAnsi" w:hAnsiTheme="minorHAnsi" w:cstheme="minorHAnsi"/>
            <w:bCs/>
            <w:iCs/>
            <w:sz w:val="22"/>
            <w:lang w:val="en-GB" w:eastAsia="en-GB"/>
          </w:rPr>
          <w:t>HHC</w:t>
        </w:r>
      </w:hyperlink>
      <w:r w:rsidRPr="00F30BED">
        <w:rPr>
          <w:rFonts w:asciiTheme="minorHAnsi" w:hAnsiTheme="minorHAnsi" w:cstheme="minorHAnsi"/>
          <w:bCs/>
          <w:iCs/>
          <w:sz w:val="22"/>
          <w:lang w:val="en-GB" w:eastAsia="en-GB"/>
        </w:rPr>
        <w:t>), which is now a controlled drug in 18 EU Member States.</w:t>
      </w:r>
    </w:p>
    <w:p w14:paraId="0F23344F" w14:textId="490DA29F" w:rsidR="004B5245" w:rsidRPr="00B50D6C" w:rsidRDefault="00F30BED" w:rsidP="00B50D6C">
      <w:pPr>
        <w:pStyle w:val="NormalWeb"/>
        <w:spacing w:after="0" w:line="312" w:lineRule="auto"/>
        <w:rPr>
          <w:rFonts w:asciiTheme="minorHAnsi" w:hAnsiTheme="minorHAnsi" w:cstheme="minorHAnsi"/>
          <w:bCs/>
          <w:iCs/>
          <w:sz w:val="22"/>
          <w:lang w:val="en-GB" w:eastAsia="en-GB"/>
        </w:rPr>
      </w:pPr>
      <w:bookmarkStart w:id="1" w:name="_Hlk168386838"/>
      <w:r w:rsidRPr="00F30BED">
        <w:rPr>
          <w:rFonts w:asciiTheme="minorHAnsi" w:hAnsiTheme="minorHAnsi" w:cstheme="minorHAnsi"/>
          <w:bCs/>
          <w:iCs/>
          <w:sz w:val="22"/>
          <w:lang w:val="en-GB" w:eastAsia="en-GB"/>
        </w:rPr>
        <w:t>Five EU Member States (</w:t>
      </w:r>
      <w:r w:rsidRPr="00F30BED">
        <w:rPr>
          <w:rFonts w:asciiTheme="minorHAnsi" w:hAnsiTheme="minorHAnsi" w:cstheme="minorHAnsi"/>
          <w:b/>
          <w:bCs/>
          <w:iCs/>
          <w:sz w:val="22"/>
          <w:lang w:val="en-GB" w:eastAsia="en-GB"/>
        </w:rPr>
        <w:t>Czechia, Germany, Luxembourg, Malta</w:t>
      </w:r>
      <w:r w:rsidRPr="00F30BED">
        <w:rPr>
          <w:rFonts w:asciiTheme="minorHAnsi" w:hAnsiTheme="minorHAnsi" w:cstheme="minorHAnsi"/>
          <w:bCs/>
          <w:iCs/>
          <w:sz w:val="22"/>
          <w:lang w:val="en-GB" w:eastAsia="en-GB"/>
        </w:rPr>
        <w:t xml:space="preserve"> and the </w:t>
      </w:r>
      <w:r w:rsidRPr="00F30BED">
        <w:rPr>
          <w:rFonts w:asciiTheme="minorHAnsi" w:hAnsiTheme="minorHAnsi" w:cstheme="minorHAnsi"/>
          <w:b/>
          <w:bCs/>
          <w:iCs/>
          <w:sz w:val="22"/>
          <w:lang w:val="en-GB" w:eastAsia="en-GB"/>
        </w:rPr>
        <w:t>Netherlands</w:t>
      </w:r>
      <w:r w:rsidRPr="00F30BED">
        <w:rPr>
          <w:rFonts w:asciiTheme="minorHAnsi" w:hAnsiTheme="minorHAnsi" w:cstheme="minorHAnsi"/>
          <w:bCs/>
          <w:iCs/>
          <w:sz w:val="22"/>
          <w:lang w:val="en-GB" w:eastAsia="en-GB"/>
        </w:rPr>
        <w:t xml:space="preserve">) as well as </w:t>
      </w:r>
      <w:r w:rsidRPr="00F30BED">
        <w:rPr>
          <w:rFonts w:asciiTheme="minorHAnsi" w:hAnsiTheme="minorHAnsi" w:cstheme="minorHAnsi"/>
          <w:b/>
          <w:bCs/>
          <w:iCs/>
          <w:sz w:val="22"/>
          <w:lang w:val="en-GB" w:eastAsia="en-GB"/>
        </w:rPr>
        <w:t>Switzerland</w:t>
      </w:r>
      <w:r w:rsidRPr="00F30BED">
        <w:rPr>
          <w:rFonts w:asciiTheme="minorHAnsi" w:hAnsiTheme="minorHAnsi" w:cstheme="minorHAnsi"/>
          <w:bCs/>
          <w:iCs/>
          <w:sz w:val="22"/>
          <w:lang w:val="en-GB" w:eastAsia="en-GB"/>
        </w:rPr>
        <w:t xml:space="preserve"> have changed, or are planning to change, the law that makes the possession of cannabis illegal.   This will mean greater access to cannabis and may possibly result in increasing use and a greater prevalence of harms associated with this use.</w:t>
      </w:r>
    </w:p>
    <w:bookmarkEnd w:id="1"/>
    <w:p w14:paraId="0D746832" w14:textId="77777777" w:rsidR="00216B3A" w:rsidRPr="00D85E6B" w:rsidRDefault="00216B3A" w:rsidP="00D85E6B">
      <w:pPr>
        <w:pStyle w:val="Heading4"/>
        <w:rPr>
          <w:b/>
          <w:bCs/>
          <w:sz w:val="22"/>
          <w:szCs w:val="24"/>
        </w:rPr>
      </w:pPr>
      <w:r w:rsidRPr="00D85E6B">
        <w:rPr>
          <w:b/>
          <w:bCs/>
          <w:sz w:val="22"/>
          <w:szCs w:val="24"/>
        </w:rPr>
        <w:t>European situation</w:t>
      </w:r>
    </w:p>
    <w:p w14:paraId="2D5EB69B" w14:textId="77777777" w:rsidR="00D85E6B" w:rsidRPr="00D85E6B" w:rsidRDefault="00216B3A" w:rsidP="00D85E6B">
      <w:pPr>
        <w:pStyle w:val="NormalWeb"/>
        <w:numPr>
          <w:ilvl w:val="0"/>
          <w:numId w:val="18"/>
        </w:numPr>
        <w:spacing w:before="0" w:beforeAutospacing="0" w:after="0" w:afterAutospacing="0" w:line="312" w:lineRule="auto"/>
        <w:rPr>
          <w:rFonts w:asciiTheme="minorHAnsi" w:hAnsiTheme="minorHAnsi" w:cstheme="minorHAnsi"/>
          <w:sz w:val="22"/>
          <w:szCs w:val="22"/>
          <w:lang w:val="en-GB" w:eastAsia="en-GB"/>
        </w:rPr>
      </w:pPr>
      <w:r w:rsidRPr="00D85E6B">
        <w:rPr>
          <w:rFonts w:asciiTheme="minorHAnsi" w:hAnsiTheme="minorHAnsi" w:cstheme="minorHAnsi"/>
          <w:sz w:val="22"/>
          <w:szCs w:val="22"/>
          <w:lang w:val="en-GB" w:eastAsia="en-GB"/>
        </w:rPr>
        <w:t>Cannabis is</w:t>
      </w:r>
      <w:r w:rsidR="00DC644D" w:rsidRPr="00D85E6B">
        <w:rPr>
          <w:rFonts w:asciiTheme="minorHAnsi" w:hAnsiTheme="minorHAnsi" w:cstheme="minorHAnsi"/>
          <w:sz w:val="22"/>
          <w:szCs w:val="22"/>
          <w:lang w:val="en-GB" w:eastAsia="en-GB"/>
        </w:rPr>
        <w:t xml:space="preserve"> the</w:t>
      </w:r>
      <w:r w:rsidRPr="00D85E6B">
        <w:rPr>
          <w:rFonts w:asciiTheme="minorHAnsi" w:hAnsiTheme="minorHAnsi" w:cstheme="minorHAnsi"/>
          <w:sz w:val="22"/>
          <w:szCs w:val="22"/>
          <w:lang w:val="en-GB" w:eastAsia="en-GB"/>
        </w:rPr>
        <w:t xml:space="preserve"> </w:t>
      </w:r>
      <w:r w:rsidR="00E74916" w:rsidRPr="00D85E6B">
        <w:rPr>
          <w:rFonts w:asciiTheme="minorHAnsi" w:hAnsiTheme="minorHAnsi" w:cstheme="minorHAnsi"/>
          <w:sz w:val="22"/>
          <w:szCs w:val="22"/>
          <w:lang w:val="en-GB" w:eastAsia="en-GB"/>
        </w:rPr>
        <w:t>most used</w:t>
      </w:r>
      <w:r w:rsidRPr="00D85E6B">
        <w:rPr>
          <w:rFonts w:asciiTheme="minorHAnsi" w:hAnsiTheme="minorHAnsi" w:cstheme="minorHAnsi"/>
          <w:sz w:val="22"/>
          <w:szCs w:val="22"/>
          <w:lang w:val="en-GB" w:eastAsia="en-GB"/>
        </w:rPr>
        <w:t xml:space="preserve"> illicit drug in Europe, across all age groups. </w:t>
      </w:r>
    </w:p>
    <w:p w14:paraId="0E89EAF5" w14:textId="48C969EC" w:rsidR="00D85E6B" w:rsidRPr="00D85E6B" w:rsidRDefault="00FC1BEB" w:rsidP="00D85E6B">
      <w:pPr>
        <w:pStyle w:val="NormalWeb"/>
        <w:numPr>
          <w:ilvl w:val="0"/>
          <w:numId w:val="18"/>
        </w:numPr>
        <w:spacing w:before="0" w:beforeAutospacing="0" w:after="0" w:afterAutospacing="0" w:line="312" w:lineRule="auto"/>
        <w:rPr>
          <w:rFonts w:asciiTheme="minorHAnsi" w:hAnsiTheme="minorHAnsi" w:cstheme="minorHAnsi"/>
          <w:sz w:val="22"/>
          <w:szCs w:val="22"/>
          <w:lang w:val="en-GB" w:eastAsia="en-GB"/>
        </w:rPr>
      </w:pPr>
      <w:r w:rsidRPr="00D85E6B">
        <w:rPr>
          <w:rFonts w:asciiTheme="minorHAnsi" w:hAnsiTheme="minorHAnsi" w:cstheme="minorHAnsi"/>
          <w:sz w:val="22"/>
          <w:szCs w:val="22"/>
          <w:lang w:val="en-GB"/>
        </w:rPr>
        <w:t>Findings from n</w:t>
      </w:r>
      <w:r w:rsidR="008D5609" w:rsidRPr="00D85E6B">
        <w:rPr>
          <w:rFonts w:asciiTheme="minorHAnsi" w:hAnsiTheme="minorHAnsi" w:cstheme="minorHAnsi"/>
          <w:sz w:val="22"/>
          <w:szCs w:val="22"/>
          <w:lang w:val="en-GB"/>
        </w:rPr>
        <w:t xml:space="preserve">ational surveys of cannabis use </w:t>
      </w:r>
      <w:r w:rsidRPr="00D85E6B">
        <w:rPr>
          <w:rFonts w:asciiTheme="minorHAnsi" w:hAnsiTheme="minorHAnsi" w:cstheme="minorHAnsi"/>
          <w:sz w:val="22"/>
          <w:szCs w:val="22"/>
          <w:lang w:val="en-GB"/>
        </w:rPr>
        <w:t>are that</w:t>
      </w:r>
      <w:r w:rsidR="008D5609" w:rsidRPr="00D85E6B">
        <w:rPr>
          <w:rFonts w:asciiTheme="minorHAnsi" w:hAnsiTheme="minorHAnsi" w:cstheme="minorHAnsi"/>
          <w:sz w:val="22"/>
          <w:szCs w:val="22"/>
          <w:lang w:val="en-GB"/>
        </w:rPr>
        <w:t xml:space="preserve"> around 8% of European adults (22.8 million aged 15</w:t>
      </w:r>
      <w:r w:rsidR="00D85E6B">
        <w:rPr>
          <w:rFonts w:asciiTheme="minorHAnsi" w:hAnsiTheme="minorHAnsi" w:cstheme="minorHAnsi"/>
          <w:sz w:val="22"/>
          <w:szCs w:val="22"/>
          <w:lang w:val="en-GB"/>
        </w:rPr>
        <w:t xml:space="preserve"> </w:t>
      </w:r>
      <w:r w:rsidR="008D5609" w:rsidRPr="00D85E6B">
        <w:rPr>
          <w:rFonts w:asciiTheme="minorHAnsi" w:hAnsiTheme="minorHAnsi" w:cstheme="minorHAnsi"/>
          <w:sz w:val="22"/>
          <w:szCs w:val="22"/>
          <w:lang w:val="en-GB"/>
        </w:rPr>
        <w:t>to</w:t>
      </w:r>
      <w:r w:rsidR="00D85E6B">
        <w:rPr>
          <w:rFonts w:asciiTheme="minorHAnsi" w:hAnsiTheme="minorHAnsi" w:cstheme="minorHAnsi"/>
          <w:sz w:val="22"/>
          <w:szCs w:val="22"/>
          <w:lang w:val="en-GB"/>
        </w:rPr>
        <w:t xml:space="preserve"> </w:t>
      </w:r>
      <w:r w:rsidR="008D5609" w:rsidRPr="00D85E6B">
        <w:rPr>
          <w:rFonts w:asciiTheme="minorHAnsi" w:hAnsiTheme="minorHAnsi" w:cstheme="minorHAnsi"/>
          <w:sz w:val="22"/>
          <w:szCs w:val="22"/>
          <w:lang w:val="en-GB"/>
        </w:rPr>
        <w:t xml:space="preserve">64) are estimated to have used cannabis in the last year. </w:t>
      </w:r>
    </w:p>
    <w:p w14:paraId="4D525B06" w14:textId="1C3F679C" w:rsidR="00D85E6B" w:rsidRPr="00D85E6B" w:rsidRDefault="00C120D3" w:rsidP="00D85E6B">
      <w:pPr>
        <w:pStyle w:val="NormalWeb"/>
        <w:numPr>
          <w:ilvl w:val="0"/>
          <w:numId w:val="18"/>
        </w:numPr>
        <w:spacing w:before="0" w:beforeAutospacing="0" w:after="0" w:afterAutospacing="0" w:line="312" w:lineRule="auto"/>
        <w:rPr>
          <w:rFonts w:asciiTheme="minorHAnsi" w:hAnsiTheme="minorHAnsi" w:cstheme="minorHAnsi"/>
          <w:sz w:val="22"/>
          <w:szCs w:val="22"/>
          <w:lang w:val="en-GB" w:eastAsia="en-GB"/>
        </w:rPr>
      </w:pPr>
      <w:r w:rsidRPr="00D85E6B">
        <w:rPr>
          <w:rFonts w:asciiTheme="minorHAnsi" w:hAnsiTheme="minorHAnsi" w:cstheme="minorHAnsi"/>
          <w:sz w:val="22"/>
          <w:szCs w:val="22"/>
        </w:rPr>
        <w:lastRenderedPageBreak/>
        <w:t>Around 1.3% of adults in the European Union (3.7 million people) are estimated to be daily or almost daily users of cannabis, and this is the group most likely to experience problems associated with this drug.</w:t>
      </w:r>
    </w:p>
    <w:p w14:paraId="6B5CAF79" w14:textId="7099A01A" w:rsidR="00672F37" w:rsidRPr="00D85E6B" w:rsidRDefault="00672F37" w:rsidP="00D85E6B">
      <w:pPr>
        <w:pStyle w:val="NormalWeb"/>
        <w:numPr>
          <w:ilvl w:val="0"/>
          <w:numId w:val="18"/>
        </w:numPr>
        <w:spacing w:before="0" w:beforeAutospacing="0" w:after="0" w:afterAutospacing="0" w:line="312" w:lineRule="auto"/>
        <w:rPr>
          <w:rFonts w:asciiTheme="minorHAnsi" w:hAnsiTheme="minorHAnsi" w:cstheme="minorHAnsi"/>
          <w:sz w:val="22"/>
          <w:szCs w:val="22"/>
          <w:lang w:val="en-GB" w:eastAsia="en-GB"/>
        </w:rPr>
      </w:pPr>
      <w:r w:rsidRPr="00D85E6B">
        <w:rPr>
          <w:rFonts w:asciiTheme="minorHAnsi" w:hAnsiTheme="minorHAnsi" w:cstheme="minorHAnsi"/>
          <w:sz w:val="22"/>
          <w:szCs w:val="22"/>
        </w:rPr>
        <w:t>Among 15- to 24-year-olds, an estimated 18.6% (8.8 million) used cannabis in the last year</w:t>
      </w:r>
      <w:r w:rsidR="000F4D13" w:rsidRPr="00D85E6B">
        <w:rPr>
          <w:rFonts w:asciiTheme="minorHAnsi" w:hAnsiTheme="minorHAnsi" w:cstheme="minorHAnsi"/>
          <w:sz w:val="22"/>
          <w:szCs w:val="22"/>
        </w:rPr>
        <w:t>.</w:t>
      </w:r>
    </w:p>
    <w:p w14:paraId="775FFE3E" w14:textId="414E36D0" w:rsidR="00D85E6B" w:rsidRPr="00D85E6B" w:rsidRDefault="0049120B" w:rsidP="00D85E6B">
      <w:pPr>
        <w:pStyle w:val="ListParagraph"/>
        <w:numPr>
          <w:ilvl w:val="0"/>
          <w:numId w:val="18"/>
        </w:numPr>
        <w:spacing w:before="120" w:after="120" w:line="312" w:lineRule="auto"/>
        <w:contextualSpacing w:val="0"/>
        <w:rPr>
          <w:rFonts w:asciiTheme="minorHAnsi" w:hAnsiTheme="minorHAnsi" w:cstheme="minorHAnsi"/>
        </w:rPr>
      </w:pPr>
      <w:r w:rsidRPr="00D85E6B">
        <w:rPr>
          <w:rFonts w:asciiTheme="minorHAnsi" w:hAnsiTheme="minorHAnsi" w:cstheme="minorHAnsi"/>
        </w:rPr>
        <w:t>Cannabis was the main problem drug most frequently cited by new treatment clients, accounting for 4</w:t>
      </w:r>
      <w:r w:rsidR="00122A81" w:rsidRPr="00D85E6B">
        <w:rPr>
          <w:rFonts w:asciiTheme="minorHAnsi" w:hAnsiTheme="minorHAnsi" w:cstheme="minorHAnsi"/>
        </w:rPr>
        <w:t>3</w:t>
      </w:r>
      <w:r w:rsidRPr="00D85E6B">
        <w:rPr>
          <w:rFonts w:asciiTheme="minorHAnsi" w:hAnsiTheme="minorHAnsi" w:cstheme="minorHAnsi"/>
        </w:rPr>
        <w:t>% of all first-time treatment entrants in Europe.</w:t>
      </w:r>
      <w:bookmarkStart w:id="2" w:name="_Hlk128475075"/>
    </w:p>
    <w:p w14:paraId="26C70BF5" w14:textId="71F14BDD" w:rsidR="00D85E6B" w:rsidRPr="00D85E6B" w:rsidRDefault="0049120B" w:rsidP="00D85E6B">
      <w:pPr>
        <w:pStyle w:val="ListParagraph"/>
        <w:numPr>
          <w:ilvl w:val="0"/>
          <w:numId w:val="18"/>
        </w:numPr>
        <w:spacing w:before="120" w:after="120" w:line="312" w:lineRule="auto"/>
        <w:contextualSpacing w:val="0"/>
        <w:rPr>
          <w:rFonts w:asciiTheme="minorHAnsi" w:hAnsiTheme="minorHAnsi" w:cstheme="minorHAnsi"/>
        </w:rPr>
      </w:pPr>
      <w:r w:rsidRPr="00D85E6B">
        <w:rPr>
          <w:rFonts w:asciiTheme="minorHAnsi" w:hAnsiTheme="minorHAnsi" w:cstheme="minorHAnsi"/>
        </w:rPr>
        <w:t>In 2021, the average THC</w:t>
      </w:r>
      <w:r w:rsidR="00325232" w:rsidRPr="00D85E6B">
        <w:rPr>
          <w:rFonts w:asciiTheme="minorHAnsi" w:hAnsiTheme="minorHAnsi" w:cstheme="minorHAnsi"/>
        </w:rPr>
        <w:t xml:space="preserve"> (the psychoactive compound in cannabis)</w:t>
      </w:r>
      <w:r w:rsidRPr="00D85E6B">
        <w:rPr>
          <w:rFonts w:asciiTheme="minorHAnsi" w:hAnsiTheme="minorHAnsi" w:cstheme="minorHAnsi"/>
        </w:rPr>
        <w:t xml:space="preserve"> content of cannabis resin in the European Union was 20%, more than twice that of herbal cannabis, at 9.5%.</w:t>
      </w:r>
      <w:bookmarkEnd w:id="2"/>
      <w:r w:rsidRPr="00D85E6B">
        <w:rPr>
          <w:rFonts w:asciiTheme="minorHAnsi" w:hAnsiTheme="minorHAnsi" w:cstheme="minorHAnsi"/>
        </w:rPr>
        <w:t xml:space="preserve"> </w:t>
      </w:r>
    </w:p>
    <w:p w14:paraId="51818DD4" w14:textId="50F841EA" w:rsidR="0049120B" w:rsidRPr="00D85E6B" w:rsidRDefault="0049120B" w:rsidP="00D85E6B">
      <w:pPr>
        <w:pStyle w:val="ListParagraph"/>
        <w:numPr>
          <w:ilvl w:val="0"/>
          <w:numId w:val="18"/>
        </w:numPr>
        <w:spacing w:before="120" w:after="120" w:line="312" w:lineRule="auto"/>
        <w:contextualSpacing w:val="0"/>
        <w:rPr>
          <w:rFonts w:asciiTheme="minorHAnsi" w:hAnsiTheme="minorHAnsi" w:cstheme="minorHAnsi"/>
        </w:rPr>
      </w:pPr>
      <w:r w:rsidRPr="00D85E6B">
        <w:rPr>
          <w:rFonts w:asciiTheme="minorHAnsi" w:hAnsiTheme="minorHAnsi" w:cstheme="minorHAnsi"/>
        </w:rPr>
        <w:t>Cannabis was the second most frequently reported substance by the Euro-DEN Plus hospital network in 2021. It was involved in 25% of acute drug toxicity presentations (23% in 2020), usually in the presence of other substances.</w:t>
      </w:r>
    </w:p>
    <w:p w14:paraId="2018A403" w14:textId="77777777" w:rsidR="00216B3A" w:rsidRPr="00D85E6B" w:rsidRDefault="00216B3A" w:rsidP="00D85E6B">
      <w:pPr>
        <w:pStyle w:val="Heading4"/>
        <w:rPr>
          <w:b/>
          <w:bCs/>
          <w:sz w:val="22"/>
          <w:szCs w:val="24"/>
        </w:rPr>
      </w:pPr>
      <w:r w:rsidRPr="00D85E6B">
        <w:rPr>
          <w:b/>
          <w:bCs/>
          <w:sz w:val="22"/>
          <w:szCs w:val="24"/>
        </w:rPr>
        <w:t>Irish comparison</w:t>
      </w:r>
    </w:p>
    <w:p w14:paraId="69FFBEB0" w14:textId="0476843F" w:rsidR="00847FDC" w:rsidRPr="009E50F9" w:rsidRDefault="00216B3A" w:rsidP="00556785">
      <w:pPr>
        <w:numPr>
          <w:ilvl w:val="0"/>
          <w:numId w:val="20"/>
        </w:numPr>
        <w:spacing w:line="312" w:lineRule="auto"/>
        <w:rPr>
          <w:rFonts w:asciiTheme="minorHAnsi" w:hAnsiTheme="minorHAnsi" w:cstheme="minorHAnsi"/>
          <w:sz w:val="22"/>
          <w:lang w:val="en-IE" w:eastAsia="en-IE"/>
        </w:rPr>
      </w:pPr>
      <w:r w:rsidRPr="009E50F9">
        <w:rPr>
          <w:rFonts w:asciiTheme="minorHAnsi" w:hAnsiTheme="minorHAnsi" w:cstheme="minorHAnsi"/>
          <w:sz w:val="22"/>
          <w:lang w:val="en-IE" w:eastAsia="en-IE"/>
        </w:rPr>
        <w:t>The 20</w:t>
      </w:r>
      <w:r w:rsidR="00847FDC" w:rsidRPr="009E50F9">
        <w:rPr>
          <w:rFonts w:asciiTheme="minorHAnsi" w:hAnsiTheme="minorHAnsi" w:cstheme="minorHAnsi"/>
          <w:sz w:val="22"/>
          <w:lang w:val="en-IE" w:eastAsia="en-IE"/>
        </w:rPr>
        <w:t>19</w:t>
      </w:r>
      <w:r w:rsidRPr="009E50F9">
        <w:rPr>
          <w:rFonts w:asciiTheme="minorHAnsi" w:hAnsiTheme="minorHAnsi" w:cstheme="minorHAnsi"/>
          <w:sz w:val="22"/>
          <w:lang w:val="en-IE" w:eastAsia="en-IE"/>
        </w:rPr>
        <w:t>/</w:t>
      </w:r>
      <w:r w:rsidR="00847FDC" w:rsidRPr="009E50F9">
        <w:rPr>
          <w:rFonts w:asciiTheme="minorHAnsi" w:hAnsiTheme="minorHAnsi" w:cstheme="minorHAnsi"/>
          <w:sz w:val="22"/>
          <w:lang w:val="en-IE" w:eastAsia="en-IE"/>
        </w:rPr>
        <w:t>20</w:t>
      </w:r>
      <w:r w:rsidRPr="009E50F9">
        <w:rPr>
          <w:rFonts w:asciiTheme="minorHAnsi" w:hAnsiTheme="minorHAnsi" w:cstheme="minorHAnsi"/>
          <w:sz w:val="22"/>
          <w:lang w:val="en-IE" w:eastAsia="en-IE"/>
        </w:rPr>
        <w:t xml:space="preserve"> </w:t>
      </w:r>
      <w:r w:rsidR="00847FDC" w:rsidRPr="009E50F9">
        <w:rPr>
          <w:rFonts w:asciiTheme="minorHAnsi" w:hAnsiTheme="minorHAnsi" w:cstheme="minorHAnsi"/>
          <w:sz w:val="22"/>
          <w:lang w:val="en-IE" w:eastAsia="en-IE"/>
        </w:rPr>
        <w:t xml:space="preserve">National Drug and Alcohol Survey (NDAS) </w:t>
      </w:r>
      <w:r w:rsidR="00847FDC" w:rsidRPr="009E50F9">
        <w:rPr>
          <w:rFonts w:asciiTheme="minorHAnsi" w:hAnsiTheme="minorHAnsi" w:cstheme="minorHAnsi"/>
          <w:sz w:val="22"/>
          <w:lang w:eastAsia="en-IE"/>
        </w:rPr>
        <w:t>reported that 24.4% of the population (15–64 years) had used cannabis at some point in their lives; 7.1% reported use in the year prior to the survey and 3.4% in the preceding month</w:t>
      </w:r>
      <w:r w:rsidR="00873FB0">
        <w:rPr>
          <w:rFonts w:asciiTheme="minorHAnsi" w:hAnsiTheme="minorHAnsi" w:cstheme="minorHAnsi"/>
          <w:sz w:val="22"/>
          <w:lang w:eastAsia="en-IE"/>
        </w:rPr>
        <w:t>.</w:t>
      </w:r>
    </w:p>
    <w:p w14:paraId="77F6A32D" w14:textId="4BF3FCED" w:rsidR="005A3E99" w:rsidRDefault="00847FDC" w:rsidP="00556785">
      <w:pPr>
        <w:numPr>
          <w:ilvl w:val="0"/>
          <w:numId w:val="20"/>
        </w:numPr>
        <w:spacing w:line="312" w:lineRule="auto"/>
        <w:rPr>
          <w:rFonts w:asciiTheme="minorHAnsi" w:hAnsiTheme="minorHAnsi" w:cstheme="minorHAnsi"/>
          <w:sz w:val="22"/>
          <w:lang w:val="en-IE" w:eastAsia="en-IE"/>
        </w:rPr>
      </w:pPr>
      <w:r w:rsidRPr="009E50F9">
        <w:rPr>
          <w:rFonts w:asciiTheme="minorHAnsi" w:hAnsiTheme="minorHAnsi" w:cstheme="minorHAnsi"/>
          <w:sz w:val="22"/>
          <w:lang w:val="en-IE" w:eastAsia="en-IE"/>
        </w:rPr>
        <w:t xml:space="preserve">The </w:t>
      </w:r>
      <w:bookmarkStart w:id="3" w:name="_Hlk105523515"/>
      <w:r w:rsidRPr="009E50F9">
        <w:rPr>
          <w:rFonts w:asciiTheme="minorHAnsi" w:hAnsiTheme="minorHAnsi" w:cstheme="minorHAnsi"/>
          <w:sz w:val="22"/>
          <w:lang w:val="en-IE" w:eastAsia="en-IE"/>
        </w:rPr>
        <w:t>NDAS</w:t>
      </w:r>
      <w:bookmarkEnd w:id="3"/>
      <w:r w:rsidRPr="009E50F9">
        <w:rPr>
          <w:rFonts w:asciiTheme="minorHAnsi" w:hAnsiTheme="minorHAnsi" w:cstheme="minorHAnsi"/>
          <w:sz w:val="22"/>
          <w:lang w:val="en-IE" w:eastAsia="en-IE"/>
        </w:rPr>
        <w:t xml:space="preserve"> </w:t>
      </w:r>
      <w:r w:rsidR="00216B3A" w:rsidRPr="009E50F9">
        <w:rPr>
          <w:rFonts w:asciiTheme="minorHAnsi" w:hAnsiTheme="minorHAnsi" w:cstheme="minorHAnsi"/>
          <w:sz w:val="22"/>
          <w:lang w:val="en-IE" w:eastAsia="en-IE"/>
        </w:rPr>
        <w:t xml:space="preserve">reported that </w:t>
      </w:r>
      <w:r w:rsidRPr="009E50F9">
        <w:rPr>
          <w:rFonts w:asciiTheme="minorHAnsi" w:hAnsiTheme="minorHAnsi" w:cstheme="minorHAnsi"/>
          <w:sz w:val="22"/>
          <w:lang w:val="en-IE" w:eastAsia="en-IE"/>
        </w:rPr>
        <w:t>13.8</w:t>
      </w:r>
      <w:r w:rsidR="00216B3A" w:rsidRPr="009E50F9">
        <w:rPr>
          <w:rFonts w:asciiTheme="minorHAnsi" w:hAnsiTheme="minorHAnsi" w:cstheme="minorHAnsi"/>
          <w:sz w:val="22"/>
          <w:lang w:val="en-IE" w:eastAsia="en-IE"/>
        </w:rPr>
        <w:t>% of young adults (15-34 years) used cannabis in the year prior to the survey</w:t>
      </w:r>
      <w:r w:rsidR="00BF4769">
        <w:rPr>
          <w:rFonts w:asciiTheme="minorHAnsi" w:hAnsiTheme="minorHAnsi" w:cstheme="minorHAnsi"/>
          <w:sz w:val="22"/>
          <w:lang w:val="en-IE" w:eastAsia="en-IE"/>
        </w:rPr>
        <w:t>.</w:t>
      </w:r>
    </w:p>
    <w:p w14:paraId="743E2A8D" w14:textId="45784FF2" w:rsidR="00BF4769" w:rsidRPr="00A37EB0" w:rsidRDefault="00BF4769" w:rsidP="00556785">
      <w:pPr>
        <w:numPr>
          <w:ilvl w:val="0"/>
          <w:numId w:val="20"/>
        </w:numPr>
        <w:spacing w:line="312" w:lineRule="auto"/>
        <w:rPr>
          <w:rFonts w:asciiTheme="minorHAnsi" w:hAnsiTheme="minorHAnsi" w:cstheme="minorHAnsi"/>
          <w:sz w:val="22"/>
          <w:lang w:val="en-IE" w:eastAsia="en-IE"/>
        </w:rPr>
      </w:pPr>
      <w:r w:rsidRPr="00BF4769">
        <w:rPr>
          <w:rFonts w:asciiTheme="minorHAnsi" w:hAnsiTheme="minorHAnsi" w:cstheme="minorHAnsi"/>
          <w:sz w:val="22"/>
          <w:lang w:eastAsia="en-IE"/>
        </w:rPr>
        <w:t>The proportion of cases treated for cannabis as a main problem decreased from 26.4% in 2016 to 18.7% in 2022</w:t>
      </w:r>
      <w:r>
        <w:rPr>
          <w:rFonts w:asciiTheme="minorHAnsi" w:hAnsiTheme="minorHAnsi" w:cstheme="minorHAnsi"/>
          <w:sz w:val="22"/>
          <w:lang w:eastAsia="en-IE"/>
        </w:rPr>
        <w:t xml:space="preserve">. </w:t>
      </w:r>
    </w:p>
    <w:p w14:paraId="5285AB36" w14:textId="46EC2D9D" w:rsidR="00A37EB0" w:rsidRPr="009E50F9" w:rsidRDefault="00A37EB0" w:rsidP="00556785">
      <w:pPr>
        <w:numPr>
          <w:ilvl w:val="0"/>
          <w:numId w:val="20"/>
        </w:numPr>
        <w:spacing w:line="312" w:lineRule="auto"/>
        <w:rPr>
          <w:rFonts w:asciiTheme="minorHAnsi" w:hAnsiTheme="minorHAnsi" w:cstheme="minorHAnsi"/>
          <w:sz w:val="22"/>
          <w:lang w:val="en-IE" w:eastAsia="en-IE"/>
        </w:rPr>
      </w:pPr>
      <w:r w:rsidRPr="00A37EB0">
        <w:rPr>
          <w:rFonts w:asciiTheme="minorHAnsi" w:hAnsiTheme="minorHAnsi" w:cstheme="minorHAnsi"/>
          <w:sz w:val="22"/>
          <w:lang w:eastAsia="en-IE"/>
        </w:rPr>
        <w:t>Among young cases aged 19 years or younger, cannabis was the main drug generating treatment demand.</w:t>
      </w:r>
      <w:r>
        <w:rPr>
          <w:rFonts w:asciiTheme="minorHAnsi" w:hAnsiTheme="minorHAnsi" w:cstheme="minorHAnsi"/>
          <w:sz w:val="22"/>
          <w:lang w:eastAsia="en-IE"/>
        </w:rPr>
        <w:t xml:space="preserve"> </w:t>
      </w:r>
      <w:r w:rsidRPr="00A37EB0">
        <w:rPr>
          <w:rFonts w:asciiTheme="minorHAnsi" w:hAnsiTheme="minorHAnsi" w:cstheme="minorHAnsi"/>
          <w:sz w:val="22"/>
          <w:lang w:eastAsia="en-IE"/>
        </w:rPr>
        <w:t>Among new cases the proportion reporting cannabis as a main problem decreased from 41.2% in 2016 to 32.8% in 2022.</w:t>
      </w:r>
    </w:p>
    <w:p w14:paraId="2F8CBF04" w14:textId="77777777" w:rsidR="00A37EB0" w:rsidRDefault="00A37EB0" w:rsidP="00556785">
      <w:pPr>
        <w:pStyle w:val="Heading3"/>
        <w:spacing w:line="312" w:lineRule="auto"/>
        <w:rPr>
          <w:rFonts w:asciiTheme="minorHAnsi" w:hAnsiTheme="minorHAnsi" w:cstheme="minorHAnsi"/>
          <w:color w:val="auto"/>
          <w:sz w:val="22"/>
          <w:szCs w:val="22"/>
        </w:rPr>
      </w:pPr>
    </w:p>
    <w:p w14:paraId="138390BC" w14:textId="16009625" w:rsidR="001C76A2" w:rsidRPr="00D85E6B" w:rsidRDefault="001C76A2" w:rsidP="00556785">
      <w:pPr>
        <w:pStyle w:val="Heading3"/>
        <w:spacing w:line="312" w:lineRule="auto"/>
        <w:rPr>
          <w:rFonts w:asciiTheme="minorHAnsi" w:hAnsiTheme="minorHAnsi" w:cstheme="minorHAnsi"/>
          <w:b/>
          <w:bCs/>
          <w:color w:val="auto"/>
          <w:sz w:val="22"/>
          <w:szCs w:val="22"/>
        </w:rPr>
      </w:pPr>
      <w:r w:rsidRPr="00D85E6B">
        <w:rPr>
          <w:rFonts w:asciiTheme="minorHAnsi" w:hAnsiTheme="minorHAnsi" w:cstheme="minorHAnsi"/>
          <w:b/>
          <w:bCs/>
          <w:color w:val="auto"/>
          <w:sz w:val="22"/>
          <w:szCs w:val="22"/>
        </w:rPr>
        <w:t>Opioids (mainly heroin)</w:t>
      </w:r>
    </w:p>
    <w:p w14:paraId="17BAE82D" w14:textId="0176A7DE" w:rsidR="005E2E25" w:rsidRPr="005E2E25" w:rsidRDefault="005E2E25" w:rsidP="005E2E25">
      <w:pPr>
        <w:pStyle w:val="Heading4"/>
        <w:spacing w:line="312" w:lineRule="auto"/>
        <w:rPr>
          <w:rFonts w:asciiTheme="minorHAnsi" w:hAnsiTheme="minorHAnsi" w:cstheme="minorHAnsi"/>
          <w:i w:val="0"/>
          <w:iCs w:val="0"/>
          <w:color w:val="auto"/>
          <w:sz w:val="22"/>
          <w:lang w:val="en-IE"/>
        </w:rPr>
      </w:pPr>
      <w:r w:rsidRPr="005E2E25">
        <w:rPr>
          <w:rFonts w:asciiTheme="minorHAnsi" w:hAnsiTheme="minorHAnsi" w:cstheme="minorHAnsi"/>
          <w:i w:val="0"/>
          <w:iCs w:val="0"/>
          <w:color w:val="auto"/>
          <w:sz w:val="22"/>
          <w:lang w:val="en-IE"/>
        </w:rPr>
        <w:t xml:space="preserve">While Europe’s opioid market is becoming increasingly complex and there is increasing availability of synthetic opioids (SO), such as fentanyl and nitazines, heroin is still the most </w:t>
      </w:r>
      <w:proofErr w:type="gramStart"/>
      <w:r w:rsidRPr="005E2E25">
        <w:rPr>
          <w:rFonts w:asciiTheme="minorHAnsi" w:hAnsiTheme="minorHAnsi" w:cstheme="minorHAnsi"/>
          <w:i w:val="0"/>
          <w:iCs w:val="0"/>
          <w:color w:val="auto"/>
          <w:sz w:val="22"/>
          <w:lang w:val="en-IE"/>
        </w:rPr>
        <w:t>widely</w:t>
      </w:r>
      <w:r w:rsidR="008D2F83">
        <w:rPr>
          <w:rFonts w:asciiTheme="minorHAnsi" w:hAnsiTheme="minorHAnsi" w:cstheme="minorHAnsi"/>
          <w:i w:val="0"/>
          <w:iCs w:val="0"/>
          <w:color w:val="auto"/>
          <w:sz w:val="22"/>
          <w:lang w:val="en-IE"/>
        </w:rPr>
        <w:t>-</w:t>
      </w:r>
      <w:r w:rsidRPr="005E2E25">
        <w:rPr>
          <w:rFonts w:asciiTheme="minorHAnsi" w:hAnsiTheme="minorHAnsi" w:cstheme="minorHAnsi"/>
          <w:i w:val="0"/>
          <w:iCs w:val="0"/>
          <w:color w:val="auto"/>
          <w:sz w:val="22"/>
          <w:lang w:val="en-IE"/>
        </w:rPr>
        <w:t>used</w:t>
      </w:r>
      <w:proofErr w:type="gramEnd"/>
      <w:r w:rsidRPr="005E2E25">
        <w:rPr>
          <w:rFonts w:asciiTheme="minorHAnsi" w:hAnsiTheme="minorHAnsi" w:cstheme="minorHAnsi"/>
          <w:i w:val="0"/>
          <w:iCs w:val="0"/>
          <w:color w:val="auto"/>
          <w:sz w:val="22"/>
          <w:lang w:val="en-IE"/>
        </w:rPr>
        <w:t xml:space="preserve"> opioid and a cause serious health problems and multiple deaths. Despite the ban on opium poppy cultivation in Afghanistan, the source of most of the Europe’s heroin, there is little sign of heroin shortages in Europe.  That may </w:t>
      </w:r>
      <w:r w:rsidR="008D2F83">
        <w:rPr>
          <w:rFonts w:asciiTheme="minorHAnsi" w:hAnsiTheme="minorHAnsi" w:cstheme="minorHAnsi"/>
          <w:i w:val="0"/>
          <w:iCs w:val="0"/>
          <w:color w:val="auto"/>
          <w:sz w:val="22"/>
          <w:lang w:val="en-IE"/>
        </w:rPr>
        <w:t>change</w:t>
      </w:r>
      <w:r w:rsidRPr="005E2E25">
        <w:rPr>
          <w:rFonts w:asciiTheme="minorHAnsi" w:hAnsiTheme="minorHAnsi" w:cstheme="minorHAnsi"/>
          <w:i w:val="0"/>
          <w:iCs w:val="0"/>
          <w:color w:val="auto"/>
          <w:sz w:val="22"/>
          <w:lang w:val="en-IE"/>
        </w:rPr>
        <w:t xml:space="preserve"> in the coming years and the threat from new synthetic opioids, 81 of which have been identified in European since 2009, will increase. Most of the new SO reported to the EU Early Warning System were nitazines, which are sometimes mis-sold as heroin and resulted in several deaths in Estonia in 2023.  There have also been localised outbreaks in France and Ireland. </w:t>
      </w:r>
      <w:r w:rsidRPr="005E2E25">
        <w:rPr>
          <w:rFonts w:asciiTheme="minorHAnsi" w:hAnsiTheme="minorHAnsi" w:cstheme="minorHAnsi"/>
          <w:i w:val="0"/>
          <w:iCs w:val="0"/>
          <w:color w:val="auto"/>
          <w:sz w:val="22"/>
          <w:lang w:val="en-GB"/>
        </w:rPr>
        <w:t>Europe needs to prepare for possible market shifts, by ensuring adequate access to opioid agonist treatment and harm reduction services, as well as making available sufficient supplies of the overdose-reversal drug naloxone.</w:t>
      </w:r>
    </w:p>
    <w:p w14:paraId="715CE6B2" w14:textId="77777777" w:rsidR="001C76A2" w:rsidRPr="00D85E6B" w:rsidRDefault="001C76A2" w:rsidP="00D85E6B">
      <w:pPr>
        <w:pStyle w:val="Heading4"/>
        <w:rPr>
          <w:b/>
          <w:bCs/>
          <w:sz w:val="22"/>
          <w:szCs w:val="24"/>
        </w:rPr>
      </w:pPr>
      <w:r w:rsidRPr="00D85E6B">
        <w:rPr>
          <w:b/>
          <w:bCs/>
          <w:sz w:val="22"/>
          <w:szCs w:val="24"/>
        </w:rPr>
        <w:t>European situation</w:t>
      </w:r>
    </w:p>
    <w:p w14:paraId="04B7ABD1" w14:textId="0AE3734E" w:rsidR="00382D0D" w:rsidRPr="009E50F9" w:rsidRDefault="00D212C8" w:rsidP="004C6307">
      <w:pPr>
        <w:pStyle w:val="ListParagraph"/>
        <w:numPr>
          <w:ilvl w:val="0"/>
          <w:numId w:val="31"/>
        </w:numPr>
        <w:spacing w:before="120" w:after="120" w:line="312" w:lineRule="auto"/>
        <w:ind w:left="357" w:hanging="357"/>
      </w:pPr>
      <w:r w:rsidRPr="00D212C8">
        <w:t>It is estimated that 0.3% of the EU adult population, or around 860 000 people, used opioids in 2022</w:t>
      </w:r>
      <w:r w:rsidR="00382D0D" w:rsidRPr="009E50F9">
        <w:t xml:space="preserve">. </w:t>
      </w:r>
    </w:p>
    <w:p w14:paraId="154717F7" w14:textId="10C1B2DE" w:rsidR="00382D0D" w:rsidRPr="009E50F9" w:rsidRDefault="001360DE" w:rsidP="004C6307">
      <w:pPr>
        <w:pStyle w:val="ListParagraph"/>
        <w:numPr>
          <w:ilvl w:val="0"/>
          <w:numId w:val="31"/>
        </w:numPr>
        <w:spacing w:before="120" w:after="120" w:line="312" w:lineRule="auto"/>
        <w:ind w:left="357" w:hanging="357"/>
      </w:pPr>
      <w:bookmarkStart w:id="4" w:name="_Hlk128576963"/>
      <w:r w:rsidRPr="001360DE">
        <w:lastRenderedPageBreak/>
        <w:t>Opioid use was reported as the main reason for entering specialised drug treatment by 63</w:t>
      </w:r>
      <w:r w:rsidR="00D85E6B">
        <w:t>,</w:t>
      </w:r>
      <w:r w:rsidRPr="001360DE">
        <w:t>000 c</w:t>
      </w:r>
      <w:r w:rsidR="00D85E6B">
        <w:t>ases</w:t>
      </w:r>
      <w:r w:rsidRPr="001360DE">
        <w:t xml:space="preserve"> in 2022, representing 25% of all those entering drug treatment in Europe</w:t>
      </w:r>
      <w:r w:rsidR="00644E86">
        <w:t>. An</w:t>
      </w:r>
      <w:r w:rsidR="00644E86" w:rsidRPr="00644E86">
        <w:t xml:space="preserve"> estimated 508</w:t>
      </w:r>
      <w:r w:rsidR="00D85E6B">
        <w:t>,</w:t>
      </w:r>
      <w:r w:rsidR="00644E86" w:rsidRPr="00644E86">
        <w:t>000 c</w:t>
      </w:r>
      <w:r w:rsidR="00D85E6B">
        <w:t>ases</w:t>
      </w:r>
      <w:r w:rsidR="00644E86" w:rsidRPr="00644E86">
        <w:t xml:space="preserve"> received</w:t>
      </w:r>
      <w:r w:rsidR="00D85E6B">
        <w:t>.</w:t>
      </w:r>
      <w:r w:rsidR="00644E86" w:rsidRPr="00644E86">
        <w:t xml:space="preserve"> opioid agonist treatment in 2022</w:t>
      </w:r>
      <w:r w:rsidR="0086349E">
        <w:t xml:space="preserve">. Data </w:t>
      </w:r>
      <w:r w:rsidR="0086349E" w:rsidRPr="0086349E">
        <w:t>suggest that the long-term downward trend in the number of people entering treatment for heroin use has continued</w:t>
      </w:r>
      <w:r w:rsidR="00D85E6B">
        <w:t>.</w:t>
      </w:r>
    </w:p>
    <w:bookmarkEnd w:id="4"/>
    <w:p w14:paraId="7EB47B5D" w14:textId="77777777" w:rsidR="00AB0C71" w:rsidRDefault="00382D0D" w:rsidP="00556785">
      <w:pPr>
        <w:pStyle w:val="ListParagraph"/>
        <w:numPr>
          <w:ilvl w:val="0"/>
          <w:numId w:val="31"/>
        </w:numPr>
        <w:spacing w:before="120" w:after="120" w:line="312" w:lineRule="auto"/>
        <w:ind w:left="357" w:hanging="357"/>
      </w:pPr>
      <w:r w:rsidRPr="009E50F9">
        <w:t xml:space="preserve">Heroin remained the third </w:t>
      </w:r>
      <w:proofErr w:type="gramStart"/>
      <w:r w:rsidRPr="009E50F9">
        <w:t>most commonly identified</w:t>
      </w:r>
      <w:proofErr w:type="gramEnd"/>
      <w:r w:rsidRPr="009E50F9">
        <w:t xml:space="preserve"> drug in acute drug toxicity presentations in Euro-DEN Plus hospitals in 2021, accounting for 15 % of all reported cases.</w:t>
      </w:r>
    </w:p>
    <w:p w14:paraId="77D9BD48" w14:textId="71F7AD36" w:rsidR="00AB0C71" w:rsidRDefault="00877104" w:rsidP="00D85E6B">
      <w:pPr>
        <w:pStyle w:val="ListParagraph"/>
        <w:numPr>
          <w:ilvl w:val="0"/>
          <w:numId w:val="31"/>
        </w:numPr>
        <w:spacing w:before="120" w:after="120" w:line="312" w:lineRule="auto"/>
        <w:ind w:left="357" w:hanging="357"/>
      </w:pPr>
      <w:r w:rsidRPr="00877104">
        <w:t>Opioids were found in an estimated 74% of fatal overdoses reported in the European Union. It should be noted that multiple drugs are commonly found in toxicology reports from suspected drug-induced deaths.</w:t>
      </w:r>
    </w:p>
    <w:p w14:paraId="0F4A14D5" w14:textId="52C8AE76" w:rsidR="001C76A2" w:rsidRPr="00D85E6B" w:rsidRDefault="001C76A2" w:rsidP="00D85E6B">
      <w:pPr>
        <w:pStyle w:val="Heading4"/>
        <w:rPr>
          <w:rFonts w:ascii="Calibri" w:hAnsi="Calibri"/>
          <w:b/>
          <w:bCs/>
          <w:sz w:val="22"/>
          <w:szCs w:val="24"/>
        </w:rPr>
      </w:pPr>
      <w:r w:rsidRPr="00D85E6B">
        <w:rPr>
          <w:b/>
          <w:bCs/>
          <w:sz w:val="22"/>
          <w:szCs w:val="24"/>
        </w:rPr>
        <w:t xml:space="preserve">Irish comparison </w:t>
      </w:r>
    </w:p>
    <w:p w14:paraId="38B007E6" w14:textId="16EC27A8" w:rsidR="00EB6150" w:rsidRDefault="00EB6150" w:rsidP="00556785">
      <w:pPr>
        <w:pStyle w:val="HRBText"/>
        <w:numPr>
          <w:ilvl w:val="0"/>
          <w:numId w:val="1"/>
        </w:numPr>
        <w:spacing w:line="312" w:lineRule="auto"/>
        <w:rPr>
          <w:rFonts w:asciiTheme="minorHAnsi" w:hAnsiTheme="minorHAnsi" w:cstheme="minorHAnsi"/>
        </w:rPr>
      </w:pPr>
      <w:r w:rsidRPr="00EB6150">
        <w:rPr>
          <w:rFonts w:asciiTheme="minorHAnsi" w:hAnsiTheme="minorHAnsi" w:cstheme="minorHAnsi"/>
          <w:lang w:val="en-US"/>
        </w:rPr>
        <w:t>The 2022 study, Problematic opioid use in Ireland, 2015–2019, found that there were an estimated 19,875 problematic opioid users in Ireland in 2019, which equates to a prevalence rate of 6.68 per 1,000 population</w:t>
      </w:r>
      <w:r w:rsidR="00286F8C">
        <w:rPr>
          <w:rFonts w:asciiTheme="minorHAnsi" w:hAnsiTheme="minorHAnsi" w:cstheme="minorHAnsi"/>
          <w:lang w:val="en-US"/>
        </w:rPr>
        <w:t>.</w:t>
      </w:r>
    </w:p>
    <w:p w14:paraId="6219CB35" w14:textId="77777777" w:rsidR="00624DEF" w:rsidRPr="00624DEF" w:rsidRDefault="005967A5" w:rsidP="00556785">
      <w:pPr>
        <w:pStyle w:val="HRBText"/>
        <w:numPr>
          <w:ilvl w:val="0"/>
          <w:numId w:val="1"/>
        </w:numPr>
        <w:spacing w:line="312" w:lineRule="auto"/>
        <w:rPr>
          <w:rFonts w:asciiTheme="minorHAnsi" w:hAnsiTheme="minorHAnsi" w:cstheme="minorHAnsi"/>
          <w:lang w:val="en-GB"/>
        </w:rPr>
      </w:pPr>
      <w:r w:rsidRPr="005967A5">
        <w:rPr>
          <w:rFonts w:asciiTheme="minorHAnsi" w:hAnsiTheme="minorHAnsi" w:cstheme="minorHAnsi"/>
          <w:lang w:val="en-US"/>
        </w:rPr>
        <w:t>Opioids (mainly heroin) were the second most common main problem drug reported</w:t>
      </w:r>
      <w:r w:rsidR="003D6911">
        <w:rPr>
          <w:rFonts w:asciiTheme="minorHAnsi" w:hAnsiTheme="minorHAnsi" w:cstheme="minorHAnsi"/>
          <w:lang w:val="en-US"/>
        </w:rPr>
        <w:t xml:space="preserve"> to treatment services</w:t>
      </w:r>
      <w:r w:rsidRPr="005967A5">
        <w:rPr>
          <w:rFonts w:asciiTheme="minorHAnsi" w:hAnsiTheme="minorHAnsi" w:cstheme="minorHAnsi"/>
          <w:lang w:val="en-US"/>
        </w:rPr>
        <w:t xml:space="preserve"> in 2022. Heroin accounted for 86.6% of all opioid cases in 2022. The proportion of cases treated for opioids decreased from 47.0% in 2016 to 33.1% in 2022.</w:t>
      </w:r>
    </w:p>
    <w:p w14:paraId="12FE516C" w14:textId="77777777" w:rsidR="00624DEF" w:rsidRPr="00624DEF" w:rsidRDefault="00624DEF" w:rsidP="00556785">
      <w:pPr>
        <w:pStyle w:val="HRBText"/>
        <w:numPr>
          <w:ilvl w:val="0"/>
          <w:numId w:val="1"/>
        </w:numPr>
        <w:spacing w:line="312" w:lineRule="auto"/>
        <w:rPr>
          <w:rFonts w:asciiTheme="minorHAnsi" w:hAnsiTheme="minorHAnsi" w:cstheme="minorHAnsi"/>
          <w:lang w:val="en-GB"/>
        </w:rPr>
      </w:pPr>
      <w:r w:rsidRPr="00624DEF">
        <w:rPr>
          <w:rFonts w:asciiTheme="minorHAnsi" w:hAnsiTheme="minorHAnsi" w:cstheme="minorHAnsi"/>
        </w:rPr>
        <w:t xml:space="preserve">Opiates were the main drug group implicated in poisoning deaths in Ireland in 2020: </w:t>
      </w:r>
    </w:p>
    <w:p w14:paraId="6B70ED90" w14:textId="77777777" w:rsidR="00624DEF" w:rsidRPr="00624DEF" w:rsidRDefault="00624DEF" w:rsidP="00624DEF">
      <w:pPr>
        <w:pStyle w:val="HRBText"/>
        <w:numPr>
          <w:ilvl w:val="1"/>
          <w:numId w:val="1"/>
        </w:numPr>
        <w:spacing w:line="312" w:lineRule="auto"/>
        <w:rPr>
          <w:rFonts w:asciiTheme="minorHAnsi" w:hAnsiTheme="minorHAnsi" w:cstheme="minorHAnsi"/>
          <w:lang w:val="en-GB"/>
        </w:rPr>
      </w:pPr>
      <w:r w:rsidRPr="00624DEF">
        <w:rPr>
          <w:rFonts w:asciiTheme="minorHAnsi" w:hAnsiTheme="minorHAnsi" w:cstheme="minorHAnsi"/>
        </w:rPr>
        <w:t xml:space="preserve"> Methadone was the most common single prescribable drug; it was implicated in 139 poisonings.</w:t>
      </w:r>
    </w:p>
    <w:p w14:paraId="00271B26" w14:textId="54291B21" w:rsidR="00E84A4E" w:rsidRPr="00624DEF" w:rsidRDefault="00624DEF" w:rsidP="00624DEF">
      <w:pPr>
        <w:pStyle w:val="HRBText"/>
        <w:numPr>
          <w:ilvl w:val="1"/>
          <w:numId w:val="1"/>
        </w:numPr>
        <w:spacing w:line="312" w:lineRule="auto"/>
        <w:rPr>
          <w:rFonts w:asciiTheme="minorHAnsi" w:hAnsiTheme="minorHAnsi" w:cstheme="minorHAnsi"/>
          <w:lang w:val="en-GB"/>
        </w:rPr>
      </w:pPr>
      <w:r w:rsidRPr="00624DEF">
        <w:rPr>
          <w:rFonts w:asciiTheme="minorHAnsi" w:hAnsiTheme="minorHAnsi" w:cstheme="minorHAnsi"/>
        </w:rPr>
        <w:t>Heroin poisoning deaths increased from 64 deaths in 2011</w:t>
      </w:r>
      <w:r w:rsidR="00D85E6B">
        <w:rPr>
          <w:rFonts w:asciiTheme="minorHAnsi" w:hAnsiTheme="minorHAnsi" w:cstheme="minorHAnsi"/>
        </w:rPr>
        <w:t>,</w:t>
      </w:r>
      <w:r w:rsidRPr="00624DEF">
        <w:rPr>
          <w:rFonts w:asciiTheme="minorHAnsi" w:hAnsiTheme="minorHAnsi" w:cstheme="minorHAnsi"/>
        </w:rPr>
        <w:t xml:space="preserve"> to 113 deaths in 2020.</w:t>
      </w:r>
    </w:p>
    <w:p w14:paraId="77492D62" w14:textId="07065C28" w:rsidR="00492657" w:rsidRPr="00D85E6B" w:rsidRDefault="00E80176" w:rsidP="00556785">
      <w:pPr>
        <w:pStyle w:val="Heading3"/>
        <w:spacing w:line="312" w:lineRule="auto"/>
        <w:rPr>
          <w:rFonts w:asciiTheme="minorHAnsi" w:hAnsiTheme="minorHAnsi" w:cstheme="minorHAnsi"/>
          <w:b/>
          <w:bCs/>
          <w:color w:val="auto"/>
          <w:sz w:val="22"/>
          <w:szCs w:val="22"/>
          <w:lang w:val="en-GB" w:eastAsia="en-GB"/>
        </w:rPr>
      </w:pPr>
      <w:r w:rsidRPr="00D85E6B">
        <w:rPr>
          <w:rFonts w:asciiTheme="minorHAnsi" w:hAnsiTheme="minorHAnsi" w:cstheme="minorHAnsi"/>
          <w:b/>
          <w:bCs/>
          <w:color w:val="auto"/>
          <w:sz w:val="22"/>
          <w:szCs w:val="22"/>
          <w:lang w:val="en-GB" w:eastAsia="en-GB"/>
        </w:rPr>
        <w:t>N</w:t>
      </w:r>
      <w:r w:rsidR="00FF125B" w:rsidRPr="00D85E6B">
        <w:rPr>
          <w:rFonts w:asciiTheme="minorHAnsi" w:hAnsiTheme="minorHAnsi" w:cstheme="minorHAnsi"/>
          <w:b/>
          <w:bCs/>
          <w:color w:val="auto"/>
          <w:sz w:val="22"/>
          <w:szCs w:val="22"/>
          <w:lang w:val="en-GB" w:eastAsia="en-GB"/>
        </w:rPr>
        <w:t xml:space="preserve">ew </w:t>
      </w:r>
      <w:r w:rsidR="009A576E" w:rsidRPr="00D85E6B">
        <w:rPr>
          <w:rFonts w:asciiTheme="minorHAnsi" w:hAnsiTheme="minorHAnsi" w:cstheme="minorHAnsi"/>
          <w:b/>
          <w:bCs/>
          <w:color w:val="auto"/>
          <w:sz w:val="22"/>
          <w:szCs w:val="22"/>
          <w:lang w:val="en-GB" w:eastAsia="en-GB"/>
        </w:rPr>
        <w:t>p</w:t>
      </w:r>
      <w:r w:rsidR="00FF125B" w:rsidRPr="00D85E6B">
        <w:rPr>
          <w:rFonts w:asciiTheme="minorHAnsi" w:hAnsiTheme="minorHAnsi" w:cstheme="minorHAnsi"/>
          <w:b/>
          <w:bCs/>
          <w:color w:val="auto"/>
          <w:sz w:val="22"/>
          <w:szCs w:val="22"/>
          <w:lang w:val="en-GB" w:eastAsia="en-GB"/>
        </w:rPr>
        <w:t xml:space="preserve">sychoactive </w:t>
      </w:r>
      <w:r w:rsidR="009A576E" w:rsidRPr="00D85E6B">
        <w:rPr>
          <w:rFonts w:asciiTheme="minorHAnsi" w:hAnsiTheme="minorHAnsi" w:cstheme="minorHAnsi"/>
          <w:b/>
          <w:bCs/>
          <w:color w:val="auto"/>
          <w:sz w:val="22"/>
          <w:szCs w:val="22"/>
          <w:lang w:val="en-GB" w:eastAsia="en-GB"/>
        </w:rPr>
        <w:t>s</w:t>
      </w:r>
      <w:r w:rsidR="00FF125B" w:rsidRPr="00D85E6B">
        <w:rPr>
          <w:rFonts w:asciiTheme="minorHAnsi" w:hAnsiTheme="minorHAnsi" w:cstheme="minorHAnsi"/>
          <w:b/>
          <w:bCs/>
          <w:color w:val="auto"/>
          <w:sz w:val="22"/>
          <w:szCs w:val="22"/>
          <w:lang w:val="en-GB" w:eastAsia="en-GB"/>
        </w:rPr>
        <w:t>ubstances</w:t>
      </w:r>
      <w:r w:rsidR="00492657" w:rsidRPr="00D85E6B">
        <w:rPr>
          <w:rFonts w:asciiTheme="minorHAnsi" w:hAnsiTheme="minorHAnsi" w:cstheme="minorHAnsi"/>
          <w:b/>
          <w:bCs/>
          <w:color w:val="auto"/>
          <w:sz w:val="22"/>
          <w:szCs w:val="22"/>
          <w:lang w:val="en-GB" w:eastAsia="en-GB"/>
        </w:rPr>
        <w:t xml:space="preserve"> </w:t>
      </w:r>
    </w:p>
    <w:p w14:paraId="4DC6D8A7" w14:textId="77777777" w:rsidR="00EA24DD" w:rsidRDefault="00E61DDD" w:rsidP="00D85E6B">
      <w:pPr>
        <w:spacing w:before="40" w:line="312" w:lineRule="auto"/>
        <w:rPr>
          <w:rFonts w:asciiTheme="minorHAnsi" w:eastAsiaTheme="majorEastAsia" w:hAnsiTheme="minorHAnsi" w:cstheme="minorHAnsi"/>
          <w:bCs/>
          <w:sz w:val="22"/>
          <w:lang w:val="en-GB"/>
        </w:rPr>
      </w:pPr>
      <w:r w:rsidRPr="00E61DDD">
        <w:rPr>
          <w:rFonts w:asciiTheme="minorHAnsi" w:eastAsiaTheme="majorEastAsia" w:hAnsiTheme="minorHAnsi" w:cstheme="minorHAnsi"/>
          <w:bCs/>
          <w:sz w:val="22"/>
          <w:lang w:val="en-GB"/>
        </w:rPr>
        <w:t xml:space="preserve">New psychoactive substances </w:t>
      </w:r>
      <w:proofErr w:type="gramStart"/>
      <w:r w:rsidRPr="00E61DDD">
        <w:rPr>
          <w:rFonts w:asciiTheme="minorHAnsi" w:eastAsiaTheme="majorEastAsia" w:hAnsiTheme="minorHAnsi" w:cstheme="minorHAnsi"/>
          <w:bCs/>
          <w:sz w:val="22"/>
          <w:lang w:val="en-GB"/>
        </w:rPr>
        <w:t>is</w:t>
      </w:r>
      <w:proofErr w:type="gramEnd"/>
      <w:r w:rsidRPr="00E61DDD">
        <w:rPr>
          <w:rFonts w:asciiTheme="minorHAnsi" w:eastAsiaTheme="majorEastAsia" w:hAnsiTheme="minorHAnsi" w:cstheme="minorHAnsi"/>
          <w:bCs/>
          <w:sz w:val="22"/>
          <w:lang w:val="en-GB"/>
        </w:rPr>
        <w:t xml:space="preserve"> a broad term describing drugs that are not controlled by international drug control conventions. The number of NPS entering the market is slowing, with just 26 identified in 2023, a little over half of the annual average between 2016 and 2022. China and India remaining important source countries for these substances or the precursors that are required to produce them.</w:t>
      </w:r>
      <w:r w:rsidR="008B0A19">
        <w:rPr>
          <w:rFonts w:asciiTheme="minorHAnsi" w:eastAsiaTheme="majorEastAsia" w:hAnsiTheme="minorHAnsi" w:cstheme="minorHAnsi"/>
          <w:bCs/>
          <w:sz w:val="22"/>
          <w:lang w:val="en-GB"/>
        </w:rPr>
        <w:t xml:space="preserve"> </w:t>
      </w:r>
    </w:p>
    <w:p w14:paraId="1E21C03F" w14:textId="77777777" w:rsidR="00EA24DD" w:rsidRDefault="00EA24DD" w:rsidP="00D85E6B">
      <w:pPr>
        <w:spacing w:before="40" w:line="312" w:lineRule="auto"/>
        <w:rPr>
          <w:rFonts w:asciiTheme="minorHAnsi" w:eastAsiaTheme="majorEastAsia" w:hAnsiTheme="minorHAnsi" w:cstheme="minorHAnsi"/>
          <w:bCs/>
          <w:sz w:val="22"/>
          <w:lang w:val="en-GB"/>
        </w:rPr>
      </w:pPr>
    </w:p>
    <w:p w14:paraId="7FF23DC5" w14:textId="60725B34" w:rsidR="00E61DDD" w:rsidRPr="00E61DDD" w:rsidRDefault="00E61DDD" w:rsidP="00D85E6B">
      <w:pPr>
        <w:spacing w:before="40" w:line="312" w:lineRule="auto"/>
        <w:rPr>
          <w:rFonts w:asciiTheme="minorHAnsi" w:eastAsiaTheme="majorEastAsia" w:hAnsiTheme="minorHAnsi" w:cstheme="minorHAnsi"/>
          <w:bCs/>
          <w:sz w:val="22"/>
          <w:lang w:val="en-GB"/>
        </w:rPr>
      </w:pPr>
      <w:r w:rsidRPr="00E61DDD">
        <w:rPr>
          <w:rFonts w:asciiTheme="minorHAnsi" w:eastAsiaTheme="majorEastAsia" w:hAnsiTheme="minorHAnsi" w:cstheme="minorHAnsi"/>
          <w:bCs/>
          <w:sz w:val="22"/>
          <w:lang w:val="en-GB"/>
        </w:rPr>
        <w:t>The 9 new cannabinoids detected, 4 of which are semi-synthetic cannabinoids, accounted for approximately one third of the new substances first reported to the EU Early Warning System in 2023. Seven new synthetic opioids were formally notified in 2023, with 6 of them belonging to the highly potent group of benzimidazole (nitazene) opioids.</w:t>
      </w:r>
    </w:p>
    <w:p w14:paraId="26D13119" w14:textId="77777777" w:rsidR="00D85E6B" w:rsidRDefault="00D85E6B" w:rsidP="00D85E6B">
      <w:pPr>
        <w:pStyle w:val="Heading2"/>
        <w:spacing w:line="312" w:lineRule="auto"/>
        <w:rPr>
          <w:rFonts w:asciiTheme="minorHAnsi" w:hAnsiTheme="minorHAnsi" w:cstheme="minorHAnsi"/>
          <w:sz w:val="22"/>
          <w:szCs w:val="22"/>
        </w:rPr>
      </w:pPr>
    </w:p>
    <w:p w14:paraId="748E690F" w14:textId="32314282" w:rsidR="00D85E6B" w:rsidRPr="00556785" w:rsidRDefault="00D85E6B" w:rsidP="00D85E6B">
      <w:pPr>
        <w:pStyle w:val="Heading2"/>
        <w:spacing w:line="312" w:lineRule="auto"/>
        <w:rPr>
          <w:rFonts w:asciiTheme="minorHAnsi" w:hAnsiTheme="minorHAnsi" w:cstheme="minorHAnsi"/>
          <w:sz w:val="22"/>
          <w:szCs w:val="22"/>
        </w:rPr>
      </w:pPr>
      <w:r w:rsidRPr="00556785">
        <w:rPr>
          <w:rFonts w:asciiTheme="minorHAnsi" w:hAnsiTheme="minorHAnsi" w:cstheme="minorHAnsi"/>
          <w:sz w:val="22"/>
          <w:szCs w:val="22"/>
        </w:rPr>
        <w:t>Notes on Irish data</w:t>
      </w:r>
    </w:p>
    <w:p w14:paraId="6948DA37" w14:textId="1C37EC4C" w:rsidR="007B576D" w:rsidRDefault="00D85E6B" w:rsidP="00D85E6B">
      <w:pPr>
        <w:spacing w:line="312" w:lineRule="auto"/>
        <w:rPr>
          <w:rFonts w:asciiTheme="minorHAnsi" w:hAnsiTheme="minorHAnsi" w:cstheme="minorHAnsi"/>
          <w:sz w:val="22"/>
          <w:szCs w:val="24"/>
          <w:lang w:val="en-GB" w:eastAsia="en-GB"/>
        </w:rPr>
      </w:pPr>
      <w:r w:rsidRPr="00D85E6B">
        <w:rPr>
          <w:rFonts w:asciiTheme="minorHAnsi" w:hAnsiTheme="minorHAnsi" w:cstheme="minorHAnsi"/>
          <w:sz w:val="22"/>
          <w:szCs w:val="24"/>
          <w:lang w:val="en-GB" w:eastAsia="en-GB"/>
        </w:rPr>
        <w:t>*The Irish drug treatment data referred to above is taken from reports on those entering treatment in 2022. Data on cases entering treatment in 2023 will be published in late June 2024</w:t>
      </w:r>
      <w:r>
        <w:rPr>
          <w:rFonts w:asciiTheme="minorHAnsi" w:hAnsiTheme="minorHAnsi" w:cstheme="minorHAnsi"/>
          <w:sz w:val="22"/>
          <w:szCs w:val="24"/>
          <w:lang w:val="en-GB" w:eastAsia="en-GB"/>
        </w:rPr>
        <w:t xml:space="preserve">. </w:t>
      </w:r>
    </w:p>
    <w:p w14:paraId="0AD1EB01" w14:textId="77777777" w:rsidR="00D85E6B" w:rsidRPr="00D85E6B" w:rsidRDefault="00D85E6B" w:rsidP="00D85E6B">
      <w:pPr>
        <w:spacing w:line="312" w:lineRule="auto"/>
        <w:rPr>
          <w:rFonts w:asciiTheme="minorHAnsi" w:hAnsiTheme="minorHAnsi" w:cstheme="minorHAnsi"/>
          <w:bCs/>
          <w:i/>
          <w:sz w:val="22"/>
          <w:szCs w:val="24"/>
          <w:lang w:val="ga-IE"/>
        </w:rPr>
      </w:pPr>
    </w:p>
    <w:p w14:paraId="72C62847" w14:textId="317BEB1F" w:rsidR="005B48CA" w:rsidRPr="00D85E6B" w:rsidRDefault="005B48CA" w:rsidP="00556785">
      <w:pPr>
        <w:spacing w:line="312" w:lineRule="auto"/>
        <w:rPr>
          <w:rFonts w:asciiTheme="minorHAnsi" w:hAnsiTheme="minorHAnsi" w:cstheme="minorHAnsi"/>
          <w:b/>
          <w:sz w:val="22"/>
        </w:rPr>
      </w:pPr>
      <w:r w:rsidRPr="00556785">
        <w:rPr>
          <w:rFonts w:asciiTheme="minorHAnsi" w:hAnsiTheme="minorHAnsi" w:cstheme="minorHAnsi"/>
          <w:b/>
          <w:sz w:val="22"/>
        </w:rPr>
        <w:t>ENDS</w:t>
      </w:r>
    </w:p>
    <w:p w14:paraId="37041931" w14:textId="77777777" w:rsidR="003250CC" w:rsidRPr="00556785" w:rsidRDefault="003250CC" w:rsidP="00556785">
      <w:pPr>
        <w:pStyle w:val="Heading2"/>
        <w:spacing w:line="312" w:lineRule="auto"/>
        <w:rPr>
          <w:rFonts w:asciiTheme="minorHAnsi" w:hAnsiTheme="minorHAnsi" w:cstheme="minorHAnsi"/>
          <w:sz w:val="22"/>
          <w:szCs w:val="22"/>
          <w:lang w:val="en"/>
        </w:rPr>
      </w:pPr>
      <w:r w:rsidRPr="00556785">
        <w:rPr>
          <w:rFonts w:asciiTheme="minorHAnsi" w:hAnsiTheme="minorHAnsi" w:cstheme="minorHAnsi"/>
          <w:sz w:val="22"/>
          <w:szCs w:val="22"/>
          <w:lang w:val="en"/>
        </w:rPr>
        <w:t xml:space="preserve">If you have any queries in relation to the Irish figures, you </w:t>
      </w:r>
      <w:r w:rsidR="006E1181" w:rsidRPr="00556785">
        <w:rPr>
          <w:rFonts w:asciiTheme="minorHAnsi" w:hAnsiTheme="minorHAnsi" w:cstheme="minorHAnsi"/>
          <w:sz w:val="22"/>
          <w:szCs w:val="22"/>
          <w:lang w:val="en"/>
        </w:rPr>
        <w:t xml:space="preserve">can </w:t>
      </w:r>
      <w:r w:rsidRPr="00556785">
        <w:rPr>
          <w:rFonts w:asciiTheme="minorHAnsi" w:hAnsiTheme="minorHAnsi" w:cstheme="minorHAnsi"/>
          <w:sz w:val="22"/>
          <w:szCs w:val="22"/>
          <w:lang w:val="en"/>
        </w:rPr>
        <w:t>contact</w:t>
      </w:r>
      <w:r w:rsidR="00FE3B12" w:rsidRPr="00556785">
        <w:rPr>
          <w:rFonts w:asciiTheme="minorHAnsi" w:hAnsiTheme="minorHAnsi" w:cstheme="minorHAnsi"/>
          <w:sz w:val="22"/>
          <w:szCs w:val="22"/>
          <w:lang w:val="en"/>
        </w:rPr>
        <w:t>:</w:t>
      </w:r>
    </w:p>
    <w:p w14:paraId="33473628" w14:textId="33373D9F" w:rsidR="003250CC" w:rsidRPr="00556785" w:rsidRDefault="0044377F" w:rsidP="670C14B9">
      <w:pPr>
        <w:spacing w:line="312" w:lineRule="auto"/>
        <w:rPr>
          <w:rFonts w:asciiTheme="minorHAnsi" w:hAnsiTheme="minorHAnsi" w:cstheme="minorBidi"/>
          <w:sz w:val="22"/>
        </w:rPr>
      </w:pPr>
      <w:r w:rsidRPr="670C14B9">
        <w:rPr>
          <w:rFonts w:asciiTheme="minorHAnsi" w:hAnsiTheme="minorHAnsi" w:cstheme="minorBidi"/>
          <w:sz w:val="22"/>
        </w:rPr>
        <w:t>Brian Galvin</w:t>
      </w:r>
      <w:r w:rsidR="003250CC" w:rsidRPr="670C14B9">
        <w:rPr>
          <w:rFonts w:asciiTheme="minorHAnsi" w:hAnsiTheme="minorHAnsi" w:cstheme="minorBidi"/>
          <w:sz w:val="22"/>
        </w:rPr>
        <w:t xml:space="preserve">, </w:t>
      </w:r>
      <w:r w:rsidRPr="670C14B9">
        <w:rPr>
          <w:rFonts w:asciiTheme="minorHAnsi" w:hAnsiTheme="minorHAnsi" w:cstheme="minorBidi"/>
          <w:sz w:val="22"/>
        </w:rPr>
        <w:t>Programme Manager for Drug and Alcohol Research</w:t>
      </w:r>
      <w:r w:rsidR="00DF584E" w:rsidRPr="670C14B9">
        <w:rPr>
          <w:rFonts w:asciiTheme="minorHAnsi" w:hAnsiTheme="minorHAnsi" w:cstheme="minorBidi"/>
          <w:sz w:val="22"/>
        </w:rPr>
        <w:t>,</w:t>
      </w:r>
      <w:r w:rsidRPr="670C14B9">
        <w:rPr>
          <w:rFonts w:asciiTheme="minorHAnsi" w:hAnsiTheme="minorHAnsi" w:cstheme="minorBidi"/>
          <w:sz w:val="22"/>
        </w:rPr>
        <w:t xml:space="preserve"> </w:t>
      </w:r>
      <w:r w:rsidR="003250CC" w:rsidRPr="670C14B9">
        <w:rPr>
          <w:rFonts w:asciiTheme="minorHAnsi" w:hAnsiTheme="minorHAnsi" w:cstheme="minorBidi"/>
          <w:sz w:val="22"/>
        </w:rPr>
        <w:t>Health Research Board</w:t>
      </w:r>
    </w:p>
    <w:p w14:paraId="4DF56FB3" w14:textId="18D6C66C" w:rsidR="003250CC" w:rsidRPr="00556785" w:rsidRDefault="003250CC" w:rsidP="00556785">
      <w:pPr>
        <w:spacing w:line="312" w:lineRule="auto"/>
        <w:rPr>
          <w:rFonts w:asciiTheme="minorHAnsi" w:hAnsiTheme="minorHAnsi" w:cstheme="minorHAnsi"/>
          <w:sz w:val="22"/>
          <w:lang w:val="en"/>
        </w:rPr>
      </w:pPr>
      <w:r w:rsidRPr="00556785">
        <w:rPr>
          <w:rFonts w:asciiTheme="minorHAnsi" w:hAnsiTheme="minorHAnsi" w:cstheme="minorHAnsi"/>
          <w:b/>
          <w:sz w:val="22"/>
          <w:lang w:val="en"/>
        </w:rPr>
        <w:t>m</w:t>
      </w:r>
      <w:r w:rsidRPr="00556785">
        <w:rPr>
          <w:rFonts w:asciiTheme="minorHAnsi" w:hAnsiTheme="minorHAnsi" w:cstheme="minorHAnsi"/>
          <w:sz w:val="22"/>
          <w:lang w:val="en"/>
        </w:rPr>
        <w:t xml:space="preserve"> +353 8</w:t>
      </w:r>
      <w:r w:rsidR="0044377F" w:rsidRPr="00556785">
        <w:rPr>
          <w:rFonts w:asciiTheme="minorHAnsi" w:hAnsiTheme="minorHAnsi" w:cstheme="minorHAnsi"/>
          <w:sz w:val="22"/>
          <w:lang w:val="en"/>
        </w:rPr>
        <w:t>6 1573471</w:t>
      </w:r>
      <w:r w:rsidRPr="00556785">
        <w:rPr>
          <w:rFonts w:asciiTheme="minorHAnsi" w:hAnsiTheme="minorHAnsi" w:cstheme="minorHAnsi"/>
          <w:sz w:val="22"/>
          <w:lang w:val="en"/>
        </w:rPr>
        <w:tab/>
      </w:r>
      <w:r w:rsidRPr="00556785">
        <w:rPr>
          <w:rFonts w:asciiTheme="minorHAnsi" w:hAnsiTheme="minorHAnsi" w:cstheme="minorHAnsi"/>
          <w:b/>
          <w:sz w:val="22"/>
          <w:lang w:val="en"/>
        </w:rPr>
        <w:t>e</w:t>
      </w:r>
      <w:r w:rsidRPr="00556785">
        <w:rPr>
          <w:rFonts w:asciiTheme="minorHAnsi" w:hAnsiTheme="minorHAnsi" w:cstheme="minorHAnsi"/>
          <w:sz w:val="22"/>
          <w:lang w:val="en"/>
        </w:rPr>
        <w:t xml:space="preserve"> </w:t>
      </w:r>
      <w:r w:rsidR="0044377F" w:rsidRPr="00556785">
        <w:rPr>
          <w:rFonts w:asciiTheme="minorHAnsi" w:hAnsiTheme="minorHAnsi" w:cstheme="minorHAnsi"/>
          <w:sz w:val="22"/>
          <w:lang w:val="en"/>
        </w:rPr>
        <w:t>bgalvin</w:t>
      </w:r>
      <w:r w:rsidRPr="00556785">
        <w:rPr>
          <w:rFonts w:asciiTheme="minorHAnsi" w:hAnsiTheme="minorHAnsi" w:cstheme="minorHAnsi"/>
          <w:sz w:val="22"/>
          <w:lang w:val="en"/>
        </w:rPr>
        <w:t>@hrb.ie</w:t>
      </w:r>
    </w:p>
    <w:p w14:paraId="5BCB17B1" w14:textId="77777777" w:rsidR="002F0158" w:rsidRPr="00556785" w:rsidRDefault="002F0158" w:rsidP="00556785">
      <w:pPr>
        <w:spacing w:line="312" w:lineRule="auto"/>
        <w:rPr>
          <w:rFonts w:asciiTheme="minorHAnsi" w:hAnsiTheme="minorHAnsi" w:cstheme="minorHAnsi"/>
          <w:sz w:val="22"/>
        </w:rPr>
      </w:pPr>
    </w:p>
    <w:p w14:paraId="348D0C6E" w14:textId="44FEB6EF" w:rsidR="005B48CA" w:rsidRPr="00556785" w:rsidRDefault="005B48CA" w:rsidP="009E5254">
      <w:pPr>
        <w:pStyle w:val="ListParagraph"/>
        <w:spacing w:line="312" w:lineRule="auto"/>
        <w:rPr>
          <w:rFonts w:asciiTheme="minorHAnsi" w:hAnsiTheme="minorHAnsi" w:cstheme="minorHAnsi"/>
        </w:rPr>
      </w:pPr>
    </w:p>
    <w:sectPr w:rsidR="005B48CA" w:rsidRPr="00556785" w:rsidSect="00BA19DD">
      <w:footerReference w:type="default" r:id="rId12"/>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6A42D" w14:textId="77777777" w:rsidR="004232CF" w:rsidRDefault="004232CF" w:rsidP="00FE3B12">
      <w:r>
        <w:separator/>
      </w:r>
    </w:p>
  </w:endnote>
  <w:endnote w:type="continuationSeparator" w:id="0">
    <w:p w14:paraId="799A5F8D" w14:textId="77777777" w:rsidR="004232CF" w:rsidRDefault="004232CF" w:rsidP="00FE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Calibri"/>
    <w:charset w:val="80"/>
    <w:family w:val="auto"/>
    <w:pitch w:val="variable"/>
    <w:sig w:usb0="01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183622"/>
      <w:docPartObj>
        <w:docPartGallery w:val="Page Numbers (Bottom of Page)"/>
        <w:docPartUnique/>
      </w:docPartObj>
    </w:sdtPr>
    <w:sdtEndPr/>
    <w:sdtContent>
      <w:sdt>
        <w:sdtPr>
          <w:id w:val="860082579"/>
          <w:docPartObj>
            <w:docPartGallery w:val="Page Numbers (Top of Page)"/>
            <w:docPartUnique/>
          </w:docPartObj>
        </w:sdtPr>
        <w:sdtEndPr/>
        <w:sdtContent>
          <w:p w14:paraId="7D645ABB" w14:textId="77777777" w:rsidR="00FE3B12" w:rsidRDefault="00FE3B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40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06A">
              <w:rPr>
                <w:b/>
                <w:bCs/>
                <w:noProof/>
              </w:rPr>
              <w:t>7</w:t>
            </w:r>
            <w:r>
              <w:rPr>
                <w:b/>
                <w:bCs/>
                <w:sz w:val="24"/>
                <w:szCs w:val="24"/>
              </w:rPr>
              <w:fldChar w:fldCharType="end"/>
            </w:r>
          </w:p>
        </w:sdtContent>
      </w:sdt>
    </w:sdtContent>
  </w:sdt>
  <w:p w14:paraId="0DF9BBD0" w14:textId="77777777" w:rsidR="00FE3B12" w:rsidRDefault="00FE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53DE1" w14:textId="77777777" w:rsidR="004232CF" w:rsidRDefault="004232CF" w:rsidP="00FE3B12">
      <w:r>
        <w:separator/>
      </w:r>
    </w:p>
  </w:footnote>
  <w:footnote w:type="continuationSeparator" w:id="0">
    <w:p w14:paraId="66F37AAD" w14:textId="77777777" w:rsidR="004232CF" w:rsidRDefault="004232CF" w:rsidP="00FE3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D13"/>
    <w:multiLevelType w:val="hybridMultilevel"/>
    <w:tmpl w:val="9EAEE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4A61D0"/>
    <w:multiLevelType w:val="hybridMultilevel"/>
    <w:tmpl w:val="43604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257FD0"/>
    <w:multiLevelType w:val="hybridMultilevel"/>
    <w:tmpl w:val="D3422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0A47D3"/>
    <w:multiLevelType w:val="hybridMultilevel"/>
    <w:tmpl w:val="2250D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29018F"/>
    <w:multiLevelType w:val="hybridMultilevel"/>
    <w:tmpl w:val="E6A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46FFB"/>
    <w:multiLevelType w:val="hybridMultilevel"/>
    <w:tmpl w:val="7A767E98"/>
    <w:lvl w:ilvl="0" w:tplc="18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15:restartNumberingAfterBreak="0">
    <w:nsid w:val="241202BC"/>
    <w:multiLevelType w:val="hybridMultilevel"/>
    <w:tmpl w:val="38C8C61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24B39"/>
    <w:multiLevelType w:val="hybridMultilevel"/>
    <w:tmpl w:val="2ACAF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A17508"/>
    <w:multiLevelType w:val="hybridMultilevel"/>
    <w:tmpl w:val="0738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76233"/>
    <w:multiLevelType w:val="hybridMultilevel"/>
    <w:tmpl w:val="345642C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83228"/>
    <w:multiLevelType w:val="hybridMultilevel"/>
    <w:tmpl w:val="F112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03272"/>
    <w:multiLevelType w:val="hybridMultilevel"/>
    <w:tmpl w:val="FCF27C2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6FD243D"/>
    <w:multiLevelType w:val="hybridMultilevel"/>
    <w:tmpl w:val="D87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52B8"/>
    <w:multiLevelType w:val="hybridMultilevel"/>
    <w:tmpl w:val="47166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E05718"/>
    <w:multiLevelType w:val="hybridMultilevel"/>
    <w:tmpl w:val="61906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68229D"/>
    <w:multiLevelType w:val="hybridMultilevel"/>
    <w:tmpl w:val="3148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064F1"/>
    <w:multiLevelType w:val="hybridMultilevel"/>
    <w:tmpl w:val="8346A1C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15514"/>
    <w:multiLevelType w:val="hybridMultilevel"/>
    <w:tmpl w:val="2A068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9F4EFF"/>
    <w:multiLevelType w:val="hybridMultilevel"/>
    <w:tmpl w:val="C01470A6"/>
    <w:lvl w:ilvl="0" w:tplc="1D2ED048">
      <w:start w:val="1"/>
      <w:numFmt w:val="bullet"/>
      <w:lvlText w:val="•"/>
      <w:lvlJc w:val="left"/>
      <w:pPr>
        <w:tabs>
          <w:tab w:val="num" w:pos="720"/>
        </w:tabs>
        <w:ind w:left="720" w:hanging="360"/>
      </w:pPr>
      <w:rPr>
        <w:rFonts w:ascii="Arial" w:hAnsi="Arial" w:hint="default"/>
      </w:rPr>
    </w:lvl>
    <w:lvl w:ilvl="1" w:tplc="EECED750" w:tentative="1">
      <w:start w:val="1"/>
      <w:numFmt w:val="bullet"/>
      <w:lvlText w:val="•"/>
      <w:lvlJc w:val="left"/>
      <w:pPr>
        <w:tabs>
          <w:tab w:val="num" w:pos="1440"/>
        </w:tabs>
        <w:ind w:left="1440" w:hanging="360"/>
      </w:pPr>
      <w:rPr>
        <w:rFonts w:ascii="Arial" w:hAnsi="Arial" w:hint="default"/>
      </w:rPr>
    </w:lvl>
    <w:lvl w:ilvl="2" w:tplc="932803AC" w:tentative="1">
      <w:start w:val="1"/>
      <w:numFmt w:val="bullet"/>
      <w:lvlText w:val="•"/>
      <w:lvlJc w:val="left"/>
      <w:pPr>
        <w:tabs>
          <w:tab w:val="num" w:pos="2160"/>
        </w:tabs>
        <w:ind w:left="2160" w:hanging="360"/>
      </w:pPr>
      <w:rPr>
        <w:rFonts w:ascii="Arial" w:hAnsi="Arial" w:hint="default"/>
      </w:rPr>
    </w:lvl>
    <w:lvl w:ilvl="3" w:tplc="3A900EC6" w:tentative="1">
      <w:start w:val="1"/>
      <w:numFmt w:val="bullet"/>
      <w:lvlText w:val="•"/>
      <w:lvlJc w:val="left"/>
      <w:pPr>
        <w:tabs>
          <w:tab w:val="num" w:pos="2880"/>
        </w:tabs>
        <w:ind w:left="2880" w:hanging="360"/>
      </w:pPr>
      <w:rPr>
        <w:rFonts w:ascii="Arial" w:hAnsi="Arial" w:hint="default"/>
      </w:rPr>
    </w:lvl>
    <w:lvl w:ilvl="4" w:tplc="00CE3A7E" w:tentative="1">
      <w:start w:val="1"/>
      <w:numFmt w:val="bullet"/>
      <w:lvlText w:val="•"/>
      <w:lvlJc w:val="left"/>
      <w:pPr>
        <w:tabs>
          <w:tab w:val="num" w:pos="3600"/>
        </w:tabs>
        <w:ind w:left="3600" w:hanging="360"/>
      </w:pPr>
      <w:rPr>
        <w:rFonts w:ascii="Arial" w:hAnsi="Arial" w:hint="default"/>
      </w:rPr>
    </w:lvl>
    <w:lvl w:ilvl="5" w:tplc="4E569A28" w:tentative="1">
      <w:start w:val="1"/>
      <w:numFmt w:val="bullet"/>
      <w:lvlText w:val="•"/>
      <w:lvlJc w:val="left"/>
      <w:pPr>
        <w:tabs>
          <w:tab w:val="num" w:pos="4320"/>
        </w:tabs>
        <w:ind w:left="4320" w:hanging="360"/>
      </w:pPr>
      <w:rPr>
        <w:rFonts w:ascii="Arial" w:hAnsi="Arial" w:hint="default"/>
      </w:rPr>
    </w:lvl>
    <w:lvl w:ilvl="6" w:tplc="856E6E8A" w:tentative="1">
      <w:start w:val="1"/>
      <w:numFmt w:val="bullet"/>
      <w:lvlText w:val="•"/>
      <w:lvlJc w:val="left"/>
      <w:pPr>
        <w:tabs>
          <w:tab w:val="num" w:pos="5040"/>
        </w:tabs>
        <w:ind w:left="5040" w:hanging="360"/>
      </w:pPr>
      <w:rPr>
        <w:rFonts w:ascii="Arial" w:hAnsi="Arial" w:hint="default"/>
      </w:rPr>
    </w:lvl>
    <w:lvl w:ilvl="7" w:tplc="FE20B41C" w:tentative="1">
      <w:start w:val="1"/>
      <w:numFmt w:val="bullet"/>
      <w:lvlText w:val="•"/>
      <w:lvlJc w:val="left"/>
      <w:pPr>
        <w:tabs>
          <w:tab w:val="num" w:pos="5760"/>
        </w:tabs>
        <w:ind w:left="5760" w:hanging="360"/>
      </w:pPr>
      <w:rPr>
        <w:rFonts w:ascii="Arial" w:hAnsi="Arial" w:hint="default"/>
      </w:rPr>
    </w:lvl>
    <w:lvl w:ilvl="8" w:tplc="288020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0021CF"/>
    <w:multiLevelType w:val="hybridMultilevel"/>
    <w:tmpl w:val="90B01EF0"/>
    <w:lvl w:ilvl="0" w:tplc="4D52A97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DB5397"/>
    <w:multiLevelType w:val="hybridMultilevel"/>
    <w:tmpl w:val="1610CEA4"/>
    <w:lvl w:ilvl="0" w:tplc="E50A381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70A1D"/>
    <w:multiLevelType w:val="hybridMultilevel"/>
    <w:tmpl w:val="37260E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DAF5644"/>
    <w:multiLevelType w:val="hybridMultilevel"/>
    <w:tmpl w:val="6F660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3A1A40"/>
    <w:multiLevelType w:val="hybridMultilevel"/>
    <w:tmpl w:val="B95CA7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41711F5"/>
    <w:multiLevelType w:val="hybridMultilevel"/>
    <w:tmpl w:val="3D962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F4755B"/>
    <w:multiLevelType w:val="hybridMultilevel"/>
    <w:tmpl w:val="C47C558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abstractNum w:abstractNumId="26" w15:restartNumberingAfterBreak="0">
    <w:nsid w:val="6C8D2A61"/>
    <w:multiLevelType w:val="hybridMultilevel"/>
    <w:tmpl w:val="4F74A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56355F"/>
    <w:multiLevelType w:val="multilevel"/>
    <w:tmpl w:val="2BC69C80"/>
    <w:lvl w:ilvl="0">
      <w:start w:val="1"/>
      <w:numFmt w:val="bullet"/>
      <w:pStyle w:val="HRBBulletTextL1-6"/>
      <w:lvlText w:val=""/>
      <w:lvlJc w:val="left"/>
      <w:pPr>
        <w:tabs>
          <w:tab w:val="num" w:pos="340"/>
        </w:tabs>
        <w:ind w:left="340" w:hanging="340"/>
      </w:pPr>
      <w:rPr>
        <w:rFonts w:ascii="Symbol" w:hAnsi="Symbol" w:hint="default"/>
        <w:color w:val="9BBB59" w:themeColor="accent3"/>
      </w:rPr>
    </w:lvl>
    <w:lvl w:ilvl="1">
      <w:start w:val="1"/>
      <w:numFmt w:val="bullet"/>
      <w:lvlText w:val="̶"/>
      <w:lvlJc w:val="left"/>
      <w:pPr>
        <w:tabs>
          <w:tab w:val="num" w:pos="680"/>
        </w:tabs>
        <w:ind w:left="680" w:hanging="340"/>
      </w:pPr>
      <w:rPr>
        <w:rFonts w:ascii="Calibri" w:hAnsi="Calibri" w:hint="default"/>
        <w:color w:val="1F497D" w:themeColor="text2"/>
      </w:rPr>
    </w:lvl>
    <w:lvl w:ilvl="2">
      <w:start w:val="1"/>
      <w:numFmt w:val="bullet"/>
      <w:lvlText w:val=""/>
      <w:lvlJc w:val="left"/>
      <w:pPr>
        <w:tabs>
          <w:tab w:val="num" w:pos="1021"/>
        </w:tabs>
        <w:ind w:left="1020" w:hanging="340"/>
      </w:pPr>
      <w:rPr>
        <w:rFonts w:ascii="Symbol" w:hAnsi="Symbol" w:hint="default"/>
        <w:color w:val="9BBB59" w:themeColor="accent3"/>
      </w:rPr>
    </w:lvl>
    <w:lvl w:ilvl="3">
      <w:start w:val="1"/>
      <w:numFmt w:val="bullet"/>
      <w:lvlText w:val="̶"/>
      <w:lvlJc w:val="left"/>
      <w:pPr>
        <w:tabs>
          <w:tab w:val="num" w:pos="1361"/>
        </w:tabs>
        <w:ind w:left="1360" w:hanging="340"/>
      </w:pPr>
      <w:rPr>
        <w:rFonts w:ascii="Calibri" w:hAnsi="Calibri" w:hint="default"/>
        <w:color w:val="1F497D" w:themeColor="text2"/>
      </w:rPr>
    </w:lvl>
    <w:lvl w:ilvl="4">
      <w:start w:val="1"/>
      <w:numFmt w:val="bullet"/>
      <w:lvlText w:val=""/>
      <w:lvlJc w:val="left"/>
      <w:pPr>
        <w:tabs>
          <w:tab w:val="num" w:pos="1701"/>
        </w:tabs>
        <w:ind w:left="1700" w:hanging="340"/>
      </w:pPr>
      <w:rPr>
        <w:rFonts w:ascii="Symbol" w:hAnsi="Symbol" w:hint="default"/>
        <w:color w:val="1F497D" w:themeColor="text2"/>
      </w:rPr>
    </w:lvl>
    <w:lvl w:ilvl="5">
      <w:start w:val="1"/>
      <w:numFmt w:val="bullet"/>
      <w:lvlText w:val="̶"/>
      <w:lvlJc w:val="left"/>
      <w:pPr>
        <w:tabs>
          <w:tab w:val="num" w:pos="2041"/>
        </w:tabs>
        <w:ind w:left="2040" w:hanging="340"/>
      </w:pPr>
      <w:rPr>
        <w:rFonts w:ascii="Calibri" w:hAnsi="Calibri" w:hint="default"/>
        <w:color w:val="1F497D"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8" w15:restartNumberingAfterBreak="0">
    <w:nsid w:val="721D0373"/>
    <w:multiLevelType w:val="hybridMultilevel"/>
    <w:tmpl w:val="EB3E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940E6"/>
    <w:multiLevelType w:val="hybridMultilevel"/>
    <w:tmpl w:val="9822DB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E84841"/>
    <w:multiLevelType w:val="hybridMultilevel"/>
    <w:tmpl w:val="5C161954"/>
    <w:lvl w:ilvl="0" w:tplc="34425222">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063C0"/>
    <w:multiLevelType w:val="hybridMultilevel"/>
    <w:tmpl w:val="C2C46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DFB6051"/>
    <w:multiLevelType w:val="hybridMultilevel"/>
    <w:tmpl w:val="8626D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59230844">
    <w:abstractNumId w:val="11"/>
  </w:num>
  <w:num w:numId="2" w16cid:durableId="887254679">
    <w:abstractNumId w:val="14"/>
  </w:num>
  <w:num w:numId="3" w16cid:durableId="667245993">
    <w:abstractNumId w:val="7"/>
  </w:num>
  <w:num w:numId="4" w16cid:durableId="1397582513">
    <w:abstractNumId w:val="22"/>
  </w:num>
  <w:num w:numId="5" w16cid:durableId="1816146860">
    <w:abstractNumId w:val="5"/>
  </w:num>
  <w:num w:numId="6" w16cid:durableId="600988108">
    <w:abstractNumId w:val="3"/>
  </w:num>
  <w:num w:numId="7" w16cid:durableId="92827219">
    <w:abstractNumId w:val="2"/>
  </w:num>
  <w:num w:numId="8" w16cid:durableId="1374845929">
    <w:abstractNumId w:val="26"/>
  </w:num>
  <w:num w:numId="9" w16cid:durableId="1016469831">
    <w:abstractNumId w:val="0"/>
  </w:num>
  <w:num w:numId="10" w16cid:durableId="1102258241">
    <w:abstractNumId w:val="1"/>
  </w:num>
  <w:num w:numId="11" w16cid:durableId="228463880">
    <w:abstractNumId w:val="29"/>
  </w:num>
  <w:num w:numId="12" w16cid:durableId="1263608801">
    <w:abstractNumId w:val="31"/>
  </w:num>
  <w:num w:numId="13" w16cid:durableId="740640592">
    <w:abstractNumId w:val="30"/>
  </w:num>
  <w:num w:numId="14" w16cid:durableId="2021006336">
    <w:abstractNumId w:val="15"/>
  </w:num>
  <w:num w:numId="15" w16cid:durableId="904805529">
    <w:abstractNumId w:val="8"/>
  </w:num>
  <w:num w:numId="16" w16cid:durableId="731734238">
    <w:abstractNumId w:val="4"/>
  </w:num>
  <w:num w:numId="17" w16cid:durableId="862325927">
    <w:abstractNumId w:val="10"/>
  </w:num>
  <w:num w:numId="18" w16cid:durableId="1938901015">
    <w:abstractNumId w:val="16"/>
  </w:num>
  <w:num w:numId="19" w16cid:durableId="1469280598">
    <w:abstractNumId w:val="6"/>
  </w:num>
  <w:num w:numId="20" w16cid:durableId="1961960947">
    <w:abstractNumId w:val="9"/>
  </w:num>
  <w:num w:numId="21" w16cid:durableId="1668551336">
    <w:abstractNumId w:val="24"/>
  </w:num>
  <w:num w:numId="22" w16cid:durableId="36244866">
    <w:abstractNumId w:val="13"/>
  </w:num>
  <w:num w:numId="23" w16cid:durableId="1974091062">
    <w:abstractNumId w:val="19"/>
  </w:num>
  <w:num w:numId="24" w16cid:durableId="967663495">
    <w:abstractNumId w:val="25"/>
  </w:num>
  <w:num w:numId="25" w16cid:durableId="1285649335">
    <w:abstractNumId w:val="21"/>
  </w:num>
  <w:num w:numId="26" w16cid:durableId="1735203679">
    <w:abstractNumId w:val="18"/>
  </w:num>
  <w:num w:numId="27" w16cid:durableId="149098348">
    <w:abstractNumId w:val="17"/>
  </w:num>
  <w:num w:numId="28" w16cid:durableId="492449814">
    <w:abstractNumId w:val="27"/>
  </w:num>
  <w:num w:numId="29" w16cid:durableId="481852910">
    <w:abstractNumId w:val="20"/>
  </w:num>
  <w:num w:numId="30" w16cid:durableId="378895458">
    <w:abstractNumId w:val="32"/>
  </w:num>
  <w:num w:numId="31" w16cid:durableId="777675094">
    <w:abstractNumId w:val="23"/>
  </w:num>
  <w:num w:numId="32" w16cid:durableId="290282207">
    <w:abstractNumId w:val="28"/>
  </w:num>
  <w:num w:numId="33" w16cid:durableId="1270352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85"/>
    <w:rsid w:val="000114A3"/>
    <w:rsid w:val="00014C6A"/>
    <w:rsid w:val="00032DB9"/>
    <w:rsid w:val="0003785D"/>
    <w:rsid w:val="0004698B"/>
    <w:rsid w:val="00060B80"/>
    <w:rsid w:val="0006430E"/>
    <w:rsid w:val="000650AC"/>
    <w:rsid w:val="000709BA"/>
    <w:rsid w:val="000736F5"/>
    <w:rsid w:val="000752A1"/>
    <w:rsid w:val="00075E62"/>
    <w:rsid w:val="00083465"/>
    <w:rsid w:val="00083822"/>
    <w:rsid w:val="00093A13"/>
    <w:rsid w:val="000A0264"/>
    <w:rsid w:val="000A0E80"/>
    <w:rsid w:val="000A33B0"/>
    <w:rsid w:val="000A7E58"/>
    <w:rsid w:val="000B16B0"/>
    <w:rsid w:val="000B2186"/>
    <w:rsid w:val="000B7F8F"/>
    <w:rsid w:val="000C4B97"/>
    <w:rsid w:val="000C6B26"/>
    <w:rsid w:val="000C6F85"/>
    <w:rsid w:val="000D1872"/>
    <w:rsid w:val="000D3D94"/>
    <w:rsid w:val="000D4579"/>
    <w:rsid w:val="000D4D0B"/>
    <w:rsid w:val="000E1043"/>
    <w:rsid w:val="000E134C"/>
    <w:rsid w:val="000F379A"/>
    <w:rsid w:val="000F4225"/>
    <w:rsid w:val="000F441C"/>
    <w:rsid w:val="000F4D13"/>
    <w:rsid w:val="000F5D23"/>
    <w:rsid w:val="0010007A"/>
    <w:rsid w:val="001027B6"/>
    <w:rsid w:val="00106A98"/>
    <w:rsid w:val="00112F0F"/>
    <w:rsid w:val="00113981"/>
    <w:rsid w:val="00114F00"/>
    <w:rsid w:val="001153A7"/>
    <w:rsid w:val="001171E7"/>
    <w:rsid w:val="00120C4D"/>
    <w:rsid w:val="00122A81"/>
    <w:rsid w:val="00132C25"/>
    <w:rsid w:val="001360DE"/>
    <w:rsid w:val="001411F5"/>
    <w:rsid w:val="00144C9E"/>
    <w:rsid w:val="00145D14"/>
    <w:rsid w:val="001472C0"/>
    <w:rsid w:val="00155B75"/>
    <w:rsid w:val="00156C29"/>
    <w:rsid w:val="00163255"/>
    <w:rsid w:val="0016387E"/>
    <w:rsid w:val="0017132F"/>
    <w:rsid w:val="001714ED"/>
    <w:rsid w:val="00171B4B"/>
    <w:rsid w:val="001721A4"/>
    <w:rsid w:val="00173B8D"/>
    <w:rsid w:val="00174F3B"/>
    <w:rsid w:val="00176094"/>
    <w:rsid w:val="00176F6D"/>
    <w:rsid w:val="00181FE1"/>
    <w:rsid w:val="00185985"/>
    <w:rsid w:val="00187A34"/>
    <w:rsid w:val="00187E40"/>
    <w:rsid w:val="001911BD"/>
    <w:rsid w:val="00194011"/>
    <w:rsid w:val="001A1D8E"/>
    <w:rsid w:val="001A2F08"/>
    <w:rsid w:val="001A4AC6"/>
    <w:rsid w:val="001A67E3"/>
    <w:rsid w:val="001A689E"/>
    <w:rsid w:val="001B0E85"/>
    <w:rsid w:val="001B132C"/>
    <w:rsid w:val="001B64F0"/>
    <w:rsid w:val="001B7418"/>
    <w:rsid w:val="001C0BBB"/>
    <w:rsid w:val="001C4FC8"/>
    <w:rsid w:val="001C55B3"/>
    <w:rsid w:val="001C76A2"/>
    <w:rsid w:val="001D14D5"/>
    <w:rsid w:val="001D28BA"/>
    <w:rsid w:val="001D55FF"/>
    <w:rsid w:val="001D73FB"/>
    <w:rsid w:val="001E4D02"/>
    <w:rsid w:val="001E61F3"/>
    <w:rsid w:val="001F175B"/>
    <w:rsid w:val="001F3A16"/>
    <w:rsid w:val="001F560C"/>
    <w:rsid w:val="001F5DCA"/>
    <w:rsid w:val="001F6635"/>
    <w:rsid w:val="00207956"/>
    <w:rsid w:val="00211DB5"/>
    <w:rsid w:val="00214CCE"/>
    <w:rsid w:val="00215081"/>
    <w:rsid w:val="00216B3A"/>
    <w:rsid w:val="00216C37"/>
    <w:rsid w:val="00216E11"/>
    <w:rsid w:val="00216E89"/>
    <w:rsid w:val="002254F1"/>
    <w:rsid w:val="00226B60"/>
    <w:rsid w:val="00234614"/>
    <w:rsid w:val="00245B9F"/>
    <w:rsid w:val="00247FBF"/>
    <w:rsid w:val="0025142A"/>
    <w:rsid w:val="00251942"/>
    <w:rsid w:val="00252EA7"/>
    <w:rsid w:val="0025408E"/>
    <w:rsid w:val="00255959"/>
    <w:rsid w:val="0026110F"/>
    <w:rsid w:val="00262165"/>
    <w:rsid w:val="002650DE"/>
    <w:rsid w:val="00276379"/>
    <w:rsid w:val="0028305F"/>
    <w:rsid w:val="0028328C"/>
    <w:rsid w:val="00286F8C"/>
    <w:rsid w:val="00296DF0"/>
    <w:rsid w:val="002A03B0"/>
    <w:rsid w:val="002A13ED"/>
    <w:rsid w:val="002A155C"/>
    <w:rsid w:val="002A2A40"/>
    <w:rsid w:val="002A4C5F"/>
    <w:rsid w:val="002B70BB"/>
    <w:rsid w:val="002C0A63"/>
    <w:rsid w:val="002C13EC"/>
    <w:rsid w:val="002C3C8F"/>
    <w:rsid w:val="002D16BB"/>
    <w:rsid w:val="002D2AA6"/>
    <w:rsid w:val="002E0CAA"/>
    <w:rsid w:val="002E1D6B"/>
    <w:rsid w:val="002F0158"/>
    <w:rsid w:val="002F4E14"/>
    <w:rsid w:val="00320A40"/>
    <w:rsid w:val="003250CC"/>
    <w:rsid w:val="00325232"/>
    <w:rsid w:val="00332C3B"/>
    <w:rsid w:val="003534BE"/>
    <w:rsid w:val="003537E3"/>
    <w:rsid w:val="00354545"/>
    <w:rsid w:val="00356C68"/>
    <w:rsid w:val="00360D1E"/>
    <w:rsid w:val="00367404"/>
    <w:rsid w:val="00373F6B"/>
    <w:rsid w:val="00376815"/>
    <w:rsid w:val="003806CB"/>
    <w:rsid w:val="00382D0D"/>
    <w:rsid w:val="003858C5"/>
    <w:rsid w:val="0039152A"/>
    <w:rsid w:val="00392A5E"/>
    <w:rsid w:val="003A0C07"/>
    <w:rsid w:val="003A1C41"/>
    <w:rsid w:val="003B07D0"/>
    <w:rsid w:val="003B0CDF"/>
    <w:rsid w:val="003C097B"/>
    <w:rsid w:val="003C1C7B"/>
    <w:rsid w:val="003D3BD0"/>
    <w:rsid w:val="003D42D9"/>
    <w:rsid w:val="003D6911"/>
    <w:rsid w:val="003E6838"/>
    <w:rsid w:val="003E69AE"/>
    <w:rsid w:val="003E7951"/>
    <w:rsid w:val="003F3B6F"/>
    <w:rsid w:val="003F5B33"/>
    <w:rsid w:val="00403396"/>
    <w:rsid w:val="004074CB"/>
    <w:rsid w:val="00417D29"/>
    <w:rsid w:val="004232CF"/>
    <w:rsid w:val="004234BC"/>
    <w:rsid w:val="00425E27"/>
    <w:rsid w:val="00430448"/>
    <w:rsid w:val="004313C3"/>
    <w:rsid w:val="0043240B"/>
    <w:rsid w:val="00434981"/>
    <w:rsid w:val="00437885"/>
    <w:rsid w:val="00440860"/>
    <w:rsid w:val="0044377F"/>
    <w:rsid w:val="00445D93"/>
    <w:rsid w:val="00453B64"/>
    <w:rsid w:val="00456E99"/>
    <w:rsid w:val="00457DC5"/>
    <w:rsid w:val="00474825"/>
    <w:rsid w:val="00475654"/>
    <w:rsid w:val="00486B46"/>
    <w:rsid w:val="00487C5B"/>
    <w:rsid w:val="0049120B"/>
    <w:rsid w:val="00492657"/>
    <w:rsid w:val="00495624"/>
    <w:rsid w:val="004A1A0B"/>
    <w:rsid w:val="004A7203"/>
    <w:rsid w:val="004B0321"/>
    <w:rsid w:val="004B13BA"/>
    <w:rsid w:val="004B5245"/>
    <w:rsid w:val="004C6307"/>
    <w:rsid w:val="004C74FF"/>
    <w:rsid w:val="004C77A2"/>
    <w:rsid w:val="004D2982"/>
    <w:rsid w:val="004F702D"/>
    <w:rsid w:val="004F78A9"/>
    <w:rsid w:val="00503D62"/>
    <w:rsid w:val="00507C59"/>
    <w:rsid w:val="00513431"/>
    <w:rsid w:val="00520995"/>
    <w:rsid w:val="005304EC"/>
    <w:rsid w:val="005478AF"/>
    <w:rsid w:val="00556414"/>
    <w:rsid w:val="00556785"/>
    <w:rsid w:val="00561A02"/>
    <w:rsid w:val="00562001"/>
    <w:rsid w:val="005746BD"/>
    <w:rsid w:val="00575633"/>
    <w:rsid w:val="00580C74"/>
    <w:rsid w:val="00585EC9"/>
    <w:rsid w:val="00587F6B"/>
    <w:rsid w:val="00592848"/>
    <w:rsid w:val="0059529B"/>
    <w:rsid w:val="005967A5"/>
    <w:rsid w:val="00596E71"/>
    <w:rsid w:val="005A3E99"/>
    <w:rsid w:val="005A459C"/>
    <w:rsid w:val="005B48CA"/>
    <w:rsid w:val="005B6EEE"/>
    <w:rsid w:val="005C092D"/>
    <w:rsid w:val="005C2EA8"/>
    <w:rsid w:val="005D333A"/>
    <w:rsid w:val="005D5BEB"/>
    <w:rsid w:val="005E2E25"/>
    <w:rsid w:val="005E3F79"/>
    <w:rsid w:val="005F1A33"/>
    <w:rsid w:val="005F26D2"/>
    <w:rsid w:val="005F4AE3"/>
    <w:rsid w:val="00600458"/>
    <w:rsid w:val="006017A8"/>
    <w:rsid w:val="00605429"/>
    <w:rsid w:val="00605AA3"/>
    <w:rsid w:val="006062BE"/>
    <w:rsid w:val="0061571C"/>
    <w:rsid w:val="00615E6C"/>
    <w:rsid w:val="00617E90"/>
    <w:rsid w:val="0062047A"/>
    <w:rsid w:val="0062186F"/>
    <w:rsid w:val="00624DEF"/>
    <w:rsid w:val="00632046"/>
    <w:rsid w:val="00633550"/>
    <w:rsid w:val="0064321A"/>
    <w:rsid w:val="00644E86"/>
    <w:rsid w:val="00652F2A"/>
    <w:rsid w:val="006552C9"/>
    <w:rsid w:val="0065709F"/>
    <w:rsid w:val="0065721E"/>
    <w:rsid w:val="006633D2"/>
    <w:rsid w:val="00664309"/>
    <w:rsid w:val="006678B4"/>
    <w:rsid w:val="00667B97"/>
    <w:rsid w:val="006703D6"/>
    <w:rsid w:val="00672F37"/>
    <w:rsid w:val="00675CAE"/>
    <w:rsid w:val="006814E5"/>
    <w:rsid w:val="0068168A"/>
    <w:rsid w:val="00683F32"/>
    <w:rsid w:val="006947F7"/>
    <w:rsid w:val="006956E6"/>
    <w:rsid w:val="006A4293"/>
    <w:rsid w:val="006B3631"/>
    <w:rsid w:val="006B45FB"/>
    <w:rsid w:val="006C0762"/>
    <w:rsid w:val="006C3BF8"/>
    <w:rsid w:val="006D131C"/>
    <w:rsid w:val="006E0BB3"/>
    <w:rsid w:val="006E1181"/>
    <w:rsid w:val="007055E3"/>
    <w:rsid w:val="00705CFB"/>
    <w:rsid w:val="00714211"/>
    <w:rsid w:val="00715B73"/>
    <w:rsid w:val="007168F8"/>
    <w:rsid w:val="0071695C"/>
    <w:rsid w:val="00717792"/>
    <w:rsid w:val="00722667"/>
    <w:rsid w:val="007227A4"/>
    <w:rsid w:val="007334A4"/>
    <w:rsid w:val="00733DA9"/>
    <w:rsid w:val="00734099"/>
    <w:rsid w:val="007441EC"/>
    <w:rsid w:val="0075317C"/>
    <w:rsid w:val="00753B39"/>
    <w:rsid w:val="0075717B"/>
    <w:rsid w:val="00762F58"/>
    <w:rsid w:val="007652D5"/>
    <w:rsid w:val="00766153"/>
    <w:rsid w:val="0077009F"/>
    <w:rsid w:val="007711DC"/>
    <w:rsid w:val="007810FC"/>
    <w:rsid w:val="00785DF8"/>
    <w:rsid w:val="00787EF2"/>
    <w:rsid w:val="007A274C"/>
    <w:rsid w:val="007A5DF0"/>
    <w:rsid w:val="007A7638"/>
    <w:rsid w:val="007A765D"/>
    <w:rsid w:val="007B0F1D"/>
    <w:rsid w:val="007B576D"/>
    <w:rsid w:val="007D3E8A"/>
    <w:rsid w:val="007D563C"/>
    <w:rsid w:val="007E36B3"/>
    <w:rsid w:val="007F3B2A"/>
    <w:rsid w:val="00803E6E"/>
    <w:rsid w:val="008040F4"/>
    <w:rsid w:val="00815E34"/>
    <w:rsid w:val="008175C3"/>
    <w:rsid w:val="008179E6"/>
    <w:rsid w:val="00824831"/>
    <w:rsid w:val="00830639"/>
    <w:rsid w:val="00837B7B"/>
    <w:rsid w:val="00840268"/>
    <w:rsid w:val="008458BE"/>
    <w:rsid w:val="00847FDC"/>
    <w:rsid w:val="00854730"/>
    <w:rsid w:val="00856000"/>
    <w:rsid w:val="0086349E"/>
    <w:rsid w:val="00863CE6"/>
    <w:rsid w:val="00864D19"/>
    <w:rsid w:val="00871483"/>
    <w:rsid w:val="00873FB0"/>
    <w:rsid w:val="00877104"/>
    <w:rsid w:val="0088620C"/>
    <w:rsid w:val="00886C8D"/>
    <w:rsid w:val="008933CB"/>
    <w:rsid w:val="008934EC"/>
    <w:rsid w:val="008965EB"/>
    <w:rsid w:val="0089797A"/>
    <w:rsid w:val="008A01D9"/>
    <w:rsid w:val="008A5634"/>
    <w:rsid w:val="008B0A19"/>
    <w:rsid w:val="008B3A91"/>
    <w:rsid w:val="008C20E0"/>
    <w:rsid w:val="008C4488"/>
    <w:rsid w:val="008D2C41"/>
    <w:rsid w:val="008D2F83"/>
    <w:rsid w:val="008D5544"/>
    <w:rsid w:val="008D5609"/>
    <w:rsid w:val="008E0276"/>
    <w:rsid w:val="008E0511"/>
    <w:rsid w:val="008E07DD"/>
    <w:rsid w:val="008E5604"/>
    <w:rsid w:val="008E6432"/>
    <w:rsid w:val="008E6BAF"/>
    <w:rsid w:val="008F4A0C"/>
    <w:rsid w:val="008F6EDF"/>
    <w:rsid w:val="008F7F0D"/>
    <w:rsid w:val="009127B7"/>
    <w:rsid w:val="0092316D"/>
    <w:rsid w:val="00924FCA"/>
    <w:rsid w:val="0092778E"/>
    <w:rsid w:val="00930545"/>
    <w:rsid w:val="009371B8"/>
    <w:rsid w:val="00943930"/>
    <w:rsid w:val="00950EAD"/>
    <w:rsid w:val="00961F8E"/>
    <w:rsid w:val="00974624"/>
    <w:rsid w:val="00977EC1"/>
    <w:rsid w:val="009804C9"/>
    <w:rsid w:val="0098307D"/>
    <w:rsid w:val="00983B0C"/>
    <w:rsid w:val="00984AAD"/>
    <w:rsid w:val="0099228B"/>
    <w:rsid w:val="009933C8"/>
    <w:rsid w:val="0099368C"/>
    <w:rsid w:val="009A3509"/>
    <w:rsid w:val="009A576E"/>
    <w:rsid w:val="009B1468"/>
    <w:rsid w:val="009B517F"/>
    <w:rsid w:val="009D35F6"/>
    <w:rsid w:val="009D75D2"/>
    <w:rsid w:val="009E50F9"/>
    <w:rsid w:val="009E5254"/>
    <w:rsid w:val="009E57B5"/>
    <w:rsid w:val="009E7540"/>
    <w:rsid w:val="009E7DE4"/>
    <w:rsid w:val="009F1327"/>
    <w:rsid w:val="009F2764"/>
    <w:rsid w:val="00A05531"/>
    <w:rsid w:val="00A167F7"/>
    <w:rsid w:val="00A21017"/>
    <w:rsid w:val="00A24D36"/>
    <w:rsid w:val="00A30A27"/>
    <w:rsid w:val="00A30CDF"/>
    <w:rsid w:val="00A35B1B"/>
    <w:rsid w:val="00A3738A"/>
    <w:rsid w:val="00A37EB0"/>
    <w:rsid w:val="00A46EF0"/>
    <w:rsid w:val="00A51CA3"/>
    <w:rsid w:val="00A560F1"/>
    <w:rsid w:val="00A56503"/>
    <w:rsid w:val="00A56E0E"/>
    <w:rsid w:val="00A573DB"/>
    <w:rsid w:val="00A85EEA"/>
    <w:rsid w:val="00A85FB0"/>
    <w:rsid w:val="00A868E6"/>
    <w:rsid w:val="00A92207"/>
    <w:rsid w:val="00AA0678"/>
    <w:rsid w:val="00AB0C71"/>
    <w:rsid w:val="00AB1059"/>
    <w:rsid w:val="00AB56F9"/>
    <w:rsid w:val="00AB6A1A"/>
    <w:rsid w:val="00AB7616"/>
    <w:rsid w:val="00AC1458"/>
    <w:rsid w:val="00AC1D68"/>
    <w:rsid w:val="00AC2B15"/>
    <w:rsid w:val="00AC3E02"/>
    <w:rsid w:val="00AC4137"/>
    <w:rsid w:val="00AC5463"/>
    <w:rsid w:val="00AD24DC"/>
    <w:rsid w:val="00AD7EC1"/>
    <w:rsid w:val="00AE1FF8"/>
    <w:rsid w:val="00AE606A"/>
    <w:rsid w:val="00AF1A9D"/>
    <w:rsid w:val="00AF61F7"/>
    <w:rsid w:val="00B01A50"/>
    <w:rsid w:val="00B147E9"/>
    <w:rsid w:val="00B22AB5"/>
    <w:rsid w:val="00B27013"/>
    <w:rsid w:val="00B33397"/>
    <w:rsid w:val="00B41629"/>
    <w:rsid w:val="00B50D6C"/>
    <w:rsid w:val="00B55642"/>
    <w:rsid w:val="00B57451"/>
    <w:rsid w:val="00B819AA"/>
    <w:rsid w:val="00B8500E"/>
    <w:rsid w:val="00B97207"/>
    <w:rsid w:val="00BB381E"/>
    <w:rsid w:val="00BB6AEE"/>
    <w:rsid w:val="00BB7C48"/>
    <w:rsid w:val="00BB7F04"/>
    <w:rsid w:val="00BD15DF"/>
    <w:rsid w:val="00BD37D1"/>
    <w:rsid w:val="00BD3C27"/>
    <w:rsid w:val="00BD406A"/>
    <w:rsid w:val="00BD4E47"/>
    <w:rsid w:val="00BD5F76"/>
    <w:rsid w:val="00BE4B2B"/>
    <w:rsid w:val="00BE70A6"/>
    <w:rsid w:val="00BF4769"/>
    <w:rsid w:val="00BF6152"/>
    <w:rsid w:val="00BF757C"/>
    <w:rsid w:val="00C07BD6"/>
    <w:rsid w:val="00C120D3"/>
    <w:rsid w:val="00C204A7"/>
    <w:rsid w:val="00C248CA"/>
    <w:rsid w:val="00C25689"/>
    <w:rsid w:val="00C26A73"/>
    <w:rsid w:val="00C3611A"/>
    <w:rsid w:val="00C36ADE"/>
    <w:rsid w:val="00C41F51"/>
    <w:rsid w:val="00C50976"/>
    <w:rsid w:val="00C60DD7"/>
    <w:rsid w:val="00C61D5B"/>
    <w:rsid w:val="00C656C9"/>
    <w:rsid w:val="00C679DD"/>
    <w:rsid w:val="00C7052C"/>
    <w:rsid w:val="00C72B17"/>
    <w:rsid w:val="00C749FD"/>
    <w:rsid w:val="00C74A4D"/>
    <w:rsid w:val="00C761CE"/>
    <w:rsid w:val="00C82D5F"/>
    <w:rsid w:val="00C83296"/>
    <w:rsid w:val="00C87A22"/>
    <w:rsid w:val="00CA01F9"/>
    <w:rsid w:val="00CA3567"/>
    <w:rsid w:val="00CA673C"/>
    <w:rsid w:val="00CB3A51"/>
    <w:rsid w:val="00CB7667"/>
    <w:rsid w:val="00CC31C7"/>
    <w:rsid w:val="00CD1726"/>
    <w:rsid w:val="00CD5E47"/>
    <w:rsid w:val="00CD5EC5"/>
    <w:rsid w:val="00CD7B87"/>
    <w:rsid w:val="00CF20D1"/>
    <w:rsid w:val="00CF2793"/>
    <w:rsid w:val="00CF53A4"/>
    <w:rsid w:val="00D0183A"/>
    <w:rsid w:val="00D02BF3"/>
    <w:rsid w:val="00D052C7"/>
    <w:rsid w:val="00D067F9"/>
    <w:rsid w:val="00D14A6F"/>
    <w:rsid w:val="00D14BBF"/>
    <w:rsid w:val="00D208B9"/>
    <w:rsid w:val="00D212C8"/>
    <w:rsid w:val="00D22CE4"/>
    <w:rsid w:val="00D37E79"/>
    <w:rsid w:val="00D42492"/>
    <w:rsid w:val="00D4366A"/>
    <w:rsid w:val="00D46419"/>
    <w:rsid w:val="00D5427E"/>
    <w:rsid w:val="00D56F40"/>
    <w:rsid w:val="00D6474B"/>
    <w:rsid w:val="00D70A06"/>
    <w:rsid w:val="00D7372F"/>
    <w:rsid w:val="00D85E6B"/>
    <w:rsid w:val="00D87AA3"/>
    <w:rsid w:val="00D90F63"/>
    <w:rsid w:val="00DA185F"/>
    <w:rsid w:val="00DA198F"/>
    <w:rsid w:val="00DA19DC"/>
    <w:rsid w:val="00DB6F43"/>
    <w:rsid w:val="00DB7615"/>
    <w:rsid w:val="00DC3162"/>
    <w:rsid w:val="00DC644D"/>
    <w:rsid w:val="00DE49FF"/>
    <w:rsid w:val="00DE5D7A"/>
    <w:rsid w:val="00DE7222"/>
    <w:rsid w:val="00DF1181"/>
    <w:rsid w:val="00DF14DD"/>
    <w:rsid w:val="00DF1719"/>
    <w:rsid w:val="00DF23BC"/>
    <w:rsid w:val="00DF584E"/>
    <w:rsid w:val="00DF6429"/>
    <w:rsid w:val="00DF6BA9"/>
    <w:rsid w:val="00DF74D4"/>
    <w:rsid w:val="00E003F5"/>
    <w:rsid w:val="00E02DF1"/>
    <w:rsid w:val="00E06486"/>
    <w:rsid w:val="00E0683C"/>
    <w:rsid w:val="00E12C96"/>
    <w:rsid w:val="00E17453"/>
    <w:rsid w:val="00E17C8A"/>
    <w:rsid w:val="00E2022B"/>
    <w:rsid w:val="00E21DA8"/>
    <w:rsid w:val="00E232F5"/>
    <w:rsid w:val="00E2534F"/>
    <w:rsid w:val="00E3082C"/>
    <w:rsid w:val="00E3138D"/>
    <w:rsid w:val="00E343B8"/>
    <w:rsid w:val="00E37BEA"/>
    <w:rsid w:val="00E46A09"/>
    <w:rsid w:val="00E47A44"/>
    <w:rsid w:val="00E50BC5"/>
    <w:rsid w:val="00E5604B"/>
    <w:rsid w:val="00E56CE5"/>
    <w:rsid w:val="00E6054B"/>
    <w:rsid w:val="00E60A6F"/>
    <w:rsid w:val="00E60F37"/>
    <w:rsid w:val="00E61DDD"/>
    <w:rsid w:val="00E61F38"/>
    <w:rsid w:val="00E664E7"/>
    <w:rsid w:val="00E71B19"/>
    <w:rsid w:val="00E7230A"/>
    <w:rsid w:val="00E74916"/>
    <w:rsid w:val="00E7547C"/>
    <w:rsid w:val="00E80176"/>
    <w:rsid w:val="00E805FD"/>
    <w:rsid w:val="00E823A1"/>
    <w:rsid w:val="00E83CA3"/>
    <w:rsid w:val="00E84A4E"/>
    <w:rsid w:val="00E9040A"/>
    <w:rsid w:val="00E956B1"/>
    <w:rsid w:val="00EA06F7"/>
    <w:rsid w:val="00EA24DD"/>
    <w:rsid w:val="00EA3757"/>
    <w:rsid w:val="00EB4078"/>
    <w:rsid w:val="00EB6150"/>
    <w:rsid w:val="00EC4B3D"/>
    <w:rsid w:val="00EC52D5"/>
    <w:rsid w:val="00EC7CB1"/>
    <w:rsid w:val="00ED39A2"/>
    <w:rsid w:val="00ED39B0"/>
    <w:rsid w:val="00ED750F"/>
    <w:rsid w:val="00ED7DC0"/>
    <w:rsid w:val="00EE1095"/>
    <w:rsid w:val="00EE195D"/>
    <w:rsid w:val="00EE1DF7"/>
    <w:rsid w:val="00EE3614"/>
    <w:rsid w:val="00EE5378"/>
    <w:rsid w:val="00EE563E"/>
    <w:rsid w:val="00EE5849"/>
    <w:rsid w:val="00EE7417"/>
    <w:rsid w:val="00EE7DD8"/>
    <w:rsid w:val="00EF3E7A"/>
    <w:rsid w:val="00F020F5"/>
    <w:rsid w:val="00F06D7B"/>
    <w:rsid w:val="00F076C9"/>
    <w:rsid w:val="00F11884"/>
    <w:rsid w:val="00F126C8"/>
    <w:rsid w:val="00F1637D"/>
    <w:rsid w:val="00F164E2"/>
    <w:rsid w:val="00F23746"/>
    <w:rsid w:val="00F3023D"/>
    <w:rsid w:val="00F30BED"/>
    <w:rsid w:val="00F31D86"/>
    <w:rsid w:val="00F32E57"/>
    <w:rsid w:val="00F37CDA"/>
    <w:rsid w:val="00F45132"/>
    <w:rsid w:val="00F47CE6"/>
    <w:rsid w:val="00F548DF"/>
    <w:rsid w:val="00F609D4"/>
    <w:rsid w:val="00F75FFA"/>
    <w:rsid w:val="00F80B08"/>
    <w:rsid w:val="00F826CD"/>
    <w:rsid w:val="00F83AC1"/>
    <w:rsid w:val="00F86738"/>
    <w:rsid w:val="00F86E8F"/>
    <w:rsid w:val="00F87176"/>
    <w:rsid w:val="00F90A1E"/>
    <w:rsid w:val="00F90B4A"/>
    <w:rsid w:val="00F9338C"/>
    <w:rsid w:val="00F95D01"/>
    <w:rsid w:val="00FA3233"/>
    <w:rsid w:val="00FA3D11"/>
    <w:rsid w:val="00FA4376"/>
    <w:rsid w:val="00FB2F4E"/>
    <w:rsid w:val="00FB419A"/>
    <w:rsid w:val="00FC0BEE"/>
    <w:rsid w:val="00FC0FDA"/>
    <w:rsid w:val="00FC1BEB"/>
    <w:rsid w:val="00FC1C88"/>
    <w:rsid w:val="00FD0595"/>
    <w:rsid w:val="00FD71F2"/>
    <w:rsid w:val="00FE3B12"/>
    <w:rsid w:val="00FF125B"/>
    <w:rsid w:val="00FF1970"/>
    <w:rsid w:val="00FF283A"/>
    <w:rsid w:val="00FF3008"/>
    <w:rsid w:val="00FF54F7"/>
    <w:rsid w:val="00FF58E7"/>
    <w:rsid w:val="00FF6EAF"/>
    <w:rsid w:val="00FF711A"/>
    <w:rsid w:val="670C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2077"/>
  <w15:docId w15:val="{4BC3624C-D40F-43AA-A0CE-C23FD072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E85"/>
    <w:rPr>
      <w:rFonts w:ascii="Tahoma" w:eastAsia="Calibri" w:hAnsi="Tahoma" w:cs="Times New Roman"/>
      <w:sz w:val="20"/>
    </w:rPr>
  </w:style>
  <w:style w:type="paragraph" w:styleId="Heading1">
    <w:name w:val="heading 1"/>
    <w:basedOn w:val="Normal"/>
    <w:next w:val="Normal"/>
    <w:link w:val="Heading1Char"/>
    <w:uiPriority w:val="9"/>
    <w:qFormat/>
    <w:rsid w:val="007A7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76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76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1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NormalWeb">
    <w:name w:val="Normal (Web)"/>
    <w:basedOn w:val="Normal"/>
    <w:uiPriority w:val="99"/>
    <w:unhideWhenUsed/>
    <w:rsid w:val="001B0E85"/>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1B0E85"/>
    <w:pPr>
      <w:jc w:val="center"/>
    </w:pPr>
    <w:rPr>
      <w:rFonts w:eastAsia="Times New Roman"/>
      <w:b/>
      <w:bCs/>
      <w:sz w:val="24"/>
      <w:szCs w:val="24"/>
      <w:lang w:val="en-GB"/>
    </w:rPr>
  </w:style>
  <w:style w:type="character" w:customStyle="1" w:styleId="TitleChar">
    <w:name w:val="Title Char"/>
    <w:basedOn w:val="DefaultParagraphFont"/>
    <w:link w:val="Title"/>
    <w:rsid w:val="001B0E85"/>
    <w:rPr>
      <w:rFonts w:ascii="Tahoma" w:eastAsia="Times New Roman" w:hAnsi="Tahoma" w:cs="Times New Roman"/>
      <w:b/>
      <w:bCs/>
      <w:sz w:val="24"/>
      <w:szCs w:val="24"/>
      <w:lang w:val="en-GB"/>
    </w:rPr>
  </w:style>
  <w:style w:type="paragraph" w:styleId="BodyText2">
    <w:name w:val="Body Text 2"/>
    <w:basedOn w:val="Normal"/>
    <w:link w:val="BodyText2Char"/>
    <w:rsid w:val="001B0E85"/>
    <w:pPr>
      <w:spacing w:line="360" w:lineRule="auto"/>
      <w:jc w:val="both"/>
    </w:pPr>
    <w:rPr>
      <w:rFonts w:eastAsia="Times New Roman"/>
      <w:szCs w:val="24"/>
      <w:lang w:val="en-GB"/>
    </w:rPr>
  </w:style>
  <w:style w:type="character" w:customStyle="1" w:styleId="BodyText2Char">
    <w:name w:val="Body Text 2 Char"/>
    <w:basedOn w:val="DefaultParagraphFont"/>
    <w:link w:val="BodyText2"/>
    <w:rsid w:val="001B0E85"/>
    <w:rPr>
      <w:rFonts w:ascii="Tahoma" w:eastAsia="Times New Roman" w:hAnsi="Tahoma" w:cs="Times New Roman"/>
      <w:sz w:val="20"/>
      <w:szCs w:val="24"/>
      <w:lang w:val="en-GB"/>
    </w:rPr>
  </w:style>
  <w:style w:type="paragraph" w:styleId="ListParagraph">
    <w:name w:val="List Paragraph"/>
    <w:basedOn w:val="Normal"/>
    <w:uiPriority w:val="34"/>
    <w:qFormat/>
    <w:rsid w:val="001B0E85"/>
    <w:pPr>
      <w:spacing w:after="200" w:line="276" w:lineRule="auto"/>
      <w:ind w:left="720"/>
      <w:contextualSpacing/>
    </w:pPr>
    <w:rPr>
      <w:rFonts w:ascii="Calibri" w:hAnsi="Calibri"/>
      <w:sz w:val="22"/>
      <w:lang w:val="en-IE"/>
    </w:rPr>
  </w:style>
  <w:style w:type="character" w:styleId="CommentReference">
    <w:name w:val="annotation reference"/>
    <w:basedOn w:val="DefaultParagraphFont"/>
    <w:uiPriority w:val="99"/>
    <w:semiHidden/>
    <w:unhideWhenUsed/>
    <w:rsid w:val="00CC31C7"/>
    <w:rPr>
      <w:sz w:val="16"/>
      <w:szCs w:val="16"/>
    </w:rPr>
  </w:style>
  <w:style w:type="paragraph" w:styleId="CommentText">
    <w:name w:val="annotation text"/>
    <w:basedOn w:val="Normal"/>
    <w:link w:val="CommentTextChar"/>
    <w:uiPriority w:val="99"/>
    <w:unhideWhenUsed/>
    <w:rsid w:val="00CC31C7"/>
    <w:rPr>
      <w:szCs w:val="20"/>
    </w:rPr>
  </w:style>
  <w:style w:type="character" w:customStyle="1" w:styleId="CommentTextChar">
    <w:name w:val="Comment Text Char"/>
    <w:basedOn w:val="DefaultParagraphFont"/>
    <w:link w:val="CommentText"/>
    <w:uiPriority w:val="99"/>
    <w:rsid w:val="00CC31C7"/>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CC31C7"/>
    <w:rPr>
      <w:b/>
      <w:bCs/>
    </w:rPr>
  </w:style>
  <w:style w:type="character" w:customStyle="1" w:styleId="CommentSubjectChar">
    <w:name w:val="Comment Subject Char"/>
    <w:basedOn w:val="CommentTextChar"/>
    <w:link w:val="CommentSubject"/>
    <w:uiPriority w:val="99"/>
    <w:semiHidden/>
    <w:rsid w:val="00CC31C7"/>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CC31C7"/>
    <w:rPr>
      <w:rFonts w:cs="Tahoma"/>
      <w:sz w:val="16"/>
      <w:szCs w:val="16"/>
    </w:rPr>
  </w:style>
  <w:style w:type="character" w:customStyle="1" w:styleId="BalloonTextChar">
    <w:name w:val="Balloon Text Char"/>
    <w:basedOn w:val="DefaultParagraphFont"/>
    <w:link w:val="BalloonText"/>
    <w:uiPriority w:val="99"/>
    <w:semiHidden/>
    <w:rsid w:val="00CC31C7"/>
    <w:rPr>
      <w:rFonts w:ascii="Tahoma" w:eastAsia="Calibri" w:hAnsi="Tahoma" w:cs="Tahoma"/>
      <w:sz w:val="16"/>
      <w:szCs w:val="16"/>
    </w:rPr>
  </w:style>
  <w:style w:type="paragraph" w:customStyle="1" w:styleId="StyleBoxSinglesolidlineAuto05ptLinewidth">
    <w:name w:val="Style Box: (Single solid line Auto  0.5 pt Line width)"/>
    <w:basedOn w:val="Normal"/>
    <w:rsid w:val="00D14BBF"/>
    <w:pPr>
      <w:pBdr>
        <w:top w:val="single" w:sz="4" w:space="1" w:color="auto"/>
        <w:left w:val="single" w:sz="4" w:space="4" w:color="auto"/>
        <w:bottom w:val="single" w:sz="4" w:space="1" w:color="auto"/>
        <w:right w:val="single" w:sz="4" w:space="4" w:color="auto"/>
      </w:pBdr>
      <w:spacing w:after="120" w:line="312" w:lineRule="auto"/>
    </w:pPr>
    <w:rPr>
      <w:rFonts w:ascii="Calibri" w:eastAsia="ヒラギノ角ゴ Pro W3" w:hAnsi="Calibri"/>
      <w:color w:val="000000"/>
      <w:szCs w:val="24"/>
      <w:lang w:val="en-GB"/>
    </w:rPr>
  </w:style>
  <w:style w:type="paragraph" w:styleId="ListBullet">
    <w:name w:val="List Bullet"/>
    <w:basedOn w:val="Normal"/>
    <w:autoRedefine/>
    <w:uiPriority w:val="99"/>
    <w:rsid w:val="00D14BBF"/>
    <w:pPr>
      <w:numPr>
        <w:numId w:val="13"/>
      </w:numPr>
      <w:tabs>
        <w:tab w:val="clear" w:pos="720"/>
      </w:tabs>
      <w:spacing w:after="120"/>
      <w:ind w:left="360"/>
    </w:pPr>
    <w:rPr>
      <w:rFonts w:ascii="Arial" w:eastAsia="Arial Unicode MS" w:hAnsi="Arial"/>
      <w:szCs w:val="20"/>
      <w:lang w:val="en-GB"/>
    </w:rPr>
  </w:style>
  <w:style w:type="paragraph" w:styleId="BodyText">
    <w:name w:val="Body Text"/>
    <w:basedOn w:val="Normal"/>
    <w:link w:val="BodyTextChar"/>
    <w:uiPriority w:val="99"/>
    <w:semiHidden/>
    <w:unhideWhenUsed/>
    <w:rsid w:val="00E71B19"/>
    <w:pPr>
      <w:spacing w:after="120"/>
    </w:pPr>
  </w:style>
  <w:style w:type="character" w:customStyle="1" w:styleId="BodyTextChar">
    <w:name w:val="Body Text Char"/>
    <w:basedOn w:val="DefaultParagraphFont"/>
    <w:link w:val="BodyText"/>
    <w:uiPriority w:val="99"/>
    <w:semiHidden/>
    <w:rsid w:val="00E71B19"/>
    <w:rPr>
      <w:rFonts w:ascii="Tahoma" w:eastAsia="Calibri" w:hAnsi="Tahoma" w:cs="Times New Roman"/>
      <w:sz w:val="20"/>
    </w:rPr>
  </w:style>
  <w:style w:type="table" w:styleId="TableGrid">
    <w:name w:val="Table Grid"/>
    <w:basedOn w:val="TableNormal"/>
    <w:uiPriority w:val="59"/>
    <w:rsid w:val="00E71B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719"/>
    <w:pPr>
      <w:autoSpaceDE w:val="0"/>
      <w:autoSpaceDN w:val="0"/>
      <w:adjustRightInd w:val="0"/>
    </w:pPr>
    <w:rPr>
      <w:rFonts w:ascii="Arial" w:hAnsi="Arial" w:cs="Arial"/>
      <w:color w:val="000000"/>
      <w:sz w:val="24"/>
      <w:szCs w:val="24"/>
      <w:lang w:val="en-IE"/>
    </w:rPr>
  </w:style>
  <w:style w:type="character" w:styleId="Hyperlink">
    <w:name w:val="Hyperlink"/>
    <w:aliases w:val="Verzeichnis 1 RTX"/>
    <w:uiPriority w:val="99"/>
    <w:rsid w:val="00AB7616"/>
    <w:rPr>
      <w:color w:val="0000FF"/>
      <w:u w:val="single"/>
    </w:rPr>
  </w:style>
  <w:style w:type="paragraph" w:styleId="Revision">
    <w:name w:val="Revision"/>
    <w:hidden/>
    <w:uiPriority w:val="99"/>
    <w:semiHidden/>
    <w:rsid w:val="00E3082C"/>
    <w:rPr>
      <w:rFonts w:ascii="Tahoma" w:eastAsia="Calibri" w:hAnsi="Tahoma" w:cs="Times New Roman"/>
      <w:sz w:val="20"/>
    </w:rPr>
  </w:style>
  <w:style w:type="paragraph" w:styleId="Header">
    <w:name w:val="header"/>
    <w:basedOn w:val="Normal"/>
    <w:link w:val="HeaderChar"/>
    <w:uiPriority w:val="99"/>
    <w:unhideWhenUsed/>
    <w:rsid w:val="00FE3B12"/>
    <w:pPr>
      <w:tabs>
        <w:tab w:val="center" w:pos="4513"/>
        <w:tab w:val="right" w:pos="9026"/>
      </w:tabs>
    </w:pPr>
  </w:style>
  <w:style w:type="character" w:customStyle="1" w:styleId="HeaderChar">
    <w:name w:val="Header Char"/>
    <w:basedOn w:val="DefaultParagraphFont"/>
    <w:link w:val="Header"/>
    <w:uiPriority w:val="99"/>
    <w:rsid w:val="00FE3B12"/>
    <w:rPr>
      <w:rFonts w:ascii="Tahoma" w:eastAsia="Calibri" w:hAnsi="Tahoma" w:cs="Times New Roman"/>
      <w:sz w:val="20"/>
    </w:rPr>
  </w:style>
  <w:style w:type="paragraph" w:styleId="Footer">
    <w:name w:val="footer"/>
    <w:basedOn w:val="Normal"/>
    <w:link w:val="FooterChar"/>
    <w:uiPriority w:val="99"/>
    <w:unhideWhenUsed/>
    <w:rsid w:val="00FE3B12"/>
    <w:pPr>
      <w:tabs>
        <w:tab w:val="center" w:pos="4513"/>
        <w:tab w:val="right" w:pos="9026"/>
      </w:tabs>
    </w:pPr>
  </w:style>
  <w:style w:type="character" w:customStyle="1" w:styleId="FooterChar">
    <w:name w:val="Footer Char"/>
    <w:basedOn w:val="DefaultParagraphFont"/>
    <w:link w:val="Footer"/>
    <w:uiPriority w:val="99"/>
    <w:rsid w:val="00FE3B12"/>
    <w:rPr>
      <w:rFonts w:ascii="Tahoma" w:eastAsia="Calibri" w:hAnsi="Tahoma" w:cs="Times New Roman"/>
      <w:sz w:val="20"/>
    </w:rPr>
  </w:style>
  <w:style w:type="character" w:customStyle="1" w:styleId="personname">
    <w:name w:val="person_name"/>
    <w:basedOn w:val="DefaultParagraphFont"/>
    <w:rsid w:val="00FD0595"/>
  </w:style>
  <w:style w:type="character" w:customStyle="1" w:styleId="Heading1Char">
    <w:name w:val="Heading 1 Char"/>
    <w:basedOn w:val="DefaultParagraphFont"/>
    <w:link w:val="Heading1"/>
    <w:uiPriority w:val="9"/>
    <w:rsid w:val="007A76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A76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A7638"/>
    <w:rPr>
      <w:rFonts w:asciiTheme="majorHAnsi" w:eastAsiaTheme="majorEastAsia" w:hAnsiTheme="majorHAnsi" w:cstheme="majorBidi"/>
      <w:color w:val="243F60" w:themeColor="accent1" w:themeShade="7F"/>
      <w:sz w:val="24"/>
      <w:szCs w:val="24"/>
    </w:rPr>
  </w:style>
  <w:style w:type="character" w:customStyle="1" w:styleId="header-line-3">
    <w:name w:val="header-line-3"/>
    <w:rsid w:val="00207956"/>
  </w:style>
  <w:style w:type="character" w:customStyle="1" w:styleId="tgc">
    <w:name w:val="_tgc"/>
    <w:rsid w:val="00207956"/>
  </w:style>
  <w:style w:type="character" w:customStyle="1" w:styleId="Heading4Char">
    <w:name w:val="Heading 4 Char"/>
    <w:basedOn w:val="DefaultParagraphFont"/>
    <w:link w:val="Heading4"/>
    <w:uiPriority w:val="9"/>
    <w:rsid w:val="00E61F38"/>
    <w:rPr>
      <w:rFonts w:asciiTheme="majorHAnsi" w:eastAsiaTheme="majorEastAsia" w:hAnsiTheme="majorHAnsi" w:cstheme="majorBidi"/>
      <w:i/>
      <w:iCs/>
      <w:color w:val="365F91" w:themeColor="accent1" w:themeShade="BF"/>
      <w:sz w:val="20"/>
    </w:rPr>
  </w:style>
  <w:style w:type="character" w:styleId="UnresolvedMention">
    <w:name w:val="Unresolved Mention"/>
    <w:basedOn w:val="DefaultParagraphFont"/>
    <w:uiPriority w:val="99"/>
    <w:semiHidden/>
    <w:unhideWhenUsed/>
    <w:rsid w:val="005B48CA"/>
    <w:rPr>
      <w:color w:val="605E5C"/>
      <w:shd w:val="clear" w:color="auto" w:fill="E1DFDD"/>
    </w:rPr>
  </w:style>
  <w:style w:type="character" w:styleId="FollowedHyperlink">
    <w:name w:val="FollowedHyperlink"/>
    <w:basedOn w:val="DefaultParagraphFont"/>
    <w:uiPriority w:val="99"/>
    <w:semiHidden/>
    <w:unhideWhenUsed/>
    <w:rsid w:val="00A21017"/>
    <w:rPr>
      <w:color w:val="800080" w:themeColor="followedHyperlink"/>
      <w:u w:val="single"/>
    </w:rPr>
  </w:style>
  <w:style w:type="paragraph" w:customStyle="1" w:styleId="HRBText">
    <w:name w:val="HRB_Text"/>
    <w:basedOn w:val="Normal"/>
    <w:link w:val="HRBTextChar"/>
    <w:uiPriority w:val="15"/>
    <w:qFormat/>
    <w:rsid w:val="00C749FD"/>
    <w:pPr>
      <w:spacing w:after="120" w:line="276" w:lineRule="auto"/>
    </w:pPr>
    <w:rPr>
      <w:rFonts w:ascii="Calibri" w:eastAsiaTheme="minorHAnsi" w:hAnsi="Calibri" w:cstheme="minorBidi"/>
      <w:sz w:val="22"/>
      <w:lang w:val="en-IE"/>
    </w:rPr>
  </w:style>
  <w:style w:type="character" w:customStyle="1" w:styleId="HRBTextChar">
    <w:name w:val="HRB_Text Char"/>
    <w:basedOn w:val="DefaultParagraphFont"/>
    <w:link w:val="HRBText"/>
    <w:uiPriority w:val="15"/>
    <w:rsid w:val="00C749FD"/>
    <w:rPr>
      <w:rFonts w:ascii="Calibri" w:hAnsi="Calibri"/>
      <w:lang w:val="en-IE"/>
    </w:rPr>
  </w:style>
  <w:style w:type="paragraph" w:customStyle="1" w:styleId="HRBBulletTextL1-6">
    <w:name w:val="HRB_Bullet Text_L1-6"/>
    <w:basedOn w:val="Normal"/>
    <w:link w:val="HRBBulletTextL1-6Char"/>
    <w:uiPriority w:val="16"/>
    <w:qFormat/>
    <w:locked/>
    <w:rsid w:val="00332C3B"/>
    <w:pPr>
      <w:numPr>
        <w:numId w:val="28"/>
      </w:numPr>
      <w:spacing w:after="120" w:line="276" w:lineRule="auto"/>
    </w:pPr>
    <w:rPr>
      <w:rFonts w:ascii="Calibri" w:eastAsiaTheme="minorHAnsi" w:hAnsi="Calibri" w:cstheme="minorBidi"/>
      <w:sz w:val="22"/>
      <w:lang w:val="en-IE"/>
    </w:rPr>
  </w:style>
  <w:style w:type="character" w:customStyle="1" w:styleId="HRBBulletTextL1-6Char">
    <w:name w:val="HRB_Bullet Text_L1-6 Char"/>
    <w:basedOn w:val="DefaultParagraphFont"/>
    <w:link w:val="HRBBulletTextL1-6"/>
    <w:uiPriority w:val="16"/>
    <w:rsid w:val="00332C3B"/>
    <w:rPr>
      <w:rFonts w:ascii="Calibri" w:hAnsi="Calibr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1545">
      <w:bodyDiv w:val="1"/>
      <w:marLeft w:val="0"/>
      <w:marRight w:val="0"/>
      <w:marTop w:val="0"/>
      <w:marBottom w:val="0"/>
      <w:divBdr>
        <w:top w:val="none" w:sz="0" w:space="0" w:color="auto"/>
        <w:left w:val="none" w:sz="0" w:space="0" w:color="auto"/>
        <w:bottom w:val="none" w:sz="0" w:space="0" w:color="auto"/>
        <w:right w:val="none" w:sz="0" w:space="0" w:color="auto"/>
      </w:divBdr>
      <w:divsChild>
        <w:div w:id="1748845716">
          <w:marLeft w:val="0"/>
          <w:marRight w:val="0"/>
          <w:marTop w:val="0"/>
          <w:marBottom w:val="0"/>
          <w:divBdr>
            <w:top w:val="none" w:sz="0" w:space="0" w:color="auto"/>
            <w:left w:val="none" w:sz="0" w:space="0" w:color="auto"/>
            <w:bottom w:val="none" w:sz="0" w:space="0" w:color="auto"/>
            <w:right w:val="none" w:sz="0" w:space="0" w:color="auto"/>
          </w:divBdr>
          <w:divsChild>
            <w:div w:id="239171582">
              <w:marLeft w:val="0"/>
              <w:marRight w:val="0"/>
              <w:marTop w:val="0"/>
              <w:marBottom w:val="0"/>
              <w:divBdr>
                <w:top w:val="none" w:sz="0" w:space="0" w:color="auto"/>
                <w:left w:val="none" w:sz="0" w:space="0" w:color="auto"/>
                <w:bottom w:val="none" w:sz="0" w:space="0" w:color="auto"/>
                <w:right w:val="none" w:sz="0" w:space="0" w:color="auto"/>
              </w:divBdr>
              <w:divsChild>
                <w:div w:id="1330475600">
                  <w:marLeft w:val="0"/>
                  <w:marRight w:val="0"/>
                  <w:marTop w:val="0"/>
                  <w:marBottom w:val="0"/>
                  <w:divBdr>
                    <w:top w:val="none" w:sz="0" w:space="0" w:color="auto"/>
                    <w:left w:val="none" w:sz="0" w:space="0" w:color="auto"/>
                    <w:bottom w:val="none" w:sz="0" w:space="0" w:color="auto"/>
                    <w:right w:val="none" w:sz="0" w:space="0" w:color="auto"/>
                  </w:divBdr>
                  <w:divsChild>
                    <w:div w:id="1136407271">
                      <w:marLeft w:val="0"/>
                      <w:marRight w:val="0"/>
                      <w:marTop w:val="0"/>
                      <w:marBottom w:val="0"/>
                      <w:divBdr>
                        <w:top w:val="none" w:sz="0" w:space="0" w:color="auto"/>
                        <w:left w:val="none" w:sz="0" w:space="0" w:color="auto"/>
                        <w:bottom w:val="none" w:sz="0" w:space="0" w:color="auto"/>
                        <w:right w:val="none" w:sz="0" w:space="0" w:color="auto"/>
                      </w:divBdr>
                      <w:divsChild>
                        <w:div w:id="967126084">
                          <w:marLeft w:val="0"/>
                          <w:marRight w:val="0"/>
                          <w:marTop w:val="0"/>
                          <w:marBottom w:val="0"/>
                          <w:divBdr>
                            <w:top w:val="none" w:sz="0" w:space="0" w:color="auto"/>
                            <w:left w:val="none" w:sz="0" w:space="0" w:color="auto"/>
                            <w:bottom w:val="none" w:sz="0" w:space="0" w:color="auto"/>
                            <w:right w:val="none" w:sz="0" w:space="0" w:color="auto"/>
                          </w:divBdr>
                          <w:divsChild>
                            <w:div w:id="1884367726">
                              <w:marLeft w:val="0"/>
                              <w:marRight w:val="0"/>
                              <w:marTop w:val="0"/>
                              <w:marBottom w:val="0"/>
                              <w:divBdr>
                                <w:top w:val="none" w:sz="0" w:space="0" w:color="auto"/>
                                <w:left w:val="none" w:sz="0" w:space="0" w:color="auto"/>
                                <w:bottom w:val="none" w:sz="0" w:space="0" w:color="auto"/>
                                <w:right w:val="none" w:sz="0" w:space="0" w:color="auto"/>
                              </w:divBdr>
                              <w:divsChild>
                                <w:div w:id="1477843926">
                                  <w:marLeft w:val="0"/>
                                  <w:marRight w:val="0"/>
                                  <w:marTop w:val="0"/>
                                  <w:marBottom w:val="0"/>
                                  <w:divBdr>
                                    <w:top w:val="none" w:sz="0" w:space="0" w:color="auto"/>
                                    <w:left w:val="none" w:sz="0" w:space="0" w:color="auto"/>
                                    <w:bottom w:val="none" w:sz="0" w:space="0" w:color="auto"/>
                                    <w:right w:val="none" w:sz="0" w:space="0" w:color="auto"/>
                                  </w:divBdr>
                                  <w:divsChild>
                                    <w:div w:id="2060936238">
                                      <w:marLeft w:val="0"/>
                                      <w:marRight w:val="0"/>
                                      <w:marTop w:val="0"/>
                                      <w:marBottom w:val="0"/>
                                      <w:divBdr>
                                        <w:top w:val="none" w:sz="0" w:space="0" w:color="auto"/>
                                        <w:left w:val="none" w:sz="0" w:space="0" w:color="auto"/>
                                        <w:bottom w:val="none" w:sz="0" w:space="0" w:color="auto"/>
                                        <w:right w:val="none" w:sz="0" w:space="0" w:color="auto"/>
                                      </w:divBdr>
                                      <w:divsChild>
                                        <w:div w:id="1136608764">
                                          <w:marLeft w:val="0"/>
                                          <w:marRight w:val="0"/>
                                          <w:marTop w:val="0"/>
                                          <w:marBottom w:val="0"/>
                                          <w:divBdr>
                                            <w:top w:val="none" w:sz="0" w:space="0" w:color="auto"/>
                                            <w:left w:val="none" w:sz="0" w:space="0" w:color="auto"/>
                                            <w:bottom w:val="none" w:sz="0" w:space="0" w:color="auto"/>
                                            <w:right w:val="none" w:sz="0" w:space="0" w:color="auto"/>
                                          </w:divBdr>
                                          <w:divsChild>
                                            <w:div w:id="1227374601">
                                              <w:marLeft w:val="0"/>
                                              <w:marRight w:val="0"/>
                                              <w:marTop w:val="0"/>
                                              <w:marBottom w:val="0"/>
                                              <w:divBdr>
                                                <w:top w:val="none" w:sz="0" w:space="0" w:color="auto"/>
                                                <w:left w:val="none" w:sz="0" w:space="0" w:color="auto"/>
                                                <w:bottom w:val="none" w:sz="0" w:space="0" w:color="auto"/>
                                                <w:right w:val="none" w:sz="0" w:space="0" w:color="auto"/>
                                              </w:divBdr>
                                              <w:divsChild>
                                                <w:div w:id="1422068982">
                                                  <w:marLeft w:val="0"/>
                                                  <w:marRight w:val="0"/>
                                                  <w:marTop w:val="0"/>
                                                  <w:marBottom w:val="0"/>
                                                  <w:divBdr>
                                                    <w:top w:val="none" w:sz="0" w:space="0" w:color="auto"/>
                                                    <w:left w:val="none" w:sz="0" w:space="0" w:color="auto"/>
                                                    <w:bottom w:val="none" w:sz="0" w:space="0" w:color="auto"/>
                                                    <w:right w:val="none" w:sz="0" w:space="0" w:color="auto"/>
                                                  </w:divBdr>
                                                  <w:divsChild>
                                                    <w:div w:id="946356134">
                                                      <w:marLeft w:val="0"/>
                                                      <w:marRight w:val="0"/>
                                                      <w:marTop w:val="0"/>
                                                      <w:marBottom w:val="0"/>
                                                      <w:divBdr>
                                                        <w:top w:val="none" w:sz="0" w:space="0" w:color="auto"/>
                                                        <w:left w:val="none" w:sz="0" w:space="0" w:color="auto"/>
                                                        <w:bottom w:val="none" w:sz="0" w:space="0" w:color="auto"/>
                                                        <w:right w:val="none" w:sz="0" w:space="0" w:color="auto"/>
                                                      </w:divBdr>
                                                    </w:div>
                                                    <w:div w:id="17939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798066">
      <w:bodyDiv w:val="1"/>
      <w:marLeft w:val="0"/>
      <w:marRight w:val="0"/>
      <w:marTop w:val="0"/>
      <w:marBottom w:val="0"/>
      <w:divBdr>
        <w:top w:val="none" w:sz="0" w:space="0" w:color="auto"/>
        <w:left w:val="none" w:sz="0" w:space="0" w:color="auto"/>
        <w:bottom w:val="none" w:sz="0" w:space="0" w:color="auto"/>
        <w:right w:val="none" w:sz="0" w:space="0" w:color="auto"/>
      </w:divBdr>
    </w:div>
    <w:div w:id="935018463">
      <w:bodyDiv w:val="1"/>
      <w:marLeft w:val="0"/>
      <w:marRight w:val="0"/>
      <w:marTop w:val="0"/>
      <w:marBottom w:val="0"/>
      <w:divBdr>
        <w:top w:val="none" w:sz="0" w:space="0" w:color="auto"/>
        <w:left w:val="none" w:sz="0" w:space="0" w:color="auto"/>
        <w:bottom w:val="none" w:sz="0" w:space="0" w:color="auto"/>
        <w:right w:val="none" w:sz="0" w:space="0" w:color="auto"/>
      </w:divBdr>
      <w:divsChild>
        <w:div w:id="1826775752">
          <w:marLeft w:val="0"/>
          <w:marRight w:val="0"/>
          <w:marTop w:val="0"/>
          <w:marBottom w:val="0"/>
          <w:divBdr>
            <w:top w:val="none" w:sz="0" w:space="0" w:color="auto"/>
            <w:left w:val="none" w:sz="0" w:space="0" w:color="auto"/>
            <w:bottom w:val="none" w:sz="0" w:space="0" w:color="auto"/>
            <w:right w:val="none" w:sz="0" w:space="0" w:color="auto"/>
          </w:divBdr>
          <w:divsChild>
            <w:div w:id="973363589">
              <w:marLeft w:val="0"/>
              <w:marRight w:val="0"/>
              <w:marTop w:val="0"/>
              <w:marBottom w:val="0"/>
              <w:divBdr>
                <w:top w:val="none" w:sz="0" w:space="0" w:color="auto"/>
                <w:left w:val="none" w:sz="0" w:space="0" w:color="auto"/>
                <w:bottom w:val="none" w:sz="0" w:space="0" w:color="auto"/>
                <w:right w:val="none" w:sz="0" w:space="0" w:color="auto"/>
              </w:divBdr>
              <w:divsChild>
                <w:div w:id="103158850">
                  <w:marLeft w:val="0"/>
                  <w:marRight w:val="0"/>
                  <w:marTop w:val="0"/>
                  <w:marBottom w:val="0"/>
                  <w:divBdr>
                    <w:top w:val="none" w:sz="0" w:space="0" w:color="auto"/>
                    <w:left w:val="none" w:sz="0" w:space="0" w:color="auto"/>
                    <w:bottom w:val="none" w:sz="0" w:space="0" w:color="auto"/>
                    <w:right w:val="none" w:sz="0" w:space="0" w:color="auto"/>
                  </w:divBdr>
                  <w:divsChild>
                    <w:div w:id="2075538839">
                      <w:marLeft w:val="0"/>
                      <w:marRight w:val="0"/>
                      <w:marTop w:val="0"/>
                      <w:marBottom w:val="0"/>
                      <w:divBdr>
                        <w:top w:val="none" w:sz="0" w:space="0" w:color="auto"/>
                        <w:left w:val="none" w:sz="0" w:space="0" w:color="auto"/>
                        <w:bottom w:val="none" w:sz="0" w:space="0" w:color="auto"/>
                        <w:right w:val="none" w:sz="0" w:space="0" w:color="auto"/>
                      </w:divBdr>
                      <w:divsChild>
                        <w:div w:id="1545436706">
                          <w:marLeft w:val="0"/>
                          <w:marRight w:val="0"/>
                          <w:marTop w:val="0"/>
                          <w:marBottom w:val="0"/>
                          <w:divBdr>
                            <w:top w:val="none" w:sz="0" w:space="0" w:color="auto"/>
                            <w:left w:val="none" w:sz="0" w:space="0" w:color="auto"/>
                            <w:bottom w:val="none" w:sz="0" w:space="0" w:color="auto"/>
                            <w:right w:val="none" w:sz="0" w:space="0" w:color="auto"/>
                          </w:divBdr>
                          <w:divsChild>
                            <w:div w:id="492380064">
                              <w:marLeft w:val="0"/>
                              <w:marRight w:val="0"/>
                              <w:marTop w:val="0"/>
                              <w:marBottom w:val="0"/>
                              <w:divBdr>
                                <w:top w:val="none" w:sz="0" w:space="0" w:color="auto"/>
                                <w:left w:val="none" w:sz="0" w:space="0" w:color="auto"/>
                                <w:bottom w:val="none" w:sz="0" w:space="0" w:color="auto"/>
                                <w:right w:val="none" w:sz="0" w:space="0" w:color="auto"/>
                              </w:divBdr>
                              <w:divsChild>
                                <w:div w:id="823736375">
                                  <w:marLeft w:val="0"/>
                                  <w:marRight w:val="0"/>
                                  <w:marTop w:val="0"/>
                                  <w:marBottom w:val="0"/>
                                  <w:divBdr>
                                    <w:top w:val="none" w:sz="0" w:space="0" w:color="auto"/>
                                    <w:left w:val="none" w:sz="0" w:space="0" w:color="auto"/>
                                    <w:bottom w:val="none" w:sz="0" w:space="0" w:color="auto"/>
                                    <w:right w:val="none" w:sz="0" w:space="0" w:color="auto"/>
                                  </w:divBdr>
                                  <w:divsChild>
                                    <w:div w:id="1454137302">
                                      <w:marLeft w:val="0"/>
                                      <w:marRight w:val="0"/>
                                      <w:marTop w:val="0"/>
                                      <w:marBottom w:val="0"/>
                                      <w:divBdr>
                                        <w:top w:val="none" w:sz="0" w:space="0" w:color="auto"/>
                                        <w:left w:val="none" w:sz="0" w:space="0" w:color="auto"/>
                                        <w:bottom w:val="none" w:sz="0" w:space="0" w:color="auto"/>
                                        <w:right w:val="none" w:sz="0" w:space="0" w:color="auto"/>
                                      </w:divBdr>
                                      <w:divsChild>
                                        <w:div w:id="252016120">
                                          <w:marLeft w:val="0"/>
                                          <w:marRight w:val="0"/>
                                          <w:marTop w:val="0"/>
                                          <w:marBottom w:val="0"/>
                                          <w:divBdr>
                                            <w:top w:val="none" w:sz="0" w:space="0" w:color="auto"/>
                                            <w:left w:val="none" w:sz="0" w:space="0" w:color="auto"/>
                                            <w:bottom w:val="none" w:sz="0" w:space="0" w:color="auto"/>
                                            <w:right w:val="none" w:sz="0" w:space="0" w:color="auto"/>
                                          </w:divBdr>
                                          <w:divsChild>
                                            <w:div w:id="20063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829343">
      <w:bodyDiv w:val="1"/>
      <w:marLeft w:val="0"/>
      <w:marRight w:val="0"/>
      <w:marTop w:val="0"/>
      <w:marBottom w:val="0"/>
      <w:divBdr>
        <w:top w:val="none" w:sz="0" w:space="0" w:color="auto"/>
        <w:left w:val="none" w:sz="0" w:space="0" w:color="auto"/>
        <w:bottom w:val="none" w:sz="0" w:space="0" w:color="auto"/>
        <w:right w:val="none" w:sz="0" w:space="0" w:color="auto"/>
      </w:divBdr>
      <w:divsChild>
        <w:div w:id="507137935">
          <w:marLeft w:val="547"/>
          <w:marRight w:val="0"/>
          <w:marTop w:val="0"/>
          <w:marBottom w:val="0"/>
          <w:divBdr>
            <w:top w:val="none" w:sz="0" w:space="0" w:color="auto"/>
            <w:left w:val="none" w:sz="0" w:space="0" w:color="auto"/>
            <w:bottom w:val="none" w:sz="0" w:space="0" w:color="auto"/>
            <w:right w:val="none" w:sz="0" w:space="0" w:color="auto"/>
          </w:divBdr>
        </w:div>
      </w:divsChild>
    </w:div>
    <w:div w:id="1566800516">
      <w:bodyDiv w:val="1"/>
      <w:marLeft w:val="0"/>
      <w:marRight w:val="0"/>
      <w:marTop w:val="0"/>
      <w:marBottom w:val="0"/>
      <w:divBdr>
        <w:top w:val="none" w:sz="0" w:space="0" w:color="auto"/>
        <w:left w:val="none" w:sz="0" w:space="0" w:color="auto"/>
        <w:bottom w:val="none" w:sz="0" w:space="0" w:color="auto"/>
        <w:right w:val="none" w:sz="0" w:space="0" w:color="auto"/>
      </w:divBdr>
      <w:divsChild>
        <w:div w:id="9257707">
          <w:marLeft w:val="0"/>
          <w:marRight w:val="0"/>
          <w:marTop w:val="0"/>
          <w:marBottom w:val="0"/>
          <w:divBdr>
            <w:top w:val="none" w:sz="0" w:space="0" w:color="auto"/>
            <w:left w:val="none" w:sz="0" w:space="0" w:color="auto"/>
            <w:bottom w:val="none" w:sz="0" w:space="0" w:color="auto"/>
            <w:right w:val="none" w:sz="0" w:space="0" w:color="auto"/>
          </w:divBdr>
          <w:divsChild>
            <w:div w:id="1080177461">
              <w:marLeft w:val="0"/>
              <w:marRight w:val="0"/>
              <w:marTop w:val="0"/>
              <w:marBottom w:val="0"/>
              <w:divBdr>
                <w:top w:val="none" w:sz="0" w:space="0" w:color="auto"/>
                <w:left w:val="none" w:sz="0" w:space="0" w:color="auto"/>
                <w:bottom w:val="none" w:sz="0" w:space="0" w:color="auto"/>
                <w:right w:val="none" w:sz="0" w:space="0" w:color="auto"/>
              </w:divBdr>
              <w:divsChild>
                <w:div w:id="1470443048">
                  <w:marLeft w:val="0"/>
                  <w:marRight w:val="0"/>
                  <w:marTop w:val="0"/>
                  <w:marBottom w:val="0"/>
                  <w:divBdr>
                    <w:top w:val="none" w:sz="0" w:space="0" w:color="auto"/>
                    <w:left w:val="none" w:sz="0" w:space="0" w:color="auto"/>
                    <w:bottom w:val="none" w:sz="0" w:space="0" w:color="auto"/>
                    <w:right w:val="none" w:sz="0" w:space="0" w:color="auto"/>
                  </w:divBdr>
                  <w:divsChild>
                    <w:div w:id="403994358">
                      <w:marLeft w:val="0"/>
                      <w:marRight w:val="0"/>
                      <w:marTop w:val="0"/>
                      <w:marBottom w:val="0"/>
                      <w:divBdr>
                        <w:top w:val="none" w:sz="0" w:space="0" w:color="auto"/>
                        <w:left w:val="none" w:sz="0" w:space="0" w:color="auto"/>
                        <w:bottom w:val="none" w:sz="0" w:space="0" w:color="auto"/>
                        <w:right w:val="none" w:sz="0" w:space="0" w:color="auto"/>
                      </w:divBdr>
                      <w:divsChild>
                        <w:div w:id="806165463">
                          <w:marLeft w:val="0"/>
                          <w:marRight w:val="0"/>
                          <w:marTop w:val="0"/>
                          <w:marBottom w:val="0"/>
                          <w:divBdr>
                            <w:top w:val="none" w:sz="0" w:space="0" w:color="auto"/>
                            <w:left w:val="none" w:sz="0" w:space="0" w:color="auto"/>
                            <w:bottom w:val="none" w:sz="0" w:space="0" w:color="auto"/>
                            <w:right w:val="none" w:sz="0" w:space="0" w:color="auto"/>
                          </w:divBdr>
                          <w:divsChild>
                            <w:div w:id="1716075332">
                              <w:marLeft w:val="0"/>
                              <w:marRight w:val="0"/>
                              <w:marTop w:val="0"/>
                              <w:marBottom w:val="0"/>
                              <w:divBdr>
                                <w:top w:val="none" w:sz="0" w:space="0" w:color="auto"/>
                                <w:left w:val="none" w:sz="0" w:space="0" w:color="auto"/>
                                <w:bottom w:val="none" w:sz="0" w:space="0" w:color="auto"/>
                                <w:right w:val="none" w:sz="0" w:space="0" w:color="auto"/>
                              </w:divBdr>
                              <w:divsChild>
                                <w:div w:id="1891915725">
                                  <w:marLeft w:val="0"/>
                                  <w:marRight w:val="0"/>
                                  <w:marTop w:val="0"/>
                                  <w:marBottom w:val="0"/>
                                  <w:divBdr>
                                    <w:top w:val="none" w:sz="0" w:space="0" w:color="auto"/>
                                    <w:left w:val="none" w:sz="0" w:space="0" w:color="auto"/>
                                    <w:bottom w:val="none" w:sz="0" w:space="0" w:color="auto"/>
                                    <w:right w:val="none" w:sz="0" w:space="0" w:color="auto"/>
                                  </w:divBdr>
                                  <w:divsChild>
                                    <w:div w:id="167213207">
                                      <w:marLeft w:val="0"/>
                                      <w:marRight w:val="0"/>
                                      <w:marTop w:val="0"/>
                                      <w:marBottom w:val="0"/>
                                      <w:divBdr>
                                        <w:top w:val="none" w:sz="0" w:space="0" w:color="auto"/>
                                        <w:left w:val="none" w:sz="0" w:space="0" w:color="auto"/>
                                        <w:bottom w:val="none" w:sz="0" w:space="0" w:color="auto"/>
                                        <w:right w:val="none" w:sz="0" w:space="0" w:color="auto"/>
                                      </w:divBdr>
                                      <w:divsChild>
                                        <w:div w:id="1371371672">
                                          <w:marLeft w:val="0"/>
                                          <w:marRight w:val="0"/>
                                          <w:marTop w:val="0"/>
                                          <w:marBottom w:val="0"/>
                                          <w:divBdr>
                                            <w:top w:val="none" w:sz="0" w:space="0" w:color="auto"/>
                                            <w:left w:val="none" w:sz="0" w:space="0" w:color="auto"/>
                                            <w:bottom w:val="none" w:sz="0" w:space="0" w:color="auto"/>
                                            <w:right w:val="none" w:sz="0" w:space="0" w:color="auto"/>
                                          </w:divBdr>
                                          <w:divsChild>
                                            <w:div w:id="1352954443">
                                              <w:marLeft w:val="0"/>
                                              <w:marRight w:val="0"/>
                                              <w:marTop w:val="0"/>
                                              <w:marBottom w:val="0"/>
                                              <w:divBdr>
                                                <w:top w:val="none" w:sz="0" w:space="0" w:color="auto"/>
                                                <w:left w:val="none" w:sz="0" w:space="0" w:color="auto"/>
                                                <w:bottom w:val="none" w:sz="0" w:space="0" w:color="auto"/>
                                                <w:right w:val="none" w:sz="0" w:space="0" w:color="auto"/>
                                              </w:divBdr>
                                              <w:divsChild>
                                                <w:div w:id="1853183948">
                                                  <w:marLeft w:val="0"/>
                                                  <w:marRight w:val="0"/>
                                                  <w:marTop w:val="0"/>
                                                  <w:marBottom w:val="0"/>
                                                  <w:divBdr>
                                                    <w:top w:val="none" w:sz="0" w:space="0" w:color="auto"/>
                                                    <w:left w:val="none" w:sz="0" w:space="0" w:color="auto"/>
                                                    <w:bottom w:val="none" w:sz="0" w:space="0" w:color="auto"/>
                                                    <w:right w:val="none" w:sz="0" w:space="0" w:color="auto"/>
                                                  </w:divBdr>
                                                  <w:divsChild>
                                                    <w:div w:id="944537191">
                                                      <w:marLeft w:val="0"/>
                                                      <w:marRight w:val="0"/>
                                                      <w:marTop w:val="0"/>
                                                      <w:marBottom w:val="0"/>
                                                      <w:divBdr>
                                                        <w:top w:val="none" w:sz="0" w:space="0" w:color="auto"/>
                                                        <w:left w:val="none" w:sz="0" w:space="0" w:color="auto"/>
                                                        <w:bottom w:val="none" w:sz="0" w:space="0" w:color="auto"/>
                                                        <w:right w:val="none" w:sz="0" w:space="0" w:color="auto"/>
                                                      </w:divBdr>
                                                    </w:div>
                                                    <w:div w:id="18542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0843">
      <w:bodyDiv w:val="1"/>
      <w:marLeft w:val="0"/>
      <w:marRight w:val="0"/>
      <w:marTop w:val="0"/>
      <w:marBottom w:val="0"/>
      <w:divBdr>
        <w:top w:val="none" w:sz="0" w:space="0" w:color="auto"/>
        <w:left w:val="none" w:sz="0" w:space="0" w:color="auto"/>
        <w:bottom w:val="none" w:sz="0" w:space="0" w:color="auto"/>
        <w:right w:val="none" w:sz="0" w:space="0" w:color="auto"/>
      </w:divBdr>
    </w:div>
    <w:div w:id="1769501618">
      <w:bodyDiv w:val="1"/>
      <w:marLeft w:val="0"/>
      <w:marRight w:val="0"/>
      <w:marTop w:val="0"/>
      <w:marBottom w:val="0"/>
      <w:divBdr>
        <w:top w:val="none" w:sz="0" w:space="0" w:color="auto"/>
        <w:left w:val="none" w:sz="0" w:space="0" w:color="auto"/>
        <w:bottom w:val="none" w:sz="0" w:space="0" w:color="auto"/>
        <w:right w:val="none" w:sz="0" w:space="0" w:color="auto"/>
      </w:divBdr>
      <w:divsChild>
        <w:div w:id="1714041248">
          <w:marLeft w:val="0"/>
          <w:marRight w:val="0"/>
          <w:marTop w:val="0"/>
          <w:marBottom w:val="0"/>
          <w:divBdr>
            <w:top w:val="none" w:sz="0" w:space="0" w:color="auto"/>
            <w:left w:val="none" w:sz="0" w:space="0" w:color="auto"/>
            <w:bottom w:val="none" w:sz="0" w:space="0" w:color="auto"/>
            <w:right w:val="none" w:sz="0" w:space="0" w:color="auto"/>
          </w:divBdr>
          <w:divsChild>
            <w:div w:id="1373268415">
              <w:marLeft w:val="0"/>
              <w:marRight w:val="0"/>
              <w:marTop w:val="0"/>
              <w:marBottom w:val="0"/>
              <w:divBdr>
                <w:top w:val="none" w:sz="0" w:space="0" w:color="auto"/>
                <w:left w:val="none" w:sz="0" w:space="0" w:color="auto"/>
                <w:bottom w:val="none" w:sz="0" w:space="0" w:color="auto"/>
                <w:right w:val="none" w:sz="0" w:space="0" w:color="auto"/>
              </w:divBdr>
              <w:divsChild>
                <w:div w:id="715734593">
                  <w:marLeft w:val="0"/>
                  <w:marRight w:val="0"/>
                  <w:marTop w:val="0"/>
                  <w:marBottom w:val="0"/>
                  <w:divBdr>
                    <w:top w:val="none" w:sz="0" w:space="0" w:color="auto"/>
                    <w:left w:val="none" w:sz="0" w:space="0" w:color="auto"/>
                    <w:bottom w:val="none" w:sz="0" w:space="0" w:color="auto"/>
                    <w:right w:val="none" w:sz="0" w:space="0" w:color="auto"/>
                  </w:divBdr>
                  <w:divsChild>
                    <w:div w:id="2061783804">
                      <w:marLeft w:val="0"/>
                      <w:marRight w:val="0"/>
                      <w:marTop w:val="0"/>
                      <w:marBottom w:val="0"/>
                      <w:divBdr>
                        <w:top w:val="none" w:sz="0" w:space="0" w:color="auto"/>
                        <w:left w:val="none" w:sz="0" w:space="0" w:color="auto"/>
                        <w:bottom w:val="none" w:sz="0" w:space="0" w:color="auto"/>
                        <w:right w:val="none" w:sz="0" w:space="0" w:color="auto"/>
                      </w:divBdr>
                      <w:divsChild>
                        <w:div w:id="1194659988">
                          <w:marLeft w:val="0"/>
                          <w:marRight w:val="0"/>
                          <w:marTop w:val="0"/>
                          <w:marBottom w:val="0"/>
                          <w:divBdr>
                            <w:top w:val="none" w:sz="0" w:space="0" w:color="auto"/>
                            <w:left w:val="none" w:sz="0" w:space="0" w:color="auto"/>
                            <w:bottom w:val="none" w:sz="0" w:space="0" w:color="auto"/>
                            <w:right w:val="none" w:sz="0" w:space="0" w:color="auto"/>
                          </w:divBdr>
                          <w:divsChild>
                            <w:div w:id="1718821742">
                              <w:marLeft w:val="0"/>
                              <w:marRight w:val="0"/>
                              <w:marTop w:val="0"/>
                              <w:marBottom w:val="0"/>
                              <w:divBdr>
                                <w:top w:val="none" w:sz="0" w:space="0" w:color="auto"/>
                                <w:left w:val="none" w:sz="0" w:space="0" w:color="auto"/>
                                <w:bottom w:val="none" w:sz="0" w:space="0" w:color="auto"/>
                                <w:right w:val="none" w:sz="0" w:space="0" w:color="auto"/>
                              </w:divBdr>
                              <w:divsChild>
                                <w:div w:id="1780180695">
                                  <w:marLeft w:val="0"/>
                                  <w:marRight w:val="0"/>
                                  <w:marTop w:val="0"/>
                                  <w:marBottom w:val="0"/>
                                  <w:divBdr>
                                    <w:top w:val="none" w:sz="0" w:space="0" w:color="auto"/>
                                    <w:left w:val="none" w:sz="0" w:space="0" w:color="auto"/>
                                    <w:bottom w:val="none" w:sz="0" w:space="0" w:color="auto"/>
                                    <w:right w:val="none" w:sz="0" w:space="0" w:color="auto"/>
                                  </w:divBdr>
                                  <w:divsChild>
                                    <w:div w:id="1107771599">
                                      <w:marLeft w:val="0"/>
                                      <w:marRight w:val="0"/>
                                      <w:marTop w:val="0"/>
                                      <w:marBottom w:val="0"/>
                                      <w:divBdr>
                                        <w:top w:val="none" w:sz="0" w:space="0" w:color="auto"/>
                                        <w:left w:val="none" w:sz="0" w:space="0" w:color="auto"/>
                                        <w:bottom w:val="none" w:sz="0" w:space="0" w:color="auto"/>
                                        <w:right w:val="none" w:sz="0" w:space="0" w:color="auto"/>
                                      </w:divBdr>
                                      <w:divsChild>
                                        <w:div w:id="1804421904">
                                          <w:marLeft w:val="0"/>
                                          <w:marRight w:val="0"/>
                                          <w:marTop w:val="0"/>
                                          <w:marBottom w:val="0"/>
                                          <w:divBdr>
                                            <w:top w:val="none" w:sz="0" w:space="0" w:color="auto"/>
                                            <w:left w:val="none" w:sz="0" w:space="0" w:color="auto"/>
                                            <w:bottom w:val="none" w:sz="0" w:space="0" w:color="auto"/>
                                            <w:right w:val="none" w:sz="0" w:space="0" w:color="auto"/>
                                          </w:divBdr>
                                          <w:divsChild>
                                            <w:div w:id="2038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001234">
      <w:bodyDiv w:val="1"/>
      <w:marLeft w:val="0"/>
      <w:marRight w:val="0"/>
      <w:marTop w:val="0"/>
      <w:marBottom w:val="0"/>
      <w:divBdr>
        <w:top w:val="none" w:sz="0" w:space="0" w:color="auto"/>
        <w:left w:val="none" w:sz="0" w:space="0" w:color="auto"/>
        <w:bottom w:val="none" w:sz="0" w:space="0" w:color="auto"/>
        <w:right w:val="none" w:sz="0" w:space="0" w:color="auto"/>
      </w:divBdr>
    </w:div>
    <w:div w:id="20736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cdda.europa.eu/publications/technical-reports/hhc-and-related-substances_en" TargetMode="External"/><Relationship Id="rId5" Type="http://schemas.openxmlformats.org/officeDocument/2006/relationships/styles" Target="styles.xml"/><Relationship Id="rId10" Type="http://schemas.openxmlformats.org/officeDocument/2006/relationships/hyperlink" Target="https://www.emcdda.europa.eu/edr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9D53E903C1C4DA412BEC186BF9574" ma:contentTypeVersion="15" ma:contentTypeDescription="Create a new document." ma:contentTypeScope="" ma:versionID="903a0d643a99a87c63f336b972463c7d">
  <xsd:schema xmlns:xsd="http://www.w3.org/2001/XMLSchema" xmlns:xs="http://www.w3.org/2001/XMLSchema" xmlns:p="http://schemas.microsoft.com/office/2006/metadata/properties" xmlns:ns2="154ec55a-2caa-43de-bd10-479a76a398ea" xmlns:ns3="1dec2fd3-6f58-46ab-a96e-e85cbcf7f322" targetNamespace="http://schemas.microsoft.com/office/2006/metadata/properties" ma:root="true" ma:fieldsID="b4909299fd5bee663750a1d742693b21" ns2:_="" ns3:_="">
    <xsd:import namespace="154ec55a-2caa-43de-bd10-479a76a398ea"/>
    <xsd:import namespace="1dec2fd3-6f58-46ab-a96e-e85cbcf7f3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ec55a-2caa-43de-bd10-479a76a3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c2fd3-6f58-46ab-a96e-e85cbcf7f32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62810f-d1f2-44a4-8daa-aa1f8d72df4a}" ma:internalName="TaxCatchAll" ma:showField="CatchAllData" ma:web="1dec2fd3-6f58-46ab-a96e-e85cbcf7f3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ec2fd3-6f58-46ab-a96e-e85cbcf7f322" xsi:nil="true"/>
    <lcf76f155ced4ddcb4097134ff3c332f xmlns="154ec55a-2caa-43de-bd10-479a76a398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AD8DC-BD8C-4DC6-A851-728D436FA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ec55a-2caa-43de-bd10-479a76a398ea"/>
    <ds:schemaRef ds:uri="1dec2fd3-6f58-46ab-a96e-e85cbcf7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F7219-31F0-4205-95B9-C2E8C1BEC3CC}">
  <ds:schemaRefs>
    <ds:schemaRef ds:uri="http://schemas.microsoft.com/office/2006/documentManagement/types"/>
    <ds:schemaRef ds:uri="http://schemas.microsoft.com/office/infopath/2007/PartnerControls"/>
    <ds:schemaRef ds:uri="1dec2fd3-6f58-46ab-a96e-e85cbcf7f322"/>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154ec55a-2caa-43de-bd10-479a76a398ea"/>
  </ds:schemaRefs>
</ds:datastoreItem>
</file>

<file path=customXml/itemProps3.xml><?xml version="1.0" encoding="utf-8"?>
<ds:datastoreItem xmlns:ds="http://schemas.openxmlformats.org/officeDocument/2006/customXml" ds:itemID="{20D24E3E-81B3-4268-BA9D-7861A9A3F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11426</Characters>
  <Application>Microsoft Office Word</Application>
  <DocSecurity>0</DocSecurity>
  <Lines>95</Lines>
  <Paragraphs>26</Paragraphs>
  <ScaleCrop>false</ScaleCrop>
  <Company>Health Research Board</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Cummins</dc:creator>
  <cp:lastModifiedBy>Mairea Nelson</cp:lastModifiedBy>
  <cp:revision>2</cp:revision>
  <cp:lastPrinted>2023-06-09T08:24:00Z</cp:lastPrinted>
  <dcterms:created xsi:type="dcterms:W3CDTF">2024-06-10T11:16:00Z</dcterms:created>
  <dcterms:modified xsi:type="dcterms:W3CDTF">2024-06-10T11:16:00Z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0x010100E739D53E903C1C4DA412BEC186BF9574</vt:lpwstr>
  </property>
  <property fmtid="{D5CDD505-2E9C-101B-9397-08002B2CF9AE}" pid="3" name="Order">
    <vt:r8>418000</vt:r8>
  </property>
  <property fmtid="{D5CDD505-2E9C-101B-9397-08002B2CF9AE}" pid="4" name="MediaServiceImageTags">
    <vt:lpwstr/>
  </property>
</Properties>
</file>