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4138" w14:textId="02CA10FC" w:rsidR="00083822" w:rsidRPr="00633550" w:rsidRDefault="00BD5F76" w:rsidP="00404734">
      <w:pPr>
        <w:rPr>
          <w:rFonts w:asciiTheme="minorHAnsi" w:hAnsiTheme="minorHAnsi" w:cstheme="minorHAnsi"/>
          <w:b/>
          <w:bCs/>
        </w:rPr>
      </w:pPr>
      <w:r w:rsidRPr="00633550">
        <w:rPr>
          <w:rFonts w:asciiTheme="minorHAnsi" w:hAnsiTheme="minorHAnsi" w:cstheme="minorHAnsi"/>
          <w:b/>
          <w:bCs/>
        </w:rPr>
        <w:t>European Drug Report 202</w:t>
      </w:r>
      <w:r w:rsidR="0089797A" w:rsidRPr="00633550">
        <w:rPr>
          <w:rFonts w:asciiTheme="minorHAnsi" w:hAnsiTheme="minorHAnsi" w:cstheme="minorHAnsi"/>
          <w:b/>
          <w:bCs/>
        </w:rPr>
        <w:t>3</w:t>
      </w:r>
    </w:p>
    <w:p w14:paraId="723EFCCD" w14:textId="77777777" w:rsidR="00404734" w:rsidRDefault="00404734" w:rsidP="00404734">
      <w:pPr>
        <w:rPr>
          <w:rFonts w:asciiTheme="minorHAnsi" w:hAnsiTheme="minorHAnsi" w:cstheme="minorHAnsi"/>
          <w:sz w:val="22"/>
          <w:lang w:val="en-GB"/>
        </w:rPr>
      </w:pPr>
    </w:p>
    <w:p w14:paraId="2A5827BC" w14:textId="40C575A4" w:rsidR="00486B46" w:rsidRPr="00F31D86" w:rsidRDefault="000841D4" w:rsidP="00404734">
      <w:pPr>
        <w:rPr>
          <w:rFonts w:asciiTheme="minorHAnsi" w:hAnsiTheme="minorHAnsi" w:cstheme="minorHAnsi"/>
          <w:bCs/>
          <w:sz w:val="22"/>
          <w:lang w:val="en-GB"/>
        </w:rPr>
      </w:pPr>
      <w:r>
        <w:rPr>
          <w:rFonts w:asciiTheme="minorHAnsi" w:hAnsiTheme="minorHAnsi" w:cstheme="minorHAnsi"/>
          <w:sz w:val="22"/>
          <w:lang w:val="en-GB"/>
        </w:rPr>
        <w:t>Friday</w:t>
      </w:r>
      <w:r w:rsidRPr="00F31D86">
        <w:rPr>
          <w:rFonts w:asciiTheme="minorHAnsi" w:hAnsiTheme="minorHAnsi" w:cstheme="minorHAnsi"/>
          <w:sz w:val="22"/>
          <w:lang w:val="en-GB"/>
        </w:rPr>
        <w:t xml:space="preserve"> </w:t>
      </w:r>
      <w:r w:rsidR="00083822" w:rsidRPr="00F31D86">
        <w:rPr>
          <w:rFonts w:asciiTheme="minorHAnsi" w:hAnsiTheme="minorHAnsi" w:cstheme="minorHAnsi"/>
          <w:sz w:val="22"/>
          <w:lang w:val="en-GB"/>
        </w:rPr>
        <w:t>1</w:t>
      </w:r>
      <w:r w:rsidR="00F31D86" w:rsidRPr="00F31D86">
        <w:rPr>
          <w:rFonts w:asciiTheme="minorHAnsi" w:hAnsiTheme="minorHAnsi" w:cstheme="minorHAnsi"/>
          <w:sz w:val="22"/>
          <w:lang w:val="en-GB"/>
        </w:rPr>
        <w:t>6</w:t>
      </w:r>
      <w:r w:rsidR="00BD5F76" w:rsidRPr="00F31D86">
        <w:rPr>
          <w:rFonts w:asciiTheme="minorHAnsi" w:hAnsiTheme="minorHAnsi" w:cstheme="minorHAnsi"/>
          <w:sz w:val="22"/>
          <w:lang w:val="en-GB"/>
        </w:rPr>
        <w:t xml:space="preserve"> June</w:t>
      </w:r>
      <w:r w:rsidR="0010007A" w:rsidRPr="00F31D86">
        <w:rPr>
          <w:rFonts w:asciiTheme="minorHAnsi" w:hAnsiTheme="minorHAnsi" w:cstheme="minorHAnsi"/>
          <w:sz w:val="22"/>
          <w:lang w:val="en-GB"/>
        </w:rPr>
        <w:t xml:space="preserve"> </w:t>
      </w:r>
      <w:r w:rsidR="00083822" w:rsidRPr="00F31D86">
        <w:rPr>
          <w:rFonts w:asciiTheme="minorHAnsi" w:hAnsiTheme="minorHAnsi" w:cstheme="minorHAnsi"/>
          <w:sz w:val="22"/>
          <w:lang w:val="en-GB"/>
        </w:rPr>
        <w:t>202</w:t>
      </w:r>
      <w:r w:rsidR="0075317C" w:rsidRPr="00F31D86">
        <w:rPr>
          <w:rFonts w:asciiTheme="minorHAnsi" w:hAnsiTheme="minorHAnsi" w:cstheme="minorHAnsi"/>
          <w:sz w:val="22"/>
          <w:lang w:val="en-GB"/>
        </w:rPr>
        <w:t xml:space="preserve">3 </w:t>
      </w:r>
      <w:r w:rsidR="00575633" w:rsidRPr="00F31D86">
        <w:rPr>
          <w:rFonts w:asciiTheme="minorHAnsi" w:hAnsiTheme="minorHAnsi" w:cstheme="minorHAnsi"/>
          <w:sz w:val="22"/>
          <w:lang w:val="en-GB"/>
        </w:rPr>
        <w:t>1</w:t>
      </w:r>
      <w:r w:rsidR="002A325D">
        <w:rPr>
          <w:rFonts w:asciiTheme="minorHAnsi" w:hAnsiTheme="minorHAnsi" w:cstheme="minorHAnsi"/>
          <w:sz w:val="22"/>
          <w:lang w:val="en-GB"/>
        </w:rPr>
        <w:t>2</w:t>
      </w:r>
      <w:r w:rsidR="00575633" w:rsidRPr="00F31D86">
        <w:rPr>
          <w:rFonts w:asciiTheme="minorHAnsi" w:hAnsiTheme="minorHAnsi" w:cstheme="minorHAnsi"/>
          <w:sz w:val="22"/>
          <w:lang w:val="en-GB"/>
        </w:rPr>
        <w:t xml:space="preserve">.00 </w:t>
      </w:r>
      <w:r w:rsidR="00953D8C">
        <w:rPr>
          <w:rFonts w:asciiTheme="minorHAnsi" w:hAnsiTheme="minorHAnsi" w:cstheme="minorHAnsi"/>
          <w:sz w:val="22"/>
          <w:lang w:val="en-GB"/>
        </w:rPr>
        <w:t>p</w:t>
      </w:r>
      <w:r w:rsidR="00575633" w:rsidRPr="00F31D86">
        <w:rPr>
          <w:rFonts w:asciiTheme="minorHAnsi" w:hAnsiTheme="minorHAnsi" w:cstheme="minorHAnsi"/>
          <w:sz w:val="22"/>
          <w:lang w:val="en-GB"/>
        </w:rPr>
        <w:t>m</w:t>
      </w:r>
      <w:r w:rsidR="000E1043" w:rsidRPr="00F31D86">
        <w:rPr>
          <w:rFonts w:asciiTheme="minorHAnsi" w:hAnsiTheme="minorHAnsi" w:cstheme="minorHAnsi"/>
          <w:sz w:val="22"/>
        </w:rPr>
        <w:t xml:space="preserve">: </w:t>
      </w:r>
      <w:r w:rsidR="00705CFB" w:rsidRPr="00F31D86">
        <w:rPr>
          <w:rFonts w:asciiTheme="minorHAnsi" w:hAnsiTheme="minorHAnsi" w:cstheme="minorHAnsi"/>
          <w:sz w:val="22"/>
        </w:rPr>
        <w:t xml:space="preserve"> </w:t>
      </w:r>
      <w:r w:rsidR="008D5544" w:rsidRPr="00F31D86">
        <w:rPr>
          <w:rFonts w:asciiTheme="minorHAnsi" w:hAnsiTheme="minorHAnsi" w:cstheme="minorHAnsi"/>
          <w:bCs/>
          <w:sz w:val="22"/>
        </w:rPr>
        <w:t>The</w:t>
      </w:r>
      <w:r w:rsidR="001B0E85" w:rsidRPr="00F31D86">
        <w:rPr>
          <w:rFonts w:asciiTheme="minorHAnsi" w:hAnsiTheme="minorHAnsi" w:cstheme="minorHAnsi"/>
          <w:bCs/>
          <w:sz w:val="22"/>
        </w:rPr>
        <w:t xml:space="preserve"> European Monitoring Centre for Drugs and Drug Addiction (EMCDDA) </w:t>
      </w:r>
      <w:r w:rsidR="00AF1A9D">
        <w:rPr>
          <w:rFonts w:asciiTheme="minorHAnsi" w:hAnsiTheme="minorHAnsi" w:cstheme="minorHAnsi"/>
          <w:bCs/>
          <w:sz w:val="22"/>
        </w:rPr>
        <w:t>today</w:t>
      </w:r>
      <w:r w:rsidR="007A7638" w:rsidRPr="00F31D86">
        <w:rPr>
          <w:rFonts w:asciiTheme="minorHAnsi" w:hAnsiTheme="minorHAnsi" w:cstheme="minorHAnsi"/>
          <w:bCs/>
          <w:sz w:val="22"/>
        </w:rPr>
        <w:t xml:space="preserve"> </w:t>
      </w:r>
      <w:r w:rsidR="008D5544" w:rsidRPr="00F31D86">
        <w:rPr>
          <w:rFonts w:asciiTheme="minorHAnsi" w:hAnsiTheme="minorHAnsi" w:cstheme="minorHAnsi"/>
          <w:bCs/>
          <w:sz w:val="22"/>
        </w:rPr>
        <w:t>publish</w:t>
      </w:r>
      <w:r w:rsidR="00AF1A9D">
        <w:rPr>
          <w:rFonts w:asciiTheme="minorHAnsi" w:hAnsiTheme="minorHAnsi" w:cstheme="minorHAnsi"/>
          <w:bCs/>
          <w:sz w:val="22"/>
        </w:rPr>
        <w:t>es</w:t>
      </w:r>
      <w:r w:rsidR="008D5544" w:rsidRPr="00F31D86">
        <w:rPr>
          <w:rFonts w:asciiTheme="minorHAnsi" w:hAnsiTheme="minorHAnsi" w:cstheme="minorHAnsi"/>
          <w:bCs/>
          <w:sz w:val="22"/>
        </w:rPr>
        <w:t xml:space="preserve"> the </w:t>
      </w:r>
      <w:hyperlink r:id="rId10" w:history="1">
        <w:r w:rsidR="001B0E85" w:rsidRPr="00843681">
          <w:rPr>
            <w:rStyle w:val="Hyperlink"/>
            <w:rFonts w:asciiTheme="minorHAnsi" w:hAnsiTheme="minorHAnsi" w:cstheme="minorHAnsi"/>
            <w:b/>
            <w:bCs/>
            <w:i/>
            <w:sz w:val="22"/>
          </w:rPr>
          <w:t xml:space="preserve">European drug report </w:t>
        </w:r>
        <w:r w:rsidR="00824831" w:rsidRPr="00843681">
          <w:rPr>
            <w:rStyle w:val="Hyperlink"/>
            <w:rFonts w:asciiTheme="minorHAnsi" w:hAnsiTheme="minorHAnsi" w:cstheme="minorHAnsi"/>
            <w:b/>
            <w:bCs/>
            <w:i/>
            <w:sz w:val="22"/>
          </w:rPr>
          <w:t>20</w:t>
        </w:r>
        <w:r w:rsidR="00667B97" w:rsidRPr="00843681">
          <w:rPr>
            <w:rStyle w:val="Hyperlink"/>
            <w:rFonts w:asciiTheme="minorHAnsi" w:hAnsiTheme="minorHAnsi" w:cstheme="minorHAnsi"/>
            <w:b/>
            <w:bCs/>
            <w:i/>
            <w:sz w:val="22"/>
          </w:rPr>
          <w:t>2</w:t>
        </w:r>
        <w:r w:rsidR="0075317C" w:rsidRPr="00843681">
          <w:rPr>
            <w:rStyle w:val="Hyperlink"/>
            <w:rFonts w:asciiTheme="minorHAnsi" w:hAnsiTheme="minorHAnsi" w:cstheme="minorHAnsi"/>
            <w:b/>
            <w:bCs/>
            <w:i/>
            <w:sz w:val="22"/>
          </w:rPr>
          <w:t>3</w:t>
        </w:r>
        <w:r w:rsidR="001B0E85" w:rsidRPr="00843681">
          <w:rPr>
            <w:rStyle w:val="Hyperlink"/>
            <w:rFonts w:asciiTheme="minorHAnsi" w:hAnsiTheme="minorHAnsi" w:cstheme="minorHAnsi"/>
            <w:b/>
            <w:bCs/>
            <w:i/>
            <w:sz w:val="22"/>
          </w:rPr>
          <w:t>: trends and developments</w:t>
        </w:r>
      </w:hyperlink>
      <w:r w:rsidR="001B0E85" w:rsidRPr="00F31D86">
        <w:rPr>
          <w:rFonts w:asciiTheme="minorHAnsi" w:hAnsiTheme="minorHAnsi" w:cstheme="minorHAnsi"/>
          <w:bCs/>
          <w:sz w:val="22"/>
        </w:rPr>
        <w:t xml:space="preserve">. </w:t>
      </w:r>
      <w:r w:rsidR="00216B3A" w:rsidRPr="00F31D86">
        <w:rPr>
          <w:rFonts w:asciiTheme="minorHAnsi" w:hAnsiTheme="minorHAnsi" w:cstheme="minorHAnsi"/>
          <w:bCs/>
          <w:sz w:val="22"/>
          <w:lang w:val="en-GB"/>
        </w:rPr>
        <w:t>The purpose of this report is to provide an overview and summary of the European drug situation up to the end of 202</w:t>
      </w:r>
      <w:r w:rsidR="0075317C" w:rsidRPr="00F31D86">
        <w:rPr>
          <w:rFonts w:asciiTheme="minorHAnsi" w:hAnsiTheme="minorHAnsi" w:cstheme="minorHAnsi"/>
          <w:bCs/>
          <w:sz w:val="22"/>
          <w:lang w:val="en-GB"/>
        </w:rPr>
        <w:t>2</w:t>
      </w:r>
      <w:r w:rsidR="00216B3A" w:rsidRPr="00F31D86">
        <w:rPr>
          <w:rFonts w:asciiTheme="minorHAnsi" w:hAnsiTheme="minorHAnsi" w:cstheme="minorHAnsi"/>
          <w:bCs/>
          <w:sz w:val="22"/>
          <w:lang w:val="en-GB"/>
        </w:rPr>
        <w:t xml:space="preserve">. </w:t>
      </w:r>
    </w:p>
    <w:p w14:paraId="0BC2B93B" w14:textId="77777777" w:rsidR="00AF1A9D" w:rsidRPr="00404734" w:rsidRDefault="00AF1A9D" w:rsidP="00404734"/>
    <w:p w14:paraId="56F7C9EC" w14:textId="073B5F46" w:rsidR="00830639" w:rsidRPr="00F31D86" w:rsidRDefault="000E1043" w:rsidP="00404734">
      <w:pPr>
        <w:rPr>
          <w:rFonts w:asciiTheme="minorHAnsi" w:hAnsiTheme="minorHAnsi" w:cstheme="minorHAnsi"/>
          <w:bCs/>
          <w:sz w:val="22"/>
          <w:lang w:val="en"/>
        </w:rPr>
      </w:pPr>
      <w:r w:rsidRPr="00F31D86">
        <w:rPr>
          <w:rFonts w:asciiTheme="minorHAnsi" w:hAnsiTheme="minorHAnsi" w:cstheme="minorHAnsi"/>
          <w:bCs/>
          <w:sz w:val="22"/>
          <w:lang w:val="en"/>
        </w:rPr>
        <w:t>The H</w:t>
      </w:r>
      <w:r w:rsidR="00FF54F7" w:rsidRPr="00F31D86">
        <w:rPr>
          <w:rFonts w:asciiTheme="minorHAnsi" w:hAnsiTheme="minorHAnsi" w:cstheme="minorHAnsi"/>
          <w:bCs/>
          <w:sz w:val="22"/>
          <w:lang w:val="en"/>
        </w:rPr>
        <w:t xml:space="preserve">ealth Research </w:t>
      </w:r>
      <w:r w:rsidRPr="00F31D86">
        <w:rPr>
          <w:rFonts w:asciiTheme="minorHAnsi" w:hAnsiTheme="minorHAnsi" w:cstheme="minorHAnsi"/>
          <w:bCs/>
          <w:sz w:val="22"/>
          <w:lang w:val="en"/>
        </w:rPr>
        <w:t>B</w:t>
      </w:r>
      <w:r w:rsidR="00FF54F7" w:rsidRPr="00F31D86">
        <w:rPr>
          <w:rFonts w:asciiTheme="minorHAnsi" w:hAnsiTheme="minorHAnsi" w:cstheme="minorHAnsi"/>
          <w:bCs/>
          <w:sz w:val="22"/>
          <w:lang w:val="en"/>
        </w:rPr>
        <w:t>oard</w:t>
      </w:r>
      <w:r w:rsidRPr="00F31D86">
        <w:rPr>
          <w:rFonts w:asciiTheme="minorHAnsi" w:hAnsiTheme="minorHAnsi" w:cstheme="minorHAnsi"/>
          <w:bCs/>
          <w:sz w:val="22"/>
          <w:lang w:val="en"/>
        </w:rPr>
        <w:t xml:space="preserve"> </w:t>
      </w:r>
      <w:r w:rsidR="001F3A16" w:rsidRPr="00F31D86">
        <w:rPr>
          <w:rFonts w:asciiTheme="minorHAnsi" w:hAnsiTheme="minorHAnsi" w:cstheme="minorHAnsi"/>
          <w:bCs/>
          <w:sz w:val="22"/>
          <w:lang w:val="en"/>
        </w:rPr>
        <w:t xml:space="preserve">(HRB) </w:t>
      </w:r>
      <w:r w:rsidRPr="00F31D86">
        <w:rPr>
          <w:rFonts w:asciiTheme="minorHAnsi" w:hAnsiTheme="minorHAnsi" w:cstheme="minorHAnsi"/>
          <w:bCs/>
          <w:sz w:val="22"/>
          <w:lang w:val="en"/>
        </w:rPr>
        <w:t xml:space="preserve">provides the Irish </w:t>
      </w:r>
      <w:r w:rsidR="00FF54F7" w:rsidRPr="00F31D86">
        <w:rPr>
          <w:rFonts w:asciiTheme="minorHAnsi" w:hAnsiTheme="minorHAnsi" w:cstheme="minorHAnsi"/>
          <w:bCs/>
          <w:sz w:val="22"/>
          <w:lang w:val="en"/>
        </w:rPr>
        <w:t xml:space="preserve">data and </w:t>
      </w:r>
      <w:r w:rsidR="007652D5" w:rsidRPr="00F31D86">
        <w:rPr>
          <w:rFonts w:asciiTheme="minorHAnsi" w:hAnsiTheme="minorHAnsi" w:cstheme="minorHAnsi"/>
          <w:bCs/>
          <w:sz w:val="22"/>
          <w:lang w:val="en"/>
        </w:rPr>
        <w:t>research</w:t>
      </w:r>
      <w:r w:rsidR="00FF54F7" w:rsidRPr="00F31D86">
        <w:rPr>
          <w:rFonts w:asciiTheme="minorHAnsi" w:hAnsiTheme="minorHAnsi" w:cstheme="minorHAnsi"/>
          <w:bCs/>
          <w:sz w:val="22"/>
          <w:lang w:val="en"/>
        </w:rPr>
        <w:t xml:space="preserve"> </w:t>
      </w:r>
      <w:r w:rsidRPr="00F31D86">
        <w:rPr>
          <w:rFonts w:asciiTheme="minorHAnsi" w:hAnsiTheme="minorHAnsi" w:cstheme="minorHAnsi"/>
          <w:bCs/>
          <w:sz w:val="22"/>
          <w:lang w:val="en"/>
        </w:rPr>
        <w:t xml:space="preserve">for the EMCDDA </w:t>
      </w:r>
      <w:r w:rsidR="009B1468" w:rsidRPr="00F31D86">
        <w:rPr>
          <w:rFonts w:asciiTheme="minorHAnsi" w:hAnsiTheme="minorHAnsi" w:cstheme="minorHAnsi"/>
          <w:bCs/>
          <w:sz w:val="22"/>
          <w:lang w:val="en"/>
        </w:rPr>
        <w:t xml:space="preserve">report. </w:t>
      </w:r>
      <w:r w:rsidR="00486B46" w:rsidRPr="00F31D86">
        <w:rPr>
          <w:rFonts w:asciiTheme="minorHAnsi" w:hAnsiTheme="minorHAnsi" w:cstheme="minorHAnsi"/>
          <w:bCs/>
          <w:sz w:val="22"/>
          <w:lang w:val="en"/>
        </w:rPr>
        <w:t xml:space="preserve">This media brief provides an overview of the </w:t>
      </w:r>
      <w:r w:rsidR="00DF584E" w:rsidRPr="00F31D86">
        <w:rPr>
          <w:rFonts w:asciiTheme="minorHAnsi" w:hAnsiTheme="minorHAnsi" w:cstheme="minorHAnsi"/>
          <w:bCs/>
          <w:sz w:val="22"/>
          <w:lang w:val="en"/>
        </w:rPr>
        <w:t xml:space="preserve">drug </w:t>
      </w:r>
      <w:r w:rsidR="00486B46" w:rsidRPr="00F31D86">
        <w:rPr>
          <w:rFonts w:asciiTheme="minorHAnsi" w:hAnsiTheme="minorHAnsi" w:cstheme="minorHAnsi"/>
          <w:bCs/>
          <w:sz w:val="22"/>
          <w:lang w:val="en"/>
        </w:rPr>
        <w:t>situation</w:t>
      </w:r>
      <w:r w:rsidR="00AF1A9D">
        <w:rPr>
          <w:rFonts w:asciiTheme="minorHAnsi" w:hAnsiTheme="minorHAnsi" w:cstheme="minorHAnsi"/>
          <w:bCs/>
          <w:sz w:val="22"/>
          <w:lang w:val="en"/>
        </w:rPr>
        <w:t xml:space="preserve"> in</w:t>
      </w:r>
      <w:r w:rsidR="00486B46" w:rsidRPr="00F31D86">
        <w:rPr>
          <w:rFonts w:asciiTheme="minorHAnsi" w:hAnsiTheme="minorHAnsi" w:cstheme="minorHAnsi"/>
          <w:bCs/>
          <w:sz w:val="22"/>
          <w:lang w:val="en"/>
        </w:rPr>
        <w:t xml:space="preserve"> Europe and a comparison with the Irish drug situation where possible.</w:t>
      </w:r>
    </w:p>
    <w:p w14:paraId="66048835" w14:textId="56EA4154" w:rsidR="00984AAD" w:rsidRPr="00556785" w:rsidRDefault="00984AAD" w:rsidP="00404734">
      <w:pPr>
        <w:rPr>
          <w:rFonts w:asciiTheme="minorHAnsi" w:hAnsiTheme="minorHAnsi" w:cstheme="minorHAnsi"/>
          <w:sz w:val="22"/>
          <w:lang w:val="en"/>
        </w:rPr>
      </w:pPr>
    </w:p>
    <w:p w14:paraId="5DABADCB" w14:textId="08CDDB17" w:rsidR="00D067F9" w:rsidRPr="00556785" w:rsidRDefault="00984AAD" w:rsidP="00404734">
      <w:pPr>
        <w:rPr>
          <w:rFonts w:asciiTheme="minorHAnsi" w:hAnsiTheme="minorHAnsi" w:cstheme="minorHAnsi"/>
          <w:sz w:val="22"/>
          <w:lang w:val="en-GB"/>
        </w:rPr>
      </w:pPr>
      <w:r w:rsidRPr="00556785">
        <w:rPr>
          <w:rFonts w:asciiTheme="minorHAnsi" w:hAnsiTheme="minorHAnsi" w:cstheme="minorHAnsi"/>
          <w:sz w:val="22"/>
          <w:lang w:val="en-GB"/>
        </w:rPr>
        <w:t xml:space="preserve">The </w:t>
      </w:r>
      <w:r w:rsidR="00486B46" w:rsidRPr="00556785">
        <w:rPr>
          <w:rFonts w:asciiTheme="minorHAnsi" w:hAnsiTheme="minorHAnsi" w:cstheme="minorHAnsi"/>
          <w:sz w:val="22"/>
          <w:lang w:val="en-GB"/>
        </w:rPr>
        <w:t xml:space="preserve">European drug </w:t>
      </w:r>
      <w:r w:rsidRPr="00556785">
        <w:rPr>
          <w:rFonts w:asciiTheme="minorHAnsi" w:hAnsiTheme="minorHAnsi" w:cstheme="minorHAnsi"/>
          <w:sz w:val="22"/>
          <w:lang w:val="en-GB"/>
        </w:rPr>
        <w:t>report highlights</w:t>
      </w:r>
      <w:r w:rsidR="00DC40DC">
        <w:rPr>
          <w:rFonts w:asciiTheme="minorHAnsi" w:hAnsiTheme="minorHAnsi" w:cstheme="minorHAnsi"/>
          <w:sz w:val="22"/>
          <w:lang w:val="en-GB"/>
        </w:rPr>
        <w:t>:</w:t>
      </w:r>
      <w:r w:rsidRPr="00556785">
        <w:rPr>
          <w:rFonts w:asciiTheme="minorHAnsi" w:hAnsiTheme="minorHAnsi" w:cstheme="minorHAnsi"/>
          <w:sz w:val="22"/>
          <w:lang w:val="en-GB"/>
        </w:rPr>
        <w:t xml:space="preserve"> </w:t>
      </w:r>
    </w:p>
    <w:p w14:paraId="7F354B37" w14:textId="4623CAD6" w:rsidR="00486B46" w:rsidRPr="00556785" w:rsidRDefault="007227A4" w:rsidP="00404734">
      <w:pPr>
        <w:pStyle w:val="ListParagraph"/>
        <w:numPr>
          <w:ilvl w:val="0"/>
          <w:numId w:val="27"/>
        </w:numPr>
        <w:spacing w:after="0" w:line="240" w:lineRule="auto"/>
        <w:rPr>
          <w:rFonts w:asciiTheme="minorHAnsi" w:hAnsiTheme="minorHAnsi" w:cstheme="minorHAnsi"/>
          <w:bCs/>
          <w:lang w:val="en-GB"/>
        </w:rPr>
      </w:pPr>
      <w:r w:rsidRPr="00556785">
        <w:rPr>
          <w:rFonts w:asciiTheme="minorHAnsi" w:hAnsiTheme="minorHAnsi" w:cstheme="minorHAnsi"/>
          <w:lang w:val="en-GB"/>
        </w:rPr>
        <w:t xml:space="preserve">Availability of the commonly used illicit drugs </w:t>
      </w:r>
      <w:r w:rsidR="006B3631" w:rsidRPr="00556785">
        <w:rPr>
          <w:rFonts w:asciiTheme="minorHAnsi" w:hAnsiTheme="minorHAnsi" w:cstheme="minorHAnsi"/>
          <w:lang w:val="en-GB"/>
        </w:rPr>
        <w:t>remains high</w:t>
      </w:r>
      <w:r w:rsidR="00984AAD" w:rsidRPr="00556785">
        <w:rPr>
          <w:rFonts w:asciiTheme="minorHAnsi" w:hAnsiTheme="minorHAnsi" w:cstheme="minorHAnsi"/>
          <w:lang w:val="en-GB"/>
        </w:rPr>
        <w:t xml:space="preserve">. </w:t>
      </w:r>
    </w:p>
    <w:p w14:paraId="2F4620C2" w14:textId="7053ED97" w:rsidR="00486B46" w:rsidRPr="00556785" w:rsidRDefault="006B3631" w:rsidP="00404734">
      <w:pPr>
        <w:pStyle w:val="ListParagraph"/>
        <w:numPr>
          <w:ilvl w:val="0"/>
          <w:numId w:val="27"/>
        </w:numPr>
        <w:spacing w:after="0" w:line="240" w:lineRule="auto"/>
        <w:rPr>
          <w:rFonts w:asciiTheme="minorHAnsi" w:hAnsiTheme="minorHAnsi" w:cstheme="minorHAnsi"/>
          <w:bCs/>
          <w:lang w:val="en-GB"/>
        </w:rPr>
      </w:pPr>
      <w:r w:rsidRPr="00556785">
        <w:rPr>
          <w:rFonts w:asciiTheme="minorHAnsi" w:hAnsiTheme="minorHAnsi" w:cstheme="minorHAnsi"/>
          <w:lang w:val="en-GB"/>
        </w:rPr>
        <w:t>There is a broader range of drugs available</w:t>
      </w:r>
      <w:r w:rsidR="0063065B">
        <w:rPr>
          <w:rFonts w:asciiTheme="minorHAnsi" w:hAnsiTheme="minorHAnsi" w:cstheme="minorHAnsi"/>
          <w:lang w:val="en-GB"/>
        </w:rPr>
        <w:t>,</w:t>
      </w:r>
      <w:r w:rsidR="009E7540" w:rsidRPr="00556785">
        <w:rPr>
          <w:rFonts w:asciiTheme="minorHAnsi" w:hAnsiTheme="minorHAnsi" w:cstheme="minorHAnsi"/>
          <w:lang w:val="en-GB"/>
        </w:rPr>
        <w:t xml:space="preserve"> and these </w:t>
      </w:r>
      <w:r w:rsidR="008B4C46">
        <w:rPr>
          <w:rFonts w:asciiTheme="minorHAnsi" w:hAnsiTheme="minorHAnsi" w:cstheme="minorHAnsi"/>
          <w:lang w:val="en-GB"/>
        </w:rPr>
        <w:t>are</w:t>
      </w:r>
      <w:r w:rsidR="009E7540" w:rsidRPr="00556785">
        <w:rPr>
          <w:rFonts w:asciiTheme="minorHAnsi" w:hAnsiTheme="minorHAnsi" w:cstheme="minorHAnsi"/>
          <w:lang w:val="en-GB"/>
        </w:rPr>
        <w:t xml:space="preserve"> often at high potency or purity</w:t>
      </w:r>
      <w:r w:rsidR="00A30CDF" w:rsidRPr="00556785">
        <w:rPr>
          <w:rFonts w:asciiTheme="minorHAnsi" w:hAnsiTheme="minorHAnsi" w:cstheme="minorHAnsi"/>
          <w:lang w:val="en-GB"/>
        </w:rPr>
        <w:t>, presenting increased threats to public health</w:t>
      </w:r>
      <w:r w:rsidR="00984AAD" w:rsidRPr="00556785">
        <w:rPr>
          <w:rFonts w:asciiTheme="minorHAnsi" w:hAnsiTheme="minorHAnsi" w:cstheme="minorHAnsi"/>
          <w:lang w:val="en-GB"/>
        </w:rPr>
        <w:t xml:space="preserve">. </w:t>
      </w:r>
    </w:p>
    <w:p w14:paraId="74E59E49" w14:textId="77777777" w:rsidR="00486B46" w:rsidRPr="00556785" w:rsidRDefault="00984AAD" w:rsidP="00404734">
      <w:pPr>
        <w:pStyle w:val="ListParagraph"/>
        <w:numPr>
          <w:ilvl w:val="0"/>
          <w:numId w:val="27"/>
        </w:numPr>
        <w:spacing w:after="0" w:line="240" w:lineRule="auto"/>
        <w:rPr>
          <w:rFonts w:asciiTheme="minorHAnsi" w:hAnsiTheme="minorHAnsi" w:cstheme="minorHAnsi"/>
          <w:bCs/>
          <w:lang w:val="en-GB"/>
        </w:rPr>
      </w:pPr>
      <w:r w:rsidRPr="00556785">
        <w:rPr>
          <w:rFonts w:asciiTheme="minorHAnsi" w:hAnsiTheme="minorHAnsi" w:cstheme="minorHAnsi"/>
          <w:lang w:val="en-GB"/>
        </w:rPr>
        <w:t>Drug treatment and other services are retu</w:t>
      </w:r>
      <w:r w:rsidR="00D70A06" w:rsidRPr="00556785">
        <w:rPr>
          <w:rFonts w:asciiTheme="minorHAnsi" w:hAnsiTheme="minorHAnsi" w:cstheme="minorHAnsi"/>
          <w:lang w:val="en-GB"/>
        </w:rPr>
        <w:t>r</w:t>
      </w:r>
      <w:r w:rsidRPr="00556785">
        <w:rPr>
          <w:rFonts w:asciiTheme="minorHAnsi" w:hAnsiTheme="minorHAnsi" w:cstheme="minorHAnsi"/>
          <w:lang w:val="en-GB"/>
        </w:rPr>
        <w:t xml:space="preserve">ning to normal after the COVID-19 restrictions. </w:t>
      </w:r>
    </w:p>
    <w:p w14:paraId="5B8C74FB" w14:textId="306384AD" w:rsidR="00984AAD" w:rsidRDefault="00984AAD" w:rsidP="00404734">
      <w:pPr>
        <w:pStyle w:val="ListParagraph"/>
        <w:numPr>
          <w:ilvl w:val="0"/>
          <w:numId w:val="27"/>
        </w:numPr>
        <w:spacing w:after="0" w:line="240" w:lineRule="auto"/>
        <w:rPr>
          <w:rFonts w:asciiTheme="minorHAnsi" w:hAnsiTheme="minorHAnsi" w:cstheme="minorHAnsi"/>
          <w:bCs/>
          <w:lang w:val="en-GB"/>
        </w:rPr>
      </w:pPr>
      <w:r w:rsidRPr="00556785">
        <w:rPr>
          <w:rFonts w:asciiTheme="minorHAnsi" w:hAnsiTheme="minorHAnsi" w:cstheme="minorHAnsi"/>
          <w:lang w:val="en-GB"/>
        </w:rPr>
        <w:t>Cannabis products are becoming increasingly diverse and the production of synthetic drugs within Europe is on the rise</w:t>
      </w:r>
      <w:bookmarkStart w:id="0" w:name="_Hlk104370711"/>
      <w:r w:rsidRPr="00556785">
        <w:rPr>
          <w:rFonts w:asciiTheme="minorHAnsi" w:hAnsiTheme="minorHAnsi" w:cstheme="minorHAnsi"/>
          <w:bCs/>
          <w:lang w:val="en-GB"/>
        </w:rPr>
        <w:t xml:space="preserve">. </w:t>
      </w:r>
      <w:bookmarkEnd w:id="0"/>
    </w:p>
    <w:p w14:paraId="429211BC" w14:textId="77777777" w:rsidR="00404734" w:rsidRPr="00556785" w:rsidRDefault="00404734" w:rsidP="00404734">
      <w:pPr>
        <w:pStyle w:val="ListParagraph"/>
        <w:spacing w:after="0" w:line="240" w:lineRule="auto"/>
        <w:rPr>
          <w:rFonts w:asciiTheme="minorHAnsi" w:hAnsiTheme="minorHAnsi" w:cstheme="minorHAnsi"/>
          <w:bCs/>
          <w:lang w:val="en-GB"/>
        </w:rPr>
      </w:pPr>
    </w:p>
    <w:p w14:paraId="30A6ECD6" w14:textId="00824D96" w:rsidR="00453B64" w:rsidRDefault="00453B64" w:rsidP="00404734">
      <w:pPr>
        <w:rPr>
          <w:rFonts w:asciiTheme="minorHAnsi" w:hAnsiTheme="minorHAnsi" w:cstheme="minorHAnsi"/>
          <w:i/>
          <w:iCs/>
          <w:sz w:val="22"/>
          <w:lang w:val="en-GB"/>
        </w:rPr>
      </w:pPr>
      <w:r w:rsidRPr="00556785">
        <w:rPr>
          <w:rFonts w:asciiTheme="minorHAnsi" w:hAnsiTheme="minorHAnsi" w:cstheme="minorHAnsi"/>
          <w:b/>
          <w:bCs/>
          <w:sz w:val="22"/>
          <w:lang w:val="en-GB"/>
        </w:rPr>
        <w:t xml:space="preserve">EMCDDA Director Alexis </w:t>
      </w:r>
      <w:proofErr w:type="spellStart"/>
      <w:r w:rsidRPr="00556785">
        <w:rPr>
          <w:rFonts w:asciiTheme="minorHAnsi" w:hAnsiTheme="minorHAnsi" w:cstheme="minorHAnsi"/>
          <w:b/>
          <w:bCs/>
          <w:sz w:val="22"/>
          <w:lang w:val="en-GB"/>
        </w:rPr>
        <w:t>Goosdeel</w:t>
      </w:r>
      <w:proofErr w:type="spellEnd"/>
      <w:r w:rsidRPr="00556785">
        <w:rPr>
          <w:rFonts w:asciiTheme="minorHAnsi" w:hAnsiTheme="minorHAnsi" w:cstheme="minorHAnsi"/>
          <w:b/>
          <w:bCs/>
          <w:sz w:val="22"/>
          <w:lang w:val="en-GB"/>
        </w:rPr>
        <w:t xml:space="preserve"> says:</w:t>
      </w:r>
      <w:r w:rsidR="00F37CDA" w:rsidRPr="00F37CDA">
        <w:rPr>
          <w:rFonts w:asciiTheme="minorHAnsi" w:hAnsiTheme="minorHAnsi" w:cstheme="minorHAnsi"/>
          <w:sz w:val="22"/>
          <w:lang w:val="en-GB"/>
        </w:rPr>
        <w:t xml:space="preserve"> </w:t>
      </w:r>
      <w:r w:rsidR="00F72E8E" w:rsidRPr="00E63CBA">
        <w:rPr>
          <w:rFonts w:asciiTheme="minorHAnsi" w:hAnsiTheme="minorHAnsi" w:cstheme="minorHAnsi"/>
          <w:i/>
          <w:iCs/>
          <w:sz w:val="22"/>
          <w:lang w:val="en-GB"/>
        </w:rPr>
        <w:t>“</w:t>
      </w:r>
      <w:r w:rsidR="00F37CDA" w:rsidRPr="00E63CBA">
        <w:rPr>
          <w:rFonts w:asciiTheme="minorHAnsi" w:hAnsiTheme="minorHAnsi" w:cstheme="minorHAnsi"/>
          <w:i/>
          <w:iCs/>
          <w:sz w:val="22"/>
          <w:lang w:val="en-GB"/>
        </w:rPr>
        <w:t xml:space="preserve">Almost everything with psychoactive properties can appear on the drug market, often mislabelled or in mixtures. This is why illicit drugs can affect everyone, whether directly through use, or indirectly, through their impact on families, communities, </w:t>
      </w:r>
      <w:proofErr w:type="gramStart"/>
      <w:r w:rsidR="00F37CDA" w:rsidRPr="00E63CBA">
        <w:rPr>
          <w:rFonts w:asciiTheme="minorHAnsi" w:hAnsiTheme="minorHAnsi" w:cstheme="minorHAnsi"/>
          <w:i/>
          <w:iCs/>
          <w:sz w:val="22"/>
          <w:lang w:val="en-GB"/>
        </w:rPr>
        <w:t>institutions</w:t>
      </w:r>
      <w:proofErr w:type="gramEnd"/>
      <w:r w:rsidR="00F37CDA" w:rsidRPr="00E63CBA">
        <w:rPr>
          <w:rFonts w:asciiTheme="minorHAnsi" w:hAnsiTheme="minorHAnsi" w:cstheme="minorHAnsi"/>
          <w:i/>
          <w:iCs/>
          <w:sz w:val="22"/>
          <w:lang w:val="en-GB"/>
        </w:rPr>
        <w:t xml:space="preserve"> and businesses. They also increasingly expose our citizens to drug-related violence and its consequences.</w:t>
      </w:r>
      <w:r w:rsidR="00F72E8E" w:rsidRPr="00E63CBA">
        <w:rPr>
          <w:rFonts w:asciiTheme="minorHAnsi" w:hAnsiTheme="minorHAnsi" w:cstheme="minorHAnsi"/>
          <w:i/>
          <w:iCs/>
          <w:sz w:val="22"/>
          <w:lang w:val="en-GB"/>
        </w:rPr>
        <w:t>”</w:t>
      </w:r>
    </w:p>
    <w:p w14:paraId="5A2236FF" w14:textId="77777777" w:rsidR="00404734" w:rsidRPr="00404734" w:rsidRDefault="00404734" w:rsidP="00404734">
      <w:pPr>
        <w:rPr>
          <w:rFonts w:asciiTheme="minorHAnsi" w:hAnsiTheme="minorHAnsi" w:cstheme="minorHAnsi"/>
          <w:sz w:val="22"/>
          <w:lang w:val="en-GB"/>
        </w:rPr>
      </w:pPr>
    </w:p>
    <w:p w14:paraId="679166ED" w14:textId="77777777" w:rsidR="00924FCA" w:rsidRPr="00924FCA" w:rsidRDefault="00924FCA" w:rsidP="00404734">
      <w:pPr>
        <w:rPr>
          <w:rFonts w:asciiTheme="minorHAnsi" w:hAnsiTheme="minorHAnsi" w:cstheme="minorHAnsi"/>
          <w:b/>
          <w:bCs/>
          <w:sz w:val="22"/>
          <w:lang w:val="en-GB"/>
        </w:rPr>
      </w:pPr>
      <w:bookmarkStart w:id="1" w:name="_Hlk104199781"/>
      <w:r w:rsidRPr="00924FCA">
        <w:rPr>
          <w:rFonts w:asciiTheme="minorHAnsi" w:hAnsiTheme="minorHAnsi" w:cstheme="minorHAnsi"/>
          <w:b/>
          <w:bCs/>
          <w:sz w:val="22"/>
          <w:lang w:val="en-GB"/>
        </w:rPr>
        <w:t>New cannabis policy developments in a complex market</w:t>
      </w:r>
    </w:p>
    <w:p w14:paraId="5F311961" w14:textId="59AD3421" w:rsidR="007055E3" w:rsidRDefault="00C60DD7" w:rsidP="00404734">
      <w:pPr>
        <w:rPr>
          <w:rFonts w:asciiTheme="minorHAnsi" w:hAnsiTheme="minorHAnsi" w:cstheme="minorHAnsi"/>
          <w:sz w:val="22"/>
          <w:lang w:val="en-GB"/>
        </w:rPr>
      </w:pPr>
      <w:r>
        <w:rPr>
          <w:rFonts w:asciiTheme="minorHAnsi" w:hAnsiTheme="minorHAnsi" w:cstheme="minorHAnsi"/>
          <w:sz w:val="22"/>
          <w:lang w:val="en-GB"/>
        </w:rPr>
        <w:t>Cannabis policy in European count</w:t>
      </w:r>
      <w:r w:rsidR="00930545">
        <w:rPr>
          <w:rFonts w:asciiTheme="minorHAnsi" w:hAnsiTheme="minorHAnsi" w:cstheme="minorHAnsi"/>
          <w:sz w:val="22"/>
          <w:lang w:val="en-GB"/>
        </w:rPr>
        <w:t>ries covers</w:t>
      </w:r>
      <w:r w:rsidR="00924FCA" w:rsidRPr="00924FCA">
        <w:rPr>
          <w:rFonts w:asciiTheme="minorHAnsi" w:hAnsiTheme="minorHAnsi" w:cstheme="minorHAnsi"/>
          <w:sz w:val="22"/>
          <w:lang w:val="en-GB"/>
        </w:rPr>
        <w:t xml:space="preserve"> not only illicit cannabis control, but also the regulation of cannabis and cannabinoids for therapeutic and other uses</w:t>
      </w:r>
      <w:r w:rsidR="00930545">
        <w:rPr>
          <w:rFonts w:asciiTheme="minorHAnsi" w:hAnsiTheme="minorHAnsi" w:cstheme="minorHAnsi"/>
          <w:sz w:val="22"/>
          <w:lang w:val="en-GB"/>
        </w:rPr>
        <w:t>.</w:t>
      </w:r>
      <w:r w:rsidR="009E50F9">
        <w:rPr>
          <w:rFonts w:asciiTheme="minorHAnsi" w:hAnsiTheme="minorHAnsi" w:cstheme="minorHAnsi"/>
          <w:sz w:val="22"/>
          <w:lang w:val="en-GB"/>
        </w:rPr>
        <w:t xml:space="preserve"> </w:t>
      </w:r>
      <w:r w:rsidR="00930545">
        <w:rPr>
          <w:rFonts w:asciiTheme="minorHAnsi" w:hAnsiTheme="minorHAnsi" w:cstheme="minorHAnsi"/>
          <w:sz w:val="22"/>
          <w:lang w:val="en-GB"/>
        </w:rPr>
        <w:t>Five</w:t>
      </w:r>
      <w:r w:rsidR="00924FCA" w:rsidRPr="00924FCA">
        <w:rPr>
          <w:rFonts w:asciiTheme="minorHAnsi" w:hAnsiTheme="minorHAnsi" w:cstheme="minorHAnsi"/>
          <w:sz w:val="22"/>
          <w:lang w:val="en-GB"/>
        </w:rPr>
        <w:t xml:space="preserve"> </w:t>
      </w:r>
      <w:r w:rsidR="00D84A6D">
        <w:rPr>
          <w:rFonts w:asciiTheme="minorHAnsi" w:hAnsiTheme="minorHAnsi" w:cstheme="minorHAnsi"/>
          <w:sz w:val="22"/>
          <w:lang w:val="en-GB"/>
        </w:rPr>
        <w:t>European Union (EU)</w:t>
      </w:r>
      <w:r w:rsidR="00D84A6D" w:rsidRPr="00924FCA">
        <w:rPr>
          <w:rFonts w:asciiTheme="minorHAnsi" w:hAnsiTheme="minorHAnsi" w:cstheme="minorHAnsi"/>
          <w:sz w:val="22"/>
          <w:lang w:val="en-GB"/>
        </w:rPr>
        <w:t xml:space="preserve"> </w:t>
      </w:r>
      <w:r w:rsidR="00924FCA" w:rsidRPr="00924FCA">
        <w:rPr>
          <w:rFonts w:asciiTheme="minorHAnsi" w:hAnsiTheme="minorHAnsi" w:cstheme="minorHAnsi"/>
          <w:sz w:val="22"/>
          <w:lang w:val="en-GB"/>
        </w:rPr>
        <w:t xml:space="preserve">Member States (Czechia, Germany, Luxembourg, </w:t>
      </w:r>
      <w:proofErr w:type="gramStart"/>
      <w:r w:rsidR="00924FCA" w:rsidRPr="00924FCA">
        <w:rPr>
          <w:rFonts w:asciiTheme="minorHAnsi" w:hAnsiTheme="minorHAnsi" w:cstheme="minorHAnsi"/>
          <w:sz w:val="22"/>
          <w:lang w:val="en-GB"/>
        </w:rPr>
        <w:t>Malta</w:t>
      </w:r>
      <w:proofErr w:type="gramEnd"/>
      <w:r w:rsidR="00924FCA" w:rsidRPr="00924FCA">
        <w:rPr>
          <w:rFonts w:asciiTheme="minorHAnsi" w:hAnsiTheme="minorHAnsi" w:cstheme="minorHAnsi"/>
          <w:sz w:val="22"/>
          <w:lang w:val="en-GB"/>
        </w:rPr>
        <w:t xml:space="preserve"> and the Netherlands) are</w:t>
      </w:r>
      <w:r w:rsidR="00930545">
        <w:rPr>
          <w:rFonts w:asciiTheme="minorHAnsi" w:hAnsiTheme="minorHAnsi" w:cstheme="minorHAnsi"/>
          <w:sz w:val="22"/>
          <w:lang w:val="en-GB"/>
        </w:rPr>
        <w:t xml:space="preserve"> </w:t>
      </w:r>
      <w:r w:rsidR="001472C0">
        <w:rPr>
          <w:rFonts w:asciiTheme="minorHAnsi" w:hAnsiTheme="minorHAnsi" w:cstheme="minorHAnsi"/>
          <w:sz w:val="22"/>
          <w:lang w:val="en-GB"/>
        </w:rPr>
        <w:t>regulating</w:t>
      </w:r>
      <w:r w:rsidR="00924FCA" w:rsidRPr="00924FCA">
        <w:rPr>
          <w:rFonts w:asciiTheme="minorHAnsi" w:hAnsiTheme="minorHAnsi" w:cstheme="minorHAnsi"/>
          <w:sz w:val="22"/>
          <w:lang w:val="en-GB"/>
        </w:rPr>
        <w:t xml:space="preserve"> the supply of cannabis. These changes</w:t>
      </w:r>
      <w:r w:rsidR="001472C0">
        <w:rPr>
          <w:rFonts w:asciiTheme="minorHAnsi" w:hAnsiTheme="minorHAnsi" w:cstheme="minorHAnsi"/>
          <w:sz w:val="22"/>
          <w:lang w:val="en-GB"/>
        </w:rPr>
        <w:t xml:space="preserve"> will </w:t>
      </w:r>
      <w:r w:rsidR="009E50F9">
        <w:rPr>
          <w:rFonts w:asciiTheme="minorHAnsi" w:hAnsiTheme="minorHAnsi" w:cstheme="minorHAnsi"/>
          <w:sz w:val="22"/>
          <w:lang w:val="en-GB"/>
        </w:rPr>
        <w:t xml:space="preserve">require investment </w:t>
      </w:r>
      <w:r w:rsidR="00924FCA" w:rsidRPr="00924FCA">
        <w:rPr>
          <w:rFonts w:asciiTheme="minorHAnsi" w:hAnsiTheme="minorHAnsi" w:cstheme="minorHAnsi"/>
          <w:sz w:val="22"/>
          <w:lang w:val="en-GB"/>
        </w:rPr>
        <w:t>in monitoring and evaluation to fully understand their impact on public health and safety</w:t>
      </w:r>
      <w:r w:rsidR="00924FCA">
        <w:rPr>
          <w:rFonts w:asciiTheme="minorHAnsi" w:hAnsiTheme="minorHAnsi" w:cstheme="minorHAnsi"/>
          <w:sz w:val="22"/>
          <w:lang w:val="en-GB"/>
        </w:rPr>
        <w:t>.</w:t>
      </w:r>
    </w:p>
    <w:p w14:paraId="659D63C3" w14:textId="77777777" w:rsidR="00404734" w:rsidRDefault="00404734" w:rsidP="00404734">
      <w:pPr>
        <w:rPr>
          <w:rFonts w:asciiTheme="minorHAnsi" w:hAnsiTheme="minorHAnsi" w:cstheme="minorHAnsi"/>
          <w:sz w:val="22"/>
          <w:lang w:val="en-GB"/>
        </w:rPr>
      </w:pPr>
    </w:p>
    <w:bookmarkEnd w:id="1"/>
    <w:p w14:paraId="3163E0CE" w14:textId="77777777" w:rsidR="001C76A2" w:rsidRPr="00556785" w:rsidRDefault="001C76A2" w:rsidP="00404734">
      <w:pPr>
        <w:pStyle w:val="NormalWeb"/>
        <w:spacing w:before="0" w:beforeAutospacing="0" w:after="0" w:afterAutospacing="0"/>
        <w:rPr>
          <w:rFonts w:asciiTheme="minorHAnsi" w:hAnsiTheme="minorHAnsi" w:cstheme="minorHAnsi"/>
          <w:b/>
          <w:i/>
          <w:iCs/>
          <w:sz w:val="22"/>
          <w:szCs w:val="22"/>
          <w:lang w:val="en-GB"/>
        </w:rPr>
      </w:pPr>
      <w:r w:rsidRPr="00556785">
        <w:rPr>
          <w:rFonts w:asciiTheme="minorHAnsi" w:hAnsiTheme="minorHAnsi" w:cstheme="minorHAnsi"/>
          <w:b/>
          <w:i/>
          <w:iCs/>
          <w:sz w:val="22"/>
          <w:szCs w:val="22"/>
          <w:lang w:val="en-GB"/>
        </w:rPr>
        <w:t>Latest data</w:t>
      </w:r>
    </w:p>
    <w:p w14:paraId="4FFDCDE7" w14:textId="1C697AFB" w:rsidR="00434981" w:rsidRPr="00556785" w:rsidRDefault="001C76A2" w:rsidP="00404734">
      <w:pPr>
        <w:pStyle w:val="NormalWeb"/>
        <w:numPr>
          <w:ilvl w:val="0"/>
          <w:numId w:val="25"/>
        </w:numPr>
        <w:spacing w:before="0" w:beforeAutospacing="0" w:after="0" w:afterAutospacing="0"/>
        <w:rPr>
          <w:rFonts w:asciiTheme="minorHAnsi" w:hAnsiTheme="minorHAnsi" w:cstheme="minorHAnsi"/>
          <w:bCs/>
          <w:sz w:val="22"/>
          <w:szCs w:val="22"/>
          <w:lang w:val="en-GB"/>
        </w:rPr>
      </w:pPr>
      <w:r w:rsidRPr="00556785">
        <w:rPr>
          <w:rFonts w:asciiTheme="minorHAnsi" w:hAnsiTheme="minorHAnsi" w:cstheme="minorHAnsi"/>
          <w:bCs/>
          <w:sz w:val="22"/>
          <w:szCs w:val="22"/>
          <w:lang w:val="en-GB"/>
        </w:rPr>
        <w:t>Around 83</w:t>
      </w:r>
      <w:r w:rsidR="002E0CAA" w:rsidRPr="00556785">
        <w:rPr>
          <w:rFonts w:asciiTheme="minorHAnsi" w:hAnsiTheme="minorHAnsi" w:cstheme="minorHAnsi"/>
          <w:bCs/>
          <w:sz w:val="22"/>
          <w:szCs w:val="22"/>
          <w:lang w:val="en-GB"/>
        </w:rPr>
        <w:t>.4</w:t>
      </w:r>
      <w:r w:rsidRPr="00556785">
        <w:rPr>
          <w:rFonts w:asciiTheme="minorHAnsi" w:hAnsiTheme="minorHAnsi" w:cstheme="minorHAnsi"/>
          <w:bCs/>
          <w:sz w:val="22"/>
          <w:szCs w:val="22"/>
          <w:lang w:val="en-GB"/>
        </w:rPr>
        <w:t> million or 2</w:t>
      </w:r>
      <w:r w:rsidR="002E0CAA" w:rsidRPr="00556785">
        <w:rPr>
          <w:rFonts w:asciiTheme="minorHAnsi" w:hAnsiTheme="minorHAnsi" w:cstheme="minorHAnsi"/>
          <w:bCs/>
          <w:sz w:val="22"/>
          <w:szCs w:val="22"/>
          <w:lang w:val="en-GB"/>
        </w:rPr>
        <w:t>9</w:t>
      </w:r>
      <w:r w:rsidRPr="00556785">
        <w:rPr>
          <w:rFonts w:asciiTheme="minorHAnsi" w:hAnsiTheme="minorHAnsi" w:cstheme="minorHAnsi"/>
          <w:bCs/>
          <w:sz w:val="22"/>
          <w:szCs w:val="22"/>
          <w:lang w:val="en-GB"/>
        </w:rPr>
        <w:t xml:space="preserve">% of adults (aged 15-64) in the </w:t>
      </w:r>
      <w:r w:rsidR="00D84A6D">
        <w:rPr>
          <w:rFonts w:asciiTheme="minorHAnsi" w:hAnsiTheme="minorHAnsi" w:cstheme="minorHAnsi"/>
          <w:bCs/>
          <w:sz w:val="22"/>
          <w:szCs w:val="22"/>
          <w:lang w:val="en-GB"/>
        </w:rPr>
        <w:t>EU</w:t>
      </w:r>
      <w:r w:rsidRPr="00556785">
        <w:rPr>
          <w:rFonts w:asciiTheme="minorHAnsi" w:hAnsiTheme="minorHAnsi" w:cstheme="minorHAnsi"/>
          <w:bCs/>
          <w:sz w:val="22"/>
          <w:szCs w:val="22"/>
          <w:lang w:val="en-GB"/>
        </w:rPr>
        <w:t xml:space="preserve"> are estimated to have used </w:t>
      </w:r>
      <w:r w:rsidR="00E74916" w:rsidRPr="00556785">
        <w:rPr>
          <w:rFonts w:asciiTheme="minorHAnsi" w:hAnsiTheme="minorHAnsi" w:cstheme="minorHAnsi"/>
          <w:bCs/>
          <w:sz w:val="22"/>
          <w:szCs w:val="22"/>
          <w:lang w:val="en-GB"/>
        </w:rPr>
        <w:t>illegal</w:t>
      </w:r>
      <w:r w:rsidRPr="00556785">
        <w:rPr>
          <w:rFonts w:asciiTheme="minorHAnsi" w:hAnsiTheme="minorHAnsi" w:cstheme="minorHAnsi"/>
          <w:bCs/>
          <w:sz w:val="22"/>
          <w:szCs w:val="22"/>
          <w:lang w:val="en-GB"/>
        </w:rPr>
        <w:t xml:space="preserve"> drugs at least once in their lifetime.</w:t>
      </w:r>
    </w:p>
    <w:p w14:paraId="5FB40A23" w14:textId="159FAA88" w:rsidR="001C76A2" w:rsidRPr="009E50F9" w:rsidRDefault="00434981" w:rsidP="00404734">
      <w:pPr>
        <w:pStyle w:val="NormalWeb"/>
        <w:numPr>
          <w:ilvl w:val="0"/>
          <w:numId w:val="25"/>
        </w:numPr>
        <w:spacing w:before="0" w:beforeAutospacing="0" w:after="0" w:afterAutospacing="0"/>
        <w:rPr>
          <w:rFonts w:asciiTheme="minorHAnsi" w:hAnsiTheme="minorHAnsi" w:cstheme="minorHAnsi"/>
          <w:bCs/>
          <w:sz w:val="22"/>
          <w:szCs w:val="22"/>
          <w:lang w:val="en-GB"/>
        </w:rPr>
      </w:pPr>
      <w:r w:rsidRPr="009E50F9">
        <w:rPr>
          <w:rFonts w:asciiTheme="minorHAnsi" w:hAnsiTheme="minorHAnsi" w:cstheme="minorHAnsi"/>
          <w:bCs/>
          <w:sz w:val="22"/>
          <w:szCs w:val="22"/>
          <w:lang w:val="en-GB"/>
        </w:rPr>
        <w:t>Cannabis remains by far the most commonly consumed illicit drug in Europe. National surveys of cannabis use would suggest that overall, around 8% of European adults are estimated to have used cannabis in the last year.</w:t>
      </w:r>
      <w:r w:rsidR="001C76A2" w:rsidRPr="009E50F9">
        <w:rPr>
          <w:rFonts w:asciiTheme="minorHAnsi" w:hAnsiTheme="minorHAnsi" w:cstheme="minorHAnsi"/>
          <w:bCs/>
          <w:sz w:val="22"/>
          <w:szCs w:val="22"/>
          <w:lang w:val="en-GB"/>
        </w:rPr>
        <w:t xml:space="preserve"> </w:t>
      </w:r>
    </w:p>
    <w:p w14:paraId="4555DE9E" w14:textId="295DD17D" w:rsidR="00247FBF" w:rsidRPr="00556785" w:rsidRDefault="00247FBF" w:rsidP="00404734">
      <w:pPr>
        <w:pStyle w:val="NormalWeb"/>
        <w:numPr>
          <w:ilvl w:val="0"/>
          <w:numId w:val="25"/>
        </w:numPr>
        <w:spacing w:before="0" w:beforeAutospacing="0" w:after="0" w:afterAutospacing="0"/>
        <w:rPr>
          <w:rFonts w:asciiTheme="minorHAnsi" w:hAnsiTheme="minorHAnsi" w:cstheme="minorHAnsi"/>
          <w:bCs/>
          <w:sz w:val="22"/>
          <w:szCs w:val="22"/>
          <w:lang w:val="en-GB"/>
        </w:rPr>
      </w:pPr>
      <w:r w:rsidRPr="00556785">
        <w:rPr>
          <w:rFonts w:asciiTheme="minorHAnsi" w:hAnsiTheme="minorHAnsi" w:cstheme="minorHAnsi"/>
          <w:bCs/>
          <w:sz w:val="22"/>
          <w:szCs w:val="22"/>
          <w:lang w:val="en-GB"/>
        </w:rPr>
        <w:t>Cannabis remains the most widely consumed substance, with over 22 million European adults reporting its use in the last year</w:t>
      </w:r>
      <w:r w:rsidR="00A85FB0" w:rsidRPr="00556785">
        <w:rPr>
          <w:rFonts w:asciiTheme="minorHAnsi" w:hAnsiTheme="minorHAnsi" w:cstheme="minorHAnsi"/>
          <w:bCs/>
          <w:sz w:val="22"/>
          <w:szCs w:val="22"/>
          <w:lang w:val="en-GB"/>
        </w:rPr>
        <w:t xml:space="preserve">. Last year drug use is largely concentrated among young adults and is estimated at 15.5% among EU inhabitants aged 15–34 years. </w:t>
      </w:r>
    </w:p>
    <w:p w14:paraId="1FB48C62" w14:textId="0F3A7717" w:rsidR="00247FBF" w:rsidRPr="00556785" w:rsidRDefault="00247FBF" w:rsidP="00404734">
      <w:pPr>
        <w:pStyle w:val="NormalWeb"/>
        <w:numPr>
          <w:ilvl w:val="0"/>
          <w:numId w:val="25"/>
        </w:numPr>
        <w:spacing w:before="0" w:beforeAutospacing="0" w:after="0" w:afterAutospacing="0"/>
        <w:rPr>
          <w:rFonts w:asciiTheme="minorHAnsi" w:hAnsiTheme="minorHAnsi" w:cstheme="minorHAnsi"/>
          <w:bCs/>
          <w:sz w:val="22"/>
          <w:szCs w:val="22"/>
          <w:lang w:val="en-GB"/>
        </w:rPr>
      </w:pPr>
      <w:r w:rsidRPr="00556785">
        <w:rPr>
          <w:rFonts w:asciiTheme="minorHAnsi" w:hAnsiTheme="minorHAnsi" w:cstheme="minorHAnsi"/>
          <w:bCs/>
          <w:sz w:val="22"/>
          <w:szCs w:val="22"/>
          <w:lang w:val="en-GB"/>
        </w:rPr>
        <w:lastRenderedPageBreak/>
        <w:t>It is estimated that in the last year 3.5 million adults consumed cocaine, 2.6 million MDMA and 2 million amphetamines.</w:t>
      </w:r>
      <w:r w:rsidR="00A85FB0" w:rsidRPr="00556785">
        <w:rPr>
          <w:rFonts w:asciiTheme="minorHAnsi" w:hAnsiTheme="minorHAnsi" w:cstheme="minorHAnsi"/>
          <w:bCs/>
          <w:sz w:val="22"/>
          <w:szCs w:val="22"/>
          <w:lang w:val="en-GB"/>
        </w:rPr>
        <w:t xml:space="preserve"> Surveys indicate that </w:t>
      </w:r>
      <w:r w:rsidR="00437885" w:rsidRPr="00556785">
        <w:rPr>
          <w:rFonts w:asciiTheme="minorHAnsi" w:hAnsiTheme="minorHAnsi" w:cstheme="minorHAnsi"/>
          <w:bCs/>
          <w:sz w:val="22"/>
          <w:szCs w:val="22"/>
          <w:lang w:val="en-GB"/>
        </w:rPr>
        <w:t>nearly 2.2</w:t>
      </w:r>
      <w:r w:rsidR="005A2607">
        <w:rPr>
          <w:rFonts w:asciiTheme="minorHAnsi" w:hAnsiTheme="minorHAnsi" w:cstheme="minorHAnsi"/>
          <w:bCs/>
          <w:sz w:val="22"/>
          <w:szCs w:val="22"/>
          <w:lang w:val="en-GB"/>
        </w:rPr>
        <w:t xml:space="preserve"> </w:t>
      </w:r>
      <w:r w:rsidR="00437885" w:rsidRPr="00556785">
        <w:rPr>
          <w:rFonts w:asciiTheme="minorHAnsi" w:hAnsiTheme="minorHAnsi" w:cstheme="minorHAnsi"/>
          <w:bCs/>
          <w:sz w:val="22"/>
          <w:szCs w:val="22"/>
          <w:lang w:val="en-GB"/>
        </w:rPr>
        <w:t>million 15–34-year-olds (2.2% of this age group) used cocaine in the last year.</w:t>
      </w:r>
    </w:p>
    <w:p w14:paraId="4B5C9A69" w14:textId="7B306944" w:rsidR="00A85EEA" w:rsidRPr="00556785" w:rsidRDefault="00A85EEA" w:rsidP="00404734">
      <w:pPr>
        <w:pStyle w:val="NormalWeb"/>
        <w:numPr>
          <w:ilvl w:val="0"/>
          <w:numId w:val="25"/>
        </w:numPr>
        <w:spacing w:before="0" w:beforeAutospacing="0" w:after="0" w:afterAutospacing="0"/>
        <w:rPr>
          <w:rFonts w:asciiTheme="minorHAnsi" w:hAnsiTheme="minorHAnsi" w:cstheme="minorHAnsi"/>
          <w:bCs/>
          <w:sz w:val="22"/>
          <w:szCs w:val="22"/>
          <w:lang w:val="en-GB"/>
        </w:rPr>
      </w:pPr>
      <w:r w:rsidRPr="00556785">
        <w:rPr>
          <w:rFonts w:asciiTheme="minorHAnsi" w:hAnsiTheme="minorHAnsi" w:cstheme="minorHAnsi"/>
          <w:bCs/>
          <w:sz w:val="22"/>
          <w:szCs w:val="22"/>
          <w:lang w:val="en-GB"/>
        </w:rPr>
        <w:t xml:space="preserve">Around </w:t>
      </w:r>
      <w:r w:rsidR="00486B46" w:rsidRPr="00556785">
        <w:rPr>
          <w:rFonts w:asciiTheme="minorHAnsi" w:hAnsiTheme="minorHAnsi" w:cstheme="minorHAnsi"/>
          <w:bCs/>
          <w:sz w:val="22"/>
          <w:szCs w:val="22"/>
          <w:lang w:val="en-GB"/>
        </w:rPr>
        <w:t>one</w:t>
      </w:r>
      <w:r w:rsidRPr="00556785">
        <w:rPr>
          <w:rFonts w:asciiTheme="minorHAnsi" w:hAnsiTheme="minorHAnsi" w:cstheme="minorHAnsi"/>
          <w:bCs/>
          <w:sz w:val="22"/>
          <w:szCs w:val="22"/>
          <w:lang w:val="en-GB"/>
        </w:rPr>
        <w:t xml:space="preserve"> million Europeans used heroin or another illicit opioid in </w:t>
      </w:r>
      <w:r w:rsidR="00437885" w:rsidRPr="00556785">
        <w:rPr>
          <w:rFonts w:asciiTheme="minorHAnsi" w:hAnsiTheme="minorHAnsi" w:cstheme="minorHAnsi"/>
          <w:bCs/>
          <w:sz w:val="22"/>
          <w:szCs w:val="22"/>
          <w:lang w:val="en-GB"/>
        </w:rPr>
        <w:t>2020</w:t>
      </w:r>
      <w:r w:rsidRPr="00556785">
        <w:rPr>
          <w:rFonts w:asciiTheme="minorHAnsi" w:hAnsiTheme="minorHAnsi" w:cstheme="minorHAnsi"/>
          <w:bCs/>
          <w:sz w:val="22"/>
          <w:szCs w:val="22"/>
          <w:lang w:val="en-GB"/>
        </w:rPr>
        <w:t>.</w:t>
      </w:r>
      <w:r w:rsidR="00437885" w:rsidRPr="00556785">
        <w:rPr>
          <w:rFonts w:asciiTheme="minorHAnsi" w:hAnsiTheme="minorHAnsi" w:cstheme="minorHAnsi"/>
          <w:bCs/>
          <w:sz w:val="22"/>
          <w:szCs w:val="22"/>
          <w:lang w:val="en-GB"/>
        </w:rPr>
        <w:t xml:space="preserve"> </w:t>
      </w:r>
    </w:p>
    <w:p w14:paraId="508317A3" w14:textId="50F75631" w:rsidR="00A85EEA" w:rsidRPr="00556785" w:rsidRDefault="00A85EEA" w:rsidP="00404734">
      <w:pPr>
        <w:pStyle w:val="NormalWeb"/>
        <w:numPr>
          <w:ilvl w:val="0"/>
          <w:numId w:val="25"/>
        </w:numPr>
        <w:spacing w:before="0" w:beforeAutospacing="0" w:after="0" w:afterAutospacing="0"/>
        <w:rPr>
          <w:rFonts w:asciiTheme="minorHAnsi" w:hAnsiTheme="minorHAnsi" w:cstheme="minorHAnsi"/>
          <w:bCs/>
          <w:sz w:val="22"/>
          <w:szCs w:val="22"/>
          <w:lang w:val="en-GB"/>
        </w:rPr>
      </w:pPr>
      <w:r w:rsidRPr="00556785">
        <w:rPr>
          <w:rFonts w:asciiTheme="minorHAnsi" w:hAnsiTheme="minorHAnsi" w:cstheme="minorHAnsi"/>
          <w:bCs/>
          <w:sz w:val="22"/>
          <w:szCs w:val="22"/>
          <w:lang w:val="en-GB"/>
        </w:rPr>
        <w:t xml:space="preserve">Opioids, often in combination with other substances, were found in around three quarters of fatal overdoses reported in the </w:t>
      </w:r>
      <w:r w:rsidR="005A2607">
        <w:rPr>
          <w:rFonts w:asciiTheme="minorHAnsi" w:hAnsiTheme="minorHAnsi" w:cstheme="minorHAnsi"/>
          <w:bCs/>
          <w:sz w:val="22"/>
          <w:szCs w:val="22"/>
          <w:lang w:val="en-GB"/>
        </w:rPr>
        <w:t>EU</w:t>
      </w:r>
      <w:r w:rsidRPr="00556785">
        <w:rPr>
          <w:rFonts w:asciiTheme="minorHAnsi" w:hAnsiTheme="minorHAnsi" w:cstheme="minorHAnsi"/>
          <w:bCs/>
          <w:sz w:val="22"/>
          <w:szCs w:val="22"/>
          <w:lang w:val="en-GB"/>
        </w:rPr>
        <w:t xml:space="preserve"> for 2020.</w:t>
      </w:r>
    </w:p>
    <w:p w14:paraId="187C75F5" w14:textId="77777777" w:rsidR="00404734" w:rsidRPr="00404734" w:rsidRDefault="00404734" w:rsidP="00404734">
      <w:pPr>
        <w:rPr>
          <w:rFonts w:asciiTheme="minorHAnsi" w:hAnsiTheme="minorHAnsi" w:cstheme="minorHAnsi"/>
          <w:sz w:val="22"/>
          <w:lang w:val="en-GB" w:eastAsia="en-GB"/>
        </w:rPr>
      </w:pPr>
    </w:p>
    <w:p w14:paraId="78BA5D48" w14:textId="3D198E7F" w:rsidR="00E956B1" w:rsidRPr="00E63CBA" w:rsidRDefault="00E956B1" w:rsidP="00404734">
      <w:pPr>
        <w:rPr>
          <w:rFonts w:asciiTheme="minorHAnsi" w:hAnsiTheme="minorHAnsi" w:cstheme="minorHAnsi"/>
          <w:b/>
          <w:bCs/>
          <w:sz w:val="22"/>
          <w:lang w:val="en-GB" w:eastAsia="en-GB"/>
        </w:rPr>
      </w:pPr>
      <w:r w:rsidRPr="00E63CBA">
        <w:rPr>
          <w:rFonts w:asciiTheme="minorHAnsi" w:hAnsiTheme="minorHAnsi" w:cstheme="minorHAnsi"/>
          <w:b/>
          <w:bCs/>
          <w:sz w:val="22"/>
          <w:lang w:val="en-GB" w:eastAsia="en-GB"/>
        </w:rPr>
        <w:t>Cocaine</w:t>
      </w:r>
    </w:p>
    <w:p w14:paraId="23C0F439" w14:textId="476918A3" w:rsidR="00556785" w:rsidRPr="009E50F9" w:rsidRDefault="00556785" w:rsidP="00404734">
      <w:pPr>
        <w:rPr>
          <w:rFonts w:asciiTheme="minorHAnsi" w:hAnsiTheme="minorHAnsi" w:cstheme="minorHAnsi"/>
          <w:sz w:val="22"/>
        </w:rPr>
      </w:pPr>
      <w:r w:rsidRPr="009E50F9">
        <w:rPr>
          <w:rFonts w:asciiTheme="minorHAnsi" w:hAnsiTheme="minorHAnsi" w:cstheme="minorHAnsi"/>
          <w:sz w:val="22"/>
        </w:rPr>
        <w:t xml:space="preserve">Cocaine is the second </w:t>
      </w:r>
      <w:proofErr w:type="gramStart"/>
      <w:r w:rsidRPr="009E50F9">
        <w:rPr>
          <w:rFonts w:asciiTheme="minorHAnsi" w:hAnsiTheme="minorHAnsi" w:cstheme="minorHAnsi"/>
          <w:sz w:val="22"/>
        </w:rPr>
        <w:t>most commonly used</w:t>
      </w:r>
      <w:proofErr w:type="gramEnd"/>
      <w:r w:rsidRPr="009E50F9">
        <w:rPr>
          <w:rFonts w:asciiTheme="minorHAnsi" w:hAnsiTheme="minorHAnsi" w:cstheme="minorHAnsi"/>
          <w:sz w:val="22"/>
        </w:rPr>
        <w:t xml:space="preserve"> illicit drug in Europe</w:t>
      </w:r>
      <w:r w:rsidR="005A2607">
        <w:rPr>
          <w:rFonts w:asciiTheme="minorHAnsi" w:hAnsiTheme="minorHAnsi" w:cstheme="minorHAnsi"/>
          <w:sz w:val="22"/>
        </w:rPr>
        <w:t>, after cannabis</w:t>
      </w:r>
      <w:r w:rsidRPr="009E50F9">
        <w:rPr>
          <w:rFonts w:asciiTheme="minorHAnsi" w:hAnsiTheme="minorHAnsi" w:cstheme="minorHAnsi"/>
          <w:sz w:val="22"/>
        </w:rPr>
        <w:t>. Cocaine is usually available in two forms in Europe</w:t>
      </w:r>
      <w:r w:rsidR="00E50E6D">
        <w:rPr>
          <w:rFonts w:asciiTheme="minorHAnsi" w:hAnsiTheme="minorHAnsi" w:cstheme="minorHAnsi"/>
          <w:sz w:val="22"/>
        </w:rPr>
        <w:t>:</w:t>
      </w:r>
      <w:r w:rsidRPr="009E50F9">
        <w:rPr>
          <w:rFonts w:asciiTheme="minorHAnsi" w:hAnsiTheme="minorHAnsi" w:cstheme="minorHAnsi"/>
          <w:sz w:val="22"/>
        </w:rPr>
        <w:t xml:space="preserve"> the most common is cocaine powder (the salt form) and less commonly available is crack cocaine, a freebase form of the drug that can be smoked. </w:t>
      </w:r>
    </w:p>
    <w:p w14:paraId="64AA5588" w14:textId="77777777" w:rsidR="0089797A" w:rsidRPr="009E50F9" w:rsidRDefault="0089797A" w:rsidP="00404734">
      <w:pPr>
        <w:rPr>
          <w:rFonts w:asciiTheme="minorHAnsi" w:hAnsiTheme="minorHAnsi" w:cstheme="minorHAnsi"/>
          <w:sz w:val="22"/>
        </w:rPr>
      </w:pPr>
    </w:p>
    <w:p w14:paraId="3C6603AD" w14:textId="591A653A" w:rsidR="00556785" w:rsidRPr="009E50F9" w:rsidRDefault="00556785" w:rsidP="00404734">
      <w:pPr>
        <w:rPr>
          <w:rFonts w:asciiTheme="minorHAnsi" w:hAnsiTheme="minorHAnsi" w:cstheme="minorHAnsi"/>
          <w:sz w:val="22"/>
        </w:rPr>
      </w:pPr>
      <w:r w:rsidRPr="009E50F9">
        <w:rPr>
          <w:rFonts w:asciiTheme="minorHAnsi" w:hAnsiTheme="minorHAnsi" w:cstheme="minorHAnsi"/>
          <w:sz w:val="22"/>
        </w:rPr>
        <w:t xml:space="preserve">Cocaine purity at retail level remains high by historical standards and its price is stable. Additionally, there is now a well-established secondary cocaine production industry in Europe, with 34 cocaine laboratories dismantled in 2021, an increase on the previous year. </w:t>
      </w:r>
    </w:p>
    <w:p w14:paraId="1FA1126D" w14:textId="77777777" w:rsidR="0089797A" w:rsidRPr="009E50F9" w:rsidRDefault="0089797A" w:rsidP="00404734">
      <w:pPr>
        <w:rPr>
          <w:rFonts w:asciiTheme="minorHAnsi" w:hAnsiTheme="minorHAnsi" w:cstheme="minorHAnsi"/>
          <w:sz w:val="22"/>
        </w:rPr>
      </w:pPr>
      <w:bookmarkStart w:id="2" w:name="_Hlk130279302"/>
    </w:p>
    <w:p w14:paraId="30A7DCF0" w14:textId="25E30AF8" w:rsidR="00556785" w:rsidRPr="009E50F9" w:rsidRDefault="00556785" w:rsidP="00404734">
      <w:pPr>
        <w:rPr>
          <w:rFonts w:asciiTheme="minorHAnsi" w:hAnsiTheme="minorHAnsi" w:cstheme="minorHAnsi"/>
          <w:sz w:val="22"/>
        </w:rPr>
      </w:pPr>
      <w:r w:rsidRPr="009E50F9">
        <w:rPr>
          <w:rFonts w:asciiTheme="minorHAnsi" w:hAnsiTheme="minorHAnsi" w:cstheme="minorHAnsi"/>
          <w:sz w:val="22"/>
        </w:rPr>
        <w:t>There have been historically high seizures of cocaine in recent years, an indicator of its widespread availability and rais</w:t>
      </w:r>
      <w:r w:rsidR="00804D92">
        <w:rPr>
          <w:rFonts w:asciiTheme="minorHAnsi" w:hAnsiTheme="minorHAnsi" w:cstheme="minorHAnsi"/>
          <w:sz w:val="22"/>
        </w:rPr>
        <w:t>ing</w:t>
      </w:r>
      <w:r w:rsidRPr="009E50F9">
        <w:rPr>
          <w:rFonts w:asciiTheme="minorHAnsi" w:hAnsiTheme="minorHAnsi" w:cstheme="minorHAnsi"/>
          <w:sz w:val="22"/>
        </w:rPr>
        <w:t xml:space="preserve"> concerns that this is associated with increasing levels of consumption and associated harms. </w:t>
      </w:r>
      <w:bookmarkEnd w:id="2"/>
      <w:r w:rsidRPr="009E50F9">
        <w:rPr>
          <w:rFonts w:asciiTheme="minorHAnsi" w:hAnsiTheme="minorHAnsi" w:cstheme="minorHAnsi"/>
          <w:sz w:val="22"/>
        </w:rPr>
        <w:t xml:space="preserve">The available data also suggest that the drug was involved in about a fifth of overdose deaths in 2021. </w:t>
      </w:r>
    </w:p>
    <w:p w14:paraId="164E67D8" w14:textId="77777777" w:rsidR="0089797A" w:rsidRPr="009E50F9" w:rsidRDefault="0089797A" w:rsidP="00404734">
      <w:pPr>
        <w:rPr>
          <w:rFonts w:asciiTheme="minorHAnsi" w:hAnsiTheme="minorHAnsi" w:cstheme="minorHAnsi"/>
          <w:sz w:val="22"/>
        </w:rPr>
      </w:pPr>
    </w:p>
    <w:p w14:paraId="6C14660A" w14:textId="269CD172" w:rsidR="0089797A" w:rsidRPr="009E50F9" w:rsidRDefault="00284E54" w:rsidP="00404734">
      <w:pPr>
        <w:rPr>
          <w:rFonts w:asciiTheme="minorHAnsi" w:hAnsiTheme="minorHAnsi" w:cstheme="minorHAnsi"/>
          <w:i/>
          <w:iCs/>
          <w:sz w:val="22"/>
        </w:rPr>
      </w:pPr>
      <w:r>
        <w:rPr>
          <w:rFonts w:asciiTheme="minorHAnsi" w:hAnsiTheme="minorHAnsi" w:cstheme="minorHAnsi"/>
          <w:i/>
          <w:iCs/>
          <w:sz w:val="22"/>
        </w:rPr>
        <w:t>European situation</w:t>
      </w:r>
    </w:p>
    <w:p w14:paraId="7FDC6927" w14:textId="39EAEECC" w:rsidR="00556785" w:rsidRPr="009E50F9" w:rsidRDefault="00556785" w:rsidP="00404734">
      <w:pPr>
        <w:pStyle w:val="ListParagraph"/>
        <w:numPr>
          <w:ilvl w:val="0"/>
          <w:numId w:val="29"/>
        </w:numPr>
        <w:spacing w:after="0" w:line="240" w:lineRule="auto"/>
        <w:ind w:left="284" w:hanging="284"/>
        <w:contextualSpacing w:val="0"/>
        <w:rPr>
          <w:rFonts w:asciiTheme="minorHAnsi" w:hAnsiTheme="minorHAnsi" w:cstheme="minorHAnsi"/>
        </w:rPr>
      </w:pPr>
      <w:r w:rsidRPr="009E50F9">
        <w:rPr>
          <w:rFonts w:asciiTheme="minorHAnsi" w:hAnsiTheme="minorHAnsi" w:cstheme="minorHAnsi"/>
        </w:rPr>
        <w:t>In 2021, EU Member States reported 67</w:t>
      </w:r>
      <w:r w:rsidR="00C27B87">
        <w:rPr>
          <w:rFonts w:asciiTheme="minorHAnsi" w:hAnsiTheme="minorHAnsi" w:cstheme="minorHAnsi"/>
        </w:rPr>
        <w:t>,</w:t>
      </w:r>
      <w:r w:rsidRPr="009E50F9">
        <w:rPr>
          <w:rFonts w:asciiTheme="minorHAnsi" w:hAnsiTheme="minorHAnsi" w:cstheme="minorHAnsi"/>
        </w:rPr>
        <w:t>000 seizures of cocaine</w:t>
      </w:r>
      <w:r w:rsidR="00C27B87">
        <w:rPr>
          <w:rFonts w:asciiTheme="minorHAnsi" w:hAnsiTheme="minorHAnsi" w:cstheme="minorHAnsi"/>
        </w:rPr>
        <w:t>,</w:t>
      </w:r>
      <w:r w:rsidRPr="009E50F9">
        <w:rPr>
          <w:rFonts w:asciiTheme="minorHAnsi" w:hAnsiTheme="minorHAnsi" w:cstheme="minorHAnsi"/>
        </w:rPr>
        <w:t xml:space="preserve"> amounting to a historically high 303 tonnes (up from 211 tonnes in 2020). </w:t>
      </w:r>
    </w:p>
    <w:p w14:paraId="45BAEE03" w14:textId="04D7EB18" w:rsidR="00556785" w:rsidRPr="009E50F9" w:rsidRDefault="00556785" w:rsidP="00404734">
      <w:pPr>
        <w:pStyle w:val="ListParagraph"/>
        <w:numPr>
          <w:ilvl w:val="0"/>
          <w:numId w:val="29"/>
        </w:numPr>
        <w:spacing w:after="0" w:line="240" w:lineRule="auto"/>
        <w:ind w:left="284" w:hanging="284"/>
        <w:contextualSpacing w:val="0"/>
        <w:rPr>
          <w:rFonts w:asciiTheme="minorHAnsi" w:hAnsiTheme="minorHAnsi" w:cstheme="minorHAnsi"/>
        </w:rPr>
      </w:pPr>
      <w:r w:rsidRPr="009E50F9">
        <w:rPr>
          <w:rFonts w:asciiTheme="minorHAnsi" w:hAnsiTheme="minorHAnsi" w:cstheme="minorHAnsi"/>
        </w:rPr>
        <w:t>The purity of cocaine has been on an upward trend over the past decade, and in 2021 reached a level 43% higher than the index year of 2011.</w:t>
      </w:r>
    </w:p>
    <w:p w14:paraId="2F49B1D9" w14:textId="77777777" w:rsidR="00556785" w:rsidRPr="009E50F9" w:rsidRDefault="00556785" w:rsidP="00404734">
      <w:pPr>
        <w:pStyle w:val="ListParagraph"/>
        <w:numPr>
          <w:ilvl w:val="0"/>
          <w:numId w:val="29"/>
        </w:numPr>
        <w:spacing w:after="0" w:line="240" w:lineRule="auto"/>
        <w:ind w:left="284" w:hanging="284"/>
        <w:contextualSpacing w:val="0"/>
        <w:rPr>
          <w:rFonts w:asciiTheme="minorHAnsi" w:hAnsiTheme="minorHAnsi" w:cstheme="minorHAnsi"/>
        </w:rPr>
      </w:pPr>
      <w:r w:rsidRPr="009E50F9">
        <w:rPr>
          <w:rFonts w:asciiTheme="minorHAnsi" w:hAnsiTheme="minorHAnsi" w:cstheme="minorHAnsi"/>
        </w:rPr>
        <w:t>After cannabis, cocaine was the second most frequently cited drug in offences related to use or possession.</w:t>
      </w:r>
    </w:p>
    <w:p w14:paraId="3938939F" w14:textId="19032E1B" w:rsidR="00556785" w:rsidRPr="009E50F9" w:rsidRDefault="00556785" w:rsidP="00404734">
      <w:pPr>
        <w:pStyle w:val="ListParagraph"/>
        <w:numPr>
          <w:ilvl w:val="0"/>
          <w:numId w:val="29"/>
        </w:numPr>
        <w:spacing w:after="0" w:line="240" w:lineRule="auto"/>
        <w:ind w:left="284" w:hanging="284"/>
        <w:contextualSpacing w:val="0"/>
        <w:rPr>
          <w:rFonts w:asciiTheme="minorHAnsi" w:hAnsiTheme="minorHAnsi" w:cstheme="minorHAnsi"/>
        </w:rPr>
      </w:pPr>
      <w:r w:rsidRPr="009E50F9">
        <w:rPr>
          <w:rFonts w:asciiTheme="minorHAnsi" w:hAnsiTheme="minorHAnsi" w:cstheme="minorHAnsi"/>
        </w:rPr>
        <w:t xml:space="preserve">In the </w:t>
      </w:r>
      <w:r w:rsidR="00E52C4A">
        <w:rPr>
          <w:rFonts w:asciiTheme="minorHAnsi" w:hAnsiTheme="minorHAnsi" w:cstheme="minorHAnsi"/>
        </w:rPr>
        <w:t>EU</w:t>
      </w:r>
      <w:r w:rsidRPr="009E50F9">
        <w:rPr>
          <w:rFonts w:asciiTheme="minorHAnsi" w:hAnsiTheme="minorHAnsi" w:cstheme="minorHAnsi"/>
        </w:rPr>
        <w:t>, surveys indicate that nearly 2.4 million 15</w:t>
      </w:r>
      <w:r w:rsidR="0055121C">
        <w:rPr>
          <w:rFonts w:asciiTheme="minorHAnsi" w:hAnsiTheme="minorHAnsi" w:cstheme="minorHAnsi"/>
        </w:rPr>
        <w:t>-</w:t>
      </w:r>
      <w:r w:rsidRPr="009E50F9">
        <w:rPr>
          <w:rFonts w:asciiTheme="minorHAnsi" w:hAnsiTheme="minorHAnsi" w:cstheme="minorHAnsi"/>
        </w:rPr>
        <w:t xml:space="preserve">34-year-olds (2.4% of this age group) used cocaine in the last year. Of the 11 European countries that have conducted surveys since 2020 and provided confidence intervals, </w:t>
      </w:r>
      <w:r w:rsidR="00C12802">
        <w:rPr>
          <w:rFonts w:asciiTheme="minorHAnsi" w:hAnsiTheme="minorHAnsi" w:cstheme="minorHAnsi"/>
        </w:rPr>
        <w:t>five</w:t>
      </w:r>
      <w:r w:rsidRPr="009E50F9">
        <w:rPr>
          <w:rFonts w:asciiTheme="minorHAnsi" w:hAnsiTheme="minorHAnsi" w:cstheme="minorHAnsi"/>
        </w:rPr>
        <w:t xml:space="preserve"> reported higher estimates than their previous comparable survey.</w:t>
      </w:r>
    </w:p>
    <w:p w14:paraId="4A8400AB" w14:textId="3BA01BD2" w:rsidR="00556785" w:rsidRPr="009E50F9" w:rsidRDefault="00556785" w:rsidP="00404734">
      <w:pPr>
        <w:pStyle w:val="ListParagraph"/>
        <w:numPr>
          <w:ilvl w:val="0"/>
          <w:numId w:val="29"/>
        </w:numPr>
        <w:spacing w:after="0" w:line="240" w:lineRule="auto"/>
        <w:ind w:left="284" w:hanging="284"/>
        <w:contextualSpacing w:val="0"/>
        <w:rPr>
          <w:rFonts w:asciiTheme="minorHAnsi" w:hAnsiTheme="minorHAnsi" w:cstheme="minorHAnsi"/>
        </w:rPr>
      </w:pPr>
      <w:r w:rsidRPr="009E50F9">
        <w:rPr>
          <w:rFonts w:asciiTheme="minorHAnsi" w:hAnsiTheme="minorHAnsi" w:cstheme="minorHAnsi"/>
        </w:rPr>
        <w:t>Cocaine was the second most common problem drug for first-time drug treatment entrants, cited by an estimated 25</w:t>
      </w:r>
      <w:r w:rsidR="0055121C">
        <w:rPr>
          <w:rFonts w:asciiTheme="minorHAnsi" w:hAnsiTheme="minorHAnsi" w:cstheme="minorHAnsi"/>
        </w:rPr>
        <w:t>,</w:t>
      </w:r>
      <w:r w:rsidRPr="009E50F9">
        <w:rPr>
          <w:rFonts w:asciiTheme="minorHAnsi" w:hAnsiTheme="minorHAnsi" w:cstheme="minorHAnsi"/>
        </w:rPr>
        <w:t>000 clients or 21% of all first-time entrants.</w:t>
      </w:r>
    </w:p>
    <w:p w14:paraId="451A8C05" w14:textId="77777777" w:rsidR="00556785" w:rsidRPr="009E50F9" w:rsidRDefault="00556785" w:rsidP="00404734">
      <w:pPr>
        <w:pStyle w:val="ListParagraph"/>
        <w:numPr>
          <w:ilvl w:val="0"/>
          <w:numId w:val="29"/>
        </w:numPr>
        <w:spacing w:after="0" w:line="240" w:lineRule="auto"/>
        <w:ind w:left="284" w:hanging="284"/>
        <w:contextualSpacing w:val="0"/>
        <w:rPr>
          <w:rFonts w:asciiTheme="minorHAnsi" w:hAnsiTheme="minorHAnsi" w:cstheme="minorHAnsi"/>
        </w:rPr>
      </w:pPr>
      <w:r w:rsidRPr="009E50F9">
        <w:rPr>
          <w:rFonts w:asciiTheme="minorHAnsi" w:hAnsiTheme="minorHAnsi" w:cstheme="minorHAnsi"/>
        </w:rPr>
        <w:t>The latest European data reveal a time lag of 10 years between first cocaine use, on average at the age of 23, and first treatment for cocaine-related problems, on average at the age of 33.</w:t>
      </w:r>
    </w:p>
    <w:p w14:paraId="5963B2E8" w14:textId="08581BF6" w:rsidR="00320A40" w:rsidRDefault="00556785" w:rsidP="00404734">
      <w:pPr>
        <w:pStyle w:val="ListParagraph"/>
        <w:numPr>
          <w:ilvl w:val="0"/>
          <w:numId w:val="29"/>
        </w:numPr>
        <w:spacing w:after="0" w:line="240" w:lineRule="auto"/>
        <w:ind w:left="284" w:hanging="284"/>
        <w:contextualSpacing w:val="0"/>
        <w:rPr>
          <w:rFonts w:asciiTheme="minorHAnsi" w:hAnsiTheme="minorHAnsi" w:cstheme="minorHAnsi"/>
        </w:rPr>
      </w:pPr>
      <w:r w:rsidRPr="009E50F9">
        <w:rPr>
          <w:rFonts w:asciiTheme="minorHAnsi" w:hAnsiTheme="minorHAnsi" w:cstheme="minorHAnsi"/>
        </w:rPr>
        <w:t>Cocaine was the most common substance reported by Euro-DEN Plus sentinel hospitals in 2021, mentioned in 27% of acute drug toxicity presentations. Where recorded, most presentations were associated with co-ingestion of alcohol.</w:t>
      </w:r>
    </w:p>
    <w:p w14:paraId="383B271E" w14:textId="77777777" w:rsidR="00404734" w:rsidRDefault="00404734" w:rsidP="00404734">
      <w:pPr>
        <w:pStyle w:val="ListParagraph"/>
        <w:spacing w:after="0" w:line="240" w:lineRule="auto"/>
        <w:ind w:left="284"/>
        <w:contextualSpacing w:val="0"/>
        <w:rPr>
          <w:rFonts w:asciiTheme="minorHAnsi" w:hAnsiTheme="minorHAnsi" w:cstheme="minorHAnsi"/>
        </w:rPr>
      </w:pPr>
    </w:p>
    <w:p w14:paraId="2A3CE40B" w14:textId="7F5BDA9F" w:rsidR="00770818" w:rsidRPr="00770818" w:rsidRDefault="00770818" w:rsidP="00404734">
      <w:pPr>
        <w:rPr>
          <w:rFonts w:asciiTheme="minorHAnsi" w:hAnsiTheme="minorHAnsi" w:cstheme="minorHAnsi"/>
          <w:i/>
          <w:iCs/>
        </w:rPr>
      </w:pPr>
      <w:r>
        <w:rPr>
          <w:rFonts w:asciiTheme="minorHAnsi" w:hAnsiTheme="minorHAnsi" w:cstheme="minorHAnsi"/>
          <w:i/>
          <w:iCs/>
        </w:rPr>
        <w:lastRenderedPageBreak/>
        <w:t>Irish comparison</w:t>
      </w:r>
    </w:p>
    <w:p w14:paraId="5FDD3029" w14:textId="07DCE8C8" w:rsidR="008303F6" w:rsidRDefault="008303F6" w:rsidP="00404734">
      <w:pPr>
        <w:pStyle w:val="ListParagraph"/>
        <w:numPr>
          <w:ilvl w:val="0"/>
          <w:numId w:val="29"/>
        </w:numPr>
        <w:spacing w:after="0" w:line="240" w:lineRule="auto"/>
        <w:ind w:left="284" w:hanging="284"/>
        <w:contextualSpacing w:val="0"/>
        <w:rPr>
          <w:rFonts w:asciiTheme="minorHAnsi" w:hAnsiTheme="minorHAnsi" w:cstheme="minorHAnsi"/>
        </w:rPr>
      </w:pPr>
      <w:r w:rsidRPr="008303F6">
        <w:rPr>
          <w:rFonts w:asciiTheme="minorHAnsi" w:hAnsiTheme="minorHAnsi" w:cstheme="minorHAnsi"/>
        </w:rPr>
        <w:t>In Ireland the most recent N</w:t>
      </w:r>
      <w:r>
        <w:rPr>
          <w:rFonts w:asciiTheme="minorHAnsi" w:hAnsiTheme="minorHAnsi" w:cstheme="minorHAnsi"/>
        </w:rPr>
        <w:t>ational Drug and Alcohol Survey (N</w:t>
      </w:r>
      <w:r w:rsidRPr="008303F6">
        <w:rPr>
          <w:rFonts w:asciiTheme="minorHAnsi" w:hAnsiTheme="minorHAnsi" w:cstheme="minorHAnsi"/>
        </w:rPr>
        <w:t>DAS</w:t>
      </w:r>
      <w:r>
        <w:rPr>
          <w:rFonts w:asciiTheme="minorHAnsi" w:hAnsiTheme="minorHAnsi" w:cstheme="minorHAnsi"/>
        </w:rPr>
        <w:t>)</w:t>
      </w:r>
      <w:r w:rsidRPr="008303F6">
        <w:rPr>
          <w:rFonts w:asciiTheme="minorHAnsi" w:hAnsiTheme="minorHAnsi" w:cstheme="minorHAnsi"/>
        </w:rPr>
        <w:t xml:space="preserve"> in 2019-20 shows that 4.7 per cent of 15–34-year-olds used cocaine in the last year</w:t>
      </w:r>
      <w:r>
        <w:rPr>
          <w:rFonts w:asciiTheme="minorHAnsi" w:hAnsiTheme="minorHAnsi" w:cstheme="minorHAnsi"/>
        </w:rPr>
        <w:t>.</w:t>
      </w:r>
    </w:p>
    <w:p w14:paraId="302830A7" w14:textId="77777777" w:rsidR="008303F6" w:rsidRDefault="008303F6" w:rsidP="00404734">
      <w:pPr>
        <w:pStyle w:val="ListParagraph"/>
        <w:numPr>
          <w:ilvl w:val="0"/>
          <w:numId w:val="29"/>
        </w:numPr>
        <w:spacing w:after="0" w:line="240" w:lineRule="auto"/>
        <w:ind w:left="284" w:hanging="284"/>
        <w:contextualSpacing w:val="0"/>
        <w:rPr>
          <w:rFonts w:asciiTheme="minorHAnsi" w:hAnsiTheme="minorHAnsi" w:cstheme="minorHAnsi"/>
        </w:rPr>
      </w:pPr>
      <w:r w:rsidRPr="008303F6">
        <w:rPr>
          <w:rFonts w:asciiTheme="minorHAnsi" w:hAnsiTheme="minorHAnsi" w:cstheme="minorHAnsi"/>
        </w:rPr>
        <w:t xml:space="preserve">In 2021, for the first time, there were more cases of treatment for cocaine as a main problem drug (3,248 or 30% of all cases) than heroin (3,168).  </w:t>
      </w:r>
    </w:p>
    <w:p w14:paraId="016C573A" w14:textId="74C25A04" w:rsidR="008303F6" w:rsidRDefault="008303F6" w:rsidP="00404734">
      <w:pPr>
        <w:pStyle w:val="ListParagraph"/>
        <w:numPr>
          <w:ilvl w:val="0"/>
          <w:numId w:val="29"/>
        </w:numPr>
        <w:spacing w:after="0" w:line="240" w:lineRule="auto"/>
        <w:ind w:left="284" w:hanging="284"/>
        <w:contextualSpacing w:val="0"/>
        <w:rPr>
          <w:rFonts w:asciiTheme="minorHAnsi" w:hAnsiTheme="minorHAnsi" w:cstheme="minorHAnsi"/>
        </w:rPr>
      </w:pPr>
      <w:r w:rsidRPr="008303F6">
        <w:rPr>
          <w:rFonts w:asciiTheme="minorHAnsi" w:hAnsiTheme="minorHAnsi" w:cstheme="minorHAnsi"/>
        </w:rPr>
        <w:t>In 2021, 1,359 new entrants into treatment report</w:t>
      </w:r>
      <w:r w:rsidR="00925148">
        <w:rPr>
          <w:rFonts w:asciiTheme="minorHAnsi" w:hAnsiTheme="minorHAnsi" w:cstheme="minorHAnsi"/>
        </w:rPr>
        <w:t>ed</w:t>
      </w:r>
      <w:r w:rsidRPr="008303F6">
        <w:rPr>
          <w:rFonts w:asciiTheme="minorHAnsi" w:hAnsiTheme="minorHAnsi" w:cstheme="minorHAnsi"/>
        </w:rPr>
        <w:t xml:space="preserve"> cocaine as the main problem. This represents 38% of all new entrants into treatment. </w:t>
      </w:r>
    </w:p>
    <w:p w14:paraId="2D979A88" w14:textId="77777777" w:rsidR="008303F6" w:rsidRDefault="008303F6" w:rsidP="00404734">
      <w:pPr>
        <w:pStyle w:val="ListParagraph"/>
        <w:numPr>
          <w:ilvl w:val="0"/>
          <w:numId w:val="29"/>
        </w:numPr>
        <w:spacing w:after="0" w:line="240" w:lineRule="auto"/>
        <w:ind w:left="284" w:hanging="284"/>
        <w:contextualSpacing w:val="0"/>
        <w:rPr>
          <w:rFonts w:asciiTheme="minorHAnsi" w:hAnsiTheme="minorHAnsi" w:cstheme="minorHAnsi"/>
        </w:rPr>
      </w:pPr>
      <w:r w:rsidRPr="008303F6">
        <w:rPr>
          <w:rFonts w:asciiTheme="minorHAnsi" w:hAnsiTheme="minorHAnsi" w:cstheme="minorHAnsi"/>
        </w:rPr>
        <w:t>Cocaine was implicated in 53 deaths in Ireland in 2017, an increase of 26% on the 2016 figure.</w:t>
      </w:r>
    </w:p>
    <w:p w14:paraId="131386D2" w14:textId="6F27EDFE" w:rsidR="008303F6" w:rsidRDefault="008303F6" w:rsidP="00404734">
      <w:pPr>
        <w:pStyle w:val="ListParagraph"/>
        <w:numPr>
          <w:ilvl w:val="0"/>
          <w:numId w:val="29"/>
        </w:numPr>
        <w:spacing w:after="0" w:line="240" w:lineRule="auto"/>
        <w:ind w:left="284" w:hanging="284"/>
        <w:contextualSpacing w:val="0"/>
        <w:rPr>
          <w:rFonts w:asciiTheme="minorHAnsi" w:hAnsiTheme="minorHAnsi" w:cstheme="minorHAnsi"/>
        </w:rPr>
      </w:pPr>
      <w:r w:rsidRPr="008303F6">
        <w:rPr>
          <w:rFonts w:asciiTheme="minorHAnsi" w:hAnsiTheme="minorHAnsi" w:cstheme="minorHAnsi"/>
        </w:rPr>
        <w:t>Forensic Science Ireland recorded 1994 seizures of cocaine in Ireland in 2020, the second most prominent drug in quantities seized after cannabis</w:t>
      </w:r>
      <w:r>
        <w:rPr>
          <w:rFonts w:asciiTheme="minorHAnsi" w:hAnsiTheme="minorHAnsi" w:cstheme="minorHAnsi"/>
        </w:rPr>
        <w:t>.</w:t>
      </w:r>
    </w:p>
    <w:p w14:paraId="77F1383F" w14:textId="46890F0F" w:rsidR="008303F6" w:rsidRPr="008303F6" w:rsidRDefault="008303F6" w:rsidP="00404734">
      <w:pPr>
        <w:pStyle w:val="ListParagraph"/>
        <w:numPr>
          <w:ilvl w:val="0"/>
          <w:numId w:val="29"/>
        </w:numPr>
        <w:spacing w:after="0" w:line="240" w:lineRule="auto"/>
        <w:ind w:left="284" w:hanging="284"/>
        <w:contextualSpacing w:val="0"/>
        <w:rPr>
          <w:rFonts w:asciiTheme="minorHAnsi" w:hAnsiTheme="minorHAnsi" w:cstheme="minorHAnsi"/>
        </w:rPr>
      </w:pPr>
      <w:r w:rsidRPr="008303F6">
        <w:rPr>
          <w:rFonts w:asciiTheme="minorHAnsi" w:hAnsiTheme="minorHAnsi" w:cstheme="minorHAnsi"/>
        </w:rPr>
        <w:t>Forensic Science Ireland reported that the cocaine content of seized samples has remained broadly consistent over the four-year period 2016-19, with an increase at street level from 34.7% to 46.5%, noted. European analysis reports increases in trafficking routes, supply, seizures, and seizure volumes during this time period, ultimately leading to an increase in cocaine content for users.</w:t>
      </w:r>
    </w:p>
    <w:p w14:paraId="3D24658D" w14:textId="77777777" w:rsidR="00DF1181" w:rsidRPr="00DF1181" w:rsidRDefault="00DF1181" w:rsidP="00404734">
      <w:pPr>
        <w:pStyle w:val="ListParagraph"/>
        <w:spacing w:after="0" w:line="240" w:lineRule="auto"/>
        <w:ind w:left="284"/>
        <w:contextualSpacing w:val="0"/>
        <w:rPr>
          <w:rFonts w:asciiTheme="minorHAnsi" w:hAnsiTheme="minorHAnsi" w:cstheme="minorHAnsi"/>
        </w:rPr>
      </w:pPr>
    </w:p>
    <w:p w14:paraId="5D2EF1E2" w14:textId="21A15883" w:rsidR="00216B3A" w:rsidRPr="00E63CBA" w:rsidRDefault="00216B3A" w:rsidP="00404734">
      <w:pPr>
        <w:rPr>
          <w:rFonts w:asciiTheme="minorHAnsi" w:hAnsiTheme="minorHAnsi" w:cstheme="minorHAnsi"/>
          <w:b/>
          <w:bCs/>
          <w:sz w:val="22"/>
        </w:rPr>
      </w:pPr>
      <w:r w:rsidRPr="00E63CBA">
        <w:rPr>
          <w:rFonts w:asciiTheme="minorHAnsi" w:hAnsiTheme="minorHAnsi" w:cstheme="minorHAnsi"/>
          <w:b/>
          <w:bCs/>
          <w:sz w:val="22"/>
          <w:lang w:val="en-GB" w:eastAsia="en-GB"/>
        </w:rPr>
        <w:t>Cannabis</w:t>
      </w:r>
    </w:p>
    <w:p w14:paraId="6D025499" w14:textId="00855F9A" w:rsidR="00216B3A" w:rsidRPr="009E50F9" w:rsidRDefault="00112F0F" w:rsidP="00404734">
      <w:pPr>
        <w:pStyle w:val="NormalWeb"/>
        <w:spacing w:before="0" w:beforeAutospacing="0" w:after="0" w:afterAutospacing="0"/>
        <w:rPr>
          <w:rFonts w:asciiTheme="minorHAnsi" w:hAnsiTheme="minorHAnsi" w:cstheme="minorHAnsi"/>
          <w:bCs/>
          <w:iCs/>
          <w:sz w:val="22"/>
          <w:szCs w:val="22"/>
          <w:lang w:val="en-GB" w:eastAsia="en-GB"/>
        </w:rPr>
      </w:pPr>
      <w:r w:rsidRPr="009E50F9">
        <w:rPr>
          <w:rFonts w:asciiTheme="minorHAnsi" w:hAnsiTheme="minorHAnsi" w:cstheme="minorHAnsi"/>
          <w:bCs/>
          <w:iCs/>
          <w:sz w:val="22"/>
          <w:szCs w:val="22"/>
          <w:lang w:val="en-GB" w:eastAsia="en-GB"/>
        </w:rPr>
        <w:t xml:space="preserve">Developments in the cannabis area are creating new challenges for policy makers and services responding to its use. </w:t>
      </w:r>
      <w:r w:rsidR="00615E6C" w:rsidRPr="009E50F9">
        <w:rPr>
          <w:rFonts w:asciiTheme="minorHAnsi" w:hAnsiTheme="minorHAnsi" w:cstheme="minorHAnsi"/>
          <w:bCs/>
          <w:iCs/>
          <w:sz w:val="22"/>
          <w:szCs w:val="22"/>
          <w:lang w:val="en-GB" w:eastAsia="en-GB"/>
        </w:rPr>
        <w:t xml:space="preserve">On the illicit drug market, the availability of high-potency extracts and edibles is a particular concern and has been linked to acute toxicity presentations in hospital emergency departments. In addition, there are concerns that some products sold on the illicit market as natural cannabis may be adulterated with potent synthetic cannabinoids. </w:t>
      </w:r>
      <w:r w:rsidRPr="009E50F9">
        <w:rPr>
          <w:rFonts w:asciiTheme="minorHAnsi" w:hAnsiTheme="minorHAnsi" w:cstheme="minorHAnsi"/>
          <w:bCs/>
          <w:iCs/>
          <w:sz w:val="22"/>
          <w:szCs w:val="22"/>
          <w:lang w:val="en-GB" w:eastAsia="en-GB"/>
        </w:rPr>
        <w:t>Cannabis products are becoming increasingly diverse, including extracts and edibles (high THC content) and CBD products (low THC content). In 202</w:t>
      </w:r>
      <w:r w:rsidR="00605AA3" w:rsidRPr="009E50F9">
        <w:rPr>
          <w:rFonts w:asciiTheme="minorHAnsi" w:hAnsiTheme="minorHAnsi" w:cstheme="minorHAnsi"/>
          <w:bCs/>
          <w:iCs/>
          <w:sz w:val="22"/>
          <w:szCs w:val="22"/>
          <w:lang w:val="en-GB" w:eastAsia="en-GB"/>
        </w:rPr>
        <w:t>1</w:t>
      </w:r>
      <w:r w:rsidRPr="009E50F9">
        <w:rPr>
          <w:rFonts w:asciiTheme="minorHAnsi" w:hAnsiTheme="minorHAnsi" w:cstheme="minorHAnsi"/>
          <w:bCs/>
          <w:iCs/>
          <w:sz w:val="22"/>
          <w:szCs w:val="22"/>
          <w:lang w:val="en-GB" w:eastAsia="en-GB"/>
        </w:rPr>
        <w:t>, the average THC content of cannabis resin was 2</w:t>
      </w:r>
      <w:r w:rsidR="00615E6C" w:rsidRPr="009E50F9">
        <w:rPr>
          <w:rFonts w:asciiTheme="minorHAnsi" w:hAnsiTheme="minorHAnsi" w:cstheme="minorHAnsi"/>
          <w:bCs/>
          <w:iCs/>
          <w:sz w:val="22"/>
          <w:szCs w:val="22"/>
          <w:lang w:val="en-GB" w:eastAsia="en-GB"/>
        </w:rPr>
        <w:t>0</w:t>
      </w:r>
      <w:r w:rsidRPr="009E50F9">
        <w:rPr>
          <w:rFonts w:asciiTheme="minorHAnsi" w:hAnsiTheme="minorHAnsi" w:cstheme="minorHAnsi"/>
          <w:bCs/>
          <w:iCs/>
          <w:sz w:val="22"/>
          <w:szCs w:val="22"/>
          <w:lang w:val="en-GB" w:eastAsia="en-GB"/>
        </w:rPr>
        <w:t>%, almost twice that of cannabis herb (</w:t>
      </w:r>
      <w:r w:rsidR="00615E6C" w:rsidRPr="009E50F9">
        <w:rPr>
          <w:rFonts w:asciiTheme="minorHAnsi" w:hAnsiTheme="minorHAnsi" w:cstheme="minorHAnsi"/>
          <w:bCs/>
          <w:iCs/>
          <w:sz w:val="22"/>
          <w:szCs w:val="22"/>
          <w:lang w:val="en-GB" w:eastAsia="en-GB"/>
        </w:rPr>
        <w:t>9.5</w:t>
      </w:r>
      <w:r w:rsidRPr="009E50F9">
        <w:rPr>
          <w:rFonts w:asciiTheme="minorHAnsi" w:hAnsiTheme="minorHAnsi" w:cstheme="minorHAnsi"/>
          <w:bCs/>
          <w:iCs/>
          <w:sz w:val="22"/>
          <w:szCs w:val="22"/>
          <w:lang w:val="en-GB" w:eastAsia="en-GB"/>
        </w:rPr>
        <w:t>%).</w:t>
      </w:r>
    </w:p>
    <w:p w14:paraId="0F23344F" w14:textId="77777777" w:rsidR="004B5245" w:rsidRPr="009E50F9" w:rsidRDefault="004B5245" w:rsidP="00404734">
      <w:pPr>
        <w:pStyle w:val="NormalWeb"/>
        <w:spacing w:before="0" w:beforeAutospacing="0" w:after="0" w:afterAutospacing="0"/>
        <w:rPr>
          <w:rFonts w:asciiTheme="minorHAnsi" w:hAnsiTheme="minorHAnsi" w:cstheme="minorHAnsi"/>
          <w:bCs/>
          <w:iCs/>
          <w:sz w:val="22"/>
          <w:szCs w:val="22"/>
          <w:lang w:val="en-GB" w:eastAsia="en-GB"/>
        </w:rPr>
      </w:pPr>
    </w:p>
    <w:p w14:paraId="0D746832" w14:textId="77777777" w:rsidR="00216B3A" w:rsidRPr="009E50F9" w:rsidRDefault="00216B3A" w:rsidP="00404734">
      <w:pPr>
        <w:rPr>
          <w:rFonts w:asciiTheme="minorHAnsi" w:hAnsiTheme="minorHAnsi" w:cstheme="minorHAnsi"/>
          <w:sz w:val="22"/>
          <w:lang w:val="en-GB" w:eastAsia="en-GB"/>
        </w:rPr>
      </w:pPr>
      <w:r w:rsidRPr="009E50F9">
        <w:rPr>
          <w:rFonts w:asciiTheme="minorHAnsi" w:hAnsiTheme="minorHAnsi" w:cstheme="minorHAnsi"/>
          <w:sz w:val="22"/>
          <w:lang w:val="en-GB" w:eastAsia="en-GB"/>
        </w:rPr>
        <w:t>European situation</w:t>
      </w:r>
    </w:p>
    <w:p w14:paraId="45CE0E52" w14:textId="765C2538" w:rsidR="00216B3A" w:rsidRPr="009E50F9" w:rsidRDefault="00216B3A" w:rsidP="00404734">
      <w:pPr>
        <w:pStyle w:val="NormalWeb"/>
        <w:numPr>
          <w:ilvl w:val="0"/>
          <w:numId w:val="18"/>
        </w:numPr>
        <w:spacing w:before="0" w:beforeAutospacing="0" w:after="0" w:afterAutospacing="0"/>
        <w:rPr>
          <w:rFonts w:asciiTheme="minorHAnsi" w:hAnsiTheme="minorHAnsi" w:cstheme="minorHAnsi"/>
          <w:sz w:val="22"/>
          <w:szCs w:val="22"/>
          <w:lang w:val="en-GB" w:eastAsia="en-GB"/>
        </w:rPr>
      </w:pPr>
      <w:r w:rsidRPr="009E50F9">
        <w:rPr>
          <w:rFonts w:asciiTheme="minorHAnsi" w:hAnsiTheme="minorHAnsi" w:cstheme="minorHAnsi"/>
          <w:sz w:val="22"/>
          <w:szCs w:val="22"/>
          <w:lang w:val="en-GB" w:eastAsia="en-GB"/>
        </w:rPr>
        <w:t>Cannabis is</w:t>
      </w:r>
      <w:r w:rsidR="00DC644D">
        <w:rPr>
          <w:rFonts w:asciiTheme="minorHAnsi" w:hAnsiTheme="minorHAnsi" w:cstheme="minorHAnsi"/>
          <w:sz w:val="22"/>
          <w:szCs w:val="22"/>
          <w:lang w:val="en-GB" w:eastAsia="en-GB"/>
        </w:rPr>
        <w:t xml:space="preserve"> the</w:t>
      </w:r>
      <w:r w:rsidRPr="009E50F9">
        <w:rPr>
          <w:rFonts w:asciiTheme="minorHAnsi" w:hAnsiTheme="minorHAnsi" w:cstheme="minorHAnsi"/>
          <w:sz w:val="22"/>
          <w:szCs w:val="22"/>
          <w:lang w:val="en-GB" w:eastAsia="en-GB"/>
        </w:rPr>
        <w:t xml:space="preserve"> </w:t>
      </w:r>
      <w:r w:rsidR="00E74916" w:rsidRPr="009E50F9">
        <w:rPr>
          <w:rFonts w:asciiTheme="minorHAnsi" w:hAnsiTheme="minorHAnsi" w:cstheme="minorHAnsi"/>
          <w:sz w:val="22"/>
          <w:szCs w:val="22"/>
          <w:lang w:val="en-GB" w:eastAsia="en-GB"/>
        </w:rPr>
        <w:t>most used</w:t>
      </w:r>
      <w:r w:rsidRPr="009E50F9">
        <w:rPr>
          <w:rFonts w:asciiTheme="minorHAnsi" w:hAnsiTheme="minorHAnsi" w:cstheme="minorHAnsi"/>
          <w:sz w:val="22"/>
          <w:szCs w:val="22"/>
          <w:lang w:val="en-GB" w:eastAsia="en-GB"/>
        </w:rPr>
        <w:t xml:space="preserve"> illicit drug in Europe, across all age groups. </w:t>
      </w:r>
    </w:p>
    <w:p w14:paraId="46964BC3" w14:textId="17206255" w:rsidR="0049120B" w:rsidRPr="009E50F9" w:rsidRDefault="0049120B" w:rsidP="00404734">
      <w:pPr>
        <w:pStyle w:val="ListParagraph"/>
        <w:numPr>
          <w:ilvl w:val="0"/>
          <w:numId w:val="18"/>
        </w:numPr>
        <w:spacing w:after="0" w:line="240" w:lineRule="auto"/>
        <w:contextualSpacing w:val="0"/>
        <w:rPr>
          <w:rFonts w:asciiTheme="minorHAnsi" w:hAnsiTheme="minorHAnsi" w:cstheme="minorHAnsi"/>
        </w:rPr>
      </w:pPr>
      <w:r w:rsidRPr="009E50F9">
        <w:rPr>
          <w:rFonts w:asciiTheme="minorHAnsi" w:hAnsiTheme="minorHAnsi" w:cstheme="minorHAnsi"/>
        </w:rPr>
        <w:t>Last year cannabis use among the EU population aged 15–34 is estimated at 15.1%. It is estimated that around 2% of adults (15–64) are daily or almost daily cannabis users.</w:t>
      </w:r>
    </w:p>
    <w:p w14:paraId="0E08570F" w14:textId="77777777" w:rsidR="0049120B" w:rsidRPr="009E50F9" w:rsidRDefault="0049120B" w:rsidP="00404734">
      <w:pPr>
        <w:pStyle w:val="ListParagraph"/>
        <w:numPr>
          <w:ilvl w:val="0"/>
          <w:numId w:val="18"/>
        </w:numPr>
        <w:spacing w:after="0" w:line="240" w:lineRule="auto"/>
        <w:contextualSpacing w:val="0"/>
        <w:rPr>
          <w:rFonts w:asciiTheme="minorHAnsi" w:hAnsiTheme="minorHAnsi" w:cstheme="minorHAnsi"/>
          <w:b/>
          <w:bCs/>
        </w:rPr>
      </w:pPr>
      <w:r w:rsidRPr="009E50F9">
        <w:rPr>
          <w:rFonts w:asciiTheme="minorHAnsi" w:hAnsiTheme="minorHAnsi" w:cstheme="minorHAnsi"/>
        </w:rPr>
        <w:t>In 2022, of the 38 cities with comparable data, 15 reported an annual increase in the cannabis metabolite THC-COOH in wastewater samples, while 18 reported a decrease.</w:t>
      </w:r>
    </w:p>
    <w:p w14:paraId="3EF53BE3" w14:textId="50690B41" w:rsidR="0049120B" w:rsidRPr="009E50F9" w:rsidRDefault="0049120B" w:rsidP="00404734">
      <w:pPr>
        <w:pStyle w:val="ListParagraph"/>
        <w:numPr>
          <w:ilvl w:val="0"/>
          <w:numId w:val="18"/>
        </w:numPr>
        <w:spacing w:after="0" w:line="240" w:lineRule="auto"/>
        <w:contextualSpacing w:val="0"/>
        <w:rPr>
          <w:rFonts w:asciiTheme="minorHAnsi" w:hAnsiTheme="minorHAnsi" w:cstheme="minorHAnsi"/>
        </w:rPr>
      </w:pPr>
      <w:r w:rsidRPr="009E50F9">
        <w:rPr>
          <w:rFonts w:asciiTheme="minorHAnsi" w:hAnsiTheme="minorHAnsi" w:cstheme="minorHAnsi"/>
        </w:rPr>
        <w:t>Cannabis was the main problem drug most frequently cited by new treatment clients, accounting for 45% of all first-time treatment entrants in Europe.</w:t>
      </w:r>
    </w:p>
    <w:p w14:paraId="71EDE6D5" w14:textId="7BDA8233" w:rsidR="0049120B" w:rsidRPr="009E50F9" w:rsidRDefault="0049120B" w:rsidP="00404734">
      <w:pPr>
        <w:pStyle w:val="ListParagraph"/>
        <w:numPr>
          <w:ilvl w:val="0"/>
          <w:numId w:val="18"/>
        </w:numPr>
        <w:spacing w:after="0" w:line="240" w:lineRule="auto"/>
        <w:contextualSpacing w:val="0"/>
        <w:rPr>
          <w:rFonts w:asciiTheme="minorHAnsi" w:hAnsiTheme="minorHAnsi" w:cstheme="minorHAnsi"/>
        </w:rPr>
      </w:pPr>
      <w:r w:rsidRPr="009E50F9">
        <w:rPr>
          <w:rFonts w:asciiTheme="minorHAnsi" w:hAnsiTheme="minorHAnsi" w:cstheme="minorHAnsi"/>
        </w:rPr>
        <w:t>Approximately 566</w:t>
      </w:r>
      <w:r w:rsidR="00D86EA0">
        <w:rPr>
          <w:rFonts w:asciiTheme="minorHAnsi" w:hAnsiTheme="minorHAnsi" w:cstheme="minorHAnsi"/>
        </w:rPr>
        <w:t>,</w:t>
      </w:r>
      <w:r w:rsidRPr="009E50F9">
        <w:rPr>
          <w:rFonts w:asciiTheme="minorHAnsi" w:hAnsiTheme="minorHAnsi" w:cstheme="minorHAnsi"/>
        </w:rPr>
        <w:t xml:space="preserve">000 cannabis use or possession offences were reported in the </w:t>
      </w:r>
      <w:r w:rsidR="00D86EA0">
        <w:rPr>
          <w:rFonts w:asciiTheme="minorHAnsi" w:hAnsiTheme="minorHAnsi" w:cstheme="minorHAnsi"/>
        </w:rPr>
        <w:t>EU</w:t>
      </w:r>
      <w:r w:rsidRPr="009E50F9">
        <w:rPr>
          <w:rFonts w:asciiTheme="minorHAnsi" w:hAnsiTheme="minorHAnsi" w:cstheme="minorHAnsi"/>
        </w:rPr>
        <w:t xml:space="preserve"> in 2021 (551</w:t>
      </w:r>
      <w:r w:rsidR="00D86EA0">
        <w:rPr>
          <w:rFonts w:asciiTheme="minorHAnsi" w:hAnsiTheme="minorHAnsi" w:cstheme="minorHAnsi"/>
        </w:rPr>
        <w:t>,</w:t>
      </w:r>
      <w:r w:rsidRPr="009E50F9">
        <w:rPr>
          <w:rFonts w:asciiTheme="minorHAnsi" w:hAnsiTheme="minorHAnsi" w:cstheme="minorHAnsi"/>
        </w:rPr>
        <w:t>000 in 2020), alongside 100</w:t>
      </w:r>
      <w:r w:rsidR="00D86EA0">
        <w:rPr>
          <w:rFonts w:asciiTheme="minorHAnsi" w:hAnsiTheme="minorHAnsi" w:cstheme="minorHAnsi"/>
        </w:rPr>
        <w:t>,</w:t>
      </w:r>
      <w:r w:rsidRPr="009E50F9">
        <w:rPr>
          <w:rFonts w:asciiTheme="minorHAnsi" w:hAnsiTheme="minorHAnsi" w:cstheme="minorHAnsi"/>
        </w:rPr>
        <w:t>000 supply offences (93</w:t>
      </w:r>
      <w:r w:rsidR="00D86EA0">
        <w:rPr>
          <w:rFonts w:asciiTheme="minorHAnsi" w:hAnsiTheme="minorHAnsi" w:cstheme="minorHAnsi"/>
        </w:rPr>
        <w:t>,</w:t>
      </w:r>
      <w:r w:rsidRPr="009E50F9">
        <w:rPr>
          <w:rFonts w:asciiTheme="minorHAnsi" w:hAnsiTheme="minorHAnsi" w:cstheme="minorHAnsi"/>
        </w:rPr>
        <w:t>000 in 2020).</w:t>
      </w:r>
    </w:p>
    <w:p w14:paraId="4EBD5C0F" w14:textId="1042A0FE" w:rsidR="0049120B" w:rsidRPr="009E50F9" w:rsidRDefault="0049120B" w:rsidP="00404734">
      <w:pPr>
        <w:pStyle w:val="ListParagraph"/>
        <w:numPr>
          <w:ilvl w:val="0"/>
          <w:numId w:val="18"/>
        </w:numPr>
        <w:spacing w:after="0" w:line="240" w:lineRule="auto"/>
        <w:contextualSpacing w:val="0"/>
        <w:rPr>
          <w:rFonts w:asciiTheme="minorHAnsi" w:hAnsiTheme="minorHAnsi" w:cstheme="minorHAnsi"/>
        </w:rPr>
      </w:pPr>
      <w:bookmarkStart w:id="3" w:name="_Hlk128475075"/>
      <w:r w:rsidRPr="009E50F9">
        <w:rPr>
          <w:rFonts w:asciiTheme="minorHAnsi" w:hAnsiTheme="minorHAnsi" w:cstheme="minorHAnsi"/>
        </w:rPr>
        <w:lastRenderedPageBreak/>
        <w:t>In 2021, the average THC content of cannabis resin in the European Union was 20%, more than twice that of herbal cannabis, at 9.5%.</w:t>
      </w:r>
      <w:bookmarkEnd w:id="3"/>
      <w:r w:rsidRPr="009E50F9">
        <w:rPr>
          <w:rFonts w:asciiTheme="minorHAnsi" w:hAnsiTheme="minorHAnsi" w:cstheme="minorHAnsi"/>
        </w:rPr>
        <w:t xml:space="preserve"> </w:t>
      </w:r>
    </w:p>
    <w:p w14:paraId="51818DD4" w14:textId="52A67A75" w:rsidR="0049120B" w:rsidRDefault="0049120B" w:rsidP="00404734">
      <w:pPr>
        <w:pStyle w:val="ListParagraph"/>
        <w:numPr>
          <w:ilvl w:val="0"/>
          <w:numId w:val="18"/>
        </w:numPr>
        <w:spacing w:after="0" w:line="240" w:lineRule="auto"/>
        <w:contextualSpacing w:val="0"/>
        <w:rPr>
          <w:rFonts w:asciiTheme="minorHAnsi" w:hAnsiTheme="minorHAnsi" w:cstheme="minorHAnsi"/>
        </w:rPr>
      </w:pPr>
      <w:r w:rsidRPr="009E50F9">
        <w:rPr>
          <w:rFonts w:asciiTheme="minorHAnsi" w:hAnsiTheme="minorHAnsi" w:cstheme="minorHAnsi"/>
        </w:rPr>
        <w:t>Cannabis was the second most frequently reported substance by the Euro-DEN Plus hospital network in 2021. It was involved in 25% of acute drug toxicity presentations (23% in 2020), usually in the presence of other substances.</w:t>
      </w:r>
    </w:p>
    <w:p w14:paraId="6B86E093" w14:textId="77777777" w:rsidR="00404734" w:rsidRPr="009E50F9" w:rsidRDefault="00404734" w:rsidP="00404734">
      <w:pPr>
        <w:pStyle w:val="ListParagraph"/>
        <w:spacing w:after="0" w:line="240" w:lineRule="auto"/>
        <w:contextualSpacing w:val="0"/>
        <w:rPr>
          <w:rFonts w:asciiTheme="minorHAnsi" w:hAnsiTheme="minorHAnsi" w:cstheme="minorHAnsi"/>
        </w:rPr>
      </w:pPr>
    </w:p>
    <w:p w14:paraId="2018A403" w14:textId="77777777" w:rsidR="00216B3A" w:rsidRPr="009E50F9" w:rsidRDefault="00216B3A" w:rsidP="00404734">
      <w:pPr>
        <w:rPr>
          <w:rFonts w:asciiTheme="minorHAnsi" w:hAnsiTheme="minorHAnsi" w:cstheme="minorHAnsi"/>
          <w:sz w:val="22"/>
          <w:lang w:val="en-GB" w:eastAsia="en-GB"/>
        </w:rPr>
      </w:pPr>
      <w:r w:rsidRPr="009E50F9">
        <w:rPr>
          <w:rFonts w:asciiTheme="minorHAnsi" w:hAnsiTheme="minorHAnsi" w:cstheme="minorHAnsi"/>
          <w:sz w:val="22"/>
          <w:lang w:val="en-GB" w:eastAsia="en-GB"/>
        </w:rPr>
        <w:t>Irish comparison</w:t>
      </w:r>
    </w:p>
    <w:p w14:paraId="69FFBEB0" w14:textId="2CBB0F5B" w:rsidR="00847FDC" w:rsidRPr="009E50F9" w:rsidRDefault="00216B3A" w:rsidP="00404734">
      <w:pPr>
        <w:numPr>
          <w:ilvl w:val="0"/>
          <w:numId w:val="20"/>
        </w:numPr>
        <w:rPr>
          <w:rFonts w:asciiTheme="minorHAnsi" w:hAnsiTheme="minorHAnsi" w:cstheme="minorHAnsi"/>
          <w:sz w:val="22"/>
          <w:lang w:val="en-IE" w:eastAsia="en-IE"/>
        </w:rPr>
      </w:pPr>
      <w:r w:rsidRPr="009E50F9">
        <w:rPr>
          <w:rFonts w:asciiTheme="minorHAnsi" w:hAnsiTheme="minorHAnsi" w:cstheme="minorHAnsi"/>
          <w:sz w:val="22"/>
          <w:lang w:val="en-IE" w:eastAsia="en-IE"/>
        </w:rPr>
        <w:t>The 20</w:t>
      </w:r>
      <w:r w:rsidR="00847FDC" w:rsidRPr="009E50F9">
        <w:rPr>
          <w:rFonts w:asciiTheme="minorHAnsi" w:hAnsiTheme="minorHAnsi" w:cstheme="minorHAnsi"/>
          <w:sz w:val="22"/>
          <w:lang w:val="en-IE" w:eastAsia="en-IE"/>
        </w:rPr>
        <w:t>19</w:t>
      </w:r>
      <w:r w:rsidRPr="009E50F9">
        <w:rPr>
          <w:rFonts w:asciiTheme="minorHAnsi" w:hAnsiTheme="minorHAnsi" w:cstheme="minorHAnsi"/>
          <w:sz w:val="22"/>
          <w:lang w:val="en-IE" w:eastAsia="en-IE"/>
        </w:rPr>
        <w:t>/</w:t>
      </w:r>
      <w:r w:rsidR="00847FDC" w:rsidRPr="009E50F9">
        <w:rPr>
          <w:rFonts w:asciiTheme="minorHAnsi" w:hAnsiTheme="minorHAnsi" w:cstheme="minorHAnsi"/>
          <w:sz w:val="22"/>
          <w:lang w:val="en-IE" w:eastAsia="en-IE"/>
        </w:rPr>
        <w:t>20</w:t>
      </w:r>
      <w:r w:rsidRPr="009E50F9">
        <w:rPr>
          <w:rFonts w:asciiTheme="minorHAnsi" w:hAnsiTheme="minorHAnsi" w:cstheme="minorHAnsi"/>
          <w:sz w:val="22"/>
          <w:lang w:val="en-IE" w:eastAsia="en-IE"/>
        </w:rPr>
        <w:t xml:space="preserve"> </w:t>
      </w:r>
      <w:r w:rsidR="00847FDC" w:rsidRPr="009E50F9">
        <w:rPr>
          <w:rFonts w:asciiTheme="minorHAnsi" w:hAnsiTheme="minorHAnsi" w:cstheme="minorHAnsi"/>
          <w:sz w:val="22"/>
          <w:lang w:val="en-IE" w:eastAsia="en-IE"/>
        </w:rPr>
        <w:t xml:space="preserve">National Drug and Alcohol Survey (NDAS) </w:t>
      </w:r>
      <w:r w:rsidR="00847FDC" w:rsidRPr="009E50F9">
        <w:rPr>
          <w:rFonts w:asciiTheme="minorHAnsi" w:hAnsiTheme="minorHAnsi" w:cstheme="minorHAnsi"/>
          <w:sz w:val="22"/>
          <w:lang w:eastAsia="en-IE"/>
        </w:rPr>
        <w:t>reported that 24.4% of the population (15–64 years) had used cannabis at some point in their lives; 7.1% reported use in the year prior to the survey and 3.4% in the preceding month</w:t>
      </w:r>
      <w:r w:rsidR="00664DFA">
        <w:rPr>
          <w:rFonts w:asciiTheme="minorHAnsi" w:hAnsiTheme="minorHAnsi" w:cstheme="minorHAnsi"/>
          <w:sz w:val="22"/>
          <w:lang w:eastAsia="en-IE"/>
        </w:rPr>
        <w:t>.</w:t>
      </w:r>
    </w:p>
    <w:p w14:paraId="77F6A32D" w14:textId="2D959C15" w:rsidR="005A3E99" w:rsidRPr="009E50F9" w:rsidRDefault="00847FDC" w:rsidP="00404734">
      <w:pPr>
        <w:numPr>
          <w:ilvl w:val="0"/>
          <w:numId w:val="20"/>
        </w:numPr>
        <w:rPr>
          <w:rFonts w:asciiTheme="minorHAnsi" w:hAnsiTheme="minorHAnsi" w:cstheme="minorHAnsi"/>
          <w:sz w:val="22"/>
          <w:lang w:val="en-IE" w:eastAsia="en-IE"/>
        </w:rPr>
      </w:pPr>
      <w:r w:rsidRPr="009E50F9">
        <w:rPr>
          <w:rFonts w:asciiTheme="minorHAnsi" w:hAnsiTheme="minorHAnsi" w:cstheme="minorHAnsi"/>
          <w:sz w:val="22"/>
          <w:lang w:val="en-IE" w:eastAsia="en-IE"/>
        </w:rPr>
        <w:t xml:space="preserve">The </w:t>
      </w:r>
      <w:bookmarkStart w:id="4" w:name="_Hlk105523515"/>
      <w:r w:rsidRPr="009E50F9">
        <w:rPr>
          <w:rFonts w:asciiTheme="minorHAnsi" w:hAnsiTheme="minorHAnsi" w:cstheme="minorHAnsi"/>
          <w:sz w:val="22"/>
          <w:lang w:val="en-IE" w:eastAsia="en-IE"/>
        </w:rPr>
        <w:t>NDAS</w:t>
      </w:r>
      <w:bookmarkEnd w:id="4"/>
      <w:r w:rsidRPr="009E50F9">
        <w:rPr>
          <w:rFonts w:asciiTheme="minorHAnsi" w:hAnsiTheme="minorHAnsi" w:cstheme="minorHAnsi"/>
          <w:sz w:val="22"/>
          <w:lang w:val="en-IE" w:eastAsia="en-IE"/>
        </w:rPr>
        <w:t xml:space="preserve"> </w:t>
      </w:r>
      <w:r w:rsidR="00216B3A" w:rsidRPr="009E50F9">
        <w:rPr>
          <w:rFonts w:asciiTheme="minorHAnsi" w:hAnsiTheme="minorHAnsi" w:cstheme="minorHAnsi"/>
          <w:sz w:val="22"/>
          <w:lang w:val="en-IE" w:eastAsia="en-IE"/>
        </w:rPr>
        <w:t xml:space="preserve">reported that </w:t>
      </w:r>
      <w:r w:rsidRPr="009E50F9">
        <w:rPr>
          <w:rFonts w:asciiTheme="minorHAnsi" w:hAnsiTheme="minorHAnsi" w:cstheme="minorHAnsi"/>
          <w:sz w:val="22"/>
          <w:lang w:val="en-IE" w:eastAsia="en-IE"/>
        </w:rPr>
        <w:t>13.8</w:t>
      </w:r>
      <w:r w:rsidR="00216B3A" w:rsidRPr="009E50F9">
        <w:rPr>
          <w:rFonts w:asciiTheme="minorHAnsi" w:hAnsiTheme="minorHAnsi" w:cstheme="minorHAnsi"/>
          <w:sz w:val="22"/>
          <w:lang w:val="en-IE" w:eastAsia="en-IE"/>
        </w:rPr>
        <w:t>% of young adults (15-34 years) used cannabis in the year prior to the survey</w:t>
      </w:r>
      <w:r w:rsidR="00664DFA">
        <w:rPr>
          <w:rFonts w:asciiTheme="minorHAnsi" w:hAnsiTheme="minorHAnsi" w:cstheme="minorHAnsi"/>
          <w:sz w:val="22"/>
          <w:lang w:val="en-IE" w:eastAsia="en-IE"/>
        </w:rPr>
        <w:t>.</w:t>
      </w:r>
    </w:p>
    <w:p w14:paraId="6C58D3E4" w14:textId="1D1124C7" w:rsidR="00216B3A" w:rsidRPr="009E50F9" w:rsidRDefault="00216B3A" w:rsidP="00404734">
      <w:pPr>
        <w:numPr>
          <w:ilvl w:val="0"/>
          <w:numId w:val="20"/>
        </w:numPr>
        <w:rPr>
          <w:rFonts w:asciiTheme="minorHAnsi" w:hAnsiTheme="minorHAnsi" w:cstheme="minorHAnsi"/>
          <w:sz w:val="22"/>
          <w:lang w:val="en-IE" w:eastAsia="en-IE"/>
        </w:rPr>
      </w:pPr>
      <w:r w:rsidRPr="009E50F9">
        <w:rPr>
          <w:rFonts w:asciiTheme="minorHAnsi" w:hAnsiTheme="minorHAnsi" w:cstheme="minorHAnsi"/>
          <w:sz w:val="22"/>
          <w:lang w:val="en-IE" w:eastAsia="en-IE"/>
        </w:rPr>
        <w:t xml:space="preserve">The 2019 </w:t>
      </w:r>
      <w:r w:rsidR="00A248B9">
        <w:rPr>
          <w:rFonts w:asciiTheme="minorHAnsi" w:hAnsiTheme="minorHAnsi" w:cstheme="minorHAnsi"/>
          <w:sz w:val="22"/>
          <w:lang w:val="en-IE" w:eastAsia="en-IE"/>
        </w:rPr>
        <w:t>European School Survey Project on Alcohol and Other Drugs (</w:t>
      </w:r>
      <w:r w:rsidRPr="009E50F9">
        <w:rPr>
          <w:rFonts w:asciiTheme="minorHAnsi" w:hAnsiTheme="minorHAnsi" w:cstheme="minorHAnsi"/>
          <w:sz w:val="22"/>
          <w:lang w:val="en-IE" w:eastAsia="en-IE"/>
        </w:rPr>
        <w:t>ESPAD</w:t>
      </w:r>
      <w:r w:rsidR="00A248B9">
        <w:rPr>
          <w:rFonts w:asciiTheme="minorHAnsi" w:hAnsiTheme="minorHAnsi" w:cstheme="minorHAnsi"/>
          <w:sz w:val="22"/>
          <w:lang w:val="en-IE" w:eastAsia="en-IE"/>
        </w:rPr>
        <w:t>)</w:t>
      </w:r>
      <w:r w:rsidRPr="009E50F9">
        <w:rPr>
          <w:rFonts w:asciiTheme="minorHAnsi" w:hAnsiTheme="minorHAnsi" w:cstheme="minorHAnsi"/>
          <w:sz w:val="22"/>
          <w:lang w:val="en-IE" w:eastAsia="en-IE"/>
        </w:rPr>
        <w:t xml:space="preserve"> reported that </w:t>
      </w:r>
      <w:r w:rsidRPr="009E50F9">
        <w:rPr>
          <w:rFonts w:asciiTheme="minorHAnsi" w:hAnsiTheme="minorHAnsi" w:cstheme="minorHAnsi"/>
          <w:sz w:val="22"/>
          <w:lang w:eastAsia="en-IE"/>
        </w:rPr>
        <w:t>16% of</w:t>
      </w:r>
      <w:r w:rsidR="001411F5" w:rsidRPr="009E50F9">
        <w:rPr>
          <w:rFonts w:asciiTheme="minorHAnsi" w:hAnsiTheme="minorHAnsi" w:cstheme="minorHAnsi"/>
          <w:sz w:val="22"/>
          <w:lang w:eastAsia="en-IE"/>
        </w:rPr>
        <w:t xml:space="preserve"> </w:t>
      </w:r>
      <w:r w:rsidR="00BB6AEE" w:rsidRPr="009E50F9">
        <w:rPr>
          <w:rFonts w:asciiTheme="minorHAnsi" w:hAnsiTheme="minorHAnsi" w:cstheme="minorHAnsi"/>
          <w:sz w:val="22"/>
          <w:lang w:eastAsia="en-IE"/>
        </w:rPr>
        <w:t>Irish</w:t>
      </w:r>
      <w:r w:rsidR="00E956B1" w:rsidRPr="009E50F9">
        <w:rPr>
          <w:rFonts w:asciiTheme="minorHAnsi" w:hAnsiTheme="minorHAnsi" w:cstheme="minorHAnsi"/>
          <w:sz w:val="22"/>
          <w:lang w:eastAsia="en-IE"/>
        </w:rPr>
        <w:t xml:space="preserve"> </w:t>
      </w:r>
      <w:r w:rsidR="001411F5" w:rsidRPr="009E50F9">
        <w:rPr>
          <w:rFonts w:asciiTheme="minorHAnsi" w:hAnsiTheme="minorHAnsi" w:cstheme="minorHAnsi"/>
          <w:sz w:val="22"/>
          <w:lang w:eastAsia="en-IE"/>
        </w:rPr>
        <w:t>secondary school students (aged</w:t>
      </w:r>
      <w:r w:rsidRPr="009E50F9">
        <w:rPr>
          <w:rFonts w:asciiTheme="minorHAnsi" w:hAnsiTheme="minorHAnsi" w:cstheme="minorHAnsi"/>
          <w:sz w:val="22"/>
          <w:lang w:eastAsia="en-IE"/>
        </w:rPr>
        <w:t xml:space="preserve"> </w:t>
      </w:r>
      <w:r w:rsidR="001411F5" w:rsidRPr="009E50F9">
        <w:rPr>
          <w:rFonts w:asciiTheme="minorHAnsi" w:hAnsiTheme="minorHAnsi" w:cstheme="minorHAnsi"/>
          <w:sz w:val="22"/>
          <w:lang w:eastAsia="en-IE"/>
        </w:rPr>
        <w:t>15–16)</w:t>
      </w:r>
      <w:r w:rsidRPr="009E50F9">
        <w:rPr>
          <w:rFonts w:asciiTheme="minorHAnsi" w:hAnsiTheme="minorHAnsi" w:cstheme="minorHAnsi"/>
          <w:sz w:val="22"/>
          <w:lang w:eastAsia="en-IE"/>
        </w:rPr>
        <w:t xml:space="preserve"> had used cannabis in the last 12 months (recent use).</w:t>
      </w:r>
      <w:r w:rsidRPr="009E50F9">
        <w:rPr>
          <w:rFonts w:asciiTheme="minorHAnsi" w:hAnsiTheme="minorHAnsi" w:cstheme="minorHAnsi"/>
          <w:sz w:val="22"/>
          <w:lang w:val="en-GB" w:eastAsia="en-IE"/>
        </w:rPr>
        <w:t xml:space="preserve"> </w:t>
      </w:r>
    </w:p>
    <w:p w14:paraId="5C367620" w14:textId="0BAA7EAE" w:rsidR="00683F32" w:rsidRPr="00404734" w:rsidRDefault="00216B3A" w:rsidP="00404734">
      <w:pPr>
        <w:pStyle w:val="NormalWeb"/>
        <w:numPr>
          <w:ilvl w:val="0"/>
          <w:numId w:val="20"/>
        </w:numPr>
        <w:spacing w:before="0" w:beforeAutospacing="0" w:after="0" w:afterAutospacing="0"/>
        <w:rPr>
          <w:rFonts w:asciiTheme="minorHAnsi" w:hAnsiTheme="minorHAnsi" w:cstheme="minorHAnsi"/>
          <w:sz w:val="22"/>
          <w:szCs w:val="22"/>
          <w:lang w:val="en-GB" w:eastAsia="en-GB"/>
        </w:rPr>
      </w:pPr>
      <w:r w:rsidRPr="009E50F9">
        <w:rPr>
          <w:rFonts w:asciiTheme="minorHAnsi" w:hAnsiTheme="minorHAnsi" w:cstheme="minorHAnsi"/>
          <w:sz w:val="22"/>
          <w:szCs w:val="22"/>
          <w:lang w:val="en-IE" w:eastAsia="en-IE"/>
        </w:rPr>
        <w:t>Cannabis was the main problem drug for 2</w:t>
      </w:r>
      <w:r w:rsidR="00BB6AEE" w:rsidRPr="009E50F9">
        <w:rPr>
          <w:rFonts w:asciiTheme="minorHAnsi" w:hAnsiTheme="minorHAnsi" w:cstheme="minorHAnsi"/>
          <w:sz w:val="22"/>
          <w:szCs w:val="22"/>
          <w:lang w:val="en-IE" w:eastAsia="en-IE"/>
        </w:rPr>
        <w:t>,</w:t>
      </w:r>
      <w:r w:rsidR="000A0E80" w:rsidRPr="009E50F9">
        <w:rPr>
          <w:rFonts w:asciiTheme="minorHAnsi" w:hAnsiTheme="minorHAnsi" w:cstheme="minorHAnsi"/>
          <w:sz w:val="22"/>
          <w:szCs w:val="22"/>
          <w:lang w:val="en-IE" w:eastAsia="en-IE"/>
        </w:rPr>
        <w:t>262 of</w:t>
      </w:r>
      <w:r w:rsidRPr="009E50F9">
        <w:rPr>
          <w:rFonts w:asciiTheme="minorHAnsi" w:hAnsiTheme="minorHAnsi" w:cstheme="minorHAnsi"/>
          <w:sz w:val="22"/>
          <w:szCs w:val="22"/>
          <w:lang w:val="en-IE" w:eastAsia="en-IE"/>
        </w:rPr>
        <w:t xml:space="preserve"> cases (</w:t>
      </w:r>
      <w:r w:rsidR="00507C59" w:rsidRPr="009E50F9">
        <w:rPr>
          <w:rFonts w:asciiTheme="minorHAnsi" w:hAnsiTheme="minorHAnsi" w:cstheme="minorHAnsi"/>
          <w:sz w:val="22"/>
          <w:szCs w:val="22"/>
          <w:lang w:val="en-IE" w:eastAsia="en-IE"/>
        </w:rPr>
        <w:t>21</w:t>
      </w:r>
      <w:r w:rsidRPr="009E50F9">
        <w:rPr>
          <w:rFonts w:asciiTheme="minorHAnsi" w:hAnsiTheme="minorHAnsi" w:cstheme="minorHAnsi"/>
          <w:sz w:val="22"/>
          <w:szCs w:val="22"/>
          <w:lang w:val="en-IE" w:eastAsia="en-IE"/>
        </w:rPr>
        <w:t>% of all cases) entering drug treatment in Ireland in 20</w:t>
      </w:r>
      <w:r w:rsidR="00507C59" w:rsidRPr="009E50F9">
        <w:rPr>
          <w:rFonts w:asciiTheme="minorHAnsi" w:hAnsiTheme="minorHAnsi" w:cstheme="minorHAnsi"/>
          <w:sz w:val="22"/>
          <w:szCs w:val="22"/>
          <w:lang w:val="en-IE" w:eastAsia="en-IE"/>
        </w:rPr>
        <w:t>2</w:t>
      </w:r>
      <w:r w:rsidR="00B57451" w:rsidRPr="009E50F9">
        <w:rPr>
          <w:rFonts w:asciiTheme="minorHAnsi" w:hAnsiTheme="minorHAnsi" w:cstheme="minorHAnsi"/>
          <w:sz w:val="22"/>
          <w:szCs w:val="22"/>
          <w:lang w:val="en-IE" w:eastAsia="en-IE"/>
        </w:rPr>
        <w:t>1</w:t>
      </w:r>
      <w:r w:rsidRPr="009E50F9">
        <w:rPr>
          <w:rFonts w:asciiTheme="minorHAnsi" w:hAnsiTheme="minorHAnsi" w:cstheme="minorHAnsi"/>
          <w:sz w:val="22"/>
          <w:szCs w:val="22"/>
          <w:lang w:val="en-IE" w:eastAsia="en-IE"/>
        </w:rPr>
        <w:t xml:space="preserve">. </w:t>
      </w:r>
    </w:p>
    <w:p w14:paraId="49C03BF8" w14:textId="77777777" w:rsidR="00404734" w:rsidRPr="009E50F9" w:rsidRDefault="00404734" w:rsidP="00404734">
      <w:pPr>
        <w:pStyle w:val="NormalWeb"/>
        <w:spacing w:before="0" w:beforeAutospacing="0" w:after="0" w:afterAutospacing="0"/>
        <w:ind w:left="720"/>
        <w:rPr>
          <w:rFonts w:asciiTheme="minorHAnsi" w:hAnsiTheme="minorHAnsi" w:cstheme="minorHAnsi"/>
          <w:sz w:val="22"/>
          <w:szCs w:val="22"/>
          <w:lang w:val="en-GB" w:eastAsia="en-GB"/>
        </w:rPr>
      </w:pPr>
    </w:p>
    <w:p w14:paraId="138390BC" w14:textId="1A62D29C" w:rsidR="001C76A2" w:rsidRPr="00E63CBA" w:rsidRDefault="001C76A2" w:rsidP="00404734">
      <w:pPr>
        <w:rPr>
          <w:rFonts w:asciiTheme="minorHAnsi" w:hAnsiTheme="minorHAnsi" w:cstheme="minorHAnsi"/>
          <w:b/>
          <w:bCs/>
          <w:sz w:val="22"/>
        </w:rPr>
      </w:pPr>
      <w:r w:rsidRPr="00E63CBA">
        <w:rPr>
          <w:rFonts w:asciiTheme="minorHAnsi" w:hAnsiTheme="minorHAnsi" w:cstheme="minorHAnsi"/>
          <w:b/>
          <w:bCs/>
          <w:sz w:val="22"/>
        </w:rPr>
        <w:t>Opioids (mainly heroin)</w:t>
      </w:r>
    </w:p>
    <w:p w14:paraId="3954480D" w14:textId="519E92D9" w:rsidR="001C76A2" w:rsidRDefault="008175C3" w:rsidP="00404734">
      <w:pPr>
        <w:rPr>
          <w:rFonts w:asciiTheme="minorHAnsi" w:hAnsiTheme="minorHAnsi" w:cstheme="minorHAnsi"/>
          <w:sz w:val="22"/>
          <w:lang w:val="en-GB"/>
        </w:rPr>
      </w:pPr>
      <w:r w:rsidRPr="009E50F9">
        <w:rPr>
          <w:rFonts w:asciiTheme="minorHAnsi" w:hAnsiTheme="minorHAnsi" w:cstheme="minorHAnsi"/>
          <w:sz w:val="22"/>
          <w:lang w:val="en-GB"/>
        </w:rPr>
        <w:t>Data on entry to drug treatment, as well as data from other indicators, support the conclusion that Europe’s cohort of heroin users is ageing, with little current evidence to suggest that the rate of recruitment into this behaviour is growing. Between 2010 and 2021, the mean age of all clients entering specialist drug treatment for heroin use and for those doing so for the first time increased, as did the proportion of older clients.</w:t>
      </w:r>
    </w:p>
    <w:p w14:paraId="42BDDBD0" w14:textId="77777777" w:rsidR="00404734" w:rsidRPr="009E50F9" w:rsidRDefault="00404734" w:rsidP="00404734">
      <w:pPr>
        <w:rPr>
          <w:rFonts w:asciiTheme="minorHAnsi" w:hAnsiTheme="minorHAnsi" w:cstheme="minorHAnsi"/>
          <w:sz w:val="22"/>
        </w:rPr>
      </w:pPr>
    </w:p>
    <w:p w14:paraId="715CE6B2" w14:textId="77777777" w:rsidR="001C76A2" w:rsidRPr="009E50F9" w:rsidRDefault="001C76A2" w:rsidP="00404734">
      <w:pPr>
        <w:rPr>
          <w:rFonts w:asciiTheme="minorHAnsi" w:hAnsiTheme="minorHAnsi" w:cstheme="minorHAnsi"/>
          <w:sz w:val="22"/>
        </w:rPr>
      </w:pPr>
      <w:r w:rsidRPr="009E50F9">
        <w:rPr>
          <w:rFonts w:asciiTheme="minorHAnsi" w:hAnsiTheme="minorHAnsi" w:cstheme="minorHAnsi"/>
          <w:sz w:val="22"/>
        </w:rPr>
        <w:t>European situation</w:t>
      </w:r>
    </w:p>
    <w:p w14:paraId="04B7ABD1" w14:textId="77777777" w:rsidR="00382D0D" w:rsidRPr="009E50F9" w:rsidRDefault="00382D0D" w:rsidP="00404734">
      <w:pPr>
        <w:pStyle w:val="ListParagraph"/>
        <w:numPr>
          <w:ilvl w:val="0"/>
          <w:numId w:val="31"/>
        </w:numPr>
        <w:spacing w:after="0" w:line="240" w:lineRule="auto"/>
        <w:ind w:left="357" w:hanging="357"/>
      </w:pPr>
      <w:r w:rsidRPr="009E50F9">
        <w:t xml:space="preserve">Overall, the available indicators suggest that heroin use remained stable in 2021 compared with previous years. </w:t>
      </w:r>
    </w:p>
    <w:p w14:paraId="154717F7" w14:textId="5A4F0E55" w:rsidR="00382D0D" w:rsidRPr="009E50F9" w:rsidRDefault="00382D0D" w:rsidP="00404734">
      <w:pPr>
        <w:pStyle w:val="ListParagraph"/>
        <w:numPr>
          <w:ilvl w:val="0"/>
          <w:numId w:val="31"/>
        </w:numPr>
        <w:spacing w:after="0" w:line="240" w:lineRule="auto"/>
        <w:ind w:left="357" w:hanging="357"/>
      </w:pPr>
      <w:bookmarkStart w:id="5" w:name="_Hlk128576963"/>
      <w:r w:rsidRPr="009E50F9">
        <w:t>Opioid use was reported as the main reason for entering specialised drug treatment by 50</w:t>
      </w:r>
      <w:r w:rsidR="00DE6EC2">
        <w:t>,</w:t>
      </w:r>
      <w:r w:rsidRPr="009E50F9">
        <w:t>000 clients in 2021, representing 26% of all those entering drug treatment in Europe. An estimated 206</w:t>
      </w:r>
      <w:r w:rsidR="000F0307">
        <w:t>,</w:t>
      </w:r>
      <w:r w:rsidRPr="009E50F9">
        <w:t>000 clients received opioid agonist treatment in 2021 (205</w:t>
      </w:r>
      <w:r w:rsidR="000F0307">
        <w:t>,</w:t>
      </w:r>
      <w:r w:rsidRPr="009E50F9">
        <w:t>000 in 2020).</w:t>
      </w:r>
    </w:p>
    <w:bookmarkEnd w:id="5"/>
    <w:p w14:paraId="636F2A8E" w14:textId="69731222" w:rsidR="00382D0D" w:rsidRPr="009E50F9" w:rsidRDefault="00382D0D" w:rsidP="00404734">
      <w:pPr>
        <w:pStyle w:val="ListParagraph"/>
        <w:numPr>
          <w:ilvl w:val="0"/>
          <w:numId w:val="31"/>
        </w:numPr>
        <w:spacing w:after="0" w:line="240" w:lineRule="auto"/>
        <w:ind w:left="357" w:hanging="357"/>
      </w:pPr>
      <w:r w:rsidRPr="009E50F9">
        <w:t>Heroin remained the third most commonly identified drug in acute drug toxicity presentations in Euro-DEN Plus hospitals in 2021, accounting for 15% of all reported cases.</w:t>
      </w:r>
    </w:p>
    <w:p w14:paraId="3AC082E5" w14:textId="4E410F40" w:rsidR="00382D0D" w:rsidRDefault="00382D0D" w:rsidP="00404734">
      <w:pPr>
        <w:pStyle w:val="ListParagraph"/>
        <w:numPr>
          <w:ilvl w:val="0"/>
          <w:numId w:val="31"/>
        </w:numPr>
        <w:spacing w:after="0" w:line="240" w:lineRule="auto"/>
        <w:ind w:left="357" w:hanging="357"/>
      </w:pPr>
      <w:r w:rsidRPr="009E50F9">
        <w:t xml:space="preserve">Opioids, including heroin and its metabolites, often in combination with other substances, were estimated to be present in three quarters (74%) of fatal overdoses reported in the </w:t>
      </w:r>
      <w:r w:rsidR="000F0307">
        <w:t>EU</w:t>
      </w:r>
      <w:r w:rsidRPr="009E50F9">
        <w:t xml:space="preserve">. </w:t>
      </w:r>
    </w:p>
    <w:p w14:paraId="7A5B7C4B" w14:textId="77777777" w:rsidR="00404734" w:rsidRPr="009E50F9" w:rsidRDefault="00404734" w:rsidP="00404734">
      <w:pPr>
        <w:pStyle w:val="ListParagraph"/>
        <w:spacing w:after="0" w:line="240" w:lineRule="auto"/>
        <w:ind w:left="357"/>
      </w:pPr>
    </w:p>
    <w:p w14:paraId="0F4A14D5" w14:textId="77777777" w:rsidR="001C76A2" w:rsidRPr="009E50F9" w:rsidRDefault="001C76A2" w:rsidP="00404734">
      <w:pPr>
        <w:rPr>
          <w:rFonts w:asciiTheme="minorHAnsi" w:hAnsiTheme="minorHAnsi" w:cstheme="minorHAnsi"/>
          <w:sz w:val="22"/>
        </w:rPr>
      </w:pPr>
      <w:r w:rsidRPr="009E50F9">
        <w:rPr>
          <w:rFonts w:asciiTheme="minorHAnsi" w:hAnsiTheme="minorHAnsi" w:cstheme="minorHAnsi"/>
          <w:sz w:val="22"/>
        </w:rPr>
        <w:t xml:space="preserve">Irish comparison </w:t>
      </w:r>
    </w:p>
    <w:p w14:paraId="6EBA781B" w14:textId="6F30EE87" w:rsidR="00C749FD" w:rsidRPr="009E50F9" w:rsidRDefault="00C749FD" w:rsidP="00404734">
      <w:pPr>
        <w:pStyle w:val="HRBText"/>
        <w:numPr>
          <w:ilvl w:val="0"/>
          <w:numId w:val="1"/>
        </w:numPr>
        <w:spacing w:after="0" w:line="240" w:lineRule="auto"/>
        <w:rPr>
          <w:rFonts w:asciiTheme="minorHAnsi" w:hAnsiTheme="minorHAnsi" w:cstheme="minorHAnsi"/>
        </w:rPr>
      </w:pPr>
      <w:r w:rsidRPr="009E50F9">
        <w:rPr>
          <w:rFonts w:asciiTheme="minorHAnsi" w:hAnsiTheme="minorHAnsi" w:cstheme="minorHAnsi"/>
        </w:rPr>
        <w:t>The proportion of all entrants to treatment reporting an opioid as their main problem drug has decreased year</w:t>
      </w:r>
      <w:r w:rsidR="000F0307">
        <w:rPr>
          <w:rFonts w:asciiTheme="minorHAnsi" w:hAnsiTheme="minorHAnsi" w:cstheme="minorHAnsi"/>
        </w:rPr>
        <w:t>-</w:t>
      </w:r>
      <w:r w:rsidRPr="009E50F9">
        <w:rPr>
          <w:rFonts w:asciiTheme="minorHAnsi" w:hAnsiTheme="minorHAnsi" w:cstheme="minorHAnsi"/>
        </w:rPr>
        <w:t>on</w:t>
      </w:r>
      <w:r w:rsidR="000F0307">
        <w:rPr>
          <w:rFonts w:asciiTheme="minorHAnsi" w:hAnsiTheme="minorHAnsi" w:cstheme="minorHAnsi"/>
        </w:rPr>
        <w:t>-</w:t>
      </w:r>
      <w:r w:rsidRPr="009E50F9">
        <w:rPr>
          <w:rFonts w:asciiTheme="minorHAnsi" w:hAnsiTheme="minorHAnsi" w:cstheme="minorHAnsi"/>
        </w:rPr>
        <w:t>year since 2004, from a peak of 65% in 2004 to 3</w:t>
      </w:r>
      <w:r w:rsidR="000A0E80" w:rsidRPr="009E50F9">
        <w:rPr>
          <w:rFonts w:asciiTheme="minorHAnsi" w:hAnsiTheme="minorHAnsi" w:cstheme="minorHAnsi"/>
        </w:rPr>
        <w:t>4</w:t>
      </w:r>
      <w:r w:rsidRPr="009E50F9">
        <w:rPr>
          <w:rFonts w:asciiTheme="minorHAnsi" w:hAnsiTheme="minorHAnsi" w:cstheme="minorHAnsi"/>
        </w:rPr>
        <w:t>% in 202</w:t>
      </w:r>
      <w:r w:rsidR="000A0E80" w:rsidRPr="009E50F9">
        <w:rPr>
          <w:rFonts w:asciiTheme="minorHAnsi" w:hAnsiTheme="minorHAnsi" w:cstheme="minorHAnsi"/>
        </w:rPr>
        <w:t>1</w:t>
      </w:r>
      <w:r w:rsidRPr="009E50F9">
        <w:rPr>
          <w:rFonts w:asciiTheme="minorHAnsi" w:hAnsiTheme="minorHAnsi" w:cstheme="minorHAnsi"/>
        </w:rPr>
        <w:t>.</w:t>
      </w:r>
    </w:p>
    <w:p w14:paraId="20C66961" w14:textId="36E30B6F" w:rsidR="00C749FD" w:rsidRPr="009E50F9" w:rsidRDefault="00C749FD" w:rsidP="00404734">
      <w:pPr>
        <w:pStyle w:val="HRBText"/>
        <w:numPr>
          <w:ilvl w:val="0"/>
          <w:numId w:val="1"/>
        </w:numPr>
        <w:spacing w:after="0" w:line="240" w:lineRule="auto"/>
        <w:rPr>
          <w:rFonts w:asciiTheme="minorHAnsi" w:hAnsiTheme="minorHAnsi" w:cstheme="minorHAnsi"/>
          <w:lang w:val="en-GB"/>
        </w:rPr>
      </w:pPr>
      <w:r w:rsidRPr="009E50F9">
        <w:rPr>
          <w:rFonts w:asciiTheme="minorHAnsi" w:hAnsiTheme="minorHAnsi" w:cstheme="minorHAnsi"/>
          <w:lang w:val="en-GB"/>
        </w:rPr>
        <w:t>In 202</w:t>
      </w:r>
      <w:r w:rsidR="000A0E80" w:rsidRPr="009E50F9">
        <w:rPr>
          <w:rFonts w:asciiTheme="minorHAnsi" w:hAnsiTheme="minorHAnsi" w:cstheme="minorHAnsi"/>
          <w:lang w:val="en-GB"/>
        </w:rPr>
        <w:t>1</w:t>
      </w:r>
      <w:r w:rsidRPr="009E50F9">
        <w:rPr>
          <w:rFonts w:asciiTheme="minorHAnsi" w:hAnsiTheme="minorHAnsi" w:cstheme="minorHAnsi"/>
          <w:lang w:val="en-GB"/>
        </w:rPr>
        <w:t>, of those entering treatment for opioid use, 90% had heroin as the main problem drug</w:t>
      </w:r>
      <w:r w:rsidR="00FC3486">
        <w:rPr>
          <w:rFonts w:asciiTheme="minorHAnsi" w:hAnsiTheme="minorHAnsi" w:cstheme="minorHAnsi"/>
          <w:lang w:val="en-GB"/>
        </w:rPr>
        <w:t>.</w:t>
      </w:r>
    </w:p>
    <w:p w14:paraId="69D46069" w14:textId="433BA4F5" w:rsidR="001C76A2" w:rsidRPr="009E50F9" w:rsidRDefault="001C76A2" w:rsidP="00404734">
      <w:pPr>
        <w:numPr>
          <w:ilvl w:val="0"/>
          <w:numId w:val="1"/>
        </w:numPr>
        <w:rPr>
          <w:rFonts w:asciiTheme="minorHAnsi" w:hAnsiTheme="minorHAnsi" w:cstheme="minorHAnsi"/>
          <w:sz w:val="22"/>
        </w:rPr>
      </w:pPr>
      <w:r w:rsidRPr="009E50F9">
        <w:rPr>
          <w:rFonts w:asciiTheme="minorHAnsi" w:hAnsiTheme="minorHAnsi" w:cstheme="minorHAnsi"/>
          <w:sz w:val="22"/>
        </w:rPr>
        <w:lastRenderedPageBreak/>
        <w:t>In 201</w:t>
      </w:r>
      <w:r w:rsidRPr="009E50F9">
        <w:rPr>
          <w:rFonts w:asciiTheme="minorHAnsi" w:hAnsiTheme="minorHAnsi" w:cstheme="minorHAnsi"/>
          <w:sz w:val="22"/>
          <w:lang w:val="ga-IE"/>
        </w:rPr>
        <w:t xml:space="preserve">7 </w:t>
      </w:r>
      <w:r w:rsidRPr="009E50F9">
        <w:rPr>
          <w:rFonts w:asciiTheme="minorHAnsi" w:hAnsiTheme="minorHAnsi" w:cstheme="minorHAnsi"/>
          <w:sz w:val="22"/>
        </w:rPr>
        <w:t xml:space="preserve">there were </w:t>
      </w:r>
      <w:r w:rsidRPr="009E50F9">
        <w:rPr>
          <w:rFonts w:asciiTheme="minorHAnsi" w:hAnsiTheme="minorHAnsi" w:cstheme="minorHAnsi"/>
          <w:sz w:val="22"/>
          <w:lang w:val="ga-IE"/>
        </w:rPr>
        <w:t xml:space="preserve">77 </w:t>
      </w:r>
      <w:r w:rsidRPr="009E50F9">
        <w:rPr>
          <w:rFonts w:asciiTheme="minorHAnsi" w:hAnsiTheme="minorHAnsi" w:cstheme="minorHAnsi"/>
          <w:sz w:val="22"/>
        </w:rPr>
        <w:t xml:space="preserve">deaths where heroin was implicated, compared to </w:t>
      </w:r>
      <w:r w:rsidRPr="009E50F9">
        <w:rPr>
          <w:rFonts w:asciiTheme="minorHAnsi" w:hAnsiTheme="minorHAnsi" w:cstheme="minorHAnsi"/>
          <w:sz w:val="22"/>
          <w:lang w:val="ga-IE"/>
        </w:rPr>
        <w:t>74</w:t>
      </w:r>
      <w:r w:rsidRPr="009E50F9">
        <w:rPr>
          <w:rFonts w:asciiTheme="minorHAnsi" w:hAnsiTheme="minorHAnsi" w:cstheme="minorHAnsi"/>
          <w:sz w:val="22"/>
        </w:rPr>
        <w:t xml:space="preserve"> in 201</w:t>
      </w:r>
      <w:r w:rsidRPr="009E50F9">
        <w:rPr>
          <w:rFonts w:asciiTheme="minorHAnsi" w:hAnsiTheme="minorHAnsi" w:cstheme="minorHAnsi"/>
          <w:sz w:val="22"/>
          <w:lang w:val="ga-IE"/>
        </w:rPr>
        <w:t>6</w:t>
      </w:r>
      <w:r w:rsidRPr="009E50F9">
        <w:rPr>
          <w:rFonts w:asciiTheme="minorHAnsi" w:hAnsiTheme="minorHAnsi" w:cstheme="minorHAnsi"/>
          <w:sz w:val="22"/>
        </w:rPr>
        <w:t>. Fentanyl was implicated in seven poisoning deaths in 2017, the same as in 2015 and 2016.</w:t>
      </w:r>
    </w:p>
    <w:p w14:paraId="00271B26" w14:textId="77777777" w:rsidR="00E84A4E" w:rsidRPr="009E50F9" w:rsidRDefault="00E84A4E" w:rsidP="00404734">
      <w:pPr>
        <w:rPr>
          <w:rFonts w:asciiTheme="minorHAnsi" w:hAnsiTheme="minorHAnsi" w:cstheme="minorHAnsi"/>
          <w:sz w:val="22"/>
          <w:lang w:val="en-IE" w:eastAsia="en-IE"/>
        </w:rPr>
      </w:pPr>
    </w:p>
    <w:p w14:paraId="77492D62" w14:textId="255606C9" w:rsidR="00492657" w:rsidRPr="00E63CBA" w:rsidRDefault="00E80176" w:rsidP="00404734">
      <w:pPr>
        <w:rPr>
          <w:rFonts w:asciiTheme="minorHAnsi" w:hAnsiTheme="minorHAnsi" w:cstheme="minorHAnsi"/>
          <w:b/>
          <w:bCs/>
          <w:sz w:val="22"/>
          <w:lang w:val="en-GB" w:eastAsia="en-GB"/>
        </w:rPr>
      </w:pPr>
      <w:r w:rsidRPr="00E63CBA">
        <w:rPr>
          <w:rFonts w:asciiTheme="minorHAnsi" w:hAnsiTheme="minorHAnsi" w:cstheme="minorHAnsi"/>
          <w:b/>
          <w:bCs/>
          <w:sz w:val="22"/>
          <w:lang w:val="en-GB" w:eastAsia="en-GB"/>
        </w:rPr>
        <w:t>N</w:t>
      </w:r>
      <w:r w:rsidR="00FF125B" w:rsidRPr="00E63CBA">
        <w:rPr>
          <w:rFonts w:asciiTheme="minorHAnsi" w:hAnsiTheme="minorHAnsi" w:cstheme="minorHAnsi"/>
          <w:b/>
          <w:bCs/>
          <w:sz w:val="22"/>
          <w:lang w:val="en-GB" w:eastAsia="en-GB"/>
        </w:rPr>
        <w:t xml:space="preserve">ew </w:t>
      </w:r>
      <w:r w:rsidR="009A576E" w:rsidRPr="00E63CBA">
        <w:rPr>
          <w:rFonts w:asciiTheme="minorHAnsi" w:hAnsiTheme="minorHAnsi" w:cstheme="minorHAnsi"/>
          <w:b/>
          <w:bCs/>
          <w:sz w:val="22"/>
          <w:lang w:val="en-GB" w:eastAsia="en-GB"/>
        </w:rPr>
        <w:t>p</w:t>
      </w:r>
      <w:r w:rsidR="00FF125B" w:rsidRPr="00E63CBA">
        <w:rPr>
          <w:rFonts w:asciiTheme="minorHAnsi" w:hAnsiTheme="minorHAnsi" w:cstheme="minorHAnsi"/>
          <w:b/>
          <w:bCs/>
          <w:sz w:val="22"/>
          <w:lang w:val="en-GB" w:eastAsia="en-GB"/>
        </w:rPr>
        <w:t xml:space="preserve">sychoactive </w:t>
      </w:r>
      <w:r w:rsidR="009A576E" w:rsidRPr="00E63CBA">
        <w:rPr>
          <w:rFonts w:asciiTheme="minorHAnsi" w:hAnsiTheme="minorHAnsi" w:cstheme="minorHAnsi"/>
          <w:b/>
          <w:bCs/>
          <w:sz w:val="22"/>
          <w:lang w:val="en-GB" w:eastAsia="en-GB"/>
        </w:rPr>
        <w:t>s</w:t>
      </w:r>
      <w:r w:rsidR="00FF125B" w:rsidRPr="00E63CBA">
        <w:rPr>
          <w:rFonts w:asciiTheme="minorHAnsi" w:hAnsiTheme="minorHAnsi" w:cstheme="minorHAnsi"/>
          <w:b/>
          <w:bCs/>
          <w:sz w:val="22"/>
          <w:lang w:val="en-GB" w:eastAsia="en-GB"/>
        </w:rPr>
        <w:t>ubstances</w:t>
      </w:r>
      <w:r w:rsidR="00492657" w:rsidRPr="00E63CBA">
        <w:rPr>
          <w:rFonts w:asciiTheme="minorHAnsi" w:hAnsiTheme="minorHAnsi" w:cstheme="minorHAnsi"/>
          <w:b/>
          <w:bCs/>
          <w:sz w:val="22"/>
          <w:lang w:val="en-GB" w:eastAsia="en-GB"/>
        </w:rPr>
        <w:t xml:space="preserve"> </w:t>
      </w:r>
      <w:r w:rsidR="001C76A2" w:rsidRPr="00E63CBA">
        <w:rPr>
          <w:rFonts w:asciiTheme="minorHAnsi" w:hAnsiTheme="minorHAnsi" w:cstheme="minorHAnsi"/>
          <w:b/>
          <w:bCs/>
          <w:sz w:val="22"/>
          <w:lang w:val="en-GB" w:eastAsia="en-GB"/>
        </w:rPr>
        <w:t>and stimulants</w:t>
      </w:r>
    </w:p>
    <w:p w14:paraId="4D5F0BBA" w14:textId="77777777" w:rsidR="001B0E85" w:rsidRPr="009E50F9" w:rsidRDefault="001B0E85" w:rsidP="00404734">
      <w:pPr>
        <w:rPr>
          <w:rFonts w:asciiTheme="minorHAnsi" w:hAnsiTheme="minorHAnsi" w:cstheme="minorHAnsi"/>
          <w:sz w:val="22"/>
        </w:rPr>
      </w:pPr>
      <w:r w:rsidRPr="009E50F9">
        <w:rPr>
          <w:rFonts w:asciiTheme="minorHAnsi" w:hAnsiTheme="minorHAnsi" w:cstheme="minorHAnsi"/>
          <w:sz w:val="22"/>
        </w:rPr>
        <w:t xml:space="preserve">European situation </w:t>
      </w:r>
    </w:p>
    <w:p w14:paraId="2CE7290B" w14:textId="77777777" w:rsidR="00404734" w:rsidRDefault="00404734" w:rsidP="00404734">
      <w:pPr>
        <w:rPr>
          <w:rFonts w:asciiTheme="minorHAnsi" w:hAnsiTheme="minorHAnsi" w:cstheme="minorHAnsi"/>
          <w:bCs/>
          <w:sz w:val="22"/>
          <w:lang w:val="en-GB"/>
        </w:rPr>
      </w:pPr>
    </w:p>
    <w:p w14:paraId="10BF6798" w14:textId="757537B6" w:rsidR="00E232F5" w:rsidRPr="009E50F9" w:rsidRDefault="00E232F5" w:rsidP="00404734">
      <w:pPr>
        <w:rPr>
          <w:rFonts w:asciiTheme="minorHAnsi" w:hAnsiTheme="minorHAnsi" w:cstheme="minorHAnsi"/>
          <w:bCs/>
          <w:i/>
          <w:iCs/>
          <w:sz w:val="22"/>
          <w:lang w:val="en-GB"/>
        </w:rPr>
      </w:pPr>
      <w:r w:rsidRPr="009E50F9">
        <w:rPr>
          <w:rFonts w:asciiTheme="minorHAnsi" w:hAnsiTheme="minorHAnsi" w:cstheme="minorHAnsi"/>
          <w:bCs/>
          <w:sz w:val="22"/>
          <w:lang w:val="en-GB"/>
        </w:rPr>
        <w:t xml:space="preserve">At the end of 2022, the EMCDDA was monitoring around 930 new psychoactive substances, 41 of which were first reported in Europe in 2022. The 24 new cannabinoids detected accounted for over half of the new substances first reported to the EU Early Warning System in 2022. Synthetic cathinones and new synthetic opioids are sold as replacements for stimulants such as amphetamine or opioids such as heroin, respectively. In 2022, large quantities of cathinones such as 3-MMC and 3CMC continued to be seized. </w:t>
      </w:r>
    </w:p>
    <w:p w14:paraId="6948DA37" w14:textId="77777777" w:rsidR="007B576D" w:rsidRPr="009E50F9" w:rsidRDefault="007B576D" w:rsidP="00404734">
      <w:pPr>
        <w:rPr>
          <w:lang w:val="en-GB"/>
        </w:rPr>
      </w:pPr>
    </w:p>
    <w:p w14:paraId="19F5F954" w14:textId="7DE7EBA8" w:rsidR="00E232F5" w:rsidRPr="00404734" w:rsidRDefault="00E232F5" w:rsidP="00404734">
      <w:pPr>
        <w:pStyle w:val="ListParagraph"/>
        <w:numPr>
          <w:ilvl w:val="0"/>
          <w:numId w:val="33"/>
        </w:numPr>
        <w:spacing w:after="0" w:line="240" w:lineRule="auto"/>
        <w:rPr>
          <w:rFonts w:asciiTheme="minorHAnsi" w:hAnsiTheme="minorHAnsi" w:cstheme="minorHAnsi"/>
          <w:bCs/>
          <w:i/>
          <w:iCs/>
          <w:lang w:val="en-GB"/>
        </w:rPr>
      </w:pPr>
      <w:r w:rsidRPr="00404734">
        <w:rPr>
          <w:rFonts w:asciiTheme="minorHAnsi" w:hAnsiTheme="minorHAnsi" w:cstheme="minorHAnsi"/>
          <w:bCs/>
          <w:lang w:val="en-GB"/>
        </w:rPr>
        <w:t>Approximately 400 new psychoactive substances were detected in seizures in 2021.</w:t>
      </w:r>
      <w:r w:rsidR="000F5BF5" w:rsidRPr="00404734">
        <w:rPr>
          <w:rFonts w:asciiTheme="minorHAnsi" w:hAnsiTheme="minorHAnsi" w:cstheme="minorHAnsi"/>
          <w:bCs/>
          <w:lang w:val="en-GB"/>
        </w:rPr>
        <w:t xml:space="preserve"> </w:t>
      </w:r>
      <w:r w:rsidRPr="00404734">
        <w:rPr>
          <w:rFonts w:asciiTheme="minorHAnsi" w:hAnsiTheme="minorHAnsi" w:cstheme="minorHAnsi"/>
          <w:bCs/>
          <w:lang w:val="en-GB"/>
        </w:rPr>
        <w:t xml:space="preserve">In 2022, the EU Early Warning System received reports of 24 new cannabinoids, bringing the total number being monitored to 245. </w:t>
      </w:r>
    </w:p>
    <w:p w14:paraId="0C6ACD75" w14:textId="623424D7" w:rsidR="00E232F5" w:rsidRPr="00404734" w:rsidRDefault="00E232F5" w:rsidP="00404734">
      <w:pPr>
        <w:pStyle w:val="ListParagraph"/>
        <w:numPr>
          <w:ilvl w:val="0"/>
          <w:numId w:val="33"/>
        </w:numPr>
        <w:spacing w:after="0" w:line="240" w:lineRule="auto"/>
        <w:rPr>
          <w:rFonts w:asciiTheme="minorHAnsi" w:hAnsiTheme="minorHAnsi" w:cstheme="minorHAnsi"/>
          <w:bCs/>
          <w:i/>
          <w:iCs/>
          <w:lang w:val="en-GB"/>
        </w:rPr>
      </w:pPr>
      <w:r w:rsidRPr="00404734">
        <w:rPr>
          <w:rFonts w:asciiTheme="minorHAnsi" w:hAnsiTheme="minorHAnsi" w:cstheme="minorHAnsi"/>
          <w:bCs/>
          <w:lang w:val="en-GB"/>
        </w:rPr>
        <w:t xml:space="preserve">In 2021, just 5 substances accounted for over 80% of the quantity of new psychoactive substances seized in EU countries: 3 cathinones (3-CMC, 3-MMC and 4-CMC, amounting to 4.0 tonnes), ketamine (0.9 tonnes) and GBL (2.0 tonnes). </w:t>
      </w:r>
    </w:p>
    <w:p w14:paraId="7858AEFB" w14:textId="2BEDB152" w:rsidR="00E232F5" w:rsidRPr="00404734" w:rsidRDefault="00E232F5" w:rsidP="00404734">
      <w:pPr>
        <w:pStyle w:val="ListParagraph"/>
        <w:numPr>
          <w:ilvl w:val="0"/>
          <w:numId w:val="33"/>
        </w:numPr>
        <w:spacing w:after="0" w:line="240" w:lineRule="auto"/>
        <w:rPr>
          <w:rFonts w:asciiTheme="minorHAnsi" w:hAnsiTheme="minorHAnsi" w:cstheme="minorHAnsi"/>
          <w:bCs/>
          <w:i/>
          <w:iCs/>
          <w:lang w:val="en-GB"/>
        </w:rPr>
      </w:pPr>
      <w:r w:rsidRPr="00404734">
        <w:rPr>
          <w:rFonts w:asciiTheme="minorHAnsi" w:hAnsiTheme="minorHAnsi" w:cstheme="minorHAnsi"/>
          <w:bCs/>
          <w:lang w:val="en-GB"/>
        </w:rPr>
        <w:t>Since 2009, a total of 74 new opioids have been identified on the European drug market, with one new substance notified in 2022 (6 in 2021, 10 in 2020</w:t>
      </w:r>
      <w:r w:rsidR="00E96C1A" w:rsidRPr="00404734">
        <w:rPr>
          <w:rFonts w:asciiTheme="minorHAnsi" w:hAnsiTheme="minorHAnsi" w:cstheme="minorHAnsi"/>
          <w:bCs/>
          <w:lang w:val="en-GB"/>
        </w:rPr>
        <w:t>).</w:t>
      </w:r>
    </w:p>
    <w:p w14:paraId="7D3DDD33" w14:textId="2520F278" w:rsidR="00E232F5" w:rsidRPr="00404734" w:rsidRDefault="00E232F5" w:rsidP="00404734">
      <w:pPr>
        <w:pStyle w:val="ListParagraph"/>
        <w:numPr>
          <w:ilvl w:val="0"/>
          <w:numId w:val="33"/>
        </w:numPr>
        <w:spacing w:after="0" w:line="240" w:lineRule="auto"/>
        <w:rPr>
          <w:rFonts w:asciiTheme="minorHAnsi" w:hAnsiTheme="minorHAnsi" w:cstheme="minorHAnsi"/>
          <w:bCs/>
          <w:i/>
          <w:iCs/>
          <w:lang w:val="en-GB"/>
        </w:rPr>
      </w:pPr>
      <w:r w:rsidRPr="00404734">
        <w:rPr>
          <w:rFonts w:asciiTheme="minorHAnsi" w:hAnsiTheme="minorHAnsi" w:cstheme="minorHAnsi"/>
          <w:bCs/>
          <w:lang w:val="en-GB"/>
        </w:rPr>
        <w:t xml:space="preserve">National estimates of last year use of new psychoactive substances (excluding ketamine and GHB) among young adults (aged 15–34) range from 0.1% in Latvia to 5.1% in Romania. </w:t>
      </w:r>
    </w:p>
    <w:p w14:paraId="0EF0073E" w14:textId="35CF8F8B" w:rsidR="0014373D" w:rsidRPr="00404734" w:rsidRDefault="00E232F5" w:rsidP="00404734">
      <w:pPr>
        <w:pStyle w:val="ListParagraph"/>
        <w:numPr>
          <w:ilvl w:val="0"/>
          <w:numId w:val="33"/>
        </w:numPr>
        <w:spacing w:after="0" w:line="240" w:lineRule="auto"/>
        <w:rPr>
          <w:rFonts w:asciiTheme="minorHAnsi" w:hAnsiTheme="minorHAnsi" w:cstheme="minorHAnsi"/>
          <w:bCs/>
          <w:i/>
          <w:iCs/>
          <w:lang w:val="en-GB"/>
        </w:rPr>
      </w:pPr>
      <w:r w:rsidRPr="00404734">
        <w:rPr>
          <w:rFonts w:asciiTheme="minorHAnsi" w:hAnsiTheme="minorHAnsi" w:cstheme="minorHAnsi"/>
          <w:bCs/>
          <w:lang w:val="en-GB"/>
        </w:rPr>
        <w:t>In 2021, 3-MMC was reported in 68 acute drug toxicity presentations in 5 Euro-DEN Plus hospitals.</w:t>
      </w:r>
    </w:p>
    <w:p w14:paraId="183837E1" w14:textId="77777777" w:rsidR="0014373D" w:rsidRPr="00404734" w:rsidRDefault="0014373D" w:rsidP="00404734">
      <w:pPr>
        <w:rPr>
          <w:lang w:val="en-GB"/>
        </w:rPr>
      </w:pPr>
    </w:p>
    <w:p w14:paraId="28855771" w14:textId="649EFD5B" w:rsidR="00AC1D68" w:rsidRPr="009E50F9" w:rsidRDefault="00AC1D68" w:rsidP="00404734">
      <w:pPr>
        <w:rPr>
          <w:rFonts w:asciiTheme="minorHAnsi" w:hAnsiTheme="minorHAnsi" w:cstheme="minorHAnsi"/>
          <w:sz w:val="22"/>
          <w:lang w:val="ga-IE"/>
        </w:rPr>
      </w:pPr>
      <w:r w:rsidRPr="009E50F9">
        <w:rPr>
          <w:rFonts w:asciiTheme="minorHAnsi" w:hAnsiTheme="minorHAnsi" w:cstheme="minorHAnsi"/>
          <w:sz w:val="22"/>
        </w:rPr>
        <w:t>Irish comparison</w:t>
      </w:r>
    </w:p>
    <w:p w14:paraId="6DCC7383" w14:textId="7C02B3D1" w:rsidR="00AC1D68" w:rsidRPr="009E50F9" w:rsidRDefault="00144C9E" w:rsidP="00404734">
      <w:pPr>
        <w:pStyle w:val="ListParagraph"/>
        <w:numPr>
          <w:ilvl w:val="0"/>
          <w:numId w:val="23"/>
        </w:numPr>
        <w:spacing w:after="0" w:line="240" w:lineRule="auto"/>
        <w:rPr>
          <w:rFonts w:asciiTheme="minorHAnsi" w:hAnsiTheme="minorHAnsi" w:cstheme="minorHAnsi"/>
        </w:rPr>
      </w:pPr>
      <w:r w:rsidRPr="009E50F9">
        <w:rPr>
          <w:rFonts w:asciiTheme="minorHAnsi" w:hAnsiTheme="minorHAnsi" w:cstheme="minorHAnsi"/>
        </w:rPr>
        <w:t>The 201</w:t>
      </w:r>
      <w:r w:rsidR="00C204A7" w:rsidRPr="009E50F9">
        <w:rPr>
          <w:rFonts w:asciiTheme="minorHAnsi" w:hAnsiTheme="minorHAnsi" w:cstheme="minorHAnsi"/>
        </w:rPr>
        <w:t>9</w:t>
      </w:r>
      <w:r w:rsidRPr="009E50F9">
        <w:rPr>
          <w:rFonts w:asciiTheme="minorHAnsi" w:hAnsiTheme="minorHAnsi" w:cstheme="minorHAnsi"/>
        </w:rPr>
        <w:t>/</w:t>
      </w:r>
      <w:r w:rsidR="00C204A7" w:rsidRPr="009E50F9">
        <w:rPr>
          <w:rFonts w:asciiTheme="minorHAnsi" w:hAnsiTheme="minorHAnsi" w:cstheme="minorHAnsi"/>
        </w:rPr>
        <w:t>20</w:t>
      </w:r>
      <w:r w:rsidRPr="009E50F9">
        <w:rPr>
          <w:rFonts w:asciiTheme="minorHAnsi" w:hAnsiTheme="minorHAnsi" w:cstheme="minorHAnsi"/>
        </w:rPr>
        <w:t xml:space="preserve"> </w:t>
      </w:r>
      <w:r w:rsidR="00AC1D68" w:rsidRPr="009E50F9">
        <w:rPr>
          <w:rFonts w:asciiTheme="minorHAnsi" w:hAnsiTheme="minorHAnsi" w:cstheme="minorHAnsi"/>
        </w:rPr>
        <w:t>National Drug and Alcohol Survey</w:t>
      </w:r>
      <w:r w:rsidRPr="009E50F9">
        <w:rPr>
          <w:rFonts w:asciiTheme="minorHAnsi" w:hAnsiTheme="minorHAnsi" w:cstheme="minorHAnsi"/>
        </w:rPr>
        <w:t xml:space="preserve"> reported last-year prevalence of </w:t>
      </w:r>
      <w:r w:rsidR="005478AF" w:rsidRPr="009E50F9">
        <w:rPr>
          <w:rFonts w:asciiTheme="minorHAnsi" w:hAnsiTheme="minorHAnsi" w:cstheme="minorHAnsi"/>
        </w:rPr>
        <w:t>MDMA</w:t>
      </w:r>
      <w:r w:rsidRPr="009E50F9">
        <w:rPr>
          <w:rFonts w:asciiTheme="minorHAnsi" w:hAnsiTheme="minorHAnsi" w:cstheme="minorHAnsi"/>
        </w:rPr>
        <w:t xml:space="preserve"> of </w:t>
      </w:r>
      <w:r w:rsidR="00C204A7" w:rsidRPr="009E50F9">
        <w:rPr>
          <w:rFonts w:asciiTheme="minorHAnsi" w:hAnsiTheme="minorHAnsi" w:cstheme="minorHAnsi"/>
        </w:rPr>
        <w:t>6.5</w:t>
      </w:r>
      <w:r w:rsidRPr="009E50F9">
        <w:rPr>
          <w:rFonts w:asciiTheme="minorHAnsi" w:hAnsiTheme="minorHAnsi" w:cstheme="minorHAnsi"/>
        </w:rPr>
        <w:t>% for young adults (</w:t>
      </w:r>
      <w:r w:rsidR="00E80176" w:rsidRPr="009E50F9">
        <w:rPr>
          <w:rFonts w:asciiTheme="minorHAnsi" w:hAnsiTheme="minorHAnsi" w:cstheme="minorHAnsi"/>
        </w:rPr>
        <w:t xml:space="preserve">aged </w:t>
      </w:r>
      <w:r w:rsidRPr="009E50F9">
        <w:rPr>
          <w:rFonts w:asciiTheme="minorHAnsi" w:hAnsiTheme="minorHAnsi" w:cstheme="minorHAnsi"/>
        </w:rPr>
        <w:t>15-34</w:t>
      </w:r>
      <w:r w:rsidR="00E80176" w:rsidRPr="009E50F9">
        <w:rPr>
          <w:rFonts w:asciiTheme="minorHAnsi" w:hAnsiTheme="minorHAnsi" w:cstheme="minorHAnsi"/>
        </w:rPr>
        <w:t xml:space="preserve"> years</w:t>
      </w:r>
      <w:r w:rsidRPr="009E50F9">
        <w:rPr>
          <w:rFonts w:asciiTheme="minorHAnsi" w:hAnsiTheme="minorHAnsi" w:cstheme="minorHAnsi"/>
        </w:rPr>
        <w:t>).</w:t>
      </w:r>
      <w:r w:rsidR="00F548DF" w:rsidRPr="009E50F9">
        <w:rPr>
          <w:rFonts w:asciiTheme="minorHAnsi" w:hAnsiTheme="minorHAnsi" w:cstheme="minorHAnsi"/>
        </w:rPr>
        <w:t xml:space="preserve"> </w:t>
      </w:r>
      <w:r w:rsidR="00AC1D68" w:rsidRPr="009E50F9">
        <w:rPr>
          <w:rFonts w:asciiTheme="minorHAnsi" w:hAnsiTheme="minorHAnsi" w:cstheme="minorHAnsi"/>
        </w:rPr>
        <w:t>1.9% of young adults had taken a new psychoactive substance in the past year.</w:t>
      </w:r>
    </w:p>
    <w:p w14:paraId="1206FD0C" w14:textId="0EB94B0B" w:rsidR="00AC1D68" w:rsidRPr="009E50F9" w:rsidRDefault="00144C9E" w:rsidP="00404734">
      <w:pPr>
        <w:pStyle w:val="ListParagraph"/>
        <w:numPr>
          <w:ilvl w:val="0"/>
          <w:numId w:val="23"/>
        </w:numPr>
        <w:spacing w:after="0" w:line="240" w:lineRule="auto"/>
        <w:rPr>
          <w:rFonts w:asciiTheme="minorHAnsi" w:hAnsiTheme="minorHAnsi" w:cstheme="minorHAnsi"/>
        </w:rPr>
      </w:pPr>
      <w:r w:rsidRPr="009E50F9">
        <w:rPr>
          <w:rFonts w:asciiTheme="minorHAnsi" w:eastAsia="Times New Roman" w:hAnsiTheme="minorHAnsi" w:cstheme="minorHAnsi"/>
        </w:rPr>
        <w:t xml:space="preserve">MDMA (alone or with other drugs) was implicated in </w:t>
      </w:r>
      <w:r w:rsidR="00BD15DF" w:rsidRPr="009E50F9">
        <w:rPr>
          <w:rFonts w:asciiTheme="minorHAnsi" w:eastAsia="Times New Roman" w:hAnsiTheme="minorHAnsi" w:cstheme="minorHAnsi"/>
        </w:rPr>
        <w:t>14</w:t>
      </w:r>
      <w:r w:rsidRPr="009E50F9">
        <w:rPr>
          <w:rFonts w:asciiTheme="minorHAnsi" w:eastAsia="Times New Roman" w:hAnsiTheme="minorHAnsi" w:cstheme="minorHAnsi"/>
        </w:rPr>
        <w:t xml:space="preserve"> </w:t>
      </w:r>
      <w:r w:rsidR="00BD15DF" w:rsidRPr="009E50F9">
        <w:rPr>
          <w:rFonts w:asciiTheme="minorHAnsi" w:eastAsia="Times New Roman" w:hAnsiTheme="minorHAnsi" w:cstheme="minorHAnsi"/>
        </w:rPr>
        <w:t xml:space="preserve">poisoning </w:t>
      </w:r>
      <w:r w:rsidRPr="009E50F9">
        <w:rPr>
          <w:rFonts w:asciiTheme="minorHAnsi" w:eastAsia="Times New Roman" w:hAnsiTheme="minorHAnsi" w:cstheme="minorHAnsi"/>
        </w:rPr>
        <w:t>deaths in 201</w:t>
      </w:r>
      <w:r w:rsidR="00BD15DF" w:rsidRPr="009E50F9">
        <w:rPr>
          <w:rFonts w:asciiTheme="minorHAnsi" w:eastAsia="Times New Roman" w:hAnsiTheme="minorHAnsi" w:cstheme="minorHAnsi"/>
        </w:rPr>
        <w:t>7</w:t>
      </w:r>
      <w:r w:rsidRPr="009E50F9">
        <w:rPr>
          <w:rFonts w:asciiTheme="minorHAnsi" w:eastAsia="Times New Roman" w:hAnsiTheme="minorHAnsi" w:cstheme="minorHAnsi"/>
        </w:rPr>
        <w:t xml:space="preserve">, </w:t>
      </w:r>
      <w:r w:rsidR="00BD15DF" w:rsidRPr="009E50F9">
        <w:rPr>
          <w:rFonts w:asciiTheme="minorHAnsi" w:eastAsia="Times New Roman" w:hAnsiTheme="minorHAnsi" w:cstheme="minorHAnsi"/>
        </w:rPr>
        <w:t xml:space="preserve">up from </w:t>
      </w:r>
      <w:r w:rsidR="000578A4">
        <w:rPr>
          <w:rFonts w:asciiTheme="minorHAnsi" w:eastAsia="Times New Roman" w:hAnsiTheme="minorHAnsi" w:cstheme="minorHAnsi"/>
        </w:rPr>
        <w:t>8</w:t>
      </w:r>
      <w:r w:rsidR="000578A4" w:rsidRPr="009E50F9">
        <w:rPr>
          <w:rFonts w:asciiTheme="minorHAnsi" w:eastAsia="Times New Roman" w:hAnsiTheme="minorHAnsi" w:cstheme="minorHAnsi"/>
        </w:rPr>
        <w:t xml:space="preserve"> </w:t>
      </w:r>
      <w:r w:rsidR="00BD15DF" w:rsidRPr="009E50F9">
        <w:rPr>
          <w:rFonts w:asciiTheme="minorHAnsi" w:eastAsia="Times New Roman" w:hAnsiTheme="minorHAnsi" w:cstheme="minorHAnsi"/>
        </w:rPr>
        <w:t>in 2016.</w:t>
      </w:r>
    </w:p>
    <w:p w14:paraId="15FB8C5A" w14:textId="4D1AA3B4" w:rsidR="00513431" w:rsidRPr="009E50F9" w:rsidRDefault="00513431" w:rsidP="00404734">
      <w:pPr>
        <w:pStyle w:val="ListParagraph"/>
        <w:numPr>
          <w:ilvl w:val="0"/>
          <w:numId w:val="23"/>
        </w:numPr>
        <w:spacing w:after="0" w:line="240" w:lineRule="auto"/>
        <w:rPr>
          <w:rFonts w:asciiTheme="minorHAnsi" w:hAnsiTheme="minorHAnsi" w:cstheme="minorHAnsi"/>
        </w:rPr>
      </w:pPr>
      <w:r w:rsidRPr="009E50F9">
        <w:rPr>
          <w:rFonts w:asciiTheme="minorHAnsi" w:hAnsiTheme="minorHAnsi" w:cstheme="minorHAnsi"/>
        </w:rPr>
        <w:t>Benzodiazepines were the main problem drug for 11% of cases</w:t>
      </w:r>
      <w:r w:rsidR="00AC1D68" w:rsidRPr="009E50F9">
        <w:rPr>
          <w:rFonts w:asciiTheme="minorHAnsi" w:hAnsiTheme="minorHAnsi" w:cstheme="minorHAnsi"/>
        </w:rPr>
        <w:t xml:space="preserve"> entering treatment</w:t>
      </w:r>
      <w:r w:rsidRPr="009E50F9">
        <w:rPr>
          <w:rFonts w:asciiTheme="minorHAnsi" w:hAnsiTheme="minorHAnsi" w:cstheme="minorHAnsi"/>
        </w:rPr>
        <w:t xml:space="preserve"> in 2021, an increase from 9% of cases in 2015.</w:t>
      </w:r>
    </w:p>
    <w:p w14:paraId="47AB6982" w14:textId="77777777" w:rsidR="00513431" w:rsidRPr="009E50F9" w:rsidRDefault="00513431" w:rsidP="00556785">
      <w:pPr>
        <w:pStyle w:val="ListParagraph"/>
        <w:spacing w:line="312" w:lineRule="auto"/>
        <w:ind w:left="360"/>
        <w:rPr>
          <w:rFonts w:asciiTheme="minorHAnsi" w:hAnsiTheme="minorHAnsi" w:cstheme="minorHAnsi"/>
          <w:lang w:val="en-US"/>
        </w:rPr>
      </w:pPr>
    </w:p>
    <w:p w14:paraId="001CFA97" w14:textId="77777777" w:rsidR="00E12C96" w:rsidRPr="00556785" w:rsidRDefault="005B48CA" w:rsidP="00556785">
      <w:pPr>
        <w:spacing w:line="312" w:lineRule="auto"/>
        <w:rPr>
          <w:rFonts w:asciiTheme="minorHAnsi" w:hAnsiTheme="minorHAnsi" w:cstheme="minorHAnsi"/>
          <w:b/>
          <w:sz w:val="22"/>
        </w:rPr>
      </w:pPr>
      <w:r w:rsidRPr="00556785">
        <w:rPr>
          <w:rFonts w:asciiTheme="minorHAnsi" w:hAnsiTheme="minorHAnsi" w:cstheme="minorHAnsi"/>
          <w:b/>
          <w:sz w:val="22"/>
        </w:rPr>
        <w:t>ENDS</w:t>
      </w:r>
    </w:p>
    <w:p w14:paraId="72C62847" w14:textId="77777777" w:rsidR="005B48CA" w:rsidRPr="00556785" w:rsidRDefault="005B48CA" w:rsidP="00556785">
      <w:pPr>
        <w:spacing w:line="312" w:lineRule="auto"/>
        <w:rPr>
          <w:rFonts w:asciiTheme="minorHAnsi" w:hAnsiTheme="minorHAnsi" w:cstheme="minorHAnsi"/>
          <w:sz w:val="22"/>
        </w:rPr>
      </w:pPr>
    </w:p>
    <w:p w14:paraId="37041931" w14:textId="77777777" w:rsidR="003250CC" w:rsidRPr="00556785" w:rsidRDefault="003250CC" w:rsidP="00556785">
      <w:pPr>
        <w:pStyle w:val="Heading2"/>
        <w:spacing w:line="312" w:lineRule="auto"/>
        <w:rPr>
          <w:rFonts w:asciiTheme="minorHAnsi" w:hAnsiTheme="minorHAnsi" w:cstheme="minorHAnsi"/>
          <w:sz w:val="22"/>
          <w:szCs w:val="22"/>
          <w:lang w:val="en"/>
        </w:rPr>
      </w:pPr>
      <w:r w:rsidRPr="00556785">
        <w:rPr>
          <w:rFonts w:asciiTheme="minorHAnsi" w:hAnsiTheme="minorHAnsi" w:cstheme="minorHAnsi"/>
          <w:sz w:val="22"/>
          <w:szCs w:val="22"/>
          <w:lang w:val="en"/>
        </w:rPr>
        <w:t xml:space="preserve">If you have any queries in relation to the Irish figures, you </w:t>
      </w:r>
      <w:r w:rsidR="006E1181" w:rsidRPr="00556785">
        <w:rPr>
          <w:rFonts w:asciiTheme="minorHAnsi" w:hAnsiTheme="minorHAnsi" w:cstheme="minorHAnsi"/>
          <w:sz w:val="22"/>
          <w:szCs w:val="22"/>
          <w:lang w:val="en"/>
        </w:rPr>
        <w:t xml:space="preserve">can </w:t>
      </w:r>
      <w:r w:rsidRPr="00556785">
        <w:rPr>
          <w:rFonts w:asciiTheme="minorHAnsi" w:hAnsiTheme="minorHAnsi" w:cstheme="minorHAnsi"/>
          <w:sz w:val="22"/>
          <w:szCs w:val="22"/>
          <w:lang w:val="en"/>
        </w:rPr>
        <w:t>contact</w:t>
      </w:r>
      <w:r w:rsidR="00FE3B12" w:rsidRPr="00556785">
        <w:rPr>
          <w:rFonts w:asciiTheme="minorHAnsi" w:hAnsiTheme="minorHAnsi" w:cstheme="minorHAnsi"/>
          <w:sz w:val="22"/>
          <w:szCs w:val="22"/>
          <w:lang w:val="en"/>
        </w:rPr>
        <w:t>:</w:t>
      </w:r>
    </w:p>
    <w:p w14:paraId="33473628" w14:textId="33373D9F" w:rsidR="003250CC" w:rsidRPr="00556785" w:rsidRDefault="0044377F" w:rsidP="00556785">
      <w:pPr>
        <w:spacing w:line="312" w:lineRule="auto"/>
        <w:rPr>
          <w:rFonts w:asciiTheme="minorHAnsi" w:hAnsiTheme="minorHAnsi" w:cstheme="minorHAnsi"/>
          <w:sz w:val="22"/>
          <w:lang w:val="en"/>
        </w:rPr>
      </w:pPr>
      <w:r w:rsidRPr="00556785">
        <w:rPr>
          <w:rFonts w:asciiTheme="minorHAnsi" w:hAnsiTheme="minorHAnsi" w:cstheme="minorHAnsi"/>
          <w:sz w:val="22"/>
          <w:lang w:val="en"/>
        </w:rPr>
        <w:t>Brian Galvin</w:t>
      </w:r>
      <w:r w:rsidR="003250CC" w:rsidRPr="00556785">
        <w:rPr>
          <w:rFonts w:asciiTheme="minorHAnsi" w:hAnsiTheme="minorHAnsi" w:cstheme="minorHAnsi"/>
          <w:sz w:val="22"/>
          <w:lang w:val="en"/>
        </w:rPr>
        <w:t xml:space="preserve">, </w:t>
      </w:r>
      <w:r w:rsidRPr="00556785">
        <w:rPr>
          <w:rFonts w:asciiTheme="minorHAnsi" w:hAnsiTheme="minorHAnsi" w:cstheme="minorHAnsi"/>
          <w:sz w:val="22"/>
          <w:lang w:val="en"/>
        </w:rPr>
        <w:t>Programme Manager for Drug and Alcohol Research</w:t>
      </w:r>
      <w:r w:rsidR="00DF584E" w:rsidRPr="00556785">
        <w:rPr>
          <w:rFonts w:asciiTheme="minorHAnsi" w:hAnsiTheme="minorHAnsi" w:cstheme="minorHAnsi"/>
          <w:sz w:val="22"/>
          <w:lang w:val="en"/>
        </w:rPr>
        <w:t>,</w:t>
      </w:r>
      <w:r w:rsidRPr="00556785">
        <w:rPr>
          <w:rFonts w:asciiTheme="minorHAnsi" w:hAnsiTheme="minorHAnsi" w:cstheme="minorHAnsi"/>
          <w:sz w:val="22"/>
          <w:lang w:val="en"/>
        </w:rPr>
        <w:t xml:space="preserve"> </w:t>
      </w:r>
      <w:r w:rsidR="003250CC" w:rsidRPr="00556785">
        <w:rPr>
          <w:rFonts w:asciiTheme="minorHAnsi" w:hAnsiTheme="minorHAnsi" w:cstheme="minorHAnsi"/>
          <w:sz w:val="22"/>
          <w:lang w:val="en"/>
        </w:rPr>
        <w:t>Health Research Board</w:t>
      </w:r>
    </w:p>
    <w:p w14:paraId="4DF56FB3" w14:textId="18D6C66C" w:rsidR="003250CC" w:rsidRPr="00556785" w:rsidRDefault="003250CC" w:rsidP="00556785">
      <w:pPr>
        <w:spacing w:line="312" w:lineRule="auto"/>
        <w:rPr>
          <w:rFonts w:asciiTheme="minorHAnsi" w:hAnsiTheme="minorHAnsi" w:cstheme="minorHAnsi"/>
          <w:sz w:val="22"/>
          <w:lang w:val="en"/>
        </w:rPr>
      </w:pPr>
      <w:r w:rsidRPr="00556785">
        <w:rPr>
          <w:rFonts w:asciiTheme="minorHAnsi" w:hAnsiTheme="minorHAnsi" w:cstheme="minorHAnsi"/>
          <w:b/>
          <w:sz w:val="22"/>
          <w:lang w:val="en"/>
        </w:rPr>
        <w:t>m</w:t>
      </w:r>
      <w:r w:rsidRPr="00556785">
        <w:rPr>
          <w:rFonts w:asciiTheme="minorHAnsi" w:hAnsiTheme="minorHAnsi" w:cstheme="minorHAnsi"/>
          <w:sz w:val="22"/>
          <w:lang w:val="en"/>
        </w:rPr>
        <w:t xml:space="preserve"> +353 8</w:t>
      </w:r>
      <w:r w:rsidR="0044377F" w:rsidRPr="00556785">
        <w:rPr>
          <w:rFonts w:asciiTheme="minorHAnsi" w:hAnsiTheme="minorHAnsi" w:cstheme="minorHAnsi"/>
          <w:sz w:val="22"/>
          <w:lang w:val="en"/>
        </w:rPr>
        <w:t>6 1573471</w:t>
      </w:r>
      <w:r w:rsidRPr="00556785">
        <w:rPr>
          <w:rFonts w:asciiTheme="minorHAnsi" w:hAnsiTheme="minorHAnsi" w:cstheme="minorHAnsi"/>
          <w:sz w:val="22"/>
          <w:lang w:val="en"/>
        </w:rPr>
        <w:tab/>
      </w:r>
      <w:r w:rsidRPr="00556785">
        <w:rPr>
          <w:rFonts w:asciiTheme="minorHAnsi" w:hAnsiTheme="minorHAnsi" w:cstheme="minorHAnsi"/>
          <w:b/>
          <w:sz w:val="22"/>
          <w:lang w:val="en"/>
        </w:rPr>
        <w:t>e</w:t>
      </w:r>
      <w:r w:rsidRPr="00556785">
        <w:rPr>
          <w:rFonts w:asciiTheme="minorHAnsi" w:hAnsiTheme="minorHAnsi" w:cstheme="minorHAnsi"/>
          <w:sz w:val="22"/>
          <w:lang w:val="en"/>
        </w:rPr>
        <w:t xml:space="preserve"> </w:t>
      </w:r>
      <w:r w:rsidR="0044377F" w:rsidRPr="00556785">
        <w:rPr>
          <w:rFonts w:asciiTheme="minorHAnsi" w:hAnsiTheme="minorHAnsi" w:cstheme="minorHAnsi"/>
          <w:sz w:val="22"/>
          <w:lang w:val="en"/>
        </w:rPr>
        <w:t>bgalvin</w:t>
      </w:r>
      <w:r w:rsidRPr="00556785">
        <w:rPr>
          <w:rFonts w:asciiTheme="minorHAnsi" w:hAnsiTheme="minorHAnsi" w:cstheme="minorHAnsi"/>
          <w:sz w:val="22"/>
          <w:lang w:val="en"/>
        </w:rPr>
        <w:t>@hrb.ie</w:t>
      </w:r>
    </w:p>
    <w:p w14:paraId="5BCB17B1" w14:textId="77777777" w:rsidR="002F0158" w:rsidRPr="00556785" w:rsidRDefault="002F0158" w:rsidP="00556785">
      <w:pPr>
        <w:spacing w:line="312" w:lineRule="auto"/>
        <w:rPr>
          <w:rFonts w:asciiTheme="minorHAnsi" w:hAnsiTheme="minorHAnsi" w:cstheme="minorHAnsi"/>
          <w:sz w:val="22"/>
        </w:rPr>
      </w:pPr>
    </w:p>
    <w:p w14:paraId="1958D033" w14:textId="5D19F465" w:rsidR="005B48CA" w:rsidRPr="00556785" w:rsidRDefault="005B48CA" w:rsidP="00556785">
      <w:pPr>
        <w:pStyle w:val="Heading2"/>
        <w:spacing w:line="312" w:lineRule="auto"/>
        <w:rPr>
          <w:rFonts w:asciiTheme="minorHAnsi" w:hAnsiTheme="minorHAnsi" w:cstheme="minorHAnsi"/>
          <w:sz w:val="22"/>
          <w:szCs w:val="22"/>
        </w:rPr>
      </w:pPr>
      <w:r w:rsidRPr="00556785">
        <w:rPr>
          <w:rFonts w:asciiTheme="minorHAnsi" w:hAnsiTheme="minorHAnsi" w:cstheme="minorHAnsi"/>
          <w:sz w:val="22"/>
          <w:szCs w:val="22"/>
        </w:rPr>
        <w:lastRenderedPageBreak/>
        <w:t xml:space="preserve">Notes </w:t>
      </w:r>
      <w:r w:rsidR="002C3C8F" w:rsidRPr="00556785">
        <w:rPr>
          <w:rFonts w:asciiTheme="minorHAnsi" w:hAnsiTheme="minorHAnsi" w:cstheme="minorHAnsi"/>
          <w:sz w:val="22"/>
          <w:szCs w:val="22"/>
        </w:rPr>
        <w:t>on</w:t>
      </w:r>
      <w:r w:rsidR="00733DA9" w:rsidRPr="00556785">
        <w:rPr>
          <w:rFonts w:asciiTheme="minorHAnsi" w:hAnsiTheme="minorHAnsi" w:cstheme="minorHAnsi"/>
          <w:sz w:val="22"/>
          <w:szCs w:val="22"/>
        </w:rPr>
        <w:t xml:space="preserve"> Irish data</w:t>
      </w:r>
    </w:p>
    <w:p w14:paraId="1DCF4B6B" w14:textId="39F0D94B" w:rsidR="005B48CA" w:rsidRPr="00E63CBA" w:rsidRDefault="005B48CA" w:rsidP="00556785">
      <w:pPr>
        <w:pStyle w:val="ListParagraph"/>
        <w:numPr>
          <w:ilvl w:val="0"/>
          <w:numId w:val="21"/>
        </w:numPr>
        <w:spacing w:line="312" w:lineRule="auto"/>
        <w:rPr>
          <w:rFonts w:asciiTheme="minorHAnsi" w:hAnsiTheme="minorHAnsi" w:cstheme="minorHAnsi"/>
          <w:b/>
          <w:bCs/>
          <w:i/>
          <w:lang w:val="ga-IE"/>
        </w:rPr>
      </w:pPr>
      <w:r w:rsidRPr="00556785">
        <w:rPr>
          <w:rFonts w:asciiTheme="minorHAnsi" w:hAnsiTheme="minorHAnsi" w:cstheme="minorHAnsi"/>
          <w:lang w:val="en-GB" w:eastAsia="en-GB"/>
        </w:rPr>
        <w:t xml:space="preserve">The Irish drug treatment data referred to </w:t>
      </w:r>
      <w:r w:rsidR="00F548DF" w:rsidRPr="00556785">
        <w:rPr>
          <w:rFonts w:asciiTheme="minorHAnsi" w:hAnsiTheme="minorHAnsi" w:cstheme="minorHAnsi"/>
          <w:lang w:val="en-GB" w:eastAsia="en-GB"/>
        </w:rPr>
        <w:t>above</w:t>
      </w:r>
      <w:r w:rsidRPr="00556785">
        <w:rPr>
          <w:rFonts w:asciiTheme="minorHAnsi" w:hAnsiTheme="minorHAnsi" w:cstheme="minorHAnsi"/>
          <w:lang w:val="en-GB" w:eastAsia="en-GB"/>
        </w:rPr>
        <w:t xml:space="preserve"> is taken from reports on those entering treatment in </w:t>
      </w:r>
      <w:r w:rsidR="00E74916" w:rsidRPr="00556785">
        <w:rPr>
          <w:rFonts w:asciiTheme="minorHAnsi" w:hAnsiTheme="minorHAnsi" w:cstheme="minorHAnsi"/>
          <w:lang w:val="en-GB" w:eastAsia="en-GB"/>
        </w:rPr>
        <w:t>202</w:t>
      </w:r>
      <w:r w:rsidR="00503D62" w:rsidRPr="00556785">
        <w:rPr>
          <w:rFonts w:asciiTheme="minorHAnsi" w:hAnsiTheme="minorHAnsi" w:cstheme="minorHAnsi"/>
          <w:lang w:val="en-GB" w:eastAsia="en-GB"/>
        </w:rPr>
        <w:t>1</w:t>
      </w:r>
      <w:r w:rsidR="009E50F9">
        <w:rPr>
          <w:rFonts w:asciiTheme="minorHAnsi" w:hAnsiTheme="minorHAnsi" w:cstheme="minorHAnsi"/>
          <w:lang w:val="en-GB" w:eastAsia="en-GB"/>
        </w:rPr>
        <w:t xml:space="preserve">. </w:t>
      </w:r>
      <w:r w:rsidR="009E5254" w:rsidRPr="00E63CBA">
        <w:rPr>
          <w:rFonts w:asciiTheme="minorHAnsi" w:hAnsiTheme="minorHAnsi" w:cstheme="minorHAnsi"/>
          <w:b/>
          <w:bCs/>
          <w:lang w:val="en-GB" w:eastAsia="en-GB"/>
        </w:rPr>
        <w:t xml:space="preserve">Data on those entering treatment in 2022 will be published </w:t>
      </w:r>
      <w:r w:rsidR="00E63CBA" w:rsidRPr="00E63CBA">
        <w:rPr>
          <w:rFonts w:asciiTheme="minorHAnsi" w:hAnsiTheme="minorHAnsi" w:cstheme="minorHAnsi"/>
          <w:b/>
          <w:bCs/>
          <w:lang w:val="en-GB" w:eastAsia="en-GB"/>
        </w:rPr>
        <w:t>on 20</w:t>
      </w:r>
      <w:r w:rsidR="009E5254" w:rsidRPr="00E63CBA">
        <w:rPr>
          <w:rFonts w:asciiTheme="minorHAnsi" w:hAnsiTheme="minorHAnsi" w:cstheme="minorHAnsi"/>
          <w:b/>
          <w:bCs/>
          <w:lang w:val="en-GB" w:eastAsia="en-GB"/>
        </w:rPr>
        <w:t xml:space="preserve"> June 2023.</w:t>
      </w:r>
    </w:p>
    <w:p w14:paraId="32990BE4" w14:textId="7580B10C" w:rsidR="009E5254" w:rsidRPr="00556785" w:rsidRDefault="009E5254" w:rsidP="00556785">
      <w:pPr>
        <w:pStyle w:val="ListParagraph"/>
        <w:numPr>
          <w:ilvl w:val="0"/>
          <w:numId w:val="21"/>
        </w:numPr>
        <w:spacing w:line="312" w:lineRule="auto"/>
        <w:rPr>
          <w:rFonts w:asciiTheme="minorHAnsi" w:hAnsiTheme="minorHAnsi" w:cstheme="minorHAnsi"/>
          <w:bCs/>
          <w:i/>
          <w:lang w:val="ga-IE"/>
        </w:rPr>
      </w:pPr>
      <w:r w:rsidRPr="00556785">
        <w:rPr>
          <w:rFonts w:asciiTheme="minorHAnsi" w:hAnsiTheme="minorHAnsi" w:cstheme="minorHAnsi"/>
          <w:lang w:val="en-GB" w:eastAsia="en-GB"/>
        </w:rPr>
        <w:t>The most recent year for which drug-related deaths estimates are available is 2017.</w:t>
      </w:r>
      <w:r>
        <w:rPr>
          <w:rFonts w:asciiTheme="minorHAnsi" w:hAnsiTheme="minorHAnsi" w:cstheme="minorHAnsi"/>
          <w:lang w:val="en-GB" w:eastAsia="en-GB"/>
        </w:rPr>
        <w:t xml:space="preserve"> Data on drug-related deaths for the years 2018-20 will be published later in 2023.</w:t>
      </w:r>
    </w:p>
    <w:p w14:paraId="348D0C6E" w14:textId="44FEB6EF" w:rsidR="005B48CA" w:rsidRPr="00556785" w:rsidRDefault="005B48CA" w:rsidP="009E5254">
      <w:pPr>
        <w:pStyle w:val="ListParagraph"/>
        <w:spacing w:line="312" w:lineRule="auto"/>
        <w:rPr>
          <w:rFonts w:asciiTheme="minorHAnsi" w:hAnsiTheme="minorHAnsi" w:cstheme="minorHAnsi"/>
        </w:rPr>
      </w:pPr>
    </w:p>
    <w:sectPr w:rsidR="005B48CA" w:rsidRPr="00556785" w:rsidSect="00BA19DD">
      <w:footerReference w:type="default" r:id="rId11"/>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86C4" w14:textId="77777777" w:rsidR="00227F01" w:rsidRDefault="00227F01" w:rsidP="00FE3B12">
      <w:r>
        <w:separator/>
      </w:r>
    </w:p>
  </w:endnote>
  <w:endnote w:type="continuationSeparator" w:id="0">
    <w:p w14:paraId="267EA84A" w14:textId="77777777" w:rsidR="00227F01" w:rsidRDefault="00227F01" w:rsidP="00FE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83622"/>
      <w:docPartObj>
        <w:docPartGallery w:val="Page Numbers (Bottom of Page)"/>
        <w:docPartUnique/>
      </w:docPartObj>
    </w:sdtPr>
    <w:sdtEndPr/>
    <w:sdtContent>
      <w:sdt>
        <w:sdtPr>
          <w:id w:val="860082579"/>
          <w:docPartObj>
            <w:docPartGallery w:val="Page Numbers (Top of Page)"/>
            <w:docPartUnique/>
          </w:docPartObj>
        </w:sdtPr>
        <w:sdtEndPr/>
        <w:sdtContent>
          <w:p w14:paraId="7D645ABB" w14:textId="77777777" w:rsidR="00FE3B12" w:rsidRDefault="00FE3B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40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406A">
              <w:rPr>
                <w:b/>
                <w:bCs/>
                <w:noProof/>
              </w:rPr>
              <w:t>7</w:t>
            </w:r>
            <w:r>
              <w:rPr>
                <w:b/>
                <w:bCs/>
                <w:sz w:val="24"/>
                <w:szCs w:val="24"/>
              </w:rPr>
              <w:fldChar w:fldCharType="end"/>
            </w:r>
          </w:p>
        </w:sdtContent>
      </w:sdt>
    </w:sdtContent>
  </w:sdt>
  <w:p w14:paraId="0DF9BBD0" w14:textId="77777777" w:rsidR="00FE3B12" w:rsidRDefault="00FE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BCC5" w14:textId="77777777" w:rsidR="00227F01" w:rsidRDefault="00227F01" w:rsidP="00FE3B12">
      <w:r>
        <w:separator/>
      </w:r>
    </w:p>
  </w:footnote>
  <w:footnote w:type="continuationSeparator" w:id="0">
    <w:p w14:paraId="2444B81E" w14:textId="77777777" w:rsidR="00227F01" w:rsidRDefault="00227F01" w:rsidP="00FE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D13"/>
    <w:multiLevelType w:val="hybridMultilevel"/>
    <w:tmpl w:val="9EAEE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4A61D0"/>
    <w:multiLevelType w:val="hybridMultilevel"/>
    <w:tmpl w:val="43604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257FD0"/>
    <w:multiLevelType w:val="hybridMultilevel"/>
    <w:tmpl w:val="D3422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0A47D3"/>
    <w:multiLevelType w:val="hybridMultilevel"/>
    <w:tmpl w:val="2250D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29018F"/>
    <w:multiLevelType w:val="hybridMultilevel"/>
    <w:tmpl w:val="E6A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46FFB"/>
    <w:multiLevelType w:val="hybridMultilevel"/>
    <w:tmpl w:val="7A767E98"/>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6" w15:restartNumberingAfterBreak="0">
    <w:nsid w:val="241202BC"/>
    <w:multiLevelType w:val="hybridMultilevel"/>
    <w:tmpl w:val="38C8C61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24B39"/>
    <w:multiLevelType w:val="hybridMultilevel"/>
    <w:tmpl w:val="2ACAF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A17508"/>
    <w:multiLevelType w:val="hybridMultilevel"/>
    <w:tmpl w:val="0738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76233"/>
    <w:multiLevelType w:val="hybridMultilevel"/>
    <w:tmpl w:val="345642C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83228"/>
    <w:multiLevelType w:val="hybridMultilevel"/>
    <w:tmpl w:val="F112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03272"/>
    <w:multiLevelType w:val="hybridMultilevel"/>
    <w:tmpl w:val="FCF27C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EC52B8"/>
    <w:multiLevelType w:val="hybridMultilevel"/>
    <w:tmpl w:val="47166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E05718"/>
    <w:multiLevelType w:val="hybridMultilevel"/>
    <w:tmpl w:val="61906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B68229D"/>
    <w:multiLevelType w:val="hybridMultilevel"/>
    <w:tmpl w:val="3148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064F1"/>
    <w:multiLevelType w:val="hybridMultilevel"/>
    <w:tmpl w:val="8346A1C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15514"/>
    <w:multiLevelType w:val="hybridMultilevel"/>
    <w:tmpl w:val="2A068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9F4EFF"/>
    <w:multiLevelType w:val="hybridMultilevel"/>
    <w:tmpl w:val="C01470A6"/>
    <w:lvl w:ilvl="0" w:tplc="1D2ED048">
      <w:start w:val="1"/>
      <w:numFmt w:val="bullet"/>
      <w:lvlText w:val="•"/>
      <w:lvlJc w:val="left"/>
      <w:pPr>
        <w:tabs>
          <w:tab w:val="num" w:pos="720"/>
        </w:tabs>
        <w:ind w:left="720" w:hanging="360"/>
      </w:pPr>
      <w:rPr>
        <w:rFonts w:ascii="Arial" w:hAnsi="Arial" w:hint="default"/>
      </w:rPr>
    </w:lvl>
    <w:lvl w:ilvl="1" w:tplc="EECED750" w:tentative="1">
      <w:start w:val="1"/>
      <w:numFmt w:val="bullet"/>
      <w:lvlText w:val="•"/>
      <w:lvlJc w:val="left"/>
      <w:pPr>
        <w:tabs>
          <w:tab w:val="num" w:pos="1440"/>
        </w:tabs>
        <w:ind w:left="1440" w:hanging="360"/>
      </w:pPr>
      <w:rPr>
        <w:rFonts w:ascii="Arial" w:hAnsi="Arial" w:hint="default"/>
      </w:rPr>
    </w:lvl>
    <w:lvl w:ilvl="2" w:tplc="932803AC" w:tentative="1">
      <w:start w:val="1"/>
      <w:numFmt w:val="bullet"/>
      <w:lvlText w:val="•"/>
      <w:lvlJc w:val="left"/>
      <w:pPr>
        <w:tabs>
          <w:tab w:val="num" w:pos="2160"/>
        </w:tabs>
        <w:ind w:left="2160" w:hanging="360"/>
      </w:pPr>
      <w:rPr>
        <w:rFonts w:ascii="Arial" w:hAnsi="Arial" w:hint="default"/>
      </w:rPr>
    </w:lvl>
    <w:lvl w:ilvl="3" w:tplc="3A900EC6" w:tentative="1">
      <w:start w:val="1"/>
      <w:numFmt w:val="bullet"/>
      <w:lvlText w:val="•"/>
      <w:lvlJc w:val="left"/>
      <w:pPr>
        <w:tabs>
          <w:tab w:val="num" w:pos="2880"/>
        </w:tabs>
        <w:ind w:left="2880" w:hanging="360"/>
      </w:pPr>
      <w:rPr>
        <w:rFonts w:ascii="Arial" w:hAnsi="Arial" w:hint="default"/>
      </w:rPr>
    </w:lvl>
    <w:lvl w:ilvl="4" w:tplc="00CE3A7E" w:tentative="1">
      <w:start w:val="1"/>
      <w:numFmt w:val="bullet"/>
      <w:lvlText w:val="•"/>
      <w:lvlJc w:val="left"/>
      <w:pPr>
        <w:tabs>
          <w:tab w:val="num" w:pos="3600"/>
        </w:tabs>
        <w:ind w:left="3600" w:hanging="360"/>
      </w:pPr>
      <w:rPr>
        <w:rFonts w:ascii="Arial" w:hAnsi="Arial" w:hint="default"/>
      </w:rPr>
    </w:lvl>
    <w:lvl w:ilvl="5" w:tplc="4E569A28" w:tentative="1">
      <w:start w:val="1"/>
      <w:numFmt w:val="bullet"/>
      <w:lvlText w:val="•"/>
      <w:lvlJc w:val="left"/>
      <w:pPr>
        <w:tabs>
          <w:tab w:val="num" w:pos="4320"/>
        </w:tabs>
        <w:ind w:left="4320" w:hanging="360"/>
      </w:pPr>
      <w:rPr>
        <w:rFonts w:ascii="Arial" w:hAnsi="Arial" w:hint="default"/>
      </w:rPr>
    </w:lvl>
    <w:lvl w:ilvl="6" w:tplc="856E6E8A" w:tentative="1">
      <w:start w:val="1"/>
      <w:numFmt w:val="bullet"/>
      <w:lvlText w:val="•"/>
      <w:lvlJc w:val="left"/>
      <w:pPr>
        <w:tabs>
          <w:tab w:val="num" w:pos="5040"/>
        </w:tabs>
        <w:ind w:left="5040" w:hanging="360"/>
      </w:pPr>
      <w:rPr>
        <w:rFonts w:ascii="Arial" w:hAnsi="Arial" w:hint="default"/>
      </w:rPr>
    </w:lvl>
    <w:lvl w:ilvl="7" w:tplc="FE20B41C" w:tentative="1">
      <w:start w:val="1"/>
      <w:numFmt w:val="bullet"/>
      <w:lvlText w:val="•"/>
      <w:lvlJc w:val="left"/>
      <w:pPr>
        <w:tabs>
          <w:tab w:val="num" w:pos="5760"/>
        </w:tabs>
        <w:ind w:left="5760" w:hanging="360"/>
      </w:pPr>
      <w:rPr>
        <w:rFonts w:ascii="Arial" w:hAnsi="Arial" w:hint="default"/>
      </w:rPr>
    </w:lvl>
    <w:lvl w:ilvl="8" w:tplc="288020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0021CF"/>
    <w:multiLevelType w:val="hybridMultilevel"/>
    <w:tmpl w:val="90B01EF0"/>
    <w:lvl w:ilvl="0" w:tplc="4D52A97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6DB5397"/>
    <w:multiLevelType w:val="hybridMultilevel"/>
    <w:tmpl w:val="1610CEA4"/>
    <w:lvl w:ilvl="0" w:tplc="E50A38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70A1D"/>
    <w:multiLevelType w:val="hybridMultilevel"/>
    <w:tmpl w:val="37260E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DAF5644"/>
    <w:multiLevelType w:val="hybridMultilevel"/>
    <w:tmpl w:val="6F660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3A1A40"/>
    <w:multiLevelType w:val="hybridMultilevel"/>
    <w:tmpl w:val="B95CA72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41711F5"/>
    <w:multiLevelType w:val="hybridMultilevel"/>
    <w:tmpl w:val="3D962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F4755B"/>
    <w:multiLevelType w:val="hybridMultilevel"/>
    <w:tmpl w:val="C47C558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cs="Wingdings" w:hint="default"/>
      </w:rPr>
    </w:lvl>
    <w:lvl w:ilvl="3" w:tplc="18090001">
      <w:start w:val="1"/>
      <w:numFmt w:val="bullet"/>
      <w:lvlText w:val=""/>
      <w:lvlJc w:val="left"/>
      <w:pPr>
        <w:ind w:left="2520" w:hanging="360"/>
      </w:pPr>
      <w:rPr>
        <w:rFonts w:ascii="Symbol" w:hAnsi="Symbol" w:cs="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cs="Wingdings" w:hint="default"/>
      </w:rPr>
    </w:lvl>
    <w:lvl w:ilvl="6" w:tplc="18090001">
      <w:start w:val="1"/>
      <w:numFmt w:val="bullet"/>
      <w:lvlText w:val=""/>
      <w:lvlJc w:val="left"/>
      <w:pPr>
        <w:ind w:left="4680" w:hanging="360"/>
      </w:pPr>
      <w:rPr>
        <w:rFonts w:ascii="Symbol" w:hAnsi="Symbol" w:cs="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cs="Wingdings" w:hint="default"/>
      </w:rPr>
    </w:lvl>
  </w:abstractNum>
  <w:abstractNum w:abstractNumId="25" w15:restartNumberingAfterBreak="0">
    <w:nsid w:val="6C8D2A61"/>
    <w:multiLevelType w:val="hybridMultilevel"/>
    <w:tmpl w:val="4F74A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56355F"/>
    <w:multiLevelType w:val="multilevel"/>
    <w:tmpl w:val="2BC69C80"/>
    <w:lvl w:ilvl="0">
      <w:start w:val="1"/>
      <w:numFmt w:val="bullet"/>
      <w:pStyle w:val="HRBBulletTextL1-6"/>
      <w:lvlText w:val=""/>
      <w:lvlJc w:val="left"/>
      <w:pPr>
        <w:tabs>
          <w:tab w:val="num" w:pos="340"/>
        </w:tabs>
        <w:ind w:left="340" w:hanging="340"/>
      </w:pPr>
      <w:rPr>
        <w:rFonts w:ascii="Symbol" w:hAnsi="Symbol" w:hint="default"/>
        <w:color w:val="9BBB59" w:themeColor="accent3"/>
      </w:rPr>
    </w:lvl>
    <w:lvl w:ilvl="1">
      <w:start w:val="1"/>
      <w:numFmt w:val="bullet"/>
      <w:lvlText w:val="̶"/>
      <w:lvlJc w:val="left"/>
      <w:pPr>
        <w:tabs>
          <w:tab w:val="num" w:pos="680"/>
        </w:tabs>
        <w:ind w:left="680" w:hanging="340"/>
      </w:pPr>
      <w:rPr>
        <w:rFonts w:ascii="Calibri" w:hAnsi="Calibri" w:hint="default"/>
        <w:color w:val="1F497D" w:themeColor="text2"/>
      </w:rPr>
    </w:lvl>
    <w:lvl w:ilvl="2">
      <w:start w:val="1"/>
      <w:numFmt w:val="bullet"/>
      <w:lvlText w:val=""/>
      <w:lvlJc w:val="left"/>
      <w:pPr>
        <w:tabs>
          <w:tab w:val="num" w:pos="1021"/>
        </w:tabs>
        <w:ind w:left="1020" w:hanging="340"/>
      </w:pPr>
      <w:rPr>
        <w:rFonts w:ascii="Symbol" w:hAnsi="Symbol" w:hint="default"/>
        <w:color w:val="9BBB59" w:themeColor="accent3"/>
      </w:rPr>
    </w:lvl>
    <w:lvl w:ilvl="3">
      <w:start w:val="1"/>
      <w:numFmt w:val="bullet"/>
      <w:lvlText w:val="̶"/>
      <w:lvlJc w:val="left"/>
      <w:pPr>
        <w:tabs>
          <w:tab w:val="num" w:pos="1361"/>
        </w:tabs>
        <w:ind w:left="1360" w:hanging="340"/>
      </w:pPr>
      <w:rPr>
        <w:rFonts w:ascii="Calibri" w:hAnsi="Calibri" w:hint="default"/>
        <w:color w:val="1F497D" w:themeColor="text2"/>
      </w:rPr>
    </w:lvl>
    <w:lvl w:ilvl="4">
      <w:start w:val="1"/>
      <w:numFmt w:val="bullet"/>
      <w:lvlText w:val=""/>
      <w:lvlJc w:val="left"/>
      <w:pPr>
        <w:tabs>
          <w:tab w:val="num" w:pos="1701"/>
        </w:tabs>
        <w:ind w:left="1700" w:hanging="340"/>
      </w:pPr>
      <w:rPr>
        <w:rFonts w:ascii="Symbol" w:hAnsi="Symbol" w:hint="default"/>
        <w:color w:val="1F497D" w:themeColor="text2"/>
      </w:rPr>
    </w:lvl>
    <w:lvl w:ilvl="5">
      <w:start w:val="1"/>
      <w:numFmt w:val="bullet"/>
      <w:lvlText w:val="̶"/>
      <w:lvlJc w:val="left"/>
      <w:pPr>
        <w:tabs>
          <w:tab w:val="num" w:pos="2041"/>
        </w:tabs>
        <w:ind w:left="2040" w:hanging="340"/>
      </w:pPr>
      <w:rPr>
        <w:rFonts w:ascii="Calibri" w:hAnsi="Calibri" w:hint="default"/>
        <w:color w:val="1F497D" w:themeColor="text2"/>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7" w15:restartNumberingAfterBreak="0">
    <w:nsid w:val="721D0373"/>
    <w:multiLevelType w:val="hybridMultilevel"/>
    <w:tmpl w:val="EB3E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D6404"/>
    <w:multiLevelType w:val="hybridMultilevel"/>
    <w:tmpl w:val="929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940E6"/>
    <w:multiLevelType w:val="hybridMultilevel"/>
    <w:tmpl w:val="9822D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E84841"/>
    <w:multiLevelType w:val="hybridMultilevel"/>
    <w:tmpl w:val="5C161954"/>
    <w:lvl w:ilvl="0" w:tplc="34425222">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063C0"/>
    <w:multiLevelType w:val="hybridMultilevel"/>
    <w:tmpl w:val="C2C46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DFB6051"/>
    <w:multiLevelType w:val="hybridMultilevel"/>
    <w:tmpl w:val="8626D8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59230844">
    <w:abstractNumId w:val="11"/>
  </w:num>
  <w:num w:numId="2" w16cid:durableId="887254679">
    <w:abstractNumId w:val="13"/>
  </w:num>
  <w:num w:numId="3" w16cid:durableId="667245993">
    <w:abstractNumId w:val="7"/>
  </w:num>
  <w:num w:numId="4" w16cid:durableId="1397582513">
    <w:abstractNumId w:val="21"/>
  </w:num>
  <w:num w:numId="5" w16cid:durableId="1816146860">
    <w:abstractNumId w:val="5"/>
  </w:num>
  <w:num w:numId="6" w16cid:durableId="600988108">
    <w:abstractNumId w:val="3"/>
  </w:num>
  <w:num w:numId="7" w16cid:durableId="92827219">
    <w:abstractNumId w:val="2"/>
  </w:num>
  <w:num w:numId="8" w16cid:durableId="1374845929">
    <w:abstractNumId w:val="25"/>
  </w:num>
  <w:num w:numId="9" w16cid:durableId="1016469831">
    <w:abstractNumId w:val="0"/>
  </w:num>
  <w:num w:numId="10" w16cid:durableId="1102258241">
    <w:abstractNumId w:val="1"/>
  </w:num>
  <w:num w:numId="11" w16cid:durableId="228463880">
    <w:abstractNumId w:val="29"/>
  </w:num>
  <w:num w:numId="12" w16cid:durableId="1263608801">
    <w:abstractNumId w:val="31"/>
  </w:num>
  <w:num w:numId="13" w16cid:durableId="740640592">
    <w:abstractNumId w:val="30"/>
  </w:num>
  <w:num w:numId="14" w16cid:durableId="2021006336">
    <w:abstractNumId w:val="14"/>
  </w:num>
  <w:num w:numId="15" w16cid:durableId="904805529">
    <w:abstractNumId w:val="8"/>
  </w:num>
  <w:num w:numId="16" w16cid:durableId="731734238">
    <w:abstractNumId w:val="4"/>
  </w:num>
  <w:num w:numId="17" w16cid:durableId="862325927">
    <w:abstractNumId w:val="10"/>
  </w:num>
  <w:num w:numId="18" w16cid:durableId="1938901015">
    <w:abstractNumId w:val="15"/>
  </w:num>
  <w:num w:numId="19" w16cid:durableId="1469280598">
    <w:abstractNumId w:val="6"/>
  </w:num>
  <w:num w:numId="20" w16cid:durableId="1961960947">
    <w:abstractNumId w:val="9"/>
  </w:num>
  <w:num w:numId="21" w16cid:durableId="1668551336">
    <w:abstractNumId w:val="23"/>
  </w:num>
  <w:num w:numId="22" w16cid:durableId="36244866">
    <w:abstractNumId w:val="12"/>
  </w:num>
  <w:num w:numId="23" w16cid:durableId="1974091062">
    <w:abstractNumId w:val="18"/>
  </w:num>
  <w:num w:numId="24" w16cid:durableId="967663495">
    <w:abstractNumId w:val="24"/>
  </w:num>
  <w:num w:numId="25" w16cid:durableId="1285649335">
    <w:abstractNumId w:val="20"/>
  </w:num>
  <w:num w:numId="26" w16cid:durableId="1735203679">
    <w:abstractNumId w:val="17"/>
  </w:num>
  <w:num w:numId="27" w16cid:durableId="149098348">
    <w:abstractNumId w:val="16"/>
  </w:num>
  <w:num w:numId="28" w16cid:durableId="492449814">
    <w:abstractNumId w:val="26"/>
  </w:num>
  <w:num w:numId="29" w16cid:durableId="481852910">
    <w:abstractNumId w:val="19"/>
  </w:num>
  <w:num w:numId="30" w16cid:durableId="378895458">
    <w:abstractNumId w:val="32"/>
  </w:num>
  <w:num w:numId="31" w16cid:durableId="777675094">
    <w:abstractNumId w:val="22"/>
  </w:num>
  <w:num w:numId="32" w16cid:durableId="290282207">
    <w:abstractNumId w:val="27"/>
  </w:num>
  <w:num w:numId="33" w16cid:durableId="6961969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85"/>
    <w:rsid w:val="000114A3"/>
    <w:rsid w:val="00014C6A"/>
    <w:rsid w:val="00032DB9"/>
    <w:rsid w:val="00033CE2"/>
    <w:rsid w:val="0003785D"/>
    <w:rsid w:val="000578A4"/>
    <w:rsid w:val="00060B80"/>
    <w:rsid w:val="0006430E"/>
    <w:rsid w:val="000709BA"/>
    <w:rsid w:val="000736F5"/>
    <w:rsid w:val="000752A1"/>
    <w:rsid w:val="00075E62"/>
    <w:rsid w:val="00083465"/>
    <w:rsid w:val="00083822"/>
    <w:rsid w:val="000841D4"/>
    <w:rsid w:val="00090674"/>
    <w:rsid w:val="000A0264"/>
    <w:rsid w:val="000A0E80"/>
    <w:rsid w:val="000A33B0"/>
    <w:rsid w:val="000A7E58"/>
    <w:rsid w:val="000B16B0"/>
    <w:rsid w:val="000B2186"/>
    <w:rsid w:val="000B7F8F"/>
    <w:rsid w:val="000C4B97"/>
    <w:rsid w:val="000C6F85"/>
    <w:rsid w:val="000D1872"/>
    <w:rsid w:val="000D4579"/>
    <w:rsid w:val="000E1043"/>
    <w:rsid w:val="000E134C"/>
    <w:rsid w:val="000F0307"/>
    <w:rsid w:val="000F4225"/>
    <w:rsid w:val="000F441C"/>
    <w:rsid w:val="000F5BF5"/>
    <w:rsid w:val="000F5D23"/>
    <w:rsid w:val="0010007A"/>
    <w:rsid w:val="001027B6"/>
    <w:rsid w:val="00106A98"/>
    <w:rsid w:val="00112F0F"/>
    <w:rsid w:val="00113981"/>
    <w:rsid w:val="00114F00"/>
    <w:rsid w:val="001153A7"/>
    <w:rsid w:val="001171E7"/>
    <w:rsid w:val="00120C4D"/>
    <w:rsid w:val="00132C25"/>
    <w:rsid w:val="001411F5"/>
    <w:rsid w:val="0014373D"/>
    <w:rsid w:val="00144C9E"/>
    <w:rsid w:val="00145D14"/>
    <w:rsid w:val="001472C0"/>
    <w:rsid w:val="00155B75"/>
    <w:rsid w:val="00163255"/>
    <w:rsid w:val="0016387E"/>
    <w:rsid w:val="0017132F"/>
    <w:rsid w:val="001714ED"/>
    <w:rsid w:val="00171B4B"/>
    <w:rsid w:val="001721A4"/>
    <w:rsid w:val="00173B8D"/>
    <w:rsid w:val="00174F3B"/>
    <w:rsid w:val="00176094"/>
    <w:rsid w:val="00181FE1"/>
    <w:rsid w:val="00185985"/>
    <w:rsid w:val="00187A34"/>
    <w:rsid w:val="00187E40"/>
    <w:rsid w:val="001911BD"/>
    <w:rsid w:val="00194011"/>
    <w:rsid w:val="001A1D8E"/>
    <w:rsid w:val="001A2F08"/>
    <w:rsid w:val="001A4AC6"/>
    <w:rsid w:val="001A67E3"/>
    <w:rsid w:val="001A689E"/>
    <w:rsid w:val="001B0E85"/>
    <w:rsid w:val="001B132C"/>
    <w:rsid w:val="001B64F0"/>
    <w:rsid w:val="001B7418"/>
    <w:rsid w:val="001C0BBB"/>
    <w:rsid w:val="001C4FC8"/>
    <w:rsid w:val="001C55B3"/>
    <w:rsid w:val="001C76A2"/>
    <w:rsid w:val="001D14D5"/>
    <w:rsid w:val="001D28BA"/>
    <w:rsid w:val="001D55FF"/>
    <w:rsid w:val="001E4D02"/>
    <w:rsid w:val="001E61F3"/>
    <w:rsid w:val="001F175B"/>
    <w:rsid w:val="001F3A16"/>
    <w:rsid w:val="001F560C"/>
    <w:rsid w:val="001F5DCA"/>
    <w:rsid w:val="00207956"/>
    <w:rsid w:val="00211DB5"/>
    <w:rsid w:val="00215081"/>
    <w:rsid w:val="00216B3A"/>
    <w:rsid w:val="00216C37"/>
    <w:rsid w:val="00216E89"/>
    <w:rsid w:val="00217382"/>
    <w:rsid w:val="002254F1"/>
    <w:rsid w:val="00226B60"/>
    <w:rsid w:val="00227F01"/>
    <w:rsid w:val="00234614"/>
    <w:rsid w:val="00245B9F"/>
    <w:rsid w:val="00247FBF"/>
    <w:rsid w:val="00251942"/>
    <w:rsid w:val="00252EA7"/>
    <w:rsid w:val="0025408E"/>
    <w:rsid w:val="00255959"/>
    <w:rsid w:val="0026110F"/>
    <w:rsid w:val="00262165"/>
    <w:rsid w:val="002650DE"/>
    <w:rsid w:val="00276379"/>
    <w:rsid w:val="0028305F"/>
    <w:rsid w:val="0028328C"/>
    <w:rsid w:val="00284E54"/>
    <w:rsid w:val="002A03B0"/>
    <w:rsid w:val="002A13ED"/>
    <w:rsid w:val="002A155C"/>
    <w:rsid w:val="002A2A40"/>
    <w:rsid w:val="002A325D"/>
    <w:rsid w:val="002A4C5F"/>
    <w:rsid w:val="002B70BB"/>
    <w:rsid w:val="002C0A63"/>
    <w:rsid w:val="002C3C8F"/>
    <w:rsid w:val="002D16BB"/>
    <w:rsid w:val="002E0CAA"/>
    <w:rsid w:val="002E1D6B"/>
    <w:rsid w:val="002F0158"/>
    <w:rsid w:val="002F4E14"/>
    <w:rsid w:val="00320A40"/>
    <w:rsid w:val="003250CC"/>
    <w:rsid w:val="00332C3B"/>
    <w:rsid w:val="003534BE"/>
    <w:rsid w:val="003537E3"/>
    <w:rsid w:val="00354545"/>
    <w:rsid w:val="00356C68"/>
    <w:rsid w:val="00360D1E"/>
    <w:rsid w:val="00367404"/>
    <w:rsid w:val="00376815"/>
    <w:rsid w:val="00377DA3"/>
    <w:rsid w:val="003806CB"/>
    <w:rsid w:val="00382D0D"/>
    <w:rsid w:val="003858C5"/>
    <w:rsid w:val="0039152A"/>
    <w:rsid w:val="00392A5E"/>
    <w:rsid w:val="003A0C07"/>
    <w:rsid w:val="003B07D0"/>
    <w:rsid w:val="003B0CDF"/>
    <w:rsid w:val="003C097B"/>
    <w:rsid w:val="003C1C7B"/>
    <w:rsid w:val="003D3BD0"/>
    <w:rsid w:val="003D42D9"/>
    <w:rsid w:val="003E6838"/>
    <w:rsid w:val="003E69AE"/>
    <w:rsid w:val="003E7951"/>
    <w:rsid w:val="003F3B6F"/>
    <w:rsid w:val="003F5B33"/>
    <w:rsid w:val="00403396"/>
    <w:rsid w:val="00404734"/>
    <w:rsid w:val="004074CB"/>
    <w:rsid w:val="00417D29"/>
    <w:rsid w:val="004234BC"/>
    <w:rsid w:val="00430448"/>
    <w:rsid w:val="0043240B"/>
    <w:rsid w:val="00434981"/>
    <w:rsid w:val="00437885"/>
    <w:rsid w:val="0044377F"/>
    <w:rsid w:val="00445D93"/>
    <w:rsid w:val="00453B64"/>
    <w:rsid w:val="00456E99"/>
    <w:rsid w:val="00457DC5"/>
    <w:rsid w:val="00474825"/>
    <w:rsid w:val="00475654"/>
    <w:rsid w:val="00486B46"/>
    <w:rsid w:val="00487C5B"/>
    <w:rsid w:val="0049120B"/>
    <w:rsid w:val="00492657"/>
    <w:rsid w:val="00495624"/>
    <w:rsid w:val="004A7203"/>
    <w:rsid w:val="004B0321"/>
    <w:rsid w:val="004B13BA"/>
    <w:rsid w:val="004B5245"/>
    <w:rsid w:val="004C6307"/>
    <w:rsid w:val="004C77A2"/>
    <w:rsid w:val="004D2982"/>
    <w:rsid w:val="004F702D"/>
    <w:rsid w:val="004F78A9"/>
    <w:rsid w:val="00503D62"/>
    <w:rsid w:val="00507C59"/>
    <w:rsid w:val="00513431"/>
    <w:rsid w:val="00520995"/>
    <w:rsid w:val="005304EC"/>
    <w:rsid w:val="005478AF"/>
    <w:rsid w:val="0055121C"/>
    <w:rsid w:val="00556414"/>
    <w:rsid w:val="00556785"/>
    <w:rsid w:val="00561A02"/>
    <w:rsid w:val="00562001"/>
    <w:rsid w:val="005746BD"/>
    <w:rsid w:val="00575633"/>
    <w:rsid w:val="00580C74"/>
    <w:rsid w:val="00585EC9"/>
    <w:rsid w:val="00587F6B"/>
    <w:rsid w:val="00592848"/>
    <w:rsid w:val="0059529B"/>
    <w:rsid w:val="00596E71"/>
    <w:rsid w:val="005A2607"/>
    <w:rsid w:val="005A3E99"/>
    <w:rsid w:val="005A459C"/>
    <w:rsid w:val="005B48CA"/>
    <w:rsid w:val="005B6EEE"/>
    <w:rsid w:val="005C092D"/>
    <w:rsid w:val="005C2EA8"/>
    <w:rsid w:val="005D333A"/>
    <w:rsid w:val="005D5BEB"/>
    <w:rsid w:val="005E3F79"/>
    <w:rsid w:val="005F26D2"/>
    <w:rsid w:val="005F4AE3"/>
    <w:rsid w:val="00600458"/>
    <w:rsid w:val="006017A8"/>
    <w:rsid w:val="00605429"/>
    <w:rsid w:val="00605AA3"/>
    <w:rsid w:val="00605E61"/>
    <w:rsid w:val="006062BE"/>
    <w:rsid w:val="00615E6C"/>
    <w:rsid w:val="00617E90"/>
    <w:rsid w:val="0062047A"/>
    <w:rsid w:val="0062186F"/>
    <w:rsid w:val="0063065B"/>
    <w:rsid w:val="00632046"/>
    <w:rsid w:val="00633550"/>
    <w:rsid w:val="0064321A"/>
    <w:rsid w:val="006552C9"/>
    <w:rsid w:val="0065709F"/>
    <w:rsid w:val="0065721E"/>
    <w:rsid w:val="006633D2"/>
    <w:rsid w:val="00664DFA"/>
    <w:rsid w:val="006678B4"/>
    <w:rsid w:val="00667B97"/>
    <w:rsid w:val="006703D6"/>
    <w:rsid w:val="00675CAE"/>
    <w:rsid w:val="006814E5"/>
    <w:rsid w:val="0068168A"/>
    <w:rsid w:val="00683F32"/>
    <w:rsid w:val="006956E6"/>
    <w:rsid w:val="006A4293"/>
    <w:rsid w:val="006B3631"/>
    <w:rsid w:val="006B45FB"/>
    <w:rsid w:val="006C3BF8"/>
    <w:rsid w:val="006D131C"/>
    <w:rsid w:val="006E0BB3"/>
    <w:rsid w:val="006E1181"/>
    <w:rsid w:val="006E7341"/>
    <w:rsid w:val="007055E3"/>
    <w:rsid w:val="00705CFB"/>
    <w:rsid w:val="00714211"/>
    <w:rsid w:val="007168F8"/>
    <w:rsid w:val="0071695C"/>
    <w:rsid w:val="00717792"/>
    <w:rsid w:val="00722667"/>
    <w:rsid w:val="007227A4"/>
    <w:rsid w:val="007334A4"/>
    <w:rsid w:val="00733DA9"/>
    <w:rsid w:val="00734099"/>
    <w:rsid w:val="007441EC"/>
    <w:rsid w:val="0075317C"/>
    <w:rsid w:val="00753B39"/>
    <w:rsid w:val="0075717B"/>
    <w:rsid w:val="007652D5"/>
    <w:rsid w:val="00766153"/>
    <w:rsid w:val="0077009F"/>
    <w:rsid w:val="00770818"/>
    <w:rsid w:val="007711DC"/>
    <w:rsid w:val="007810FC"/>
    <w:rsid w:val="00785DF8"/>
    <w:rsid w:val="007A274C"/>
    <w:rsid w:val="007A5DF0"/>
    <w:rsid w:val="007A7638"/>
    <w:rsid w:val="007A765D"/>
    <w:rsid w:val="007B0F1D"/>
    <w:rsid w:val="007B576D"/>
    <w:rsid w:val="007D563C"/>
    <w:rsid w:val="007E36B3"/>
    <w:rsid w:val="007F3B2A"/>
    <w:rsid w:val="008040F4"/>
    <w:rsid w:val="00804D92"/>
    <w:rsid w:val="008175C3"/>
    <w:rsid w:val="008179E6"/>
    <w:rsid w:val="00824831"/>
    <w:rsid w:val="008303F6"/>
    <w:rsid w:val="00830639"/>
    <w:rsid w:val="00837B7B"/>
    <w:rsid w:val="00840268"/>
    <w:rsid w:val="00843681"/>
    <w:rsid w:val="00847FDC"/>
    <w:rsid w:val="00854730"/>
    <w:rsid w:val="00856000"/>
    <w:rsid w:val="00863CE6"/>
    <w:rsid w:val="00871483"/>
    <w:rsid w:val="0088620C"/>
    <w:rsid w:val="00886C8D"/>
    <w:rsid w:val="008933CB"/>
    <w:rsid w:val="008965EB"/>
    <w:rsid w:val="0089797A"/>
    <w:rsid w:val="008A01D9"/>
    <w:rsid w:val="008A5634"/>
    <w:rsid w:val="008B3A91"/>
    <w:rsid w:val="008B4C46"/>
    <w:rsid w:val="008C20E0"/>
    <w:rsid w:val="008C4488"/>
    <w:rsid w:val="008D2C41"/>
    <w:rsid w:val="008D5544"/>
    <w:rsid w:val="008E0511"/>
    <w:rsid w:val="008E07DD"/>
    <w:rsid w:val="008E3032"/>
    <w:rsid w:val="008E6432"/>
    <w:rsid w:val="008F4A0C"/>
    <w:rsid w:val="008F6EDF"/>
    <w:rsid w:val="008F7F0D"/>
    <w:rsid w:val="009021E8"/>
    <w:rsid w:val="009127B7"/>
    <w:rsid w:val="0092316D"/>
    <w:rsid w:val="00924DDD"/>
    <w:rsid w:val="00924FCA"/>
    <w:rsid w:val="00925148"/>
    <w:rsid w:val="0092778E"/>
    <w:rsid w:val="00930545"/>
    <w:rsid w:val="009371B8"/>
    <w:rsid w:val="00943930"/>
    <w:rsid w:val="00945762"/>
    <w:rsid w:val="00953D8C"/>
    <w:rsid w:val="00961F8E"/>
    <w:rsid w:val="00974624"/>
    <w:rsid w:val="00977EC1"/>
    <w:rsid w:val="009804C9"/>
    <w:rsid w:val="0098307D"/>
    <w:rsid w:val="00983B0C"/>
    <w:rsid w:val="00984AAD"/>
    <w:rsid w:val="0099228B"/>
    <w:rsid w:val="009933C8"/>
    <w:rsid w:val="0099368C"/>
    <w:rsid w:val="009A3509"/>
    <w:rsid w:val="009A576E"/>
    <w:rsid w:val="009B1468"/>
    <w:rsid w:val="009B517F"/>
    <w:rsid w:val="009D35F6"/>
    <w:rsid w:val="009D75D2"/>
    <w:rsid w:val="009E50F9"/>
    <w:rsid w:val="009E5254"/>
    <w:rsid w:val="009E57B5"/>
    <w:rsid w:val="009E7540"/>
    <w:rsid w:val="009E7DE4"/>
    <w:rsid w:val="009F1327"/>
    <w:rsid w:val="009F2764"/>
    <w:rsid w:val="00A05531"/>
    <w:rsid w:val="00A21017"/>
    <w:rsid w:val="00A248B9"/>
    <w:rsid w:val="00A24D36"/>
    <w:rsid w:val="00A30A27"/>
    <w:rsid w:val="00A30CDF"/>
    <w:rsid w:val="00A35B1B"/>
    <w:rsid w:val="00A3738A"/>
    <w:rsid w:val="00A46EF0"/>
    <w:rsid w:val="00A51CA3"/>
    <w:rsid w:val="00A560F1"/>
    <w:rsid w:val="00A56503"/>
    <w:rsid w:val="00A56E0E"/>
    <w:rsid w:val="00A573DB"/>
    <w:rsid w:val="00A85EEA"/>
    <w:rsid w:val="00A85FB0"/>
    <w:rsid w:val="00A868E6"/>
    <w:rsid w:val="00A92207"/>
    <w:rsid w:val="00AA0678"/>
    <w:rsid w:val="00AB56F9"/>
    <w:rsid w:val="00AB6A1A"/>
    <w:rsid w:val="00AB7616"/>
    <w:rsid w:val="00AC1458"/>
    <w:rsid w:val="00AC1D68"/>
    <w:rsid w:val="00AC2B15"/>
    <w:rsid w:val="00AC3E02"/>
    <w:rsid w:val="00AC5463"/>
    <w:rsid w:val="00AD7EC1"/>
    <w:rsid w:val="00AE606A"/>
    <w:rsid w:val="00AF1A9D"/>
    <w:rsid w:val="00B01A50"/>
    <w:rsid w:val="00B147E9"/>
    <w:rsid w:val="00B22AB5"/>
    <w:rsid w:val="00B27013"/>
    <w:rsid w:val="00B33397"/>
    <w:rsid w:val="00B41629"/>
    <w:rsid w:val="00B57451"/>
    <w:rsid w:val="00B819AA"/>
    <w:rsid w:val="00B8500E"/>
    <w:rsid w:val="00B97207"/>
    <w:rsid w:val="00BB381E"/>
    <w:rsid w:val="00BB6AEE"/>
    <w:rsid w:val="00BB7C48"/>
    <w:rsid w:val="00BB7F04"/>
    <w:rsid w:val="00BD15DF"/>
    <w:rsid w:val="00BD37D1"/>
    <w:rsid w:val="00BD3C27"/>
    <w:rsid w:val="00BD406A"/>
    <w:rsid w:val="00BD4E47"/>
    <w:rsid w:val="00BD5F76"/>
    <w:rsid w:val="00BE4B2B"/>
    <w:rsid w:val="00BE70A6"/>
    <w:rsid w:val="00BF6152"/>
    <w:rsid w:val="00BF757C"/>
    <w:rsid w:val="00C07806"/>
    <w:rsid w:val="00C07BD6"/>
    <w:rsid w:val="00C12802"/>
    <w:rsid w:val="00C204A7"/>
    <w:rsid w:val="00C248CA"/>
    <w:rsid w:val="00C25689"/>
    <w:rsid w:val="00C27B87"/>
    <w:rsid w:val="00C3611A"/>
    <w:rsid w:val="00C36ADE"/>
    <w:rsid w:val="00C41F51"/>
    <w:rsid w:val="00C50976"/>
    <w:rsid w:val="00C60DD7"/>
    <w:rsid w:val="00C656C9"/>
    <w:rsid w:val="00C679DD"/>
    <w:rsid w:val="00C7052C"/>
    <w:rsid w:val="00C706EF"/>
    <w:rsid w:val="00C72B17"/>
    <w:rsid w:val="00C749FD"/>
    <w:rsid w:val="00C761CE"/>
    <w:rsid w:val="00C83296"/>
    <w:rsid w:val="00C87A22"/>
    <w:rsid w:val="00CA01F9"/>
    <w:rsid w:val="00CA3567"/>
    <w:rsid w:val="00CA3B46"/>
    <w:rsid w:val="00CA673C"/>
    <w:rsid w:val="00CB3A51"/>
    <w:rsid w:val="00CB7667"/>
    <w:rsid w:val="00CC31C7"/>
    <w:rsid w:val="00CD1726"/>
    <w:rsid w:val="00CD5E47"/>
    <w:rsid w:val="00CD5EC5"/>
    <w:rsid w:val="00CD7B87"/>
    <w:rsid w:val="00CF2793"/>
    <w:rsid w:val="00D0183A"/>
    <w:rsid w:val="00D02BF3"/>
    <w:rsid w:val="00D052C7"/>
    <w:rsid w:val="00D067F9"/>
    <w:rsid w:val="00D14A6F"/>
    <w:rsid w:val="00D14BBF"/>
    <w:rsid w:val="00D208B9"/>
    <w:rsid w:val="00D22CE4"/>
    <w:rsid w:val="00D408E7"/>
    <w:rsid w:val="00D42492"/>
    <w:rsid w:val="00D46419"/>
    <w:rsid w:val="00D5427E"/>
    <w:rsid w:val="00D56F40"/>
    <w:rsid w:val="00D6474B"/>
    <w:rsid w:val="00D70A06"/>
    <w:rsid w:val="00D7372F"/>
    <w:rsid w:val="00D84A6D"/>
    <w:rsid w:val="00D86EA0"/>
    <w:rsid w:val="00D87AA3"/>
    <w:rsid w:val="00D90F63"/>
    <w:rsid w:val="00DA185F"/>
    <w:rsid w:val="00DA198F"/>
    <w:rsid w:val="00DA19DC"/>
    <w:rsid w:val="00DB6F43"/>
    <w:rsid w:val="00DB7615"/>
    <w:rsid w:val="00DC3162"/>
    <w:rsid w:val="00DC40DC"/>
    <w:rsid w:val="00DC644D"/>
    <w:rsid w:val="00DE49FF"/>
    <w:rsid w:val="00DE5D7A"/>
    <w:rsid w:val="00DE6EC2"/>
    <w:rsid w:val="00DE7222"/>
    <w:rsid w:val="00DF1181"/>
    <w:rsid w:val="00DF1719"/>
    <w:rsid w:val="00DF584E"/>
    <w:rsid w:val="00DF6429"/>
    <w:rsid w:val="00DF6BA9"/>
    <w:rsid w:val="00DF6F3C"/>
    <w:rsid w:val="00DF74D4"/>
    <w:rsid w:val="00E003F5"/>
    <w:rsid w:val="00E02DF1"/>
    <w:rsid w:val="00E06486"/>
    <w:rsid w:val="00E0683C"/>
    <w:rsid w:val="00E12C96"/>
    <w:rsid w:val="00E17453"/>
    <w:rsid w:val="00E2022B"/>
    <w:rsid w:val="00E21DA8"/>
    <w:rsid w:val="00E232F5"/>
    <w:rsid w:val="00E2534F"/>
    <w:rsid w:val="00E3082C"/>
    <w:rsid w:val="00E3138D"/>
    <w:rsid w:val="00E343B8"/>
    <w:rsid w:val="00E37BEA"/>
    <w:rsid w:val="00E41CB6"/>
    <w:rsid w:val="00E46A09"/>
    <w:rsid w:val="00E47A44"/>
    <w:rsid w:val="00E50BC5"/>
    <w:rsid w:val="00E50E6D"/>
    <w:rsid w:val="00E52C4A"/>
    <w:rsid w:val="00E5604B"/>
    <w:rsid w:val="00E6054B"/>
    <w:rsid w:val="00E60A6F"/>
    <w:rsid w:val="00E61F38"/>
    <w:rsid w:val="00E63CBA"/>
    <w:rsid w:val="00E664E7"/>
    <w:rsid w:val="00E71B19"/>
    <w:rsid w:val="00E7230A"/>
    <w:rsid w:val="00E74916"/>
    <w:rsid w:val="00E7547C"/>
    <w:rsid w:val="00E80176"/>
    <w:rsid w:val="00E805FD"/>
    <w:rsid w:val="00E823A1"/>
    <w:rsid w:val="00E83CA3"/>
    <w:rsid w:val="00E84A4E"/>
    <w:rsid w:val="00E9040A"/>
    <w:rsid w:val="00E956B1"/>
    <w:rsid w:val="00E96C1A"/>
    <w:rsid w:val="00EA06F7"/>
    <w:rsid w:val="00EA3C65"/>
    <w:rsid w:val="00EB4078"/>
    <w:rsid w:val="00EC4B3D"/>
    <w:rsid w:val="00EC7CB1"/>
    <w:rsid w:val="00ED39A2"/>
    <w:rsid w:val="00ED750F"/>
    <w:rsid w:val="00ED7DC0"/>
    <w:rsid w:val="00EE1095"/>
    <w:rsid w:val="00EE195D"/>
    <w:rsid w:val="00EE1DF7"/>
    <w:rsid w:val="00EE3614"/>
    <w:rsid w:val="00EE5378"/>
    <w:rsid w:val="00EE5849"/>
    <w:rsid w:val="00EE7417"/>
    <w:rsid w:val="00EE7DD8"/>
    <w:rsid w:val="00EF3E7A"/>
    <w:rsid w:val="00F06D7B"/>
    <w:rsid w:val="00F076C9"/>
    <w:rsid w:val="00F11884"/>
    <w:rsid w:val="00F126C8"/>
    <w:rsid w:val="00F1637D"/>
    <w:rsid w:val="00F164E2"/>
    <w:rsid w:val="00F3023D"/>
    <w:rsid w:val="00F31D86"/>
    <w:rsid w:val="00F32E57"/>
    <w:rsid w:val="00F37CDA"/>
    <w:rsid w:val="00F45132"/>
    <w:rsid w:val="00F47CE6"/>
    <w:rsid w:val="00F548DF"/>
    <w:rsid w:val="00F609D4"/>
    <w:rsid w:val="00F72E8E"/>
    <w:rsid w:val="00F75FFA"/>
    <w:rsid w:val="00F80B08"/>
    <w:rsid w:val="00F826CD"/>
    <w:rsid w:val="00F86738"/>
    <w:rsid w:val="00F90A1E"/>
    <w:rsid w:val="00F90B4A"/>
    <w:rsid w:val="00F9338C"/>
    <w:rsid w:val="00F95D01"/>
    <w:rsid w:val="00FA3233"/>
    <w:rsid w:val="00FA3D11"/>
    <w:rsid w:val="00FA4376"/>
    <w:rsid w:val="00FB2F4E"/>
    <w:rsid w:val="00FB419A"/>
    <w:rsid w:val="00FC0FDA"/>
    <w:rsid w:val="00FC1C88"/>
    <w:rsid w:val="00FC3486"/>
    <w:rsid w:val="00FD0595"/>
    <w:rsid w:val="00FD71F2"/>
    <w:rsid w:val="00FE3B12"/>
    <w:rsid w:val="00FF125B"/>
    <w:rsid w:val="00FF1970"/>
    <w:rsid w:val="00FF283A"/>
    <w:rsid w:val="00FF54F7"/>
    <w:rsid w:val="00FF6EAF"/>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2077"/>
  <w15:docId w15:val="{4BC3624C-D40F-43AA-A0CE-C23FD072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E85"/>
    <w:rPr>
      <w:rFonts w:ascii="Tahoma" w:eastAsia="Calibri" w:hAnsi="Tahoma" w:cs="Times New Roman"/>
      <w:sz w:val="20"/>
    </w:rPr>
  </w:style>
  <w:style w:type="paragraph" w:styleId="Heading1">
    <w:name w:val="heading 1"/>
    <w:basedOn w:val="Normal"/>
    <w:next w:val="Normal"/>
    <w:link w:val="Heading1Char"/>
    <w:uiPriority w:val="9"/>
    <w:qFormat/>
    <w:rsid w:val="007A76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76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76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1F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NormalWeb">
    <w:name w:val="Normal (Web)"/>
    <w:basedOn w:val="Normal"/>
    <w:uiPriority w:val="99"/>
    <w:unhideWhenUsed/>
    <w:rsid w:val="001B0E85"/>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1B0E85"/>
    <w:pPr>
      <w:jc w:val="center"/>
    </w:pPr>
    <w:rPr>
      <w:rFonts w:eastAsia="Times New Roman"/>
      <w:b/>
      <w:bCs/>
      <w:sz w:val="24"/>
      <w:szCs w:val="24"/>
      <w:lang w:val="en-GB"/>
    </w:rPr>
  </w:style>
  <w:style w:type="character" w:customStyle="1" w:styleId="TitleChar">
    <w:name w:val="Title Char"/>
    <w:basedOn w:val="DefaultParagraphFont"/>
    <w:link w:val="Title"/>
    <w:rsid w:val="001B0E85"/>
    <w:rPr>
      <w:rFonts w:ascii="Tahoma" w:eastAsia="Times New Roman" w:hAnsi="Tahoma" w:cs="Times New Roman"/>
      <w:b/>
      <w:bCs/>
      <w:sz w:val="24"/>
      <w:szCs w:val="24"/>
      <w:lang w:val="en-GB"/>
    </w:rPr>
  </w:style>
  <w:style w:type="paragraph" w:styleId="BodyText2">
    <w:name w:val="Body Text 2"/>
    <w:basedOn w:val="Normal"/>
    <w:link w:val="BodyText2Char"/>
    <w:rsid w:val="001B0E85"/>
    <w:pPr>
      <w:spacing w:line="360" w:lineRule="auto"/>
      <w:jc w:val="both"/>
    </w:pPr>
    <w:rPr>
      <w:rFonts w:eastAsia="Times New Roman"/>
      <w:szCs w:val="24"/>
      <w:lang w:val="en-GB"/>
    </w:rPr>
  </w:style>
  <w:style w:type="character" w:customStyle="1" w:styleId="BodyText2Char">
    <w:name w:val="Body Text 2 Char"/>
    <w:basedOn w:val="DefaultParagraphFont"/>
    <w:link w:val="BodyText2"/>
    <w:rsid w:val="001B0E85"/>
    <w:rPr>
      <w:rFonts w:ascii="Tahoma" w:eastAsia="Times New Roman" w:hAnsi="Tahoma" w:cs="Times New Roman"/>
      <w:sz w:val="20"/>
      <w:szCs w:val="24"/>
      <w:lang w:val="en-GB"/>
    </w:rPr>
  </w:style>
  <w:style w:type="paragraph" w:styleId="ListParagraph">
    <w:name w:val="List Paragraph"/>
    <w:basedOn w:val="Normal"/>
    <w:uiPriority w:val="34"/>
    <w:qFormat/>
    <w:rsid w:val="001B0E85"/>
    <w:pPr>
      <w:spacing w:after="200" w:line="276" w:lineRule="auto"/>
      <w:ind w:left="720"/>
      <w:contextualSpacing/>
    </w:pPr>
    <w:rPr>
      <w:rFonts w:ascii="Calibri" w:hAnsi="Calibri"/>
      <w:sz w:val="22"/>
      <w:lang w:val="en-IE"/>
    </w:rPr>
  </w:style>
  <w:style w:type="character" w:styleId="CommentReference">
    <w:name w:val="annotation reference"/>
    <w:basedOn w:val="DefaultParagraphFont"/>
    <w:uiPriority w:val="99"/>
    <w:semiHidden/>
    <w:unhideWhenUsed/>
    <w:rsid w:val="00CC31C7"/>
    <w:rPr>
      <w:sz w:val="16"/>
      <w:szCs w:val="16"/>
    </w:rPr>
  </w:style>
  <w:style w:type="paragraph" w:styleId="CommentText">
    <w:name w:val="annotation text"/>
    <w:basedOn w:val="Normal"/>
    <w:link w:val="CommentTextChar"/>
    <w:uiPriority w:val="99"/>
    <w:unhideWhenUsed/>
    <w:rsid w:val="00CC31C7"/>
    <w:rPr>
      <w:szCs w:val="20"/>
    </w:rPr>
  </w:style>
  <w:style w:type="character" w:customStyle="1" w:styleId="CommentTextChar">
    <w:name w:val="Comment Text Char"/>
    <w:basedOn w:val="DefaultParagraphFont"/>
    <w:link w:val="CommentText"/>
    <w:uiPriority w:val="99"/>
    <w:rsid w:val="00CC31C7"/>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C31C7"/>
    <w:rPr>
      <w:b/>
      <w:bCs/>
    </w:rPr>
  </w:style>
  <w:style w:type="character" w:customStyle="1" w:styleId="CommentSubjectChar">
    <w:name w:val="Comment Subject Char"/>
    <w:basedOn w:val="CommentTextChar"/>
    <w:link w:val="CommentSubject"/>
    <w:uiPriority w:val="99"/>
    <w:semiHidden/>
    <w:rsid w:val="00CC31C7"/>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C31C7"/>
    <w:rPr>
      <w:rFonts w:cs="Tahoma"/>
      <w:sz w:val="16"/>
      <w:szCs w:val="16"/>
    </w:rPr>
  </w:style>
  <w:style w:type="character" w:customStyle="1" w:styleId="BalloonTextChar">
    <w:name w:val="Balloon Text Char"/>
    <w:basedOn w:val="DefaultParagraphFont"/>
    <w:link w:val="BalloonText"/>
    <w:uiPriority w:val="99"/>
    <w:semiHidden/>
    <w:rsid w:val="00CC31C7"/>
    <w:rPr>
      <w:rFonts w:ascii="Tahoma" w:eastAsia="Calibri" w:hAnsi="Tahoma" w:cs="Tahoma"/>
      <w:sz w:val="16"/>
      <w:szCs w:val="16"/>
    </w:rPr>
  </w:style>
  <w:style w:type="paragraph" w:customStyle="1" w:styleId="StyleBoxSinglesolidlineAuto05ptLinewidth">
    <w:name w:val="Style Box: (Single solid line Auto  0.5 pt Line width)"/>
    <w:basedOn w:val="Normal"/>
    <w:rsid w:val="00D14BBF"/>
    <w:pPr>
      <w:pBdr>
        <w:top w:val="single" w:sz="4" w:space="1" w:color="auto"/>
        <w:left w:val="single" w:sz="4" w:space="4" w:color="auto"/>
        <w:bottom w:val="single" w:sz="4" w:space="1" w:color="auto"/>
        <w:right w:val="single" w:sz="4" w:space="4" w:color="auto"/>
      </w:pBdr>
      <w:spacing w:after="120" w:line="312" w:lineRule="auto"/>
    </w:pPr>
    <w:rPr>
      <w:rFonts w:ascii="Calibri" w:eastAsia="ヒラギノ角ゴ Pro W3" w:hAnsi="Calibri"/>
      <w:color w:val="000000"/>
      <w:szCs w:val="24"/>
      <w:lang w:val="en-GB"/>
    </w:rPr>
  </w:style>
  <w:style w:type="paragraph" w:styleId="ListBullet">
    <w:name w:val="List Bullet"/>
    <w:basedOn w:val="Normal"/>
    <w:autoRedefine/>
    <w:uiPriority w:val="99"/>
    <w:rsid w:val="00D14BBF"/>
    <w:pPr>
      <w:numPr>
        <w:numId w:val="13"/>
      </w:numPr>
      <w:tabs>
        <w:tab w:val="clear" w:pos="720"/>
      </w:tabs>
      <w:spacing w:after="120"/>
      <w:ind w:left="360"/>
    </w:pPr>
    <w:rPr>
      <w:rFonts w:ascii="Arial" w:eastAsia="Arial Unicode MS" w:hAnsi="Arial"/>
      <w:szCs w:val="20"/>
      <w:lang w:val="en-GB"/>
    </w:rPr>
  </w:style>
  <w:style w:type="paragraph" w:styleId="BodyText">
    <w:name w:val="Body Text"/>
    <w:basedOn w:val="Normal"/>
    <w:link w:val="BodyTextChar"/>
    <w:uiPriority w:val="99"/>
    <w:semiHidden/>
    <w:unhideWhenUsed/>
    <w:rsid w:val="00E71B19"/>
    <w:pPr>
      <w:spacing w:after="120"/>
    </w:pPr>
  </w:style>
  <w:style w:type="character" w:customStyle="1" w:styleId="BodyTextChar">
    <w:name w:val="Body Text Char"/>
    <w:basedOn w:val="DefaultParagraphFont"/>
    <w:link w:val="BodyText"/>
    <w:uiPriority w:val="99"/>
    <w:semiHidden/>
    <w:rsid w:val="00E71B19"/>
    <w:rPr>
      <w:rFonts w:ascii="Tahoma" w:eastAsia="Calibri" w:hAnsi="Tahoma" w:cs="Times New Roman"/>
      <w:sz w:val="20"/>
    </w:rPr>
  </w:style>
  <w:style w:type="table" w:styleId="TableGrid">
    <w:name w:val="Table Grid"/>
    <w:basedOn w:val="TableNormal"/>
    <w:uiPriority w:val="59"/>
    <w:rsid w:val="00E71B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719"/>
    <w:pPr>
      <w:autoSpaceDE w:val="0"/>
      <w:autoSpaceDN w:val="0"/>
      <w:adjustRightInd w:val="0"/>
    </w:pPr>
    <w:rPr>
      <w:rFonts w:ascii="Arial" w:hAnsi="Arial" w:cs="Arial"/>
      <w:color w:val="000000"/>
      <w:sz w:val="24"/>
      <w:szCs w:val="24"/>
      <w:lang w:val="en-IE"/>
    </w:rPr>
  </w:style>
  <w:style w:type="character" w:styleId="Hyperlink">
    <w:name w:val="Hyperlink"/>
    <w:aliases w:val="Verzeichnis 1 RTX"/>
    <w:uiPriority w:val="99"/>
    <w:rsid w:val="00AB7616"/>
    <w:rPr>
      <w:color w:val="0000FF"/>
      <w:u w:val="single"/>
    </w:rPr>
  </w:style>
  <w:style w:type="paragraph" w:styleId="Revision">
    <w:name w:val="Revision"/>
    <w:hidden/>
    <w:uiPriority w:val="99"/>
    <w:semiHidden/>
    <w:rsid w:val="00E3082C"/>
    <w:rPr>
      <w:rFonts w:ascii="Tahoma" w:eastAsia="Calibri" w:hAnsi="Tahoma" w:cs="Times New Roman"/>
      <w:sz w:val="20"/>
    </w:rPr>
  </w:style>
  <w:style w:type="paragraph" w:styleId="Header">
    <w:name w:val="header"/>
    <w:basedOn w:val="Normal"/>
    <w:link w:val="HeaderChar"/>
    <w:uiPriority w:val="99"/>
    <w:unhideWhenUsed/>
    <w:rsid w:val="00FE3B12"/>
    <w:pPr>
      <w:tabs>
        <w:tab w:val="center" w:pos="4513"/>
        <w:tab w:val="right" w:pos="9026"/>
      </w:tabs>
    </w:pPr>
  </w:style>
  <w:style w:type="character" w:customStyle="1" w:styleId="HeaderChar">
    <w:name w:val="Header Char"/>
    <w:basedOn w:val="DefaultParagraphFont"/>
    <w:link w:val="Header"/>
    <w:uiPriority w:val="99"/>
    <w:rsid w:val="00FE3B12"/>
    <w:rPr>
      <w:rFonts w:ascii="Tahoma" w:eastAsia="Calibri" w:hAnsi="Tahoma" w:cs="Times New Roman"/>
      <w:sz w:val="20"/>
    </w:rPr>
  </w:style>
  <w:style w:type="paragraph" w:styleId="Footer">
    <w:name w:val="footer"/>
    <w:basedOn w:val="Normal"/>
    <w:link w:val="FooterChar"/>
    <w:uiPriority w:val="99"/>
    <w:unhideWhenUsed/>
    <w:rsid w:val="00FE3B12"/>
    <w:pPr>
      <w:tabs>
        <w:tab w:val="center" w:pos="4513"/>
        <w:tab w:val="right" w:pos="9026"/>
      </w:tabs>
    </w:pPr>
  </w:style>
  <w:style w:type="character" w:customStyle="1" w:styleId="FooterChar">
    <w:name w:val="Footer Char"/>
    <w:basedOn w:val="DefaultParagraphFont"/>
    <w:link w:val="Footer"/>
    <w:uiPriority w:val="99"/>
    <w:rsid w:val="00FE3B12"/>
    <w:rPr>
      <w:rFonts w:ascii="Tahoma" w:eastAsia="Calibri" w:hAnsi="Tahoma" w:cs="Times New Roman"/>
      <w:sz w:val="20"/>
    </w:rPr>
  </w:style>
  <w:style w:type="character" w:customStyle="1" w:styleId="personname">
    <w:name w:val="person_name"/>
    <w:basedOn w:val="DefaultParagraphFont"/>
    <w:rsid w:val="00FD0595"/>
  </w:style>
  <w:style w:type="character" w:customStyle="1" w:styleId="Heading1Char">
    <w:name w:val="Heading 1 Char"/>
    <w:basedOn w:val="DefaultParagraphFont"/>
    <w:link w:val="Heading1"/>
    <w:uiPriority w:val="9"/>
    <w:rsid w:val="007A76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A76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A7638"/>
    <w:rPr>
      <w:rFonts w:asciiTheme="majorHAnsi" w:eastAsiaTheme="majorEastAsia" w:hAnsiTheme="majorHAnsi" w:cstheme="majorBidi"/>
      <w:color w:val="243F60" w:themeColor="accent1" w:themeShade="7F"/>
      <w:sz w:val="24"/>
      <w:szCs w:val="24"/>
    </w:rPr>
  </w:style>
  <w:style w:type="character" w:customStyle="1" w:styleId="header-line-3">
    <w:name w:val="header-line-3"/>
    <w:rsid w:val="00207956"/>
  </w:style>
  <w:style w:type="character" w:customStyle="1" w:styleId="tgc">
    <w:name w:val="_tgc"/>
    <w:rsid w:val="00207956"/>
  </w:style>
  <w:style w:type="character" w:customStyle="1" w:styleId="Heading4Char">
    <w:name w:val="Heading 4 Char"/>
    <w:basedOn w:val="DefaultParagraphFont"/>
    <w:link w:val="Heading4"/>
    <w:uiPriority w:val="9"/>
    <w:rsid w:val="00E61F38"/>
    <w:rPr>
      <w:rFonts w:asciiTheme="majorHAnsi" w:eastAsiaTheme="majorEastAsia" w:hAnsiTheme="majorHAnsi" w:cstheme="majorBidi"/>
      <w:i/>
      <w:iCs/>
      <w:color w:val="365F91" w:themeColor="accent1" w:themeShade="BF"/>
      <w:sz w:val="20"/>
    </w:rPr>
  </w:style>
  <w:style w:type="character" w:styleId="UnresolvedMention">
    <w:name w:val="Unresolved Mention"/>
    <w:basedOn w:val="DefaultParagraphFont"/>
    <w:uiPriority w:val="99"/>
    <w:semiHidden/>
    <w:unhideWhenUsed/>
    <w:rsid w:val="005B48CA"/>
    <w:rPr>
      <w:color w:val="605E5C"/>
      <w:shd w:val="clear" w:color="auto" w:fill="E1DFDD"/>
    </w:rPr>
  </w:style>
  <w:style w:type="character" w:styleId="FollowedHyperlink">
    <w:name w:val="FollowedHyperlink"/>
    <w:basedOn w:val="DefaultParagraphFont"/>
    <w:uiPriority w:val="99"/>
    <w:semiHidden/>
    <w:unhideWhenUsed/>
    <w:rsid w:val="00A21017"/>
    <w:rPr>
      <w:color w:val="800080" w:themeColor="followedHyperlink"/>
      <w:u w:val="single"/>
    </w:rPr>
  </w:style>
  <w:style w:type="paragraph" w:customStyle="1" w:styleId="HRBText">
    <w:name w:val="HRB_Text"/>
    <w:basedOn w:val="Normal"/>
    <w:link w:val="HRBTextChar"/>
    <w:uiPriority w:val="15"/>
    <w:qFormat/>
    <w:rsid w:val="00C749FD"/>
    <w:pPr>
      <w:spacing w:after="120" w:line="276" w:lineRule="auto"/>
    </w:pPr>
    <w:rPr>
      <w:rFonts w:ascii="Calibri" w:eastAsiaTheme="minorHAnsi" w:hAnsi="Calibri" w:cstheme="minorBidi"/>
      <w:sz w:val="22"/>
      <w:lang w:val="en-IE"/>
    </w:rPr>
  </w:style>
  <w:style w:type="character" w:customStyle="1" w:styleId="HRBTextChar">
    <w:name w:val="HRB_Text Char"/>
    <w:basedOn w:val="DefaultParagraphFont"/>
    <w:link w:val="HRBText"/>
    <w:uiPriority w:val="15"/>
    <w:rsid w:val="00C749FD"/>
    <w:rPr>
      <w:rFonts w:ascii="Calibri" w:hAnsi="Calibri"/>
      <w:lang w:val="en-IE"/>
    </w:rPr>
  </w:style>
  <w:style w:type="paragraph" w:customStyle="1" w:styleId="HRBBulletTextL1-6">
    <w:name w:val="HRB_Bullet Text_L1-6"/>
    <w:basedOn w:val="Normal"/>
    <w:link w:val="HRBBulletTextL1-6Char"/>
    <w:uiPriority w:val="16"/>
    <w:qFormat/>
    <w:locked/>
    <w:rsid w:val="00332C3B"/>
    <w:pPr>
      <w:numPr>
        <w:numId w:val="28"/>
      </w:numPr>
      <w:spacing w:after="120" w:line="276" w:lineRule="auto"/>
    </w:pPr>
    <w:rPr>
      <w:rFonts w:ascii="Calibri" w:eastAsiaTheme="minorHAnsi" w:hAnsi="Calibri" w:cstheme="minorBidi"/>
      <w:sz w:val="22"/>
      <w:lang w:val="en-IE"/>
    </w:rPr>
  </w:style>
  <w:style w:type="character" w:customStyle="1" w:styleId="HRBBulletTextL1-6Char">
    <w:name w:val="HRB_Bullet Text_L1-6 Char"/>
    <w:basedOn w:val="DefaultParagraphFont"/>
    <w:link w:val="HRBBulletTextL1-6"/>
    <w:uiPriority w:val="16"/>
    <w:rsid w:val="00332C3B"/>
    <w:rPr>
      <w:rFonts w:ascii="Calibri" w:hAnsi="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1545">
      <w:bodyDiv w:val="1"/>
      <w:marLeft w:val="0"/>
      <w:marRight w:val="0"/>
      <w:marTop w:val="0"/>
      <w:marBottom w:val="0"/>
      <w:divBdr>
        <w:top w:val="none" w:sz="0" w:space="0" w:color="auto"/>
        <w:left w:val="none" w:sz="0" w:space="0" w:color="auto"/>
        <w:bottom w:val="none" w:sz="0" w:space="0" w:color="auto"/>
        <w:right w:val="none" w:sz="0" w:space="0" w:color="auto"/>
      </w:divBdr>
      <w:divsChild>
        <w:div w:id="1748845716">
          <w:marLeft w:val="0"/>
          <w:marRight w:val="0"/>
          <w:marTop w:val="0"/>
          <w:marBottom w:val="0"/>
          <w:divBdr>
            <w:top w:val="none" w:sz="0" w:space="0" w:color="auto"/>
            <w:left w:val="none" w:sz="0" w:space="0" w:color="auto"/>
            <w:bottom w:val="none" w:sz="0" w:space="0" w:color="auto"/>
            <w:right w:val="none" w:sz="0" w:space="0" w:color="auto"/>
          </w:divBdr>
          <w:divsChild>
            <w:div w:id="239171582">
              <w:marLeft w:val="0"/>
              <w:marRight w:val="0"/>
              <w:marTop w:val="0"/>
              <w:marBottom w:val="0"/>
              <w:divBdr>
                <w:top w:val="none" w:sz="0" w:space="0" w:color="auto"/>
                <w:left w:val="none" w:sz="0" w:space="0" w:color="auto"/>
                <w:bottom w:val="none" w:sz="0" w:space="0" w:color="auto"/>
                <w:right w:val="none" w:sz="0" w:space="0" w:color="auto"/>
              </w:divBdr>
              <w:divsChild>
                <w:div w:id="1330475600">
                  <w:marLeft w:val="0"/>
                  <w:marRight w:val="0"/>
                  <w:marTop w:val="0"/>
                  <w:marBottom w:val="0"/>
                  <w:divBdr>
                    <w:top w:val="none" w:sz="0" w:space="0" w:color="auto"/>
                    <w:left w:val="none" w:sz="0" w:space="0" w:color="auto"/>
                    <w:bottom w:val="none" w:sz="0" w:space="0" w:color="auto"/>
                    <w:right w:val="none" w:sz="0" w:space="0" w:color="auto"/>
                  </w:divBdr>
                  <w:divsChild>
                    <w:div w:id="1136407271">
                      <w:marLeft w:val="0"/>
                      <w:marRight w:val="0"/>
                      <w:marTop w:val="0"/>
                      <w:marBottom w:val="0"/>
                      <w:divBdr>
                        <w:top w:val="none" w:sz="0" w:space="0" w:color="auto"/>
                        <w:left w:val="none" w:sz="0" w:space="0" w:color="auto"/>
                        <w:bottom w:val="none" w:sz="0" w:space="0" w:color="auto"/>
                        <w:right w:val="none" w:sz="0" w:space="0" w:color="auto"/>
                      </w:divBdr>
                      <w:divsChild>
                        <w:div w:id="967126084">
                          <w:marLeft w:val="0"/>
                          <w:marRight w:val="0"/>
                          <w:marTop w:val="0"/>
                          <w:marBottom w:val="0"/>
                          <w:divBdr>
                            <w:top w:val="none" w:sz="0" w:space="0" w:color="auto"/>
                            <w:left w:val="none" w:sz="0" w:space="0" w:color="auto"/>
                            <w:bottom w:val="none" w:sz="0" w:space="0" w:color="auto"/>
                            <w:right w:val="none" w:sz="0" w:space="0" w:color="auto"/>
                          </w:divBdr>
                          <w:divsChild>
                            <w:div w:id="1884367726">
                              <w:marLeft w:val="0"/>
                              <w:marRight w:val="0"/>
                              <w:marTop w:val="0"/>
                              <w:marBottom w:val="0"/>
                              <w:divBdr>
                                <w:top w:val="none" w:sz="0" w:space="0" w:color="auto"/>
                                <w:left w:val="none" w:sz="0" w:space="0" w:color="auto"/>
                                <w:bottom w:val="none" w:sz="0" w:space="0" w:color="auto"/>
                                <w:right w:val="none" w:sz="0" w:space="0" w:color="auto"/>
                              </w:divBdr>
                              <w:divsChild>
                                <w:div w:id="1477843926">
                                  <w:marLeft w:val="0"/>
                                  <w:marRight w:val="0"/>
                                  <w:marTop w:val="0"/>
                                  <w:marBottom w:val="0"/>
                                  <w:divBdr>
                                    <w:top w:val="none" w:sz="0" w:space="0" w:color="auto"/>
                                    <w:left w:val="none" w:sz="0" w:space="0" w:color="auto"/>
                                    <w:bottom w:val="none" w:sz="0" w:space="0" w:color="auto"/>
                                    <w:right w:val="none" w:sz="0" w:space="0" w:color="auto"/>
                                  </w:divBdr>
                                  <w:divsChild>
                                    <w:div w:id="2060936238">
                                      <w:marLeft w:val="0"/>
                                      <w:marRight w:val="0"/>
                                      <w:marTop w:val="0"/>
                                      <w:marBottom w:val="0"/>
                                      <w:divBdr>
                                        <w:top w:val="none" w:sz="0" w:space="0" w:color="auto"/>
                                        <w:left w:val="none" w:sz="0" w:space="0" w:color="auto"/>
                                        <w:bottom w:val="none" w:sz="0" w:space="0" w:color="auto"/>
                                        <w:right w:val="none" w:sz="0" w:space="0" w:color="auto"/>
                                      </w:divBdr>
                                      <w:divsChild>
                                        <w:div w:id="1136608764">
                                          <w:marLeft w:val="0"/>
                                          <w:marRight w:val="0"/>
                                          <w:marTop w:val="0"/>
                                          <w:marBottom w:val="0"/>
                                          <w:divBdr>
                                            <w:top w:val="none" w:sz="0" w:space="0" w:color="auto"/>
                                            <w:left w:val="none" w:sz="0" w:space="0" w:color="auto"/>
                                            <w:bottom w:val="none" w:sz="0" w:space="0" w:color="auto"/>
                                            <w:right w:val="none" w:sz="0" w:space="0" w:color="auto"/>
                                          </w:divBdr>
                                          <w:divsChild>
                                            <w:div w:id="1227374601">
                                              <w:marLeft w:val="0"/>
                                              <w:marRight w:val="0"/>
                                              <w:marTop w:val="0"/>
                                              <w:marBottom w:val="0"/>
                                              <w:divBdr>
                                                <w:top w:val="none" w:sz="0" w:space="0" w:color="auto"/>
                                                <w:left w:val="none" w:sz="0" w:space="0" w:color="auto"/>
                                                <w:bottom w:val="none" w:sz="0" w:space="0" w:color="auto"/>
                                                <w:right w:val="none" w:sz="0" w:space="0" w:color="auto"/>
                                              </w:divBdr>
                                              <w:divsChild>
                                                <w:div w:id="1422068982">
                                                  <w:marLeft w:val="0"/>
                                                  <w:marRight w:val="0"/>
                                                  <w:marTop w:val="0"/>
                                                  <w:marBottom w:val="0"/>
                                                  <w:divBdr>
                                                    <w:top w:val="none" w:sz="0" w:space="0" w:color="auto"/>
                                                    <w:left w:val="none" w:sz="0" w:space="0" w:color="auto"/>
                                                    <w:bottom w:val="none" w:sz="0" w:space="0" w:color="auto"/>
                                                    <w:right w:val="none" w:sz="0" w:space="0" w:color="auto"/>
                                                  </w:divBdr>
                                                  <w:divsChild>
                                                    <w:div w:id="946356134">
                                                      <w:marLeft w:val="0"/>
                                                      <w:marRight w:val="0"/>
                                                      <w:marTop w:val="0"/>
                                                      <w:marBottom w:val="0"/>
                                                      <w:divBdr>
                                                        <w:top w:val="none" w:sz="0" w:space="0" w:color="auto"/>
                                                        <w:left w:val="none" w:sz="0" w:space="0" w:color="auto"/>
                                                        <w:bottom w:val="none" w:sz="0" w:space="0" w:color="auto"/>
                                                        <w:right w:val="none" w:sz="0" w:space="0" w:color="auto"/>
                                                      </w:divBdr>
                                                    </w:div>
                                                    <w:div w:id="17939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798066">
      <w:bodyDiv w:val="1"/>
      <w:marLeft w:val="0"/>
      <w:marRight w:val="0"/>
      <w:marTop w:val="0"/>
      <w:marBottom w:val="0"/>
      <w:divBdr>
        <w:top w:val="none" w:sz="0" w:space="0" w:color="auto"/>
        <w:left w:val="none" w:sz="0" w:space="0" w:color="auto"/>
        <w:bottom w:val="none" w:sz="0" w:space="0" w:color="auto"/>
        <w:right w:val="none" w:sz="0" w:space="0" w:color="auto"/>
      </w:divBdr>
    </w:div>
    <w:div w:id="935018463">
      <w:bodyDiv w:val="1"/>
      <w:marLeft w:val="0"/>
      <w:marRight w:val="0"/>
      <w:marTop w:val="0"/>
      <w:marBottom w:val="0"/>
      <w:divBdr>
        <w:top w:val="none" w:sz="0" w:space="0" w:color="auto"/>
        <w:left w:val="none" w:sz="0" w:space="0" w:color="auto"/>
        <w:bottom w:val="none" w:sz="0" w:space="0" w:color="auto"/>
        <w:right w:val="none" w:sz="0" w:space="0" w:color="auto"/>
      </w:divBdr>
      <w:divsChild>
        <w:div w:id="1826775752">
          <w:marLeft w:val="0"/>
          <w:marRight w:val="0"/>
          <w:marTop w:val="0"/>
          <w:marBottom w:val="0"/>
          <w:divBdr>
            <w:top w:val="none" w:sz="0" w:space="0" w:color="auto"/>
            <w:left w:val="none" w:sz="0" w:space="0" w:color="auto"/>
            <w:bottom w:val="none" w:sz="0" w:space="0" w:color="auto"/>
            <w:right w:val="none" w:sz="0" w:space="0" w:color="auto"/>
          </w:divBdr>
          <w:divsChild>
            <w:div w:id="973363589">
              <w:marLeft w:val="0"/>
              <w:marRight w:val="0"/>
              <w:marTop w:val="0"/>
              <w:marBottom w:val="0"/>
              <w:divBdr>
                <w:top w:val="none" w:sz="0" w:space="0" w:color="auto"/>
                <w:left w:val="none" w:sz="0" w:space="0" w:color="auto"/>
                <w:bottom w:val="none" w:sz="0" w:space="0" w:color="auto"/>
                <w:right w:val="none" w:sz="0" w:space="0" w:color="auto"/>
              </w:divBdr>
              <w:divsChild>
                <w:div w:id="103158850">
                  <w:marLeft w:val="0"/>
                  <w:marRight w:val="0"/>
                  <w:marTop w:val="0"/>
                  <w:marBottom w:val="0"/>
                  <w:divBdr>
                    <w:top w:val="none" w:sz="0" w:space="0" w:color="auto"/>
                    <w:left w:val="none" w:sz="0" w:space="0" w:color="auto"/>
                    <w:bottom w:val="none" w:sz="0" w:space="0" w:color="auto"/>
                    <w:right w:val="none" w:sz="0" w:space="0" w:color="auto"/>
                  </w:divBdr>
                  <w:divsChild>
                    <w:div w:id="2075538839">
                      <w:marLeft w:val="0"/>
                      <w:marRight w:val="0"/>
                      <w:marTop w:val="0"/>
                      <w:marBottom w:val="0"/>
                      <w:divBdr>
                        <w:top w:val="none" w:sz="0" w:space="0" w:color="auto"/>
                        <w:left w:val="none" w:sz="0" w:space="0" w:color="auto"/>
                        <w:bottom w:val="none" w:sz="0" w:space="0" w:color="auto"/>
                        <w:right w:val="none" w:sz="0" w:space="0" w:color="auto"/>
                      </w:divBdr>
                      <w:divsChild>
                        <w:div w:id="1545436706">
                          <w:marLeft w:val="0"/>
                          <w:marRight w:val="0"/>
                          <w:marTop w:val="0"/>
                          <w:marBottom w:val="0"/>
                          <w:divBdr>
                            <w:top w:val="none" w:sz="0" w:space="0" w:color="auto"/>
                            <w:left w:val="none" w:sz="0" w:space="0" w:color="auto"/>
                            <w:bottom w:val="none" w:sz="0" w:space="0" w:color="auto"/>
                            <w:right w:val="none" w:sz="0" w:space="0" w:color="auto"/>
                          </w:divBdr>
                          <w:divsChild>
                            <w:div w:id="492380064">
                              <w:marLeft w:val="0"/>
                              <w:marRight w:val="0"/>
                              <w:marTop w:val="0"/>
                              <w:marBottom w:val="0"/>
                              <w:divBdr>
                                <w:top w:val="none" w:sz="0" w:space="0" w:color="auto"/>
                                <w:left w:val="none" w:sz="0" w:space="0" w:color="auto"/>
                                <w:bottom w:val="none" w:sz="0" w:space="0" w:color="auto"/>
                                <w:right w:val="none" w:sz="0" w:space="0" w:color="auto"/>
                              </w:divBdr>
                              <w:divsChild>
                                <w:div w:id="823736375">
                                  <w:marLeft w:val="0"/>
                                  <w:marRight w:val="0"/>
                                  <w:marTop w:val="0"/>
                                  <w:marBottom w:val="0"/>
                                  <w:divBdr>
                                    <w:top w:val="none" w:sz="0" w:space="0" w:color="auto"/>
                                    <w:left w:val="none" w:sz="0" w:space="0" w:color="auto"/>
                                    <w:bottom w:val="none" w:sz="0" w:space="0" w:color="auto"/>
                                    <w:right w:val="none" w:sz="0" w:space="0" w:color="auto"/>
                                  </w:divBdr>
                                  <w:divsChild>
                                    <w:div w:id="1454137302">
                                      <w:marLeft w:val="0"/>
                                      <w:marRight w:val="0"/>
                                      <w:marTop w:val="0"/>
                                      <w:marBottom w:val="0"/>
                                      <w:divBdr>
                                        <w:top w:val="none" w:sz="0" w:space="0" w:color="auto"/>
                                        <w:left w:val="none" w:sz="0" w:space="0" w:color="auto"/>
                                        <w:bottom w:val="none" w:sz="0" w:space="0" w:color="auto"/>
                                        <w:right w:val="none" w:sz="0" w:space="0" w:color="auto"/>
                                      </w:divBdr>
                                      <w:divsChild>
                                        <w:div w:id="252016120">
                                          <w:marLeft w:val="0"/>
                                          <w:marRight w:val="0"/>
                                          <w:marTop w:val="0"/>
                                          <w:marBottom w:val="0"/>
                                          <w:divBdr>
                                            <w:top w:val="none" w:sz="0" w:space="0" w:color="auto"/>
                                            <w:left w:val="none" w:sz="0" w:space="0" w:color="auto"/>
                                            <w:bottom w:val="none" w:sz="0" w:space="0" w:color="auto"/>
                                            <w:right w:val="none" w:sz="0" w:space="0" w:color="auto"/>
                                          </w:divBdr>
                                          <w:divsChild>
                                            <w:div w:id="2006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29343">
      <w:bodyDiv w:val="1"/>
      <w:marLeft w:val="0"/>
      <w:marRight w:val="0"/>
      <w:marTop w:val="0"/>
      <w:marBottom w:val="0"/>
      <w:divBdr>
        <w:top w:val="none" w:sz="0" w:space="0" w:color="auto"/>
        <w:left w:val="none" w:sz="0" w:space="0" w:color="auto"/>
        <w:bottom w:val="none" w:sz="0" w:space="0" w:color="auto"/>
        <w:right w:val="none" w:sz="0" w:space="0" w:color="auto"/>
      </w:divBdr>
      <w:divsChild>
        <w:div w:id="507137935">
          <w:marLeft w:val="547"/>
          <w:marRight w:val="0"/>
          <w:marTop w:val="0"/>
          <w:marBottom w:val="0"/>
          <w:divBdr>
            <w:top w:val="none" w:sz="0" w:space="0" w:color="auto"/>
            <w:left w:val="none" w:sz="0" w:space="0" w:color="auto"/>
            <w:bottom w:val="none" w:sz="0" w:space="0" w:color="auto"/>
            <w:right w:val="none" w:sz="0" w:space="0" w:color="auto"/>
          </w:divBdr>
        </w:div>
      </w:divsChild>
    </w:div>
    <w:div w:id="1566800516">
      <w:bodyDiv w:val="1"/>
      <w:marLeft w:val="0"/>
      <w:marRight w:val="0"/>
      <w:marTop w:val="0"/>
      <w:marBottom w:val="0"/>
      <w:divBdr>
        <w:top w:val="none" w:sz="0" w:space="0" w:color="auto"/>
        <w:left w:val="none" w:sz="0" w:space="0" w:color="auto"/>
        <w:bottom w:val="none" w:sz="0" w:space="0" w:color="auto"/>
        <w:right w:val="none" w:sz="0" w:space="0" w:color="auto"/>
      </w:divBdr>
      <w:divsChild>
        <w:div w:id="9257707">
          <w:marLeft w:val="0"/>
          <w:marRight w:val="0"/>
          <w:marTop w:val="0"/>
          <w:marBottom w:val="0"/>
          <w:divBdr>
            <w:top w:val="none" w:sz="0" w:space="0" w:color="auto"/>
            <w:left w:val="none" w:sz="0" w:space="0" w:color="auto"/>
            <w:bottom w:val="none" w:sz="0" w:space="0" w:color="auto"/>
            <w:right w:val="none" w:sz="0" w:space="0" w:color="auto"/>
          </w:divBdr>
          <w:divsChild>
            <w:div w:id="1080177461">
              <w:marLeft w:val="0"/>
              <w:marRight w:val="0"/>
              <w:marTop w:val="0"/>
              <w:marBottom w:val="0"/>
              <w:divBdr>
                <w:top w:val="none" w:sz="0" w:space="0" w:color="auto"/>
                <w:left w:val="none" w:sz="0" w:space="0" w:color="auto"/>
                <w:bottom w:val="none" w:sz="0" w:space="0" w:color="auto"/>
                <w:right w:val="none" w:sz="0" w:space="0" w:color="auto"/>
              </w:divBdr>
              <w:divsChild>
                <w:div w:id="1470443048">
                  <w:marLeft w:val="0"/>
                  <w:marRight w:val="0"/>
                  <w:marTop w:val="0"/>
                  <w:marBottom w:val="0"/>
                  <w:divBdr>
                    <w:top w:val="none" w:sz="0" w:space="0" w:color="auto"/>
                    <w:left w:val="none" w:sz="0" w:space="0" w:color="auto"/>
                    <w:bottom w:val="none" w:sz="0" w:space="0" w:color="auto"/>
                    <w:right w:val="none" w:sz="0" w:space="0" w:color="auto"/>
                  </w:divBdr>
                  <w:divsChild>
                    <w:div w:id="403994358">
                      <w:marLeft w:val="0"/>
                      <w:marRight w:val="0"/>
                      <w:marTop w:val="0"/>
                      <w:marBottom w:val="0"/>
                      <w:divBdr>
                        <w:top w:val="none" w:sz="0" w:space="0" w:color="auto"/>
                        <w:left w:val="none" w:sz="0" w:space="0" w:color="auto"/>
                        <w:bottom w:val="none" w:sz="0" w:space="0" w:color="auto"/>
                        <w:right w:val="none" w:sz="0" w:space="0" w:color="auto"/>
                      </w:divBdr>
                      <w:divsChild>
                        <w:div w:id="806165463">
                          <w:marLeft w:val="0"/>
                          <w:marRight w:val="0"/>
                          <w:marTop w:val="0"/>
                          <w:marBottom w:val="0"/>
                          <w:divBdr>
                            <w:top w:val="none" w:sz="0" w:space="0" w:color="auto"/>
                            <w:left w:val="none" w:sz="0" w:space="0" w:color="auto"/>
                            <w:bottom w:val="none" w:sz="0" w:space="0" w:color="auto"/>
                            <w:right w:val="none" w:sz="0" w:space="0" w:color="auto"/>
                          </w:divBdr>
                          <w:divsChild>
                            <w:div w:id="1716075332">
                              <w:marLeft w:val="0"/>
                              <w:marRight w:val="0"/>
                              <w:marTop w:val="0"/>
                              <w:marBottom w:val="0"/>
                              <w:divBdr>
                                <w:top w:val="none" w:sz="0" w:space="0" w:color="auto"/>
                                <w:left w:val="none" w:sz="0" w:space="0" w:color="auto"/>
                                <w:bottom w:val="none" w:sz="0" w:space="0" w:color="auto"/>
                                <w:right w:val="none" w:sz="0" w:space="0" w:color="auto"/>
                              </w:divBdr>
                              <w:divsChild>
                                <w:div w:id="1891915725">
                                  <w:marLeft w:val="0"/>
                                  <w:marRight w:val="0"/>
                                  <w:marTop w:val="0"/>
                                  <w:marBottom w:val="0"/>
                                  <w:divBdr>
                                    <w:top w:val="none" w:sz="0" w:space="0" w:color="auto"/>
                                    <w:left w:val="none" w:sz="0" w:space="0" w:color="auto"/>
                                    <w:bottom w:val="none" w:sz="0" w:space="0" w:color="auto"/>
                                    <w:right w:val="none" w:sz="0" w:space="0" w:color="auto"/>
                                  </w:divBdr>
                                  <w:divsChild>
                                    <w:div w:id="167213207">
                                      <w:marLeft w:val="0"/>
                                      <w:marRight w:val="0"/>
                                      <w:marTop w:val="0"/>
                                      <w:marBottom w:val="0"/>
                                      <w:divBdr>
                                        <w:top w:val="none" w:sz="0" w:space="0" w:color="auto"/>
                                        <w:left w:val="none" w:sz="0" w:space="0" w:color="auto"/>
                                        <w:bottom w:val="none" w:sz="0" w:space="0" w:color="auto"/>
                                        <w:right w:val="none" w:sz="0" w:space="0" w:color="auto"/>
                                      </w:divBdr>
                                      <w:divsChild>
                                        <w:div w:id="1371371672">
                                          <w:marLeft w:val="0"/>
                                          <w:marRight w:val="0"/>
                                          <w:marTop w:val="0"/>
                                          <w:marBottom w:val="0"/>
                                          <w:divBdr>
                                            <w:top w:val="none" w:sz="0" w:space="0" w:color="auto"/>
                                            <w:left w:val="none" w:sz="0" w:space="0" w:color="auto"/>
                                            <w:bottom w:val="none" w:sz="0" w:space="0" w:color="auto"/>
                                            <w:right w:val="none" w:sz="0" w:space="0" w:color="auto"/>
                                          </w:divBdr>
                                          <w:divsChild>
                                            <w:div w:id="1352954443">
                                              <w:marLeft w:val="0"/>
                                              <w:marRight w:val="0"/>
                                              <w:marTop w:val="0"/>
                                              <w:marBottom w:val="0"/>
                                              <w:divBdr>
                                                <w:top w:val="none" w:sz="0" w:space="0" w:color="auto"/>
                                                <w:left w:val="none" w:sz="0" w:space="0" w:color="auto"/>
                                                <w:bottom w:val="none" w:sz="0" w:space="0" w:color="auto"/>
                                                <w:right w:val="none" w:sz="0" w:space="0" w:color="auto"/>
                                              </w:divBdr>
                                              <w:divsChild>
                                                <w:div w:id="1853183948">
                                                  <w:marLeft w:val="0"/>
                                                  <w:marRight w:val="0"/>
                                                  <w:marTop w:val="0"/>
                                                  <w:marBottom w:val="0"/>
                                                  <w:divBdr>
                                                    <w:top w:val="none" w:sz="0" w:space="0" w:color="auto"/>
                                                    <w:left w:val="none" w:sz="0" w:space="0" w:color="auto"/>
                                                    <w:bottom w:val="none" w:sz="0" w:space="0" w:color="auto"/>
                                                    <w:right w:val="none" w:sz="0" w:space="0" w:color="auto"/>
                                                  </w:divBdr>
                                                  <w:divsChild>
                                                    <w:div w:id="944537191">
                                                      <w:marLeft w:val="0"/>
                                                      <w:marRight w:val="0"/>
                                                      <w:marTop w:val="0"/>
                                                      <w:marBottom w:val="0"/>
                                                      <w:divBdr>
                                                        <w:top w:val="none" w:sz="0" w:space="0" w:color="auto"/>
                                                        <w:left w:val="none" w:sz="0" w:space="0" w:color="auto"/>
                                                        <w:bottom w:val="none" w:sz="0" w:space="0" w:color="auto"/>
                                                        <w:right w:val="none" w:sz="0" w:space="0" w:color="auto"/>
                                                      </w:divBdr>
                                                    </w:div>
                                                    <w:div w:id="1854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0843">
      <w:bodyDiv w:val="1"/>
      <w:marLeft w:val="0"/>
      <w:marRight w:val="0"/>
      <w:marTop w:val="0"/>
      <w:marBottom w:val="0"/>
      <w:divBdr>
        <w:top w:val="none" w:sz="0" w:space="0" w:color="auto"/>
        <w:left w:val="none" w:sz="0" w:space="0" w:color="auto"/>
        <w:bottom w:val="none" w:sz="0" w:space="0" w:color="auto"/>
        <w:right w:val="none" w:sz="0" w:space="0" w:color="auto"/>
      </w:divBdr>
    </w:div>
    <w:div w:id="1769501618">
      <w:bodyDiv w:val="1"/>
      <w:marLeft w:val="0"/>
      <w:marRight w:val="0"/>
      <w:marTop w:val="0"/>
      <w:marBottom w:val="0"/>
      <w:divBdr>
        <w:top w:val="none" w:sz="0" w:space="0" w:color="auto"/>
        <w:left w:val="none" w:sz="0" w:space="0" w:color="auto"/>
        <w:bottom w:val="none" w:sz="0" w:space="0" w:color="auto"/>
        <w:right w:val="none" w:sz="0" w:space="0" w:color="auto"/>
      </w:divBdr>
      <w:divsChild>
        <w:div w:id="1714041248">
          <w:marLeft w:val="0"/>
          <w:marRight w:val="0"/>
          <w:marTop w:val="0"/>
          <w:marBottom w:val="0"/>
          <w:divBdr>
            <w:top w:val="none" w:sz="0" w:space="0" w:color="auto"/>
            <w:left w:val="none" w:sz="0" w:space="0" w:color="auto"/>
            <w:bottom w:val="none" w:sz="0" w:space="0" w:color="auto"/>
            <w:right w:val="none" w:sz="0" w:space="0" w:color="auto"/>
          </w:divBdr>
          <w:divsChild>
            <w:div w:id="1373268415">
              <w:marLeft w:val="0"/>
              <w:marRight w:val="0"/>
              <w:marTop w:val="0"/>
              <w:marBottom w:val="0"/>
              <w:divBdr>
                <w:top w:val="none" w:sz="0" w:space="0" w:color="auto"/>
                <w:left w:val="none" w:sz="0" w:space="0" w:color="auto"/>
                <w:bottom w:val="none" w:sz="0" w:space="0" w:color="auto"/>
                <w:right w:val="none" w:sz="0" w:space="0" w:color="auto"/>
              </w:divBdr>
              <w:divsChild>
                <w:div w:id="715734593">
                  <w:marLeft w:val="0"/>
                  <w:marRight w:val="0"/>
                  <w:marTop w:val="0"/>
                  <w:marBottom w:val="0"/>
                  <w:divBdr>
                    <w:top w:val="none" w:sz="0" w:space="0" w:color="auto"/>
                    <w:left w:val="none" w:sz="0" w:space="0" w:color="auto"/>
                    <w:bottom w:val="none" w:sz="0" w:space="0" w:color="auto"/>
                    <w:right w:val="none" w:sz="0" w:space="0" w:color="auto"/>
                  </w:divBdr>
                  <w:divsChild>
                    <w:div w:id="2061783804">
                      <w:marLeft w:val="0"/>
                      <w:marRight w:val="0"/>
                      <w:marTop w:val="0"/>
                      <w:marBottom w:val="0"/>
                      <w:divBdr>
                        <w:top w:val="none" w:sz="0" w:space="0" w:color="auto"/>
                        <w:left w:val="none" w:sz="0" w:space="0" w:color="auto"/>
                        <w:bottom w:val="none" w:sz="0" w:space="0" w:color="auto"/>
                        <w:right w:val="none" w:sz="0" w:space="0" w:color="auto"/>
                      </w:divBdr>
                      <w:divsChild>
                        <w:div w:id="1194659988">
                          <w:marLeft w:val="0"/>
                          <w:marRight w:val="0"/>
                          <w:marTop w:val="0"/>
                          <w:marBottom w:val="0"/>
                          <w:divBdr>
                            <w:top w:val="none" w:sz="0" w:space="0" w:color="auto"/>
                            <w:left w:val="none" w:sz="0" w:space="0" w:color="auto"/>
                            <w:bottom w:val="none" w:sz="0" w:space="0" w:color="auto"/>
                            <w:right w:val="none" w:sz="0" w:space="0" w:color="auto"/>
                          </w:divBdr>
                          <w:divsChild>
                            <w:div w:id="1718821742">
                              <w:marLeft w:val="0"/>
                              <w:marRight w:val="0"/>
                              <w:marTop w:val="0"/>
                              <w:marBottom w:val="0"/>
                              <w:divBdr>
                                <w:top w:val="none" w:sz="0" w:space="0" w:color="auto"/>
                                <w:left w:val="none" w:sz="0" w:space="0" w:color="auto"/>
                                <w:bottom w:val="none" w:sz="0" w:space="0" w:color="auto"/>
                                <w:right w:val="none" w:sz="0" w:space="0" w:color="auto"/>
                              </w:divBdr>
                              <w:divsChild>
                                <w:div w:id="1780180695">
                                  <w:marLeft w:val="0"/>
                                  <w:marRight w:val="0"/>
                                  <w:marTop w:val="0"/>
                                  <w:marBottom w:val="0"/>
                                  <w:divBdr>
                                    <w:top w:val="none" w:sz="0" w:space="0" w:color="auto"/>
                                    <w:left w:val="none" w:sz="0" w:space="0" w:color="auto"/>
                                    <w:bottom w:val="none" w:sz="0" w:space="0" w:color="auto"/>
                                    <w:right w:val="none" w:sz="0" w:space="0" w:color="auto"/>
                                  </w:divBdr>
                                  <w:divsChild>
                                    <w:div w:id="1107771599">
                                      <w:marLeft w:val="0"/>
                                      <w:marRight w:val="0"/>
                                      <w:marTop w:val="0"/>
                                      <w:marBottom w:val="0"/>
                                      <w:divBdr>
                                        <w:top w:val="none" w:sz="0" w:space="0" w:color="auto"/>
                                        <w:left w:val="none" w:sz="0" w:space="0" w:color="auto"/>
                                        <w:bottom w:val="none" w:sz="0" w:space="0" w:color="auto"/>
                                        <w:right w:val="none" w:sz="0" w:space="0" w:color="auto"/>
                                      </w:divBdr>
                                      <w:divsChild>
                                        <w:div w:id="1804421904">
                                          <w:marLeft w:val="0"/>
                                          <w:marRight w:val="0"/>
                                          <w:marTop w:val="0"/>
                                          <w:marBottom w:val="0"/>
                                          <w:divBdr>
                                            <w:top w:val="none" w:sz="0" w:space="0" w:color="auto"/>
                                            <w:left w:val="none" w:sz="0" w:space="0" w:color="auto"/>
                                            <w:bottom w:val="none" w:sz="0" w:space="0" w:color="auto"/>
                                            <w:right w:val="none" w:sz="0" w:space="0" w:color="auto"/>
                                          </w:divBdr>
                                          <w:divsChild>
                                            <w:div w:id="20388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001234">
      <w:bodyDiv w:val="1"/>
      <w:marLeft w:val="0"/>
      <w:marRight w:val="0"/>
      <w:marTop w:val="0"/>
      <w:marBottom w:val="0"/>
      <w:divBdr>
        <w:top w:val="none" w:sz="0" w:space="0" w:color="auto"/>
        <w:left w:val="none" w:sz="0" w:space="0" w:color="auto"/>
        <w:bottom w:val="none" w:sz="0" w:space="0" w:color="auto"/>
        <w:right w:val="none" w:sz="0" w:space="0" w:color="auto"/>
      </w:divBdr>
    </w:div>
    <w:div w:id="20736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mcdda.europa.eu/edr202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ec2fd3-6f58-46ab-a96e-e85cbcf7f322" xsi:nil="true"/>
    <lcf76f155ced4ddcb4097134ff3c332f xmlns="154ec55a-2caa-43de-bd10-479a76a398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9D53E903C1C4DA412BEC186BF9574" ma:contentTypeVersion="12" ma:contentTypeDescription="Create a new document." ma:contentTypeScope="" ma:versionID="58e551f3e30011d54c392125f4facdfd">
  <xsd:schema xmlns:xsd="http://www.w3.org/2001/XMLSchema" xmlns:xs="http://www.w3.org/2001/XMLSchema" xmlns:p="http://schemas.microsoft.com/office/2006/metadata/properties" xmlns:ns2="154ec55a-2caa-43de-bd10-479a76a398ea" xmlns:ns3="1dec2fd3-6f58-46ab-a96e-e85cbcf7f322" targetNamespace="http://schemas.microsoft.com/office/2006/metadata/properties" ma:root="true" ma:fieldsID="263615e89afe2b385a1fb12f4e7242d2" ns2:_="" ns3:_="">
    <xsd:import namespace="154ec55a-2caa-43de-bd10-479a76a398ea"/>
    <xsd:import namespace="1dec2fd3-6f58-46ab-a96e-e85cbcf7f3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ec55a-2caa-43de-bd10-479a76a3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c2fd3-6f58-46ab-a96e-e85cbcf7f32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662810f-d1f2-44a4-8daa-aa1f8d72df4a}" ma:internalName="TaxCatchAll" ma:showField="CatchAllData" ma:web="1dec2fd3-6f58-46ab-a96e-e85cbcf7f3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F7219-31F0-4205-95B9-C2E8C1BEC3CC}">
  <ds:schemaRefs>
    <ds:schemaRef ds:uri="http://schemas.microsoft.com/office/2006/metadata/properties"/>
    <ds:schemaRef ds:uri="http://schemas.microsoft.com/office/infopath/2007/PartnerControls"/>
    <ds:schemaRef ds:uri="1dec2fd3-6f58-46ab-a96e-e85cbcf7f322"/>
    <ds:schemaRef ds:uri="154ec55a-2caa-43de-bd10-479a76a398ea"/>
  </ds:schemaRefs>
</ds:datastoreItem>
</file>

<file path=customXml/itemProps2.xml><?xml version="1.0" encoding="utf-8"?>
<ds:datastoreItem xmlns:ds="http://schemas.openxmlformats.org/officeDocument/2006/customXml" ds:itemID="{B02B6072-519F-4D00-97B8-D96B75AC8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ec55a-2caa-43de-bd10-479a76a398ea"/>
    <ds:schemaRef ds:uri="1dec2fd3-6f58-46ab-a96e-e85cbcf7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24E3E-81B3-4268-BA9D-7861A9A3F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1925</Words>
  <Characters>10975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Cummins</dc:creator>
  <cp:lastModifiedBy>Mairea Nelson</cp:lastModifiedBy>
  <cp:revision>2</cp:revision>
  <cp:lastPrinted>2023-06-09T08:24:00Z</cp:lastPrinted>
  <dcterms:created xsi:type="dcterms:W3CDTF">2023-06-16T09:05:00Z</dcterms:created>
  <dcterms:modified xsi:type="dcterms:W3CDTF">2023-06-16T09:05:00Z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0x010100E739D53E903C1C4DA412BEC186BF9574</vt:lpwstr>
  </property>
  <property fmtid="{D5CDD505-2E9C-101B-9397-08002B2CF9AE}" pid="3" name="Order">
    <vt:r8>418000</vt:r8>
  </property>
  <property fmtid="{D5CDD505-2E9C-101B-9397-08002B2CF9AE}" pid="4" name="MediaServiceImageTags">
    <vt:lpwstr/>
  </property>
</Properties>
</file>