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4138" w14:textId="4CAF0450" w:rsidR="00083822" w:rsidRDefault="00BD5F76" w:rsidP="00A052BC">
      <w:pPr>
        <w:pStyle w:val="Heading1"/>
      </w:pPr>
      <w:r w:rsidRPr="00A052BC">
        <w:t>European Drug Report 202</w:t>
      </w:r>
      <w:r w:rsidR="00083822" w:rsidRPr="00A052BC">
        <w:t>2</w:t>
      </w:r>
    </w:p>
    <w:p w14:paraId="71455F48" w14:textId="77777777" w:rsidR="00A052BC" w:rsidRPr="00A052BC" w:rsidRDefault="00A052BC" w:rsidP="00A052BC"/>
    <w:p w14:paraId="2A5827BC" w14:textId="0D9AC5E7" w:rsidR="00486B46" w:rsidRPr="00A052BC" w:rsidRDefault="00A052BC" w:rsidP="00083822">
      <w:pPr>
        <w:pStyle w:val="Heading2"/>
        <w:spacing w:line="312" w:lineRule="auto"/>
        <w:rPr>
          <w:rFonts w:asciiTheme="minorHAnsi" w:hAnsiTheme="minorHAnsi" w:cstheme="minorHAnsi"/>
          <w:bCs/>
          <w:color w:val="auto"/>
          <w:sz w:val="22"/>
          <w:szCs w:val="22"/>
          <w:lang w:val="en-GB"/>
        </w:rPr>
      </w:pPr>
      <w:r w:rsidRPr="00A6312E">
        <w:rPr>
          <w:rFonts w:asciiTheme="minorHAnsi" w:hAnsiTheme="minorHAnsi" w:cstheme="minorHAnsi"/>
          <w:color w:val="FF0000"/>
          <w:sz w:val="22"/>
          <w:szCs w:val="22"/>
          <w:lang w:val="en-GB"/>
        </w:rPr>
        <w:t>Embargo Tues</w:t>
      </w:r>
      <w:r w:rsidR="00CB7667" w:rsidRPr="00A6312E">
        <w:rPr>
          <w:rFonts w:asciiTheme="minorHAnsi" w:hAnsiTheme="minorHAnsi" w:cstheme="minorHAnsi"/>
          <w:color w:val="FF0000"/>
          <w:sz w:val="22"/>
          <w:szCs w:val="22"/>
          <w:lang w:val="en-GB"/>
        </w:rPr>
        <w:t>day</w:t>
      </w:r>
      <w:r w:rsidR="0010007A" w:rsidRPr="00A6312E">
        <w:rPr>
          <w:rFonts w:asciiTheme="minorHAnsi" w:hAnsiTheme="minorHAnsi" w:cstheme="minorHAnsi"/>
          <w:color w:val="FF0000"/>
          <w:sz w:val="22"/>
          <w:szCs w:val="22"/>
          <w:lang w:val="en-GB"/>
        </w:rPr>
        <w:t xml:space="preserve"> </w:t>
      </w:r>
      <w:r w:rsidR="00083822" w:rsidRPr="00A6312E">
        <w:rPr>
          <w:rFonts w:asciiTheme="minorHAnsi" w:hAnsiTheme="minorHAnsi" w:cstheme="minorHAnsi"/>
          <w:color w:val="FF0000"/>
          <w:sz w:val="22"/>
          <w:szCs w:val="22"/>
          <w:lang w:val="en-GB"/>
        </w:rPr>
        <w:t>14</w:t>
      </w:r>
      <w:r w:rsidR="00BD5F76" w:rsidRPr="00A6312E">
        <w:rPr>
          <w:rFonts w:asciiTheme="minorHAnsi" w:hAnsiTheme="minorHAnsi" w:cstheme="minorHAnsi"/>
          <w:color w:val="FF0000"/>
          <w:sz w:val="22"/>
          <w:szCs w:val="22"/>
          <w:lang w:val="en-GB"/>
        </w:rPr>
        <w:t xml:space="preserve"> June</w:t>
      </w:r>
      <w:r w:rsidR="0010007A" w:rsidRPr="00A6312E">
        <w:rPr>
          <w:rFonts w:asciiTheme="minorHAnsi" w:hAnsiTheme="minorHAnsi" w:cstheme="minorHAnsi"/>
          <w:color w:val="FF0000"/>
          <w:sz w:val="22"/>
          <w:szCs w:val="22"/>
          <w:lang w:val="en-GB"/>
        </w:rPr>
        <w:t xml:space="preserve"> </w:t>
      </w:r>
      <w:r w:rsidR="00083822" w:rsidRPr="00A6312E">
        <w:rPr>
          <w:rFonts w:asciiTheme="minorHAnsi" w:hAnsiTheme="minorHAnsi" w:cstheme="minorHAnsi"/>
          <w:color w:val="FF0000"/>
          <w:sz w:val="22"/>
          <w:szCs w:val="22"/>
          <w:lang w:val="en-GB"/>
        </w:rPr>
        <w:t>2022</w:t>
      </w:r>
      <w:r w:rsidR="00575633" w:rsidRPr="00A6312E">
        <w:rPr>
          <w:rFonts w:asciiTheme="minorHAnsi" w:hAnsiTheme="minorHAnsi" w:cstheme="minorHAnsi"/>
          <w:color w:val="FF0000"/>
          <w:sz w:val="22"/>
          <w:szCs w:val="22"/>
          <w:lang w:val="en-GB"/>
        </w:rPr>
        <w:t xml:space="preserve"> 10.00am</w:t>
      </w:r>
      <w:r w:rsidR="000E1043" w:rsidRPr="00A6312E">
        <w:rPr>
          <w:rFonts w:asciiTheme="minorHAnsi" w:hAnsiTheme="minorHAnsi" w:cstheme="minorHAnsi"/>
          <w:color w:val="FF0000"/>
          <w:sz w:val="22"/>
          <w:szCs w:val="22"/>
        </w:rPr>
        <w:t xml:space="preserve">: </w:t>
      </w:r>
      <w:r w:rsidR="00705CFB" w:rsidRPr="00A6312E">
        <w:rPr>
          <w:rFonts w:asciiTheme="minorHAnsi" w:hAnsiTheme="minorHAnsi" w:cstheme="minorHAnsi"/>
          <w:color w:val="FF0000"/>
          <w:sz w:val="22"/>
          <w:szCs w:val="22"/>
        </w:rPr>
        <w:t xml:space="preserve"> </w:t>
      </w:r>
      <w:r w:rsidR="008D5544" w:rsidRPr="00A052BC">
        <w:rPr>
          <w:rFonts w:asciiTheme="minorHAnsi" w:hAnsiTheme="minorHAnsi" w:cstheme="minorHAnsi"/>
          <w:bCs/>
          <w:color w:val="auto"/>
          <w:sz w:val="22"/>
          <w:szCs w:val="22"/>
        </w:rPr>
        <w:t>The</w:t>
      </w:r>
      <w:r w:rsidR="001B0E85" w:rsidRPr="00A052BC">
        <w:rPr>
          <w:rFonts w:asciiTheme="minorHAnsi" w:hAnsiTheme="minorHAnsi" w:cstheme="minorHAnsi"/>
          <w:bCs/>
          <w:color w:val="auto"/>
          <w:sz w:val="22"/>
          <w:szCs w:val="22"/>
        </w:rPr>
        <w:t xml:space="preserve"> European Monitoring Centre for Drugs and Drug Addiction (EMCDDA) </w:t>
      </w:r>
      <w:r w:rsidR="007A7638" w:rsidRPr="00A052BC">
        <w:rPr>
          <w:rFonts w:asciiTheme="minorHAnsi" w:hAnsiTheme="minorHAnsi" w:cstheme="minorHAnsi"/>
          <w:bCs/>
          <w:color w:val="auto"/>
          <w:sz w:val="22"/>
          <w:szCs w:val="22"/>
        </w:rPr>
        <w:t xml:space="preserve">will </w:t>
      </w:r>
      <w:r w:rsidR="008D5544" w:rsidRPr="00A052BC">
        <w:rPr>
          <w:rFonts w:asciiTheme="minorHAnsi" w:hAnsiTheme="minorHAnsi" w:cstheme="minorHAnsi"/>
          <w:bCs/>
          <w:color w:val="auto"/>
          <w:sz w:val="22"/>
          <w:szCs w:val="22"/>
        </w:rPr>
        <w:t xml:space="preserve">publish the </w:t>
      </w:r>
      <w:hyperlink r:id="rId7" w:history="1">
        <w:r w:rsidR="001B0E85" w:rsidRPr="00A052BC">
          <w:rPr>
            <w:rStyle w:val="Hyperlink"/>
            <w:rFonts w:asciiTheme="minorHAnsi" w:hAnsiTheme="minorHAnsi" w:cstheme="minorHAnsi"/>
            <w:b/>
            <w:bCs/>
            <w:i/>
            <w:color w:val="auto"/>
            <w:sz w:val="22"/>
            <w:szCs w:val="22"/>
          </w:rPr>
          <w:t xml:space="preserve">European drug report </w:t>
        </w:r>
        <w:r w:rsidR="00824831" w:rsidRPr="00A052BC">
          <w:rPr>
            <w:rStyle w:val="Hyperlink"/>
            <w:rFonts w:asciiTheme="minorHAnsi" w:hAnsiTheme="minorHAnsi" w:cstheme="minorHAnsi"/>
            <w:b/>
            <w:bCs/>
            <w:i/>
            <w:color w:val="auto"/>
            <w:sz w:val="22"/>
            <w:szCs w:val="22"/>
          </w:rPr>
          <w:t>20</w:t>
        </w:r>
        <w:r w:rsidR="00667B97" w:rsidRPr="00A052BC">
          <w:rPr>
            <w:rStyle w:val="Hyperlink"/>
            <w:rFonts w:asciiTheme="minorHAnsi" w:hAnsiTheme="minorHAnsi" w:cstheme="minorHAnsi"/>
            <w:b/>
            <w:bCs/>
            <w:i/>
            <w:color w:val="auto"/>
            <w:sz w:val="22"/>
            <w:szCs w:val="22"/>
          </w:rPr>
          <w:t>2</w:t>
        </w:r>
        <w:r w:rsidR="00083822" w:rsidRPr="00A052BC">
          <w:rPr>
            <w:rStyle w:val="Hyperlink"/>
            <w:rFonts w:asciiTheme="minorHAnsi" w:hAnsiTheme="minorHAnsi" w:cstheme="minorHAnsi"/>
            <w:b/>
            <w:bCs/>
            <w:i/>
            <w:color w:val="auto"/>
            <w:sz w:val="22"/>
            <w:szCs w:val="22"/>
          </w:rPr>
          <w:t>2</w:t>
        </w:r>
        <w:r w:rsidR="001B0E85" w:rsidRPr="00A052BC">
          <w:rPr>
            <w:rStyle w:val="Hyperlink"/>
            <w:rFonts w:asciiTheme="minorHAnsi" w:hAnsiTheme="minorHAnsi" w:cstheme="minorHAnsi"/>
            <w:b/>
            <w:bCs/>
            <w:i/>
            <w:color w:val="auto"/>
            <w:sz w:val="22"/>
            <w:szCs w:val="22"/>
          </w:rPr>
          <w:t>: trends and developments</w:t>
        </w:r>
      </w:hyperlink>
      <w:r w:rsidR="00596E71" w:rsidRPr="00A052BC">
        <w:rPr>
          <w:rFonts w:asciiTheme="minorHAnsi" w:hAnsiTheme="minorHAnsi" w:cstheme="minorHAnsi"/>
          <w:b/>
          <w:bCs/>
          <w:i/>
          <w:color w:val="auto"/>
          <w:sz w:val="22"/>
          <w:szCs w:val="22"/>
        </w:rPr>
        <w:t xml:space="preserve"> </w:t>
      </w:r>
      <w:r w:rsidR="001B0E85" w:rsidRPr="00A052BC">
        <w:rPr>
          <w:rFonts w:asciiTheme="minorHAnsi" w:hAnsiTheme="minorHAnsi" w:cstheme="minorHAnsi"/>
          <w:b/>
          <w:bCs/>
          <w:i/>
          <w:color w:val="auto"/>
          <w:sz w:val="22"/>
          <w:szCs w:val="22"/>
        </w:rPr>
        <w:t xml:space="preserve"> </w:t>
      </w:r>
      <w:r w:rsidR="00596E71" w:rsidRPr="00A052BC">
        <w:rPr>
          <w:rFonts w:asciiTheme="minorHAnsi" w:hAnsiTheme="minorHAnsi" w:cstheme="minorHAnsi"/>
          <w:bCs/>
          <w:color w:val="auto"/>
          <w:sz w:val="22"/>
          <w:szCs w:val="22"/>
        </w:rPr>
        <w:t xml:space="preserve">on </w:t>
      </w:r>
      <w:r w:rsidR="00083822" w:rsidRPr="00A052BC">
        <w:rPr>
          <w:rFonts w:asciiTheme="minorHAnsi" w:hAnsiTheme="minorHAnsi" w:cstheme="minorHAnsi"/>
          <w:bCs/>
          <w:color w:val="auto"/>
          <w:sz w:val="22"/>
          <w:szCs w:val="22"/>
        </w:rPr>
        <w:t>14</w:t>
      </w:r>
      <w:r w:rsidR="00596E71" w:rsidRPr="00A052BC">
        <w:rPr>
          <w:rFonts w:asciiTheme="minorHAnsi" w:hAnsiTheme="minorHAnsi" w:cstheme="minorHAnsi"/>
          <w:bCs/>
          <w:color w:val="auto"/>
          <w:sz w:val="22"/>
          <w:szCs w:val="22"/>
        </w:rPr>
        <w:t xml:space="preserve"> June</w:t>
      </w:r>
      <w:r w:rsidRPr="00A052BC">
        <w:rPr>
          <w:rFonts w:asciiTheme="minorHAnsi" w:hAnsiTheme="minorHAnsi" w:cstheme="minorHAnsi"/>
          <w:bCs/>
          <w:color w:val="auto"/>
          <w:sz w:val="22"/>
          <w:szCs w:val="22"/>
        </w:rPr>
        <w:t xml:space="preserve"> 2022</w:t>
      </w:r>
      <w:r w:rsidR="001B0E85" w:rsidRPr="00A052BC">
        <w:rPr>
          <w:rFonts w:asciiTheme="minorHAnsi" w:hAnsiTheme="minorHAnsi" w:cstheme="minorHAnsi"/>
          <w:bCs/>
          <w:color w:val="auto"/>
          <w:sz w:val="22"/>
          <w:szCs w:val="22"/>
        </w:rPr>
        <w:t xml:space="preserve">.  </w:t>
      </w:r>
      <w:r w:rsidR="00216B3A" w:rsidRPr="00A052BC">
        <w:rPr>
          <w:rFonts w:asciiTheme="minorHAnsi" w:hAnsiTheme="minorHAnsi" w:cstheme="minorHAnsi"/>
          <w:bCs/>
          <w:color w:val="auto"/>
          <w:sz w:val="22"/>
          <w:szCs w:val="22"/>
          <w:lang w:val="en-GB"/>
        </w:rPr>
        <w:t>The purpose of this report is to provide an overview and summary of the European drug situation up to the end of 202</w:t>
      </w:r>
      <w:r w:rsidR="00083822" w:rsidRPr="00A052BC">
        <w:rPr>
          <w:rFonts w:asciiTheme="minorHAnsi" w:hAnsiTheme="minorHAnsi" w:cstheme="minorHAnsi"/>
          <w:bCs/>
          <w:color w:val="auto"/>
          <w:sz w:val="22"/>
          <w:szCs w:val="22"/>
          <w:lang w:val="en-GB"/>
        </w:rPr>
        <w:t>1</w:t>
      </w:r>
      <w:r w:rsidR="00216B3A" w:rsidRPr="00A052BC">
        <w:rPr>
          <w:rFonts w:asciiTheme="minorHAnsi" w:hAnsiTheme="minorHAnsi" w:cstheme="minorHAnsi"/>
          <w:bCs/>
          <w:color w:val="auto"/>
          <w:sz w:val="22"/>
          <w:szCs w:val="22"/>
          <w:lang w:val="en-GB"/>
        </w:rPr>
        <w:t xml:space="preserve">. </w:t>
      </w:r>
    </w:p>
    <w:p w14:paraId="752776C3" w14:textId="77777777" w:rsidR="00B97439" w:rsidRPr="00A052BC" w:rsidRDefault="00B97439" w:rsidP="00B97439">
      <w:pPr>
        <w:rPr>
          <w:lang w:val="en-GB"/>
        </w:rPr>
      </w:pPr>
    </w:p>
    <w:p w14:paraId="56F7C9EC" w14:textId="1BACCD43" w:rsidR="00830639" w:rsidRPr="00A052BC" w:rsidRDefault="000E1043" w:rsidP="00083822">
      <w:pPr>
        <w:pStyle w:val="Heading2"/>
        <w:spacing w:line="312" w:lineRule="auto"/>
        <w:rPr>
          <w:rFonts w:asciiTheme="minorHAnsi" w:hAnsiTheme="minorHAnsi" w:cstheme="minorHAnsi"/>
          <w:bCs/>
          <w:color w:val="auto"/>
          <w:sz w:val="22"/>
          <w:szCs w:val="22"/>
          <w:lang w:val="en"/>
        </w:rPr>
      </w:pPr>
      <w:r w:rsidRPr="00A052BC">
        <w:rPr>
          <w:rFonts w:asciiTheme="minorHAnsi" w:hAnsiTheme="minorHAnsi" w:cstheme="minorHAnsi"/>
          <w:bCs/>
          <w:color w:val="auto"/>
          <w:sz w:val="22"/>
          <w:szCs w:val="22"/>
          <w:lang w:val="en"/>
        </w:rPr>
        <w:t>The H</w:t>
      </w:r>
      <w:r w:rsidR="00FF54F7" w:rsidRPr="00A052BC">
        <w:rPr>
          <w:rFonts w:asciiTheme="minorHAnsi" w:hAnsiTheme="minorHAnsi" w:cstheme="minorHAnsi"/>
          <w:bCs/>
          <w:color w:val="auto"/>
          <w:sz w:val="22"/>
          <w:szCs w:val="22"/>
          <w:lang w:val="en"/>
        </w:rPr>
        <w:t xml:space="preserve">ealth Research </w:t>
      </w:r>
      <w:r w:rsidRPr="00A052BC">
        <w:rPr>
          <w:rFonts w:asciiTheme="minorHAnsi" w:hAnsiTheme="minorHAnsi" w:cstheme="minorHAnsi"/>
          <w:bCs/>
          <w:color w:val="auto"/>
          <w:sz w:val="22"/>
          <w:szCs w:val="22"/>
          <w:lang w:val="en"/>
        </w:rPr>
        <w:t>B</w:t>
      </w:r>
      <w:r w:rsidR="00FF54F7" w:rsidRPr="00A052BC">
        <w:rPr>
          <w:rFonts w:asciiTheme="minorHAnsi" w:hAnsiTheme="minorHAnsi" w:cstheme="minorHAnsi"/>
          <w:bCs/>
          <w:color w:val="auto"/>
          <w:sz w:val="22"/>
          <w:szCs w:val="22"/>
          <w:lang w:val="en"/>
        </w:rPr>
        <w:t>oard</w:t>
      </w:r>
      <w:r w:rsidRPr="00A052BC">
        <w:rPr>
          <w:rFonts w:asciiTheme="minorHAnsi" w:hAnsiTheme="minorHAnsi" w:cstheme="minorHAnsi"/>
          <w:bCs/>
          <w:color w:val="auto"/>
          <w:sz w:val="22"/>
          <w:szCs w:val="22"/>
          <w:lang w:val="en"/>
        </w:rPr>
        <w:t xml:space="preserve"> </w:t>
      </w:r>
      <w:r w:rsidR="001F3A16" w:rsidRPr="00A052BC">
        <w:rPr>
          <w:rFonts w:asciiTheme="minorHAnsi" w:hAnsiTheme="minorHAnsi" w:cstheme="minorHAnsi"/>
          <w:bCs/>
          <w:color w:val="auto"/>
          <w:sz w:val="22"/>
          <w:szCs w:val="22"/>
          <w:lang w:val="en"/>
        </w:rPr>
        <w:t xml:space="preserve">(HRB) </w:t>
      </w:r>
      <w:r w:rsidRPr="00A052BC">
        <w:rPr>
          <w:rFonts w:asciiTheme="minorHAnsi" w:hAnsiTheme="minorHAnsi" w:cstheme="minorHAnsi"/>
          <w:bCs/>
          <w:color w:val="auto"/>
          <w:sz w:val="22"/>
          <w:szCs w:val="22"/>
          <w:lang w:val="en"/>
        </w:rPr>
        <w:t xml:space="preserve">provides the Irish </w:t>
      </w:r>
      <w:r w:rsidR="00FF54F7" w:rsidRPr="00A052BC">
        <w:rPr>
          <w:rFonts w:asciiTheme="minorHAnsi" w:hAnsiTheme="minorHAnsi" w:cstheme="minorHAnsi"/>
          <w:bCs/>
          <w:color w:val="auto"/>
          <w:sz w:val="22"/>
          <w:szCs w:val="22"/>
          <w:lang w:val="en"/>
        </w:rPr>
        <w:t xml:space="preserve">data and </w:t>
      </w:r>
      <w:r w:rsidR="007652D5" w:rsidRPr="00A052BC">
        <w:rPr>
          <w:rFonts w:asciiTheme="minorHAnsi" w:hAnsiTheme="minorHAnsi" w:cstheme="minorHAnsi"/>
          <w:bCs/>
          <w:color w:val="auto"/>
          <w:sz w:val="22"/>
          <w:szCs w:val="22"/>
          <w:lang w:val="en"/>
        </w:rPr>
        <w:t>research</w:t>
      </w:r>
      <w:r w:rsidR="00FF54F7" w:rsidRPr="00A052BC">
        <w:rPr>
          <w:rFonts w:asciiTheme="minorHAnsi" w:hAnsiTheme="minorHAnsi" w:cstheme="minorHAnsi"/>
          <w:bCs/>
          <w:color w:val="auto"/>
          <w:sz w:val="22"/>
          <w:szCs w:val="22"/>
          <w:lang w:val="en"/>
        </w:rPr>
        <w:t xml:space="preserve"> </w:t>
      </w:r>
      <w:r w:rsidRPr="00A052BC">
        <w:rPr>
          <w:rFonts w:asciiTheme="minorHAnsi" w:hAnsiTheme="minorHAnsi" w:cstheme="minorHAnsi"/>
          <w:bCs/>
          <w:color w:val="auto"/>
          <w:sz w:val="22"/>
          <w:szCs w:val="22"/>
          <w:lang w:val="en"/>
        </w:rPr>
        <w:t xml:space="preserve">for the EMCDDA </w:t>
      </w:r>
      <w:r w:rsidR="009B1468" w:rsidRPr="00A052BC">
        <w:rPr>
          <w:rFonts w:asciiTheme="minorHAnsi" w:hAnsiTheme="minorHAnsi" w:cstheme="minorHAnsi"/>
          <w:bCs/>
          <w:color w:val="auto"/>
          <w:sz w:val="22"/>
          <w:szCs w:val="22"/>
          <w:lang w:val="en"/>
        </w:rPr>
        <w:t xml:space="preserve">report. </w:t>
      </w:r>
      <w:r w:rsidR="00486B46" w:rsidRPr="00A052BC">
        <w:rPr>
          <w:rFonts w:asciiTheme="minorHAnsi" w:hAnsiTheme="minorHAnsi" w:cstheme="minorHAnsi"/>
          <w:bCs/>
          <w:color w:val="auto"/>
          <w:sz w:val="22"/>
          <w:szCs w:val="22"/>
          <w:lang w:val="en"/>
        </w:rPr>
        <w:t xml:space="preserve">This media brief provides an overview of the </w:t>
      </w:r>
      <w:r w:rsidR="00DF584E" w:rsidRPr="00A052BC">
        <w:rPr>
          <w:rFonts w:asciiTheme="minorHAnsi" w:hAnsiTheme="minorHAnsi" w:cstheme="minorHAnsi"/>
          <w:bCs/>
          <w:color w:val="auto"/>
          <w:sz w:val="22"/>
          <w:szCs w:val="22"/>
          <w:lang w:val="en"/>
        </w:rPr>
        <w:t xml:space="preserve">drug </w:t>
      </w:r>
      <w:r w:rsidR="00486B46" w:rsidRPr="00A052BC">
        <w:rPr>
          <w:rFonts w:asciiTheme="minorHAnsi" w:hAnsiTheme="minorHAnsi" w:cstheme="minorHAnsi"/>
          <w:bCs/>
          <w:color w:val="auto"/>
          <w:sz w:val="22"/>
          <w:szCs w:val="22"/>
          <w:lang w:val="en"/>
        </w:rPr>
        <w:t xml:space="preserve">situation </w:t>
      </w:r>
      <w:r w:rsidR="00B97439" w:rsidRPr="00A052BC">
        <w:rPr>
          <w:rFonts w:asciiTheme="minorHAnsi" w:hAnsiTheme="minorHAnsi" w:cstheme="minorHAnsi"/>
          <w:bCs/>
          <w:color w:val="auto"/>
          <w:sz w:val="22"/>
          <w:szCs w:val="22"/>
          <w:lang w:val="en"/>
        </w:rPr>
        <w:t xml:space="preserve">in </w:t>
      </w:r>
      <w:r w:rsidR="00486B46" w:rsidRPr="00A052BC">
        <w:rPr>
          <w:rFonts w:asciiTheme="minorHAnsi" w:hAnsiTheme="minorHAnsi" w:cstheme="minorHAnsi"/>
          <w:bCs/>
          <w:color w:val="auto"/>
          <w:sz w:val="22"/>
          <w:szCs w:val="22"/>
          <w:lang w:val="en"/>
        </w:rPr>
        <w:t>Europe and a comparison with the Irish drug situation where possible.</w:t>
      </w:r>
    </w:p>
    <w:p w14:paraId="66048835" w14:textId="56EA4154" w:rsidR="00984AAD" w:rsidRPr="004B5245" w:rsidRDefault="00984AAD" w:rsidP="00984AAD">
      <w:pPr>
        <w:rPr>
          <w:rFonts w:asciiTheme="minorHAnsi" w:hAnsiTheme="minorHAnsi" w:cstheme="minorHAnsi"/>
          <w:sz w:val="22"/>
          <w:lang w:val="en"/>
        </w:rPr>
      </w:pPr>
    </w:p>
    <w:p w14:paraId="1C82E43D" w14:textId="01A1CE68" w:rsidR="00486B46" w:rsidRDefault="00984AAD" w:rsidP="00984AAD">
      <w:pPr>
        <w:spacing w:after="200" w:line="276" w:lineRule="auto"/>
        <w:rPr>
          <w:rFonts w:asciiTheme="minorHAnsi" w:hAnsiTheme="minorHAnsi" w:cstheme="minorHAnsi"/>
          <w:sz w:val="22"/>
          <w:lang w:val="en-GB"/>
        </w:rPr>
      </w:pPr>
      <w:r w:rsidRPr="004B5245">
        <w:rPr>
          <w:rFonts w:asciiTheme="minorHAnsi" w:hAnsiTheme="minorHAnsi" w:cstheme="minorHAnsi"/>
          <w:sz w:val="22"/>
          <w:lang w:val="en-GB"/>
        </w:rPr>
        <w:t xml:space="preserve">The </w:t>
      </w:r>
      <w:r w:rsidR="00486B46">
        <w:rPr>
          <w:rFonts w:asciiTheme="minorHAnsi" w:hAnsiTheme="minorHAnsi" w:cstheme="minorHAnsi"/>
          <w:sz w:val="22"/>
          <w:lang w:val="en-GB"/>
        </w:rPr>
        <w:t xml:space="preserve">European drug </w:t>
      </w:r>
      <w:r w:rsidRPr="004B5245">
        <w:rPr>
          <w:rFonts w:asciiTheme="minorHAnsi" w:hAnsiTheme="minorHAnsi" w:cstheme="minorHAnsi"/>
          <w:sz w:val="22"/>
          <w:lang w:val="en-GB"/>
        </w:rPr>
        <w:t xml:space="preserve">report highlights </w:t>
      </w:r>
    </w:p>
    <w:p w14:paraId="7F354B37" w14:textId="559B840F" w:rsidR="00486B46" w:rsidRPr="00486B46" w:rsidRDefault="00486B46" w:rsidP="00486B46">
      <w:pPr>
        <w:pStyle w:val="ListParagraph"/>
        <w:numPr>
          <w:ilvl w:val="0"/>
          <w:numId w:val="27"/>
        </w:numPr>
        <w:rPr>
          <w:rFonts w:asciiTheme="minorHAnsi" w:hAnsiTheme="minorHAnsi" w:cstheme="minorHAnsi"/>
          <w:bCs/>
          <w:lang w:val="en-GB"/>
        </w:rPr>
      </w:pPr>
      <w:r w:rsidRPr="00486B46">
        <w:rPr>
          <w:rFonts w:asciiTheme="minorHAnsi" w:hAnsiTheme="minorHAnsi" w:cstheme="minorHAnsi"/>
          <w:lang w:val="en-GB"/>
        </w:rPr>
        <w:t>A</w:t>
      </w:r>
      <w:r>
        <w:rPr>
          <w:rFonts w:asciiTheme="minorHAnsi" w:hAnsiTheme="minorHAnsi" w:cstheme="minorHAnsi"/>
          <w:lang w:val="en-GB"/>
        </w:rPr>
        <w:t xml:space="preserve"> </w:t>
      </w:r>
      <w:r w:rsidR="00984AAD" w:rsidRPr="00556414">
        <w:rPr>
          <w:rFonts w:asciiTheme="minorHAnsi" w:hAnsiTheme="minorHAnsi" w:cstheme="minorHAnsi"/>
          <w:lang w:val="en-GB"/>
        </w:rPr>
        <w:t xml:space="preserve">rapid bounce back of drug supply and use following disruption during COVID-19. </w:t>
      </w:r>
    </w:p>
    <w:p w14:paraId="2F4620C2" w14:textId="4A26196D" w:rsidR="00486B46" w:rsidRPr="00486B46" w:rsidRDefault="00984AAD" w:rsidP="00486B46">
      <w:pPr>
        <w:pStyle w:val="ListParagraph"/>
        <w:numPr>
          <w:ilvl w:val="0"/>
          <w:numId w:val="27"/>
        </w:numPr>
        <w:rPr>
          <w:rFonts w:asciiTheme="minorHAnsi" w:hAnsiTheme="minorHAnsi" w:cstheme="minorHAnsi"/>
          <w:bCs/>
          <w:lang w:val="en-GB"/>
        </w:rPr>
      </w:pPr>
      <w:r w:rsidRPr="00556414">
        <w:rPr>
          <w:rFonts w:asciiTheme="minorHAnsi" w:hAnsiTheme="minorHAnsi" w:cstheme="minorHAnsi"/>
          <w:lang w:val="en-GB"/>
        </w:rPr>
        <w:t>Drug availability and use remain at high levels across the EU</w:t>
      </w:r>
      <w:r w:rsidR="00486B46" w:rsidRPr="00556414">
        <w:rPr>
          <w:rFonts w:asciiTheme="minorHAnsi" w:hAnsiTheme="minorHAnsi" w:cstheme="minorHAnsi"/>
          <w:lang w:val="en-GB"/>
        </w:rPr>
        <w:t>,</w:t>
      </w:r>
      <w:r w:rsidRPr="00556414">
        <w:rPr>
          <w:rFonts w:asciiTheme="minorHAnsi" w:hAnsiTheme="minorHAnsi" w:cstheme="minorHAnsi"/>
          <w:lang w:val="en-GB"/>
        </w:rPr>
        <w:t xml:space="preserve"> and potent and hazardous substances are still appearing. </w:t>
      </w:r>
    </w:p>
    <w:p w14:paraId="74E59E49" w14:textId="77777777" w:rsidR="00486B46" w:rsidRPr="00486B46" w:rsidRDefault="00984AAD" w:rsidP="00486B46">
      <w:pPr>
        <w:pStyle w:val="ListParagraph"/>
        <w:numPr>
          <w:ilvl w:val="0"/>
          <w:numId w:val="27"/>
        </w:numPr>
        <w:rPr>
          <w:rFonts w:asciiTheme="minorHAnsi" w:hAnsiTheme="minorHAnsi" w:cstheme="minorHAnsi"/>
          <w:bCs/>
          <w:lang w:val="en-GB"/>
        </w:rPr>
      </w:pPr>
      <w:r w:rsidRPr="00556414">
        <w:rPr>
          <w:rFonts w:asciiTheme="minorHAnsi" w:hAnsiTheme="minorHAnsi" w:cstheme="minorHAnsi"/>
          <w:lang w:val="en-GB"/>
        </w:rPr>
        <w:t>Drug treatment and other services are retu</w:t>
      </w:r>
      <w:r w:rsidR="00D70A06" w:rsidRPr="00556414">
        <w:rPr>
          <w:rFonts w:asciiTheme="minorHAnsi" w:hAnsiTheme="minorHAnsi" w:cstheme="minorHAnsi"/>
          <w:lang w:val="en-GB"/>
        </w:rPr>
        <w:t>r</w:t>
      </w:r>
      <w:r w:rsidRPr="00556414">
        <w:rPr>
          <w:rFonts w:asciiTheme="minorHAnsi" w:hAnsiTheme="minorHAnsi" w:cstheme="minorHAnsi"/>
          <w:lang w:val="en-GB"/>
        </w:rPr>
        <w:t xml:space="preserve">ning to normal after the COVID-19 restrictions. </w:t>
      </w:r>
    </w:p>
    <w:p w14:paraId="5B8C74FB" w14:textId="306384AD" w:rsidR="00984AAD" w:rsidRPr="00556414" w:rsidRDefault="00984AAD" w:rsidP="00556414">
      <w:pPr>
        <w:pStyle w:val="ListParagraph"/>
        <w:numPr>
          <w:ilvl w:val="0"/>
          <w:numId w:val="27"/>
        </w:numPr>
        <w:rPr>
          <w:rFonts w:asciiTheme="minorHAnsi" w:hAnsiTheme="minorHAnsi" w:cstheme="minorHAnsi"/>
          <w:bCs/>
          <w:lang w:val="en-GB"/>
        </w:rPr>
      </w:pPr>
      <w:r w:rsidRPr="00556414">
        <w:rPr>
          <w:rFonts w:asciiTheme="minorHAnsi" w:hAnsiTheme="minorHAnsi" w:cstheme="minorHAnsi"/>
          <w:lang w:val="en-GB"/>
        </w:rPr>
        <w:t>Cannabis products are becoming increasingly diverse and the production of synthetic drugs within Europe is on the rise</w:t>
      </w:r>
      <w:bookmarkStart w:id="0" w:name="_Hlk104370711"/>
      <w:r w:rsidRPr="00556414">
        <w:rPr>
          <w:rFonts w:asciiTheme="minorHAnsi" w:hAnsiTheme="minorHAnsi" w:cstheme="minorHAnsi"/>
          <w:bCs/>
          <w:lang w:val="en-GB"/>
        </w:rPr>
        <w:t xml:space="preserve">. </w:t>
      </w:r>
      <w:bookmarkEnd w:id="0"/>
    </w:p>
    <w:p w14:paraId="498AF3C5" w14:textId="2DF152D4" w:rsidR="007055E3" w:rsidRPr="007055E3" w:rsidRDefault="007055E3" w:rsidP="00453B64">
      <w:pPr>
        <w:spacing w:after="200" w:line="276" w:lineRule="auto"/>
        <w:rPr>
          <w:rFonts w:asciiTheme="minorHAnsi" w:hAnsiTheme="minorHAnsi" w:cstheme="minorHAnsi"/>
          <w:sz w:val="22"/>
          <w:lang w:val="en-IE"/>
        </w:rPr>
      </w:pPr>
      <w:r w:rsidRPr="007055E3">
        <w:rPr>
          <w:rFonts w:asciiTheme="minorHAnsi" w:hAnsiTheme="minorHAnsi" w:cstheme="minorHAnsi"/>
          <w:b/>
          <w:bCs/>
          <w:sz w:val="22"/>
          <w:lang w:val="en-GB"/>
        </w:rPr>
        <w:t>Minister of State with responsibility for the National Drugs Strategy, Frank Feighan TD</w:t>
      </w:r>
      <w:r>
        <w:rPr>
          <w:rFonts w:asciiTheme="minorHAnsi" w:hAnsiTheme="minorHAnsi" w:cstheme="minorHAnsi"/>
          <w:b/>
          <w:bCs/>
          <w:sz w:val="22"/>
          <w:lang w:val="en-GB"/>
        </w:rPr>
        <w:t xml:space="preserve"> </w:t>
      </w:r>
      <w:r>
        <w:rPr>
          <w:rFonts w:asciiTheme="minorHAnsi" w:hAnsiTheme="minorHAnsi" w:cstheme="minorHAnsi"/>
          <w:sz w:val="22"/>
          <w:lang w:val="en-GB"/>
        </w:rPr>
        <w:t xml:space="preserve">said, </w:t>
      </w:r>
      <w:r w:rsidRPr="007055E3">
        <w:rPr>
          <w:rFonts w:asciiTheme="minorHAnsi" w:hAnsiTheme="minorHAnsi" w:cstheme="minorHAnsi"/>
          <w:sz w:val="22"/>
          <w:lang w:val="en-IE"/>
        </w:rPr>
        <w:t>‘I welcome the publication of the European Drug Report 2021. Drug use effects all in society; it impacts not only the person who uses drugs, but also their loved ones and their wider community. A coordinated approach is required, which is why the EU Drugs Strategy and Action Plan will be critical in the years to come</w:t>
      </w:r>
      <w:r w:rsidR="00A052BC">
        <w:rPr>
          <w:rFonts w:asciiTheme="minorHAnsi" w:hAnsiTheme="minorHAnsi" w:cstheme="minorHAnsi"/>
          <w:sz w:val="22"/>
          <w:lang w:val="en-IE"/>
        </w:rPr>
        <w:t>.’</w:t>
      </w:r>
      <w:r w:rsidRPr="007055E3">
        <w:rPr>
          <w:rFonts w:asciiTheme="minorHAnsi" w:hAnsiTheme="minorHAnsi" w:cstheme="minorHAnsi"/>
          <w:sz w:val="22"/>
          <w:lang w:val="en-IE"/>
        </w:rPr>
        <w:t xml:space="preserve"> </w:t>
      </w:r>
    </w:p>
    <w:p w14:paraId="30A6ECD6" w14:textId="3C7DE2C6" w:rsidR="00453B64" w:rsidRPr="00FB7A16" w:rsidRDefault="00453B64" w:rsidP="00453B64">
      <w:pPr>
        <w:spacing w:after="200" w:line="276" w:lineRule="auto"/>
        <w:rPr>
          <w:rFonts w:asciiTheme="minorHAnsi" w:hAnsiTheme="minorHAnsi" w:cstheme="minorHAnsi"/>
          <w:sz w:val="22"/>
          <w:lang w:val="en-GB"/>
        </w:rPr>
      </w:pPr>
      <w:r w:rsidRPr="00B91350">
        <w:rPr>
          <w:rFonts w:asciiTheme="minorHAnsi" w:hAnsiTheme="minorHAnsi" w:cstheme="minorHAnsi"/>
          <w:b/>
          <w:bCs/>
          <w:sz w:val="22"/>
          <w:lang w:val="en-GB"/>
        </w:rPr>
        <w:t xml:space="preserve">EMCDDA Director Alexis Goosdeel says: </w:t>
      </w:r>
      <w:r w:rsidRPr="00B91350">
        <w:rPr>
          <w:rFonts w:asciiTheme="minorHAnsi" w:hAnsiTheme="minorHAnsi" w:cstheme="minorHAnsi"/>
          <w:sz w:val="22"/>
          <w:lang w:val="en-GB"/>
        </w:rPr>
        <w:t>‘This report arrives at a time when major global events are touching upon all areas of our lives. Through its analysis of current trends and emerging threats, the report explores how these developments may influence drug problems in Europe in the future. I firmly believe that we can only address the complex policy issues in the drugs field if we base our responses on a balanced and evidence-based understanding of the problem</w:t>
      </w:r>
      <w:r w:rsidR="00A052BC">
        <w:rPr>
          <w:rFonts w:asciiTheme="minorHAnsi" w:hAnsiTheme="minorHAnsi" w:cstheme="minorHAnsi"/>
          <w:sz w:val="22"/>
          <w:lang w:val="en-GB"/>
        </w:rPr>
        <w:t>.’</w:t>
      </w:r>
    </w:p>
    <w:p w14:paraId="49714711" w14:textId="303E95BB" w:rsidR="00984AAD" w:rsidRPr="004B5245" w:rsidRDefault="00984AAD" w:rsidP="00984AAD">
      <w:pPr>
        <w:spacing w:after="200" w:line="276" w:lineRule="auto"/>
        <w:contextualSpacing/>
        <w:rPr>
          <w:rFonts w:asciiTheme="minorHAnsi" w:hAnsiTheme="minorHAnsi" w:cstheme="minorHAnsi"/>
          <w:sz w:val="22"/>
          <w:lang w:val="en-GB"/>
        </w:rPr>
      </w:pPr>
      <w:bookmarkStart w:id="1" w:name="_Hlk103777683"/>
      <w:r w:rsidRPr="004B5245">
        <w:rPr>
          <w:rFonts w:asciiTheme="minorHAnsi" w:hAnsiTheme="minorHAnsi" w:cstheme="minorHAnsi"/>
          <w:b/>
          <w:bCs/>
          <w:sz w:val="22"/>
          <w:lang w:val="en-GB"/>
        </w:rPr>
        <w:t xml:space="preserve">Hazardous </w:t>
      </w:r>
      <w:r w:rsidRPr="004B5245">
        <w:rPr>
          <w:rFonts w:asciiTheme="minorHAnsi" w:hAnsiTheme="minorHAnsi" w:cstheme="minorHAnsi"/>
          <w:b/>
          <w:bCs/>
          <w:sz w:val="22"/>
        </w:rPr>
        <w:t xml:space="preserve">new psychoactive substances </w:t>
      </w:r>
    </w:p>
    <w:bookmarkEnd w:id="1"/>
    <w:p w14:paraId="19C0421A" w14:textId="77777777" w:rsidR="00984AAD" w:rsidRPr="004B5245" w:rsidRDefault="00984AAD" w:rsidP="00984AAD">
      <w:pPr>
        <w:spacing w:after="200" w:line="276" w:lineRule="auto"/>
        <w:contextualSpacing/>
        <w:rPr>
          <w:rFonts w:asciiTheme="minorHAnsi" w:hAnsiTheme="minorHAnsi" w:cstheme="minorHAnsi"/>
          <w:sz w:val="22"/>
        </w:rPr>
      </w:pPr>
      <w:r w:rsidRPr="004B5245">
        <w:rPr>
          <w:rFonts w:asciiTheme="minorHAnsi" w:hAnsiTheme="minorHAnsi" w:cstheme="minorHAnsi"/>
          <w:sz w:val="22"/>
        </w:rPr>
        <w:t xml:space="preserve">New psychoactive substances (NPS) continue to appear in Europe at the rate of one per week, posing a public health challenge. In 2021, 52 New psychoactive substances (NPS) were reported for the first time through the </w:t>
      </w:r>
      <w:hyperlink r:id="rId8" w:history="1">
        <w:r w:rsidRPr="00E74916">
          <w:rPr>
            <w:rFonts w:asciiTheme="minorHAnsi" w:hAnsiTheme="minorHAnsi" w:cstheme="minorHAnsi"/>
            <w:sz w:val="22"/>
          </w:rPr>
          <w:t>EU Early Warning System</w:t>
        </w:r>
      </w:hyperlink>
      <w:r w:rsidRPr="00E74916">
        <w:rPr>
          <w:rFonts w:asciiTheme="minorHAnsi" w:hAnsiTheme="minorHAnsi" w:cstheme="minorHAnsi"/>
          <w:sz w:val="22"/>
        </w:rPr>
        <w:t xml:space="preserve"> (EWS), bringing the total number of NPS monitored by the EMCDDA to 880. In 2021, 15 new </w:t>
      </w:r>
      <w:hyperlink r:id="rId9" w:history="1">
        <w:r w:rsidRPr="00E74916">
          <w:rPr>
            <w:rFonts w:asciiTheme="minorHAnsi" w:hAnsiTheme="minorHAnsi" w:cstheme="minorHAnsi"/>
            <w:sz w:val="22"/>
          </w:rPr>
          <w:t>synthetic opioids</w:t>
        </w:r>
      </w:hyperlink>
      <w:r w:rsidRPr="00E74916">
        <w:rPr>
          <w:rFonts w:asciiTheme="minorHAnsi" w:hAnsiTheme="minorHAnsi" w:cstheme="minorHAnsi"/>
          <w:sz w:val="22"/>
        </w:rPr>
        <w:t xml:space="preserve">, 6 </w:t>
      </w:r>
      <w:hyperlink r:id="rId10" w:history="1">
        <w:r w:rsidRPr="00E74916">
          <w:rPr>
            <w:rFonts w:asciiTheme="minorHAnsi" w:hAnsiTheme="minorHAnsi" w:cstheme="minorHAnsi"/>
            <w:sz w:val="22"/>
          </w:rPr>
          <w:t>synthetic cathinones</w:t>
        </w:r>
      </w:hyperlink>
      <w:r w:rsidRPr="00E74916">
        <w:rPr>
          <w:rFonts w:asciiTheme="minorHAnsi" w:hAnsiTheme="minorHAnsi" w:cstheme="minorHAnsi"/>
          <w:sz w:val="22"/>
        </w:rPr>
        <w:t xml:space="preserve"> and 6 new </w:t>
      </w:r>
      <w:hyperlink r:id="rId11" w:history="1">
        <w:r w:rsidRPr="00E74916">
          <w:rPr>
            <w:rFonts w:asciiTheme="minorHAnsi" w:hAnsiTheme="minorHAnsi" w:cstheme="minorHAnsi"/>
            <w:sz w:val="22"/>
          </w:rPr>
          <w:t>synthetic cannabinoids</w:t>
        </w:r>
      </w:hyperlink>
      <w:r w:rsidRPr="004B5245">
        <w:rPr>
          <w:rFonts w:asciiTheme="minorHAnsi" w:hAnsiTheme="minorHAnsi" w:cstheme="minorHAnsi"/>
          <w:sz w:val="22"/>
        </w:rPr>
        <w:t xml:space="preserve"> were reported for the first time. </w:t>
      </w:r>
      <w:bookmarkStart w:id="2" w:name="_Hlk104122467"/>
      <w:r w:rsidRPr="004B5245">
        <w:rPr>
          <w:rFonts w:asciiTheme="minorHAnsi" w:hAnsiTheme="minorHAnsi" w:cstheme="minorHAnsi"/>
          <w:sz w:val="22"/>
        </w:rPr>
        <w:t xml:space="preserve"> </w:t>
      </w:r>
    </w:p>
    <w:p w14:paraId="7FB49AA3" w14:textId="47493989" w:rsidR="00984AAD" w:rsidRDefault="00BB7F04" w:rsidP="004B5245">
      <w:pPr>
        <w:spacing w:line="312" w:lineRule="auto"/>
        <w:rPr>
          <w:rFonts w:asciiTheme="minorHAnsi" w:hAnsiTheme="minorHAnsi" w:cstheme="minorHAnsi"/>
          <w:sz w:val="22"/>
          <w:lang w:val="en-GB"/>
        </w:rPr>
      </w:pPr>
      <w:bookmarkStart w:id="3" w:name="_Hlk104199781"/>
      <w:bookmarkEnd w:id="2"/>
      <w:r w:rsidRPr="004B5245">
        <w:rPr>
          <w:rFonts w:asciiTheme="minorHAnsi" w:hAnsiTheme="minorHAnsi" w:cstheme="minorHAnsi"/>
          <w:sz w:val="22"/>
          <w:lang w:val="en-GB"/>
        </w:rPr>
        <w:t xml:space="preserve">Drug problems in Europe can be influenced by developments occurring internationally. Despite the 2022 Taliban ban on the production, sale and trafficking of illicit drugs in </w:t>
      </w:r>
      <w:r w:rsidRPr="004B5245">
        <w:rPr>
          <w:rFonts w:asciiTheme="minorHAnsi" w:hAnsiTheme="minorHAnsi" w:cstheme="minorHAnsi"/>
          <w:bCs/>
          <w:sz w:val="22"/>
          <w:lang w:val="en-GB"/>
        </w:rPr>
        <w:t>Afghanistan</w:t>
      </w:r>
      <w:r w:rsidRPr="004B5245">
        <w:rPr>
          <w:rFonts w:asciiTheme="minorHAnsi" w:hAnsiTheme="minorHAnsi" w:cstheme="minorHAnsi"/>
          <w:sz w:val="22"/>
          <w:lang w:val="en-GB"/>
        </w:rPr>
        <w:t xml:space="preserve">, poppy cultivation appears to continue. </w:t>
      </w:r>
      <w:r w:rsidRPr="004B5245">
        <w:rPr>
          <w:rFonts w:asciiTheme="minorHAnsi" w:hAnsiTheme="minorHAnsi" w:cstheme="minorHAnsi"/>
          <w:sz w:val="22"/>
        </w:rPr>
        <w:t xml:space="preserve">Following controls on synthetic cathinones in China, most bulk quantities of these substances trafficked to Europe in 2020 originated in India, reflecting market adaptation to </w:t>
      </w:r>
      <w:r w:rsidRPr="004B5245">
        <w:rPr>
          <w:rFonts w:asciiTheme="minorHAnsi" w:hAnsiTheme="minorHAnsi" w:cstheme="minorHAnsi"/>
          <w:sz w:val="22"/>
          <w:lang w:val="en-GB"/>
        </w:rPr>
        <w:t>legal controls and supply disruptions</w:t>
      </w:r>
      <w:r w:rsidR="004B5245">
        <w:rPr>
          <w:rFonts w:asciiTheme="minorHAnsi" w:hAnsiTheme="minorHAnsi" w:cstheme="minorHAnsi"/>
          <w:sz w:val="22"/>
          <w:lang w:val="en-GB"/>
        </w:rPr>
        <w:t>.</w:t>
      </w:r>
    </w:p>
    <w:p w14:paraId="5F311961" w14:textId="4E456873" w:rsidR="007055E3" w:rsidRPr="007055E3" w:rsidRDefault="007055E3" w:rsidP="004B5245">
      <w:pPr>
        <w:spacing w:line="312" w:lineRule="auto"/>
        <w:rPr>
          <w:rFonts w:asciiTheme="minorHAnsi" w:hAnsiTheme="minorHAnsi" w:cstheme="minorHAnsi"/>
          <w:b/>
          <w:bCs/>
          <w:sz w:val="22"/>
          <w:lang w:val="en-GB"/>
        </w:rPr>
      </w:pPr>
    </w:p>
    <w:bookmarkEnd w:id="3"/>
    <w:p w14:paraId="3163E0CE" w14:textId="13CFC221" w:rsidR="001C76A2" w:rsidRPr="001C76A2" w:rsidRDefault="001C76A2" w:rsidP="00733DA9">
      <w:pPr>
        <w:pStyle w:val="NormalWeb"/>
        <w:spacing w:line="312" w:lineRule="auto"/>
        <w:rPr>
          <w:rFonts w:asciiTheme="minorHAnsi" w:hAnsiTheme="minorHAnsi" w:cs="Tahoma"/>
          <w:b/>
          <w:i/>
          <w:iCs/>
          <w:lang w:val="en-GB"/>
        </w:rPr>
      </w:pPr>
      <w:r w:rsidRPr="001C76A2">
        <w:rPr>
          <w:rFonts w:asciiTheme="minorHAnsi" w:hAnsiTheme="minorHAnsi" w:cs="Tahoma"/>
          <w:b/>
          <w:i/>
          <w:iCs/>
          <w:lang w:val="en-GB"/>
        </w:rPr>
        <w:lastRenderedPageBreak/>
        <w:t>Latest data</w:t>
      </w:r>
    </w:p>
    <w:p w14:paraId="5FB40A23" w14:textId="09E54C4A" w:rsidR="001C76A2" w:rsidRPr="00BB7F04" w:rsidRDefault="001C76A2" w:rsidP="00733DA9">
      <w:pPr>
        <w:pStyle w:val="NormalWeb"/>
        <w:numPr>
          <w:ilvl w:val="0"/>
          <w:numId w:val="25"/>
        </w:numPr>
        <w:spacing w:line="312" w:lineRule="auto"/>
        <w:rPr>
          <w:rFonts w:asciiTheme="minorHAnsi" w:hAnsiTheme="minorHAnsi" w:cs="Tahoma"/>
          <w:bCs/>
          <w:sz w:val="22"/>
          <w:lang w:val="en-GB"/>
        </w:rPr>
      </w:pPr>
      <w:r w:rsidRPr="00BB7F04">
        <w:rPr>
          <w:rFonts w:asciiTheme="minorHAnsi" w:hAnsiTheme="minorHAnsi" w:cs="Tahoma"/>
          <w:bCs/>
          <w:sz w:val="22"/>
          <w:lang w:val="en-GB"/>
        </w:rPr>
        <w:t>Around 83</w:t>
      </w:r>
      <w:r w:rsidR="002E0CAA" w:rsidRPr="00BB7F04">
        <w:rPr>
          <w:rFonts w:asciiTheme="minorHAnsi" w:hAnsiTheme="minorHAnsi" w:cs="Tahoma"/>
          <w:bCs/>
          <w:sz w:val="22"/>
          <w:lang w:val="en-GB"/>
        </w:rPr>
        <w:t>.4</w:t>
      </w:r>
      <w:r w:rsidRPr="00BB7F04">
        <w:rPr>
          <w:rFonts w:asciiTheme="minorHAnsi" w:hAnsiTheme="minorHAnsi" w:cs="Tahoma"/>
          <w:bCs/>
          <w:sz w:val="22"/>
          <w:lang w:val="en-GB"/>
        </w:rPr>
        <w:t> million or 2</w:t>
      </w:r>
      <w:r w:rsidR="002E0CAA" w:rsidRPr="00BB7F04">
        <w:rPr>
          <w:rFonts w:asciiTheme="minorHAnsi" w:hAnsiTheme="minorHAnsi" w:cs="Tahoma"/>
          <w:bCs/>
          <w:sz w:val="22"/>
          <w:lang w:val="en-GB"/>
        </w:rPr>
        <w:t xml:space="preserve">9 </w:t>
      </w:r>
      <w:r w:rsidRPr="00BB7F04">
        <w:rPr>
          <w:rFonts w:asciiTheme="minorHAnsi" w:hAnsiTheme="minorHAnsi" w:cs="Tahoma"/>
          <w:bCs/>
          <w:sz w:val="22"/>
          <w:lang w:val="en-GB"/>
        </w:rPr>
        <w:t xml:space="preserve">% of adults (aged 15-64) in the European Union are estimated to have used </w:t>
      </w:r>
      <w:r w:rsidR="00E74916">
        <w:rPr>
          <w:rFonts w:asciiTheme="minorHAnsi" w:hAnsiTheme="minorHAnsi" w:cs="Tahoma"/>
          <w:bCs/>
          <w:sz w:val="22"/>
          <w:lang w:val="en-GB"/>
        </w:rPr>
        <w:t>illegal</w:t>
      </w:r>
      <w:r w:rsidRPr="00BB7F04">
        <w:rPr>
          <w:rFonts w:asciiTheme="minorHAnsi" w:hAnsiTheme="minorHAnsi" w:cs="Tahoma"/>
          <w:bCs/>
          <w:sz w:val="22"/>
          <w:lang w:val="en-GB"/>
        </w:rPr>
        <w:t xml:space="preserve"> drugs at least once in their lifetime. </w:t>
      </w:r>
    </w:p>
    <w:p w14:paraId="4555DE9E" w14:textId="2623001A" w:rsidR="00247FBF" w:rsidRPr="00BB7F04" w:rsidRDefault="00247FBF" w:rsidP="00A85FB0">
      <w:pPr>
        <w:pStyle w:val="NormalWeb"/>
        <w:numPr>
          <w:ilvl w:val="0"/>
          <w:numId w:val="25"/>
        </w:numPr>
        <w:spacing w:line="312" w:lineRule="auto"/>
        <w:rPr>
          <w:rFonts w:asciiTheme="minorHAnsi" w:hAnsiTheme="minorHAnsi" w:cs="Tahoma"/>
          <w:bCs/>
          <w:sz w:val="22"/>
          <w:lang w:val="en-GB"/>
        </w:rPr>
      </w:pPr>
      <w:r w:rsidRPr="00BB7F04">
        <w:rPr>
          <w:rFonts w:asciiTheme="minorHAnsi" w:hAnsiTheme="minorHAnsi" w:cs="Tahoma"/>
          <w:bCs/>
          <w:sz w:val="22"/>
          <w:lang w:val="en-GB"/>
        </w:rPr>
        <w:t>Cannabis remains the most widely consumed substance, with over 22 million European adults reporting its use in the last year</w:t>
      </w:r>
      <w:r w:rsidR="00A85FB0" w:rsidRPr="00BB7F04">
        <w:rPr>
          <w:rFonts w:asciiTheme="minorHAnsi" w:hAnsiTheme="minorHAnsi" w:cs="Tahoma"/>
          <w:bCs/>
          <w:sz w:val="22"/>
          <w:lang w:val="en-GB"/>
        </w:rPr>
        <w:t xml:space="preserve">.  Last year drug use is largely concentrated among young adults and is estimated at 15.5% among EU inhabitants aged 15–34 years. </w:t>
      </w:r>
    </w:p>
    <w:p w14:paraId="1FB48C62" w14:textId="210FEE29" w:rsidR="00247FBF" w:rsidRPr="00BB7F04" w:rsidRDefault="00247FBF" w:rsidP="00733DA9">
      <w:pPr>
        <w:pStyle w:val="NormalWeb"/>
        <w:numPr>
          <w:ilvl w:val="0"/>
          <w:numId w:val="25"/>
        </w:numPr>
        <w:spacing w:line="312" w:lineRule="auto"/>
        <w:rPr>
          <w:rFonts w:asciiTheme="minorHAnsi" w:hAnsiTheme="minorHAnsi" w:cs="Tahoma"/>
          <w:bCs/>
          <w:sz w:val="22"/>
          <w:lang w:val="en-GB"/>
        </w:rPr>
      </w:pPr>
      <w:r w:rsidRPr="00BB7F04">
        <w:rPr>
          <w:rFonts w:asciiTheme="minorHAnsi" w:hAnsiTheme="minorHAnsi" w:cs="Tahoma"/>
          <w:bCs/>
          <w:sz w:val="22"/>
          <w:lang w:val="en-GB"/>
        </w:rPr>
        <w:t>It is estimated that in the last year 3.5 million adults consumed cocaine, 2.6 million MDMA and 2 million amphetamines.</w:t>
      </w:r>
      <w:r w:rsidR="00A85FB0" w:rsidRPr="00BB7F04">
        <w:rPr>
          <w:rFonts w:asciiTheme="minorHAnsi" w:hAnsiTheme="minorHAnsi" w:cs="Tahoma"/>
          <w:bCs/>
          <w:sz w:val="22"/>
          <w:lang w:val="en-GB"/>
        </w:rPr>
        <w:t xml:space="preserve">  Surveys indicate that </w:t>
      </w:r>
      <w:r w:rsidR="00437885" w:rsidRPr="00BB7F04">
        <w:rPr>
          <w:rFonts w:asciiTheme="minorHAnsi" w:hAnsiTheme="minorHAnsi" w:cs="Tahoma"/>
          <w:bCs/>
          <w:sz w:val="22"/>
          <w:lang w:val="en-GB"/>
        </w:rPr>
        <w:t>nearly 2.2million 15–34-year-olds (2.2% of this age group) used cocaine in the last year.</w:t>
      </w:r>
    </w:p>
    <w:p w14:paraId="4B5C9A69" w14:textId="144BF88C" w:rsidR="00A85EEA" w:rsidRPr="00BB7F04" w:rsidRDefault="00A85EEA" w:rsidP="00733DA9">
      <w:pPr>
        <w:pStyle w:val="NormalWeb"/>
        <w:numPr>
          <w:ilvl w:val="0"/>
          <w:numId w:val="25"/>
        </w:numPr>
        <w:spacing w:line="312" w:lineRule="auto"/>
        <w:rPr>
          <w:rFonts w:asciiTheme="minorHAnsi" w:hAnsiTheme="minorHAnsi" w:cs="Tahoma"/>
          <w:bCs/>
          <w:sz w:val="22"/>
          <w:lang w:val="en-GB"/>
        </w:rPr>
      </w:pPr>
      <w:r w:rsidRPr="00BB7F04">
        <w:rPr>
          <w:rFonts w:asciiTheme="minorHAnsi" w:hAnsiTheme="minorHAnsi" w:cs="Tahoma"/>
          <w:bCs/>
          <w:sz w:val="22"/>
          <w:lang w:val="en-GB"/>
        </w:rPr>
        <w:t xml:space="preserve">Around </w:t>
      </w:r>
      <w:r w:rsidR="00486B46">
        <w:rPr>
          <w:rFonts w:asciiTheme="minorHAnsi" w:hAnsiTheme="minorHAnsi" w:cs="Tahoma"/>
          <w:bCs/>
          <w:sz w:val="22"/>
          <w:lang w:val="en-GB"/>
        </w:rPr>
        <w:t>one</w:t>
      </w:r>
      <w:r w:rsidRPr="00BB7F04">
        <w:rPr>
          <w:rFonts w:asciiTheme="minorHAnsi" w:hAnsiTheme="minorHAnsi" w:cs="Tahoma"/>
          <w:bCs/>
          <w:sz w:val="22"/>
          <w:lang w:val="en-GB"/>
        </w:rPr>
        <w:t xml:space="preserve"> million Europeans used heroin or another illicit opioid in </w:t>
      </w:r>
      <w:r w:rsidR="00437885" w:rsidRPr="00BB7F04">
        <w:rPr>
          <w:rFonts w:asciiTheme="minorHAnsi" w:hAnsiTheme="minorHAnsi" w:cs="Tahoma"/>
          <w:bCs/>
          <w:sz w:val="22"/>
          <w:lang w:val="en-GB"/>
        </w:rPr>
        <w:t>2020</w:t>
      </w:r>
      <w:r w:rsidRPr="00BB7F04">
        <w:rPr>
          <w:rFonts w:asciiTheme="minorHAnsi" w:hAnsiTheme="minorHAnsi" w:cs="Tahoma"/>
          <w:bCs/>
          <w:sz w:val="22"/>
          <w:lang w:val="en-GB"/>
        </w:rPr>
        <w:t>.</w:t>
      </w:r>
      <w:r w:rsidR="00437885" w:rsidRPr="00BB7F04">
        <w:rPr>
          <w:rFonts w:asciiTheme="minorHAnsi" w:hAnsiTheme="minorHAnsi" w:cs="Tahoma"/>
          <w:bCs/>
          <w:sz w:val="22"/>
          <w:lang w:val="en-GB"/>
        </w:rPr>
        <w:t xml:space="preserve"> </w:t>
      </w:r>
    </w:p>
    <w:p w14:paraId="508317A3" w14:textId="724E5D1C" w:rsidR="00A85EEA" w:rsidRDefault="00A85EEA" w:rsidP="00733DA9">
      <w:pPr>
        <w:pStyle w:val="NormalWeb"/>
        <w:numPr>
          <w:ilvl w:val="0"/>
          <w:numId w:val="25"/>
        </w:numPr>
        <w:spacing w:line="312" w:lineRule="auto"/>
        <w:rPr>
          <w:rFonts w:asciiTheme="minorHAnsi" w:hAnsiTheme="minorHAnsi" w:cs="Tahoma"/>
          <w:bCs/>
          <w:sz w:val="22"/>
          <w:lang w:val="en-GB"/>
        </w:rPr>
      </w:pPr>
      <w:r w:rsidRPr="00BB7F04">
        <w:rPr>
          <w:rFonts w:asciiTheme="minorHAnsi" w:hAnsiTheme="minorHAnsi" w:cs="Tahoma"/>
          <w:bCs/>
          <w:sz w:val="22"/>
          <w:lang w:val="en-GB"/>
        </w:rPr>
        <w:t>Opioids, often in combination with other substances, were found in around three quarters of fatal overdoses reported in the European Union for 2020.</w:t>
      </w:r>
    </w:p>
    <w:p w14:paraId="5835F39B" w14:textId="3C9305B1" w:rsidR="00FA3D11" w:rsidRPr="007055E3" w:rsidRDefault="00FA3D11" w:rsidP="00FA3D11">
      <w:pPr>
        <w:spacing w:line="312" w:lineRule="auto"/>
        <w:rPr>
          <w:rFonts w:asciiTheme="minorHAnsi" w:hAnsiTheme="minorHAnsi" w:cstheme="minorHAnsi"/>
          <w:sz w:val="22"/>
          <w:lang w:val="en-IE"/>
        </w:rPr>
      </w:pPr>
      <w:r w:rsidRPr="007055E3">
        <w:rPr>
          <w:rFonts w:asciiTheme="minorHAnsi" w:hAnsiTheme="minorHAnsi" w:cstheme="minorHAnsi"/>
          <w:b/>
          <w:bCs/>
          <w:sz w:val="22"/>
          <w:lang w:val="en-IE"/>
        </w:rPr>
        <w:t>Minister Feighan commented</w:t>
      </w:r>
      <w:r w:rsidRPr="007055E3">
        <w:rPr>
          <w:rFonts w:asciiTheme="minorHAnsi" w:hAnsiTheme="minorHAnsi" w:cstheme="minorHAnsi"/>
          <w:sz w:val="22"/>
          <w:lang w:val="en-IE"/>
        </w:rPr>
        <w:t xml:space="preserve">, ‘The European Drug Report highlights a variety of challenges, including those in relation to new psychoactive substances. Strengthening harm reduction responses to high-risk drug use is an important action within our national drugs strategy. The Department of Health and the HSE have developed a pilot drug monitoring programme to be delivered by the HSE at selected music festivals, as a public health response to the harms of drug use in nightlife environments. These proposals are currently being reviewed by </w:t>
      </w:r>
      <w:proofErr w:type="gramStart"/>
      <w:r w:rsidRPr="007055E3">
        <w:rPr>
          <w:rFonts w:asciiTheme="minorHAnsi" w:hAnsiTheme="minorHAnsi" w:cstheme="minorHAnsi"/>
          <w:sz w:val="22"/>
          <w:lang w:val="en-IE"/>
        </w:rPr>
        <w:t>An</w:t>
      </w:r>
      <w:proofErr w:type="gramEnd"/>
      <w:r w:rsidRPr="007055E3">
        <w:rPr>
          <w:rFonts w:asciiTheme="minorHAnsi" w:hAnsiTheme="minorHAnsi" w:cstheme="minorHAnsi"/>
          <w:sz w:val="22"/>
          <w:lang w:val="en-IE"/>
        </w:rPr>
        <w:t xml:space="preserve"> Garda Síochána and I look forward to working with a variety of stakeholders to progress this important work</w:t>
      </w:r>
      <w:r w:rsidR="00A052BC">
        <w:rPr>
          <w:rFonts w:asciiTheme="minorHAnsi" w:hAnsiTheme="minorHAnsi" w:cstheme="minorHAnsi"/>
          <w:sz w:val="22"/>
          <w:lang w:val="en-IE"/>
        </w:rPr>
        <w:t>.’</w:t>
      </w:r>
    </w:p>
    <w:p w14:paraId="28CF64D1" w14:textId="77777777" w:rsidR="00FA3D11" w:rsidRPr="007055E3" w:rsidRDefault="00FA3D11" w:rsidP="00FA3D11">
      <w:pPr>
        <w:spacing w:line="312" w:lineRule="auto"/>
        <w:rPr>
          <w:rFonts w:asciiTheme="minorHAnsi" w:hAnsiTheme="minorHAnsi" w:cstheme="minorHAnsi"/>
          <w:i/>
          <w:iCs/>
          <w:sz w:val="22"/>
          <w:lang w:val="en-IE"/>
        </w:rPr>
      </w:pPr>
    </w:p>
    <w:p w14:paraId="375B61CB" w14:textId="4A650A28" w:rsidR="00FA3D11" w:rsidRPr="007055E3" w:rsidRDefault="00FA3D11" w:rsidP="00FA3D11">
      <w:pPr>
        <w:spacing w:line="312" w:lineRule="auto"/>
        <w:rPr>
          <w:rFonts w:asciiTheme="minorHAnsi" w:hAnsiTheme="minorHAnsi" w:cstheme="minorHAnsi"/>
          <w:i/>
          <w:iCs/>
          <w:sz w:val="22"/>
          <w:lang w:val="en-IE"/>
        </w:rPr>
      </w:pPr>
      <w:r w:rsidRPr="007055E3">
        <w:rPr>
          <w:rFonts w:asciiTheme="minorHAnsi" w:hAnsiTheme="minorHAnsi" w:cstheme="minorHAnsi"/>
          <w:b/>
          <w:bCs/>
          <w:sz w:val="22"/>
          <w:lang w:val="en-IE"/>
        </w:rPr>
        <w:t>Minister Feighan continued,</w:t>
      </w:r>
      <w:r w:rsidRPr="007055E3">
        <w:rPr>
          <w:rFonts w:asciiTheme="minorHAnsi" w:hAnsiTheme="minorHAnsi" w:cstheme="minorHAnsi"/>
          <w:sz w:val="22"/>
          <w:lang w:val="en-IE"/>
        </w:rPr>
        <w:t xml:space="preserve"> </w:t>
      </w:r>
      <w:r w:rsidRPr="007055E3">
        <w:rPr>
          <w:rFonts w:asciiTheme="minorHAnsi" w:hAnsiTheme="minorHAnsi" w:cstheme="minorHAnsi"/>
          <w:i/>
          <w:iCs/>
          <w:sz w:val="22"/>
          <w:lang w:val="en-IE"/>
        </w:rPr>
        <w:t>‘</w:t>
      </w:r>
      <w:r w:rsidRPr="007055E3">
        <w:rPr>
          <w:rFonts w:asciiTheme="minorHAnsi" w:hAnsiTheme="minorHAnsi" w:cstheme="minorHAnsi"/>
          <w:sz w:val="22"/>
          <w:lang w:val="en-IE"/>
        </w:rPr>
        <w:t>As part of the national drugs strategy, a new strategic implementation group has been set up to focus and drive Prevention, Education and Awareness to build skills and confidence in young people and encourage healthy choices and behaviour. I will soon be announcing a Prevention and Education funding programme to encourage the development of evidence-based prevention measures</w:t>
      </w:r>
      <w:r w:rsidRPr="007055E3">
        <w:rPr>
          <w:rFonts w:asciiTheme="minorHAnsi" w:hAnsiTheme="minorHAnsi" w:cstheme="minorHAnsi"/>
          <w:i/>
          <w:iCs/>
          <w:sz w:val="22"/>
          <w:lang w:val="en-IE"/>
        </w:rPr>
        <w:t>.</w:t>
      </w:r>
      <w:r w:rsidR="00B97439">
        <w:rPr>
          <w:rFonts w:asciiTheme="minorHAnsi" w:hAnsiTheme="minorHAnsi" w:cstheme="minorHAnsi"/>
          <w:i/>
          <w:iCs/>
          <w:sz w:val="22"/>
          <w:lang w:val="en-IE"/>
        </w:rPr>
        <w:t>’</w:t>
      </w:r>
    </w:p>
    <w:p w14:paraId="037233E1" w14:textId="21437BF2" w:rsidR="007055E3" w:rsidRDefault="007055E3" w:rsidP="007055E3">
      <w:pPr>
        <w:rPr>
          <w:lang w:val="en-GB" w:eastAsia="en-GB"/>
        </w:rPr>
      </w:pPr>
    </w:p>
    <w:p w14:paraId="34F6BD78" w14:textId="7950AD86" w:rsidR="00B97439" w:rsidRPr="007055E3" w:rsidRDefault="00B97439" w:rsidP="00B97439">
      <w:pPr>
        <w:pStyle w:val="Heading1"/>
        <w:rPr>
          <w:lang w:val="en-GB" w:eastAsia="en-GB"/>
        </w:rPr>
      </w:pPr>
      <w:r>
        <w:rPr>
          <w:lang w:val="en-GB" w:eastAsia="en-GB"/>
        </w:rPr>
        <w:t>A comparison of the Irish drug situation with Europe</w:t>
      </w:r>
    </w:p>
    <w:p w14:paraId="7FAFAE12" w14:textId="77777777" w:rsidR="00A052BC" w:rsidRDefault="00A052BC" w:rsidP="00E956B1">
      <w:pPr>
        <w:pStyle w:val="Heading3"/>
        <w:spacing w:line="312" w:lineRule="auto"/>
        <w:rPr>
          <w:lang w:val="en-GB" w:eastAsia="en-GB"/>
        </w:rPr>
      </w:pPr>
    </w:p>
    <w:p w14:paraId="78BA5D48" w14:textId="258F25F3" w:rsidR="00E956B1" w:rsidRDefault="00E956B1" w:rsidP="00E956B1">
      <w:pPr>
        <w:pStyle w:val="Heading3"/>
        <w:spacing w:line="312" w:lineRule="auto"/>
        <w:rPr>
          <w:lang w:val="en-GB" w:eastAsia="en-GB"/>
        </w:rPr>
      </w:pPr>
      <w:r w:rsidRPr="0099228B">
        <w:rPr>
          <w:lang w:val="en-GB" w:eastAsia="en-GB"/>
        </w:rPr>
        <w:t>Cocaine</w:t>
      </w:r>
    </w:p>
    <w:p w14:paraId="20997B02" w14:textId="77777777" w:rsidR="00E956B1" w:rsidRPr="004B5245" w:rsidRDefault="00E956B1" w:rsidP="00E956B1">
      <w:pPr>
        <w:spacing w:line="312" w:lineRule="auto"/>
        <w:rPr>
          <w:rFonts w:asciiTheme="minorHAnsi" w:hAnsiTheme="minorHAnsi" w:cstheme="minorHAnsi"/>
          <w:sz w:val="22"/>
          <w:lang w:val="en-GB" w:eastAsia="en-GB"/>
        </w:rPr>
      </w:pPr>
      <w:r w:rsidRPr="004B5245">
        <w:rPr>
          <w:rFonts w:asciiTheme="minorHAnsi" w:hAnsiTheme="minorHAnsi" w:cstheme="minorHAnsi"/>
          <w:bCs/>
          <w:sz w:val="22"/>
          <w:lang w:val="en-GB" w:eastAsia="en-GB"/>
        </w:rPr>
        <w:t>The</w:t>
      </w:r>
      <w:r w:rsidRPr="00112F0F">
        <w:rPr>
          <w:rFonts w:asciiTheme="minorHAnsi" w:hAnsiTheme="minorHAnsi" w:cstheme="minorHAnsi"/>
          <w:bCs/>
          <w:sz w:val="22"/>
          <w:lang w:val="en-GB" w:eastAsia="en-GB"/>
        </w:rPr>
        <w:t xml:space="preserve"> availability and use of cocaine in Europe remains high</w:t>
      </w:r>
      <w:r w:rsidRPr="004B5245">
        <w:rPr>
          <w:rFonts w:asciiTheme="minorHAnsi" w:hAnsiTheme="minorHAnsi" w:cstheme="minorHAnsi"/>
          <w:bCs/>
          <w:sz w:val="22"/>
          <w:lang w:val="en-GB" w:eastAsia="en-GB"/>
        </w:rPr>
        <w:t xml:space="preserve">, and </w:t>
      </w:r>
      <w:r w:rsidRPr="00112F0F">
        <w:rPr>
          <w:rFonts w:asciiTheme="minorHAnsi" w:hAnsiTheme="minorHAnsi" w:cstheme="minorHAnsi"/>
          <w:bCs/>
          <w:sz w:val="22"/>
          <w:lang w:val="en-GB" w:eastAsia="en-GB"/>
        </w:rPr>
        <w:t xml:space="preserve">reports indicate that crack </w:t>
      </w:r>
      <w:r>
        <w:rPr>
          <w:rFonts w:asciiTheme="minorHAnsi" w:hAnsiTheme="minorHAnsi" w:cstheme="minorHAnsi"/>
          <w:bCs/>
          <w:sz w:val="22"/>
          <w:lang w:val="en-GB" w:eastAsia="en-GB"/>
        </w:rPr>
        <w:t xml:space="preserve">cocaine </w:t>
      </w:r>
      <w:r w:rsidRPr="00112F0F">
        <w:rPr>
          <w:rFonts w:asciiTheme="minorHAnsi" w:hAnsiTheme="minorHAnsi" w:cstheme="minorHAnsi"/>
          <w:bCs/>
          <w:sz w:val="22"/>
          <w:lang w:val="en-GB" w:eastAsia="en-GB"/>
        </w:rPr>
        <w:t>use may be increasing among vulnerable drug users. A record 213 tonnes of cocaine was seized in the EU in</w:t>
      </w:r>
      <w:r w:rsidRPr="004B5245">
        <w:rPr>
          <w:rFonts w:asciiTheme="minorHAnsi" w:hAnsiTheme="minorHAnsi" w:cstheme="minorHAnsi"/>
          <w:bCs/>
          <w:sz w:val="22"/>
          <w:lang w:val="en-GB" w:eastAsia="en-GB"/>
        </w:rPr>
        <w:t xml:space="preserve"> 2020</w:t>
      </w:r>
      <w:r w:rsidRPr="00112F0F">
        <w:rPr>
          <w:rFonts w:asciiTheme="minorHAnsi" w:hAnsiTheme="minorHAnsi" w:cstheme="minorHAnsi"/>
          <w:bCs/>
          <w:sz w:val="22"/>
          <w:lang w:val="en-GB" w:eastAsia="en-GB"/>
        </w:rPr>
        <w:t xml:space="preserve"> and 23 laboratories were dismantled</w:t>
      </w:r>
      <w:r w:rsidRPr="004B5245">
        <w:rPr>
          <w:rFonts w:asciiTheme="minorHAnsi" w:hAnsiTheme="minorHAnsi" w:cstheme="minorHAnsi"/>
          <w:bCs/>
          <w:sz w:val="22"/>
          <w:lang w:val="en-GB" w:eastAsia="en-GB"/>
        </w:rPr>
        <w:t xml:space="preserve">. </w:t>
      </w:r>
    </w:p>
    <w:p w14:paraId="3B10CC46" w14:textId="77777777" w:rsidR="00E956B1" w:rsidRPr="004B5245" w:rsidRDefault="00E956B1" w:rsidP="00E956B1">
      <w:pPr>
        <w:pStyle w:val="Heading4"/>
        <w:spacing w:line="312" w:lineRule="auto"/>
        <w:rPr>
          <w:rFonts w:asciiTheme="minorHAnsi" w:hAnsiTheme="minorHAnsi" w:cstheme="minorHAnsi"/>
          <w:color w:val="auto"/>
          <w:sz w:val="22"/>
          <w:lang w:val="en-GB" w:eastAsia="en-GB"/>
        </w:rPr>
      </w:pPr>
    </w:p>
    <w:p w14:paraId="0E797D63" w14:textId="77777777" w:rsidR="00E956B1" w:rsidRPr="00D208B9" w:rsidRDefault="00E956B1" w:rsidP="00E956B1">
      <w:pPr>
        <w:pStyle w:val="Heading4"/>
        <w:spacing w:line="312" w:lineRule="auto"/>
        <w:rPr>
          <w:lang w:val="en-GB" w:eastAsia="en-GB"/>
        </w:rPr>
      </w:pPr>
      <w:r w:rsidRPr="00FE3B12">
        <w:rPr>
          <w:lang w:val="en-GB" w:eastAsia="en-GB"/>
        </w:rPr>
        <w:t>European situation</w:t>
      </w:r>
    </w:p>
    <w:p w14:paraId="65CBFE47" w14:textId="6F4E2FDD" w:rsidR="00E956B1" w:rsidRPr="004B5245" w:rsidRDefault="00E956B1" w:rsidP="00E956B1">
      <w:pPr>
        <w:pStyle w:val="ListParagraph"/>
        <w:numPr>
          <w:ilvl w:val="0"/>
          <w:numId w:val="11"/>
        </w:numPr>
        <w:spacing w:line="312" w:lineRule="auto"/>
        <w:ind w:left="714" w:hanging="357"/>
        <w:rPr>
          <w:rFonts w:asciiTheme="minorHAnsi" w:hAnsiTheme="minorHAnsi" w:cs="Arial"/>
          <w:lang w:val="en-GB"/>
        </w:rPr>
      </w:pPr>
      <w:r w:rsidRPr="004B5245">
        <w:rPr>
          <w:rFonts w:asciiTheme="minorHAnsi" w:hAnsiTheme="minorHAnsi" w:cs="Arial"/>
          <w:lang w:val="en-US"/>
        </w:rPr>
        <w:t xml:space="preserve">In the European Union, surveys indicate that nearly 2.2 million 15-34-year-olds (2.2 % of this age group) used cocaine in the last year. </w:t>
      </w:r>
    </w:p>
    <w:p w14:paraId="5DE6D64A" w14:textId="77777777" w:rsidR="00E956B1" w:rsidRPr="004B5245" w:rsidRDefault="00E956B1" w:rsidP="00E956B1">
      <w:pPr>
        <w:pStyle w:val="ListParagraph"/>
        <w:numPr>
          <w:ilvl w:val="0"/>
          <w:numId w:val="11"/>
        </w:numPr>
        <w:spacing w:line="312" w:lineRule="auto"/>
        <w:ind w:left="714" w:hanging="357"/>
        <w:rPr>
          <w:rFonts w:asciiTheme="minorHAnsi" w:hAnsiTheme="minorHAnsi" w:cs="Arial"/>
          <w:lang w:val="en-GB"/>
        </w:rPr>
      </w:pPr>
      <w:r w:rsidRPr="004B5245">
        <w:rPr>
          <w:rFonts w:asciiTheme="minorHAnsi" w:hAnsiTheme="minorHAnsi" w:cs="Arial"/>
          <w:lang w:val="en-US"/>
        </w:rPr>
        <w:t>In 2020, 14,000</w:t>
      </w:r>
      <w:r>
        <w:rPr>
          <w:rFonts w:asciiTheme="minorHAnsi" w:hAnsiTheme="minorHAnsi" w:cs="Arial"/>
          <w:lang w:val="en-US"/>
        </w:rPr>
        <w:t xml:space="preserve"> people</w:t>
      </w:r>
      <w:r w:rsidRPr="004B5245">
        <w:rPr>
          <w:rFonts w:asciiTheme="minorHAnsi" w:hAnsiTheme="minorHAnsi" w:cs="Arial"/>
          <w:lang w:val="en-US"/>
        </w:rPr>
        <w:t xml:space="preserve"> entering treatment for the first time, sought treatment for cocaine use.  At 15%, this was the second most common problem drug for first-time entries.</w:t>
      </w:r>
    </w:p>
    <w:p w14:paraId="4C0C3DD4" w14:textId="77777777" w:rsidR="001B7418" w:rsidRPr="001B7418" w:rsidRDefault="00E956B1" w:rsidP="001B7418">
      <w:pPr>
        <w:pStyle w:val="ListParagraph"/>
        <w:numPr>
          <w:ilvl w:val="0"/>
          <w:numId w:val="11"/>
        </w:numPr>
        <w:spacing w:line="312" w:lineRule="auto"/>
        <w:ind w:left="714" w:hanging="357"/>
        <w:rPr>
          <w:rFonts w:asciiTheme="minorHAnsi" w:hAnsiTheme="minorHAnsi" w:cs="Arial"/>
          <w:lang w:val="en-GB"/>
        </w:rPr>
      </w:pPr>
      <w:r w:rsidRPr="004B5245">
        <w:rPr>
          <w:rFonts w:asciiTheme="minorHAnsi" w:hAnsiTheme="minorHAnsi" w:cs="Arial"/>
          <w:lang w:val="en-US"/>
        </w:rPr>
        <w:lastRenderedPageBreak/>
        <w:t>In 2020, there were 7,500 entries to treatment for crack cocaine use, with just five EU countries accounting for 90% of the total treatment cases.</w:t>
      </w:r>
    </w:p>
    <w:p w14:paraId="50CDBFD8" w14:textId="29D1A5F1" w:rsidR="00E956B1" w:rsidRPr="001B7418" w:rsidRDefault="00E956B1" w:rsidP="001B7418">
      <w:pPr>
        <w:pStyle w:val="ListParagraph"/>
        <w:numPr>
          <w:ilvl w:val="0"/>
          <w:numId w:val="11"/>
        </w:numPr>
        <w:spacing w:line="312" w:lineRule="auto"/>
        <w:ind w:left="714" w:hanging="357"/>
        <w:rPr>
          <w:rFonts w:asciiTheme="minorHAnsi" w:hAnsiTheme="minorHAnsi" w:cs="Arial"/>
          <w:lang w:val="en-GB"/>
        </w:rPr>
      </w:pPr>
      <w:r w:rsidRPr="001B7418">
        <w:rPr>
          <w:rFonts w:asciiTheme="minorHAnsi" w:hAnsiTheme="minorHAnsi" w:cs="Tahoma"/>
          <w:lang w:val="en-GB"/>
        </w:rPr>
        <w:t>Cocaine, mostly in the presence of opioids, was implicated in 13.4% of drug poisoning deaths in Europe in 2022</w:t>
      </w:r>
      <w:r w:rsidR="00B97439">
        <w:rPr>
          <w:rFonts w:asciiTheme="minorHAnsi" w:hAnsiTheme="minorHAnsi" w:cs="Tahoma"/>
          <w:lang w:val="en-GB"/>
        </w:rPr>
        <w:t>.</w:t>
      </w:r>
    </w:p>
    <w:p w14:paraId="0045A068" w14:textId="77777777" w:rsidR="00E956B1" w:rsidRPr="004B5245" w:rsidRDefault="00E956B1" w:rsidP="00E956B1">
      <w:pPr>
        <w:pStyle w:val="ListParagraph"/>
        <w:numPr>
          <w:ilvl w:val="0"/>
          <w:numId w:val="11"/>
        </w:numPr>
        <w:spacing w:after="120" w:line="312" w:lineRule="auto"/>
        <w:ind w:left="714" w:hanging="357"/>
      </w:pPr>
      <w:r w:rsidRPr="004B5245">
        <w:t xml:space="preserve">The purity of cocaine has been on an upward trend over the past decade, and in 2019 reached a level 57 % higher than the index year of 2009, while the retail price of cocaine has remained stable. </w:t>
      </w:r>
    </w:p>
    <w:p w14:paraId="0A276E95" w14:textId="77777777" w:rsidR="00E956B1" w:rsidRPr="009E7DE4" w:rsidRDefault="00E956B1" w:rsidP="00E956B1">
      <w:pPr>
        <w:pStyle w:val="Heading4"/>
        <w:spacing w:line="312" w:lineRule="auto"/>
      </w:pPr>
      <w:r w:rsidRPr="009E7DE4">
        <w:t>Irish comparison</w:t>
      </w:r>
    </w:p>
    <w:p w14:paraId="25C9F178" w14:textId="6AD7EAC9" w:rsidR="00E956B1" w:rsidRPr="004B5245" w:rsidRDefault="00E956B1" w:rsidP="00E956B1">
      <w:pPr>
        <w:numPr>
          <w:ilvl w:val="0"/>
          <w:numId w:val="11"/>
        </w:numPr>
        <w:spacing w:line="312" w:lineRule="auto"/>
        <w:rPr>
          <w:rFonts w:asciiTheme="minorHAnsi" w:hAnsiTheme="minorHAnsi" w:cs="Tahoma"/>
          <w:sz w:val="22"/>
        </w:rPr>
      </w:pPr>
      <w:r w:rsidRPr="004B5245">
        <w:rPr>
          <w:rFonts w:asciiTheme="minorHAnsi" w:hAnsiTheme="minorHAnsi" w:cs="Arial"/>
          <w:sz w:val="22"/>
          <w:lang w:val="en-GB"/>
        </w:rPr>
        <w:t xml:space="preserve">In Ireland the most recent </w:t>
      </w:r>
      <w:r w:rsidRPr="000A0264">
        <w:rPr>
          <w:rFonts w:asciiTheme="minorHAnsi" w:hAnsiTheme="minorHAnsi" w:cs="Tahoma"/>
          <w:sz w:val="22"/>
          <w:lang w:val="en-IE"/>
        </w:rPr>
        <w:t>NDAS</w:t>
      </w:r>
      <w:r w:rsidRPr="000A0264">
        <w:rPr>
          <w:rFonts w:asciiTheme="minorHAnsi" w:hAnsiTheme="minorHAnsi" w:cs="Tahoma"/>
          <w:sz w:val="22"/>
          <w:lang w:val="en-GB"/>
        </w:rPr>
        <w:t xml:space="preserve"> </w:t>
      </w:r>
      <w:r w:rsidRPr="004B5245">
        <w:rPr>
          <w:rFonts w:asciiTheme="minorHAnsi" w:hAnsiTheme="minorHAnsi" w:cs="Arial"/>
          <w:sz w:val="22"/>
          <w:lang w:val="en-GB"/>
        </w:rPr>
        <w:t xml:space="preserve">in 2019-20 shows that 4.7 per cent of </w:t>
      </w:r>
      <w:r w:rsidRPr="004B5245">
        <w:rPr>
          <w:rFonts w:asciiTheme="minorHAnsi" w:hAnsiTheme="minorHAnsi" w:cs="Tahoma"/>
          <w:sz w:val="22"/>
        </w:rPr>
        <w:t>15–34-year</w:t>
      </w:r>
      <w:r w:rsidRPr="004B5245">
        <w:rPr>
          <w:rFonts w:asciiTheme="minorHAnsi" w:hAnsiTheme="minorHAnsi" w:cs="Tahoma"/>
          <w:sz w:val="22"/>
          <w:lang w:val="ga-IE"/>
        </w:rPr>
        <w:t>-olds</w:t>
      </w:r>
      <w:r w:rsidRPr="004B5245">
        <w:rPr>
          <w:rFonts w:asciiTheme="minorHAnsi" w:hAnsiTheme="minorHAnsi" w:cs="Tahoma"/>
          <w:sz w:val="22"/>
        </w:rPr>
        <w:t xml:space="preserve"> </w:t>
      </w:r>
      <w:r w:rsidRPr="004B5245">
        <w:rPr>
          <w:rFonts w:asciiTheme="minorHAnsi" w:hAnsiTheme="minorHAnsi" w:cs="Arial"/>
          <w:sz w:val="22"/>
          <w:lang w:val="en-GB"/>
        </w:rPr>
        <w:t>used cocaine in the last yea</w:t>
      </w:r>
      <w:r>
        <w:rPr>
          <w:rFonts w:asciiTheme="minorHAnsi" w:hAnsiTheme="minorHAnsi" w:cs="Arial"/>
          <w:sz w:val="22"/>
          <w:lang w:val="en-GB"/>
        </w:rPr>
        <w:t>r</w:t>
      </w:r>
      <w:r w:rsidR="00B97439">
        <w:rPr>
          <w:rFonts w:asciiTheme="minorHAnsi" w:hAnsiTheme="minorHAnsi" w:cs="Arial"/>
          <w:sz w:val="22"/>
          <w:lang w:val="en-GB"/>
        </w:rPr>
        <w:t>.</w:t>
      </w:r>
    </w:p>
    <w:p w14:paraId="4F41584F" w14:textId="03BE14D6" w:rsidR="00E956B1" w:rsidRDefault="00E956B1" w:rsidP="00E956B1">
      <w:pPr>
        <w:pStyle w:val="HRBBulletTextL1-6"/>
        <w:numPr>
          <w:ilvl w:val="0"/>
          <w:numId w:val="11"/>
        </w:numPr>
      </w:pPr>
      <w:r w:rsidRPr="00E56E91">
        <w:t>In 2021, for the first time, the</w:t>
      </w:r>
      <w:r w:rsidR="00714211">
        <w:t xml:space="preserve">re were more cases of treatment for cocaine as a main problem drug </w:t>
      </w:r>
      <w:r>
        <w:t>(3,248</w:t>
      </w:r>
      <w:r w:rsidR="00B57451">
        <w:t xml:space="preserve"> or 30% of </w:t>
      </w:r>
      <w:r w:rsidR="00B97439">
        <w:t>total treatment</w:t>
      </w:r>
      <w:r w:rsidR="00B57451">
        <w:t xml:space="preserve"> cases</w:t>
      </w:r>
      <w:r>
        <w:t xml:space="preserve">) </w:t>
      </w:r>
      <w:r w:rsidRPr="00E56E91">
        <w:t xml:space="preserve">than heroin </w:t>
      </w:r>
      <w:r>
        <w:t>(3,168)</w:t>
      </w:r>
      <w:r w:rsidRPr="00E56E91">
        <w:t xml:space="preserve">.  </w:t>
      </w:r>
    </w:p>
    <w:p w14:paraId="3CBD807F" w14:textId="4FBE0D0B" w:rsidR="00E956B1" w:rsidRPr="004B5245" w:rsidRDefault="00E956B1" w:rsidP="00E956B1">
      <w:pPr>
        <w:numPr>
          <w:ilvl w:val="0"/>
          <w:numId w:val="11"/>
        </w:numPr>
        <w:spacing w:line="312" w:lineRule="auto"/>
        <w:rPr>
          <w:rFonts w:asciiTheme="minorHAnsi" w:hAnsiTheme="minorHAnsi" w:cs="Tahoma"/>
          <w:sz w:val="22"/>
        </w:rPr>
      </w:pPr>
      <w:r w:rsidRPr="004B5245">
        <w:rPr>
          <w:rFonts w:asciiTheme="minorHAnsi" w:hAnsiTheme="minorHAnsi" w:cs="Tahoma"/>
          <w:sz w:val="22"/>
          <w:lang w:val="en-IE"/>
        </w:rPr>
        <w:t>In 202</w:t>
      </w:r>
      <w:r>
        <w:rPr>
          <w:rFonts w:asciiTheme="minorHAnsi" w:hAnsiTheme="minorHAnsi" w:cs="Tahoma"/>
          <w:sz w:val="22"/>
          <w:lang w:val="en-IE"/>
        </w:rPr>
        <w:t>1</w:t>
      </w:r>
      <w:r w:rsidRPr="004B5245">
        <w:rPr>
          <w:rFonts w:asciiTheme="minorHAnsi" w:hAnsiTheme="minorHAnsi" w:cs="Tahoma"/>
          <w:sz w:val="22"/>
          <w:lang w:val="en-IE"/>
        </w:rPr>
        <w:t xml:space="preserve">, the </w:t>
      </w:r>
      <w:r>
        <w:rPr>
          <w:rFonts w:asciiTheme="minorHAnsi" w:hAnsiTheme="minorHAnsi" w:cs="Tahoma"/>
          <w:sz w:val="22"/>
          <w:lang w:val="en-IE"/>
        </w:rPr>
        <w:t>1,359</w:t>
      </w:r>
      <w:r w:rsidRPr="004B5245">
        <w:rPr>
          <w:rFonts w:asciiTheme="minorHAnsi" w:hAnsiTheme="minorHAnsi" w:cs="Tahoma"/>
          <w:sz w:val="22"/>
          <w:lang w:val="en-IE"/>
        </w:rPr>
        <w:t xml:space="preserve"> new entrants </w:t>
      </w:r>
      <w:r w:rsidR="00F90B4A">
        <w:rPr>
          <w:rFonts w:asciiTheme="minorHAnsi" w:hAnsiTheme="minorHAnsi" w:cs="Tahoma"/>
          <w:sz w:val="22"/>
          <w:lang w:val="en-IE"/>
        </w:rPr>
        <w:t xml:space="preserve">into treatment </w:t>
      </w:r>
      <w:r w:rsidRPr="004B5245">
        <w:rPr>
          <w:rFonts w:asciiTheme="minorHAnsi" w:hAnsiTheme="minorHAnsi" w:cs="Tahoma"/>
          <w:sz w:val="22"/>
          <w:lang w:val="en-IE"/>
        </w:rPr>
        <w:t>reporting cocaine as the main problem</w:t>
      </w:r>
      <w:r w:rsidR="00F90B4A">
        <w:rPr>
          <w:rFonts w:asciiTheme="minorHAnsi" w:hAnsiTheme="minorHAnsi" w:cs="Tahoma"/>
          <w:sz w:val="22"/>
          <w:lang w:val="en-IE"/>
        </w:rPr>
        <w:t>.  This represents 38% of all new entrants into treatment.</w:t>
      </w:r>
      <w:r w:rsidRPr="004B5245">
        <w:rPr>
          <w:rFonts w:asciiTheme="minorHAnsi" w:hAnsiTheme="minorHAnsi" w:cs="Tahoma"/>
          <w:sz w:val="22"/>
          <w:lang w:val="en-IE"/>
        </w:rPr>
        <w:t xml:space="preserve"> </w:t>
      </w:r>
    </w:p>
    <w:p w14:paraId="4CF767AB" w14:textId="77777777" w:rsidR="00E956B1" w:rsidRPr="004B5245" w:rsidRDefault="00E956B1" w:rsidP="00E956B1">
      <w:pPr>
        <w:numPr>
          <w:ilvl w:val="0"/>
          <w:numId w:val="11"/>
        </w:numPr>
        <w:spacing w:line="312" w:lineRule="auto"/>
        <w:rPr>
          <w:rFonts w:asciiTheme="minorHAnsi" w:hAnsiTheme="minorHAnsi" w:cs="Tahoma"/>
          <w:bCs/>
          <w:sz w:val="22"/>
        </w:rPr>
      </w:pPr>
      <w:r w:rsidRPr="004B5245">
        <w:rPr>
          <w:rFonts w:asciiTheme="minorHAnsi" w:hAnsiTheme="minorHAnsi" w:cs="Tahoma"/>
          <w:bCs/>
          <w:sz w:val="22"/>
          <w:lang w:val="ga-IE"/>
        </w:rPr>
        <w:t>Cocaine was implicated in 53 deaths in Ireland in 2017, an increase of 26% on the 2016 figure.</w:t>
      </w:r>
    </w:p>
    <w:p w14:paraId="4A50FBAA" w14:textId="27BA72A8" w:rsidR="00E956B1" w:rsidRPr="00556414" w:rsidRDefault="00E956B1" w:rsidP="00E956B1">
      <w:pPr>
        <w:numPr>
          <w:ilvl w:val="0"/>
          <w:numId w:val="11"/>
        </w:numPr>
        <w:spacing w:line="312" w:lineRule="auto"/>
        <w:rPr>
          <w:rFonts w:asciiTheme="minorHAnsi" w:hAnsiTheme="minorHAnsi" w:cs="Tahoma"/>
          <w:bCs/>
          <w:sz w:val="22"/>
        </w:rPr>
      </w:pPr>
      <w:r>
        <w:rPr>
          <w:rFonts w:asciiTheme="minorHAnsi" w:hAnsiTheme="minorHAnsi" w:cs="Tahoma"/>
          <w:bCs/>
          <w:sz w:val="22"/>
        </w:rPr>
        <w:t xml:space="preserve">Forensic Science Ireland recorded </w:t>
      </w:r>
      <w:r w:rsidRPr="00014C6A">
        <w:rPr>
          <w:rFonts w:asciiTheme="minorHAnsi" w:hAnsiTheme="minorHAnsi" w:cs="Tahoma"/>
          <w:bCs/>
          <w:sz w:val="22"/>
          <w:lang w:val="en-IE"/>
        </w:rPr>
        <w:t>1</w:t>
      </w:r>
      <w:r w:rsidR="00B97439">
        <w:rPr>
          <w:rFonts w:asciiTheme="minorHAnsi" w:hAnsiTheme="minorHAnsi" w:cs="Tahoma"/>
          <w:bCs/>
          <w:sz w:val="22"/>
          <w:lang w:val="en-IE"/>
        </w:rPr>
        <w:t>,</w:t>
      </w:r>
      <w:r w:rsidRPr="00014C6A">
        <w:rPr>
          <w:rFonts w:asciiTheme="minorHAnsi" w:hAnsiTheme="minorHAnsi" w:cs="Tahoma"/>
          <w:bCs/>
          <w:sz w:val="22"/>
          <w:lang w:val="en-IE"/>
        </w:rPr>
        <w:t>994</w:t>
      </w:r>
      <w:r>
        <w:rPr>
          <w:rFonts w:asciiTheme="minorHAnsi" w:hAnsiTheme="minorHAnsi" w:cs="Tahoma"/>
          <w:bCs/>
          <w:sz w:val="22"/>
          <w:lang w:val="en-IE"/>
        </w:rPr>
        <w:t xml:space="preserve"> seizures of cocaine in Ireland in 2020, the second most prominent drug in quantities seized after cannabis</w:t>
      </w:r>
      <w:r w:rsidR="00B97439">
        <w:rPr>
          <w:rFonts w:asciiTheme="minorHAnsi" w:hAnsiTheme="minorHAnsi" w:cs="Tahoma"/>
          <w:bCs/>
          <w:sz w:val="22"/>
          <w:lang w:val="en-IE"/>
        </w:rPr>
        <w:t>.</w:t>
      </w:r>
    </w:p>
    <w:p w14:paraId="45CD5BFA" w14:textId="691203AC" w:rsidR="00E956B1" w:rsidRDefault="00E956B1" w:rsidP="00733DA9">
      <w:pPr>
        <w:numPr>
          <w:ilvl w:val="0"/>
          <w:numId w:val="11"/>
        </w:numPr>
        <w:spacing w:line="312" w:lineRule="auto"/>
        <w:rPr>
          <w:rFonts w:asciiTheme="minorHAnsi" w:hAnsiTheme="minorHAnsi" w:cs="Tahoma"/>
          <w:bCs/>
          <w:sz w:val="22"/>
        </w:rPr>
      </w:pPr>
      <w:r>
        <w:rPr>
          <w:rFonts w:asciiTheme="minorHAnsi" w:hAnsiTheme="minorHAnsi" w:cs="Tahoma"/>
          <w:bCs/>
          <w:sz w:val="22"/>
        </w:rPr>
        <w:t>Forensic Science Ireland reported that the cocaine</w:t>
      </w:r>
      <w:r w:rsidRPr="00B8500E">
        <w:rPr>
          <w:rFonts w:asciiTheme="minorHAnsi" w:hAnsiTheme="minorHAnsi" w:cs="Tahoma"/>
          <w:bCs/>
          <w:sz w:val="22"/>
        </w:rPr>
        <w:t xml:space="preserve"> content</w:t>
      </w:r>
      <w:r>
        <w:rPr>
          <w:rFonts w:asciiTheme="minorHAnsi" w:hAnsiTheme="minorHAnsi" w:cs="Tahoma"/>
          <w:bCs/>
          <w:sz w:val="22"/>
        </w:rPr>
        <w:t xml:space="preserve"> of seized samples</w:t>
      </w:r>
      <w:r w:rsidRPr="00B8500E">
        <w:rPr>
          <w:rFonts w:asciiTheme="minorHAnsi" w:hAnsiTheme="minorHAnsi" w:cs="Tahoma"/>
          <w:bCs/>
          <w:sz w:val="22"/>
        </w:rPr>
        <w:t xml:space="preserve"> has remained broadly consistent over the four-year period</w:t>
      </w:r>
      <w:r>
        <w:rPr>
          <w:rFonts w:asciiTheme="minorHAnsi" w:hAnsiTheme="minorHAnsi" w:cs="Tahoma"/>
          <w:bCs/>
          <w:sz w:val="22"/>
        </w:rPr>
        <w:t xml:space="preserve"> 2016-19</w:t>
      </w:r>
      <w:r w:rsidRPr="00B8500E">
        <w:rPr>
          <w:rFonts w:asciiTheme="minorHAnsi" w:hAnsiTheme="minorHAnsi" w:cs="Tahoma"/>
          <w:bCs/>
          <w:sz w:val="22"/>
        </w:rPr>
        <w:t>, with an increase at street level</w:t>
      </w:r>
      <w:r>
        <w:rPr>
          <w:rFonts w:asciiTheme="minorHAnsi" w:hAnsiTheme="minorHAnsi" w:cs="Tahoma"/>
          <w:bCs/>
          <w:sz w:val="22"/>
        </w:rPr>
        <w:t xml:space="preserve"> from 34.7% to 46.5%, </w:t>
      </w:r>
      <w:r w:rsidRPr="00B8500E">
        <w:rPr>
          <w:rFonts w:asciiTheme="minorHAnsi" w:hAnsiTheme="minorHAnsi" w:cs="Tahoma"/>
          <w:bCs/>
          <w:sz w:val="22"/>
        </w:rPr>
        <w:t xml:space="preserve">noted. </w:t>
      </w:r>
      <w:r>
        <w:rPr>
          <w:rFonts w:asciiTheme="minorHAnsi" w:hAnsiTheme="minorHAnsi" w:cs="Tahoma"/>
          <w:bCs/>
          <w:sz w:val="22"/>
        </w:rPr>
        <w:t xml:space="preserve">European analysis reports </w:t>
      </w:r>
      <w:r w:rsidRPr="00B8500E">
        <w:rPr>
          <w:rFonts w:asciiTheme="minorHAnsi" w:hAnsiTheme="minorHAnsi" w:cs="Tahoma"/>
          <w:bCs/>
          <w:sz w:val="22"/>
        </w:rPr>
        <w:t>increase</w:t>
      </w:r>
      <w:r w:rsidR="00B97439">
        <w:rPr>
          <w:rFonts w:asciiTheme="minorHAnsi" w:hAnsiTheme="minorHAnsi" w:cs="Tahoma"/>
          <w:bCs/>
          <w:sz w:val="22"/>
        </w:rPr>
        <w:t>d</w:t>
      </w:r>
      <w:r w:rsidRPr="00B8500E">
        <w:rPr>
          <w:rFonts w:asciiTheme="minorHAnsi" w:hAnsiTheme="minorHAnsi" w:cs="Tahoma"/>
          <w:bCs/>
          <w:sz w:val="22"/>
        </w:rPr>
        <w:t xml:space="preserve"> trafficking routes, supply, seizures, and seizure volumes </w:t>
      </w:r>
      <w:r>
        <w:rPr>
          <w:rFonts w:asciiTheme="minorHAnsi" w:hAnsiTheme="minorHAnsi" w:cs="Tahoma"/>
          <w:bCs/>
          <w:sz w:val="22"/>
        </w:rPr>
        <w:t>during</w:t>
      </w:r>
      <w:r w:rsidRPr="00B8500E">
        <w:rPr>
          <w:rFonts w:asciiTheme="minorHAnsi" w:hAnsiTheme="minorHAnsi" w:cs="Tahoma"/>
          <w:bCs/>
          <w:sz w:val="22"/>
        </w:rPr>
        <w:t xml:space="preserve"> this </w:t>
      </w:r>
      <w:proofErr w:type="gramStart"/>
      <w:r w:rsidRPr="00B8500E">
        <w:rPr>
          <w:rFonts w:asciiTheme="minorHAnsi" w:hAnsiTheme="minorHAnsi" w:cs="Tahoma"/>
          <w:bCs/>
          <w:sz w:val="22"/>
        </w:rPr>
        <w:t>time period</w:t>
      </w:r>
      <w:proofErr w:type="gramEnd"/>
      <w:r w:rsidRPr="00B8500E">
        <w:rPr>
          <w:rFonts w:asciiTheme="minorHAnsi" w:hAnsiTheme="minorHAnsi" w:cs="Tahoma"/>
          <w:bCs/>
          <w:sz w:val="22"/>
        </w:rPr>
        <w:t>, ultimately leading to an increase in cocaine content for users</w:t>
      </w:r>
      <w:r>
        <w:rPr>
          <w:rFonts w:asciiTheme="minorHAnsi" w:hAnsiTheme="minorHAnsi" w:cs="Tahoma"/>
          <w:bCs/>
          <w:sz w:val="22"/>
        </w:rPr>
        <w:t>.</w:t>
      </w:r>
    </w:p>
    <w:p w14:paraId="52DD20E4" w14:textId="77777777" w:rsidR="00B97439" w:rsidRPr="00E956B1" w:rsidRDefault="00B97439" w:rsidP="00B97439">
      <w:pPr>
        <w:spacing w:line="312" w:lineRule="auto"/>
        <w:ind w:left="720"/>
        <w:rPr>
          <w:rFonts w:asciiTheme="minorHAnsi" w:hAnsiTheme="minorHAnsi" w:cs="Tahoma"/>
          <w:bCs/>
          <w:sz w:val="22"/>
        </w:rPr>
      </w:pPr>
    </w:p>
    <w:p w14:paraId="5D2EF1E2" w14:textId="21A15883" w:rsidR="00216B3A" w:rsidRPr="008E0511" w:rsidRDefault="00216B3A" w:rsidP="00733DA9">
      <w:pPr>
        <w:pStyle w:val="Heading3"/>
        <w:spacing w:line="312" w:lineRule="auto"/>
        <w:rPr>
          <w:rFonts w:cs="Tahoma"/>
          <w:bCs/>
        </w:rPr>
      </w:pPr>
      <w:r w:rsidRPr="008E0511">
        <w:rPr>
          <w:lang w:val="en-GB" w:eastAsia="en-GB"/>
        </w:rPr>
        <w:t>Cannabis</w:t>
      </w:r>
    </w:p>
    <w:p w14:paraId="6D025499" w14:textId="313DB74A" w:rsidR="00216B3A" w:rsidRDefault="00112F0F" w:rsidP="00733DA9">
      <w:pPr>
        <w:pStyle w:val="NormalWeb"/>
        <w:spacing w:before="0" w:beforeAutospacing="0" w:after="0" w:afterAutospacing="0" w:line="312" w:lineRule="auto"/>
        <w:rPr>
          <w:rFonts w:asciiTheme="minorHAnsi" w:hAnsiTheme="minorHAnsi" w:cs="Arial"/>
          <w:bCs/>
          <w:iCs/>
          <w:sz w:val="22"/>
          <w:szCs w:val="22"/>
          <w:lang w:val="en-GB" w:eastAsia="en-GB"/>
        </w:rPr>
      </w:pPr>
      <w:r w:rsidRPr="004B5245">
        <w:rPr>
          <w:rFonts w:asciiTheme="minorHAnsi" w:hAnsiTheme="minorHAnsi" w:cs="Arial"/>
          <w:bCs/>
          <w:iCs/>
          <w:sz w:val="22"/>
          <w:szCs w:val="22"/>
          <w:lang w:val="en-GB" w:eastAsia="en-GB"/>
        </w:rPr>
        <w:t>Developments in the cannabis area are creating new challenges for policy makers and services responding to its use. Cannabis products are becoming increasingly diverse, including extracts and edibles (high THC content) and CBD products (low THC content). In 2020, the average THC content of cannabis resin was 21%, almost twice that of cannabis herb (11%), reversing the trend seen in recent years, when herbal cannabis was typically of higher potency.</w:t>
      </w:r>
    </w:p>
    <w:p w14:paraId="0F23344F" w14:textId="77777777" w:rsidR="004B5245" w:rsidRPr="004B5245" w:rsidRDefault="004B5245" w:rsidP="00733DA9">
      <w:pPr>
        <w:pStyle w:val="NormalWeb"/>
        <w:spacing w:before="0" w:beforeAutospacing="0" w:after="0" w:afterAutospacing="0" w:line="312" w:lineRule="auto"/>
        <w:rPr>
          <w:rFonts w:asciiTheme="minorHAnsi" w:hAnsiTheme="minorHAnsi" w:cs="Arial"/>
          <w:bCs/>
          <w:iCs/>
          <w:sz w:val="22"/>
          <w:szCs w:val="22"/>
          <w:lang w:val="en-GB" w:eastAsia="en-GB"/>
        </w:rPr>
      </w:pPr>
    </w:p>
    <w:p w14:paraId="0D746832" w14:textId="77777777" w:rsidR="00216B3A" w:rsidRPr="008E0511" w:rsidRDefault="00216B3A" w:rsidP="00733DA9">
      <w:pPr>
        <w:pStyle w:val="Heading4"/>
        <w:spacing w:line="312" w:lineRule="auto"/>
        <w:rPr>
          <w:lang w:val="en-GB" w:eastAsia="en-GB"/>
        </w:rPr>
      </w:pPr>
      <w:r w:rsidRPr="008E0511">
        <w:rPr>
          <w:lang w:val="en-GB" w:eastAsia="en-GB"/>
        </w:rPr>
        <w:t>European situation</w:t>
      </w:r>
    </w:p>
    <w:p w14:paraId="45CE0E52" w14:textId="6E91437F" w:rsidR="00216B3A" w:rsidRPr="004B5245" w:rsidRDefault="00216B3A" w:rsidP="00733DA9">
      <w:pPr>
        <w:pStyle w:val="NormalWeb"/>
        <w:numPr>
          <w:ilvl w:val="0"/>
          <w:numId w:val="18"/>
        </w:numPr>
        <w:spacing w:before="0" w:beforeAutospacing="0" w:after="0" w:afterAutospacing="0" w:line="312" w:lineRule="auto"/>
        <w:rPr>
          <w:rFonts w:asciiTheme="minorHAnsi" w:hAnsiTheme="minorHAnsi" w:cs="Arial"/>
          <w:sz w:val="22"/>
          <w:szCs w:val="22"/>
          <w:lang w:val="en-GB" w:eastAsia="en-GB"/>
        </w:rPr>
      </w:pPr>
      <w:r w:rsidRPr="004B5245">
        <w:rPr>
          <w:rFonts w:asciiTheme="minorHAnsi" w:hAnsiTheme="minorHAnsi" w:cs="Arial"/>
          <w:sz w:val="22"/>
          <w:szCs w:val="22"/>
          <w:lang w:val="en-GB" w:eastAsia="en-GB"/>
        </w:rPr>
        <w:t xml:space="preserve">Cannabis is </w:t>
      </w:r>
      <w:r w:rsidR="00E74916" w:rsidRPr="004B5245">
        <w:rPr>
          <w:rFonts w:asciiTheme="minorHAnsi" w:hAnsiTheme="minorHAnsi" w:cs="Arial"/>
          <w:sz w:val="22"/>
          <w:szCs w:val="22"/>
          <w:lang w:val="en-GB" w:eastAsia="en-GB"/>
        </w:rPr>
        <w:t>most used</w:t>
      </w:r>
      <w:r w:rsidRPr="004B5245">
        <w:rPr>
          <w:rFonts w:asciiTheme="minorHAnsi" w:hAnsiTheme="minorHAnsi" w:cs="Arial"/>
          <w:sz w:val="22"/>
          <w:szCs w:val="22"/>
          <w:lang w:val="en-GB" w:eastAsia="en-GB"/>
        </w:rPr>
        <w:t xml:space="preserve"> illicit drug in Europe, across all age groups. </w:t>
      </w:r>
    </w:p>
    <w:p w14:paraId="0D08368F" w14:textId="558890A1" w:rsidR="00216B3A" w:rsidRPr="004B5245" w:rsidRDefault="00216B3A" w:rsidP="00733DA9">
      <w:pPr>
        <w:pStyle w:val="NormalWeb"/>
        <w:numPr>
          <w:ilvl w:val="0"/>
          <w:numId w:val="18"/>
        </w:numPr>
        <w:spacing w:line="312" w:lineRule="auto"/>
        <w:rPr>
          <w:rFonts w:asciiTheme="minorHAnsi" w:hAnsiTheme="minorHAnsi" w:cs="Arial"/>
          <w:sz w:val="22"/>
          <w:szCs w:val="22"/>
          <w:lang w:val="en-GB" w:eastAsia="en-GB"/>
        </w:rPr>
      </w:pPr>
      <w:r w:rsidRPr="004B5245">
        <w:rPr>
          <w:rFonts w:asciiTheme="minorHAnsi" w:hAnsiTheme="minorHAnsi" w:cs="Tahoma"/>
          <w:sz w:val="22"/>
          <w:szCs w:val="22"/>
        </w:rPr>
        <w:t xml:space="preserve">The EMCDDA estimates </w:t>
      </w:r>
      <w:r w:rsidRPr="004B5245">
        <w:rPr>
          <w:rFonts w:asciiTheme="minorHAnsi" w:hAnsiTheme="minorHAnsi" w:cs="Tahoma"/>
          <w:sz w:val="22"/>
          <w:szCs w:val="22"/>
          <w:lang w:val="en-GB"/>
        </w:rPr>
        <w:t>last year cannabis use among EU inhabitants aged 15-34 is at 15.</w:t>
      </w:r>
      <w:r w:rsidR="003E7951" w:rsidRPr="004B5245">
        <w:rPr>
          <w:rFonts w:asciiTheme="minorHAnsi" w:hAnsiTheme="minorHAnsi" w:cs="Tahoma"/>
          <w:sz w:val="22"/>
          <w:szCs w:val="22"/>
          <w:lang w:val="en-GB"/>
        </w:rPr>
        <w:t>5</w:t>
      </w:r>
      <w:r w:rsidRPr="004B5245">
        <w:rPr>
          <w:rFonts w:asciiTheme="minorHAnsi" w:hAnsiTheme="minorHAnsi" w:cs="Tahoma"/>
          <w:sz w:val="22"/>
          <w:szCs w:val="22"/>
          <w:lang w:val="en-GB"/>
        </w:rPr>
        <w:t> %</w:t>
      </w:r>
      <w:r w:rsidR="003E7951" w:rsidRPr="004B5245">
        <w:rPr>
          <w:rFonts w:asciiTheme="minorHAnsi" w:hAnsiTheme="minorHAnsi" w:cs="Tahoma"/>
          <w:sz w:val="22"/>
          <w:szCs w:val="22"/>
          <w:lang w:val="en-GB"/>
        </w:rPr>
        <w:t xml:space="preserve">.  </w:t>
      </w:r>
    </w:p>
    <w:p w14:paraId="0F21CC77" w14:textId="40F9C640" w:rsidR="00216B3A" w:rsidRPr="004B5245" w:rsidRDefault="003E7951" w:rsidP="00733DA9">
      <w:pPr>
        <w:pStyle w:val="ListParagraph"/>
        <w:numPr>
          <w:ilvl w:val="0"/>
          <w:numId w:val="18"/>
        </w:numPr>
        <w:spacing w:after="120" w:line="312" w:lineRule="auto"/>
      </w:pPr>
      <w:r w:rsidRPr="004B5245">
        <w:t>Among</w:t>
      </w:r>
      <w:r w:rsidR="00216B3A" w:rsidRPr="004B5245">
        <w:t xml:space="preserve"> EU inhabitants aged 15-</w:t>
      </w:r>
      <w:r w:rsidRPr="004B5245">
        <w:t>24</w:t>
      </w:r>
      <w:r w:rsidR="00216B3A" w:rsidRPr="004B5245">
        <w:t xml:space="preserve">, </w:t>
      </w:r>
      <w:r w:rsidRPr="004B5245">
        <w:t>an estimated</w:t>
      </w:r>
      <w:r w:rsidR="00216B3A" w:rsidRPr="004B5245">
        <w:t xml:space="preserve"> 19.</w:t>
      </w:r>
      <w:r w:rsidRPr="004B5245">
        <w:t>1</w:t>
      </w:r>
      <w:r w:rsidR="00216B3A" w:rsidRPr="004B5245">
        <w:t>% (9.</w:t>
      </w:r>
      <w:r w:rsidRPr="004B5245">
        <w:t>0</w:t>
      </w:r>
      <w:r w:rsidR="00216B3A" w:rsidRPr="004B5245">
        <w:t> million) used the drug in the last year and 10.</w:t>
      </w:r>
      <w:r w:rsidRPr="004B5245">
        <w:t>4</w:t>
      </w:r>
      <w:r w:rsidR="00216B3A" w:rsidRPr="004B5245">
        <w:t>% (4.9 million) in the last month.</w:t>
      </w:r>
    </w:p>
    <w:p w14:paraId="1EADB3C5" w14:textId="493751E7" w:rsidR="00216B3A" w:rsidRPr="004B5245" w:rsidRDefault="00216B3A" w:rsidP="00733DA9">
      <w:pPr>
        <w:pStyle w:val="ListParagraph"/>
        <w:numPr>
          <w:ilvl w:val="0"/>
          <w:numId w:val="18"/>
        </w:numPr>
        <w:spacing w:after="120" w:line="312" w:lineRule="auto"/>
      </w:pPr>
      <w:r w:rsidRPr="004B5245">
        <w:t>In 20</w:t>
      </w:r>
      <w:r w:rsidR="003E7951" w:rsidRPr="004B5245">
        <w:t>20</w:t>
      </w:r>
      <w:r w:rsidRPr="004B5245">
        <w:t xml:space="preserve">, around </w:t>
      </w:r>
      <w:r w:rsidR="003E7951" w:rsidRPr="004B5245">
        <w:t>80,</w:t>
      </w:r>
      <w:r w:rsidRPr="004B5245">
        <w:t xml:space="preserve">000 people entered specialised drug treatment in Europe for problems related to cannabis use (35% of all treatment demands); of those, about </w:t>
      </w:r>
      <w:r w:rsidR="003E7951" w:rsidRPr="004B5245">
        <w:t>43,</w:t>
      </w:r>
      <w:r w:rsidRPr="004B5245">
        <w:t xml:space="preserve">000 were entering treatment for the first time. </w:t>
      </w:r>
    </w:p>
    <w:p w14:paraId="2018A403" w14:textId="77777777" w:rsidR="00216B3A" w:rsidRPr="008E0511" w:rsidRDefault="00216B3A" w:rsidP="00733DA9">
      <w:pPr>
        <w:pStyle w:val="Heading4"/>
        <w:spacing w:line="312" w:lineRule="auto"/>
        <w:rPr>
          <w:lang w:val="en-GB" w:eastAsia="en-GB"/>
        </w:rPr>
      </w:pPr>
      <w:r w:rsidRPr="008E0511">
        <w:rPr>
          <w:lang w:val="en-GB" w:eastAsia="en-GB"/>
        </w:rPr>
        <w:lastRenderedPageBreak/>
        <w:t>Irish comparison</w:t>
      </w:r>
    </w:p>
    <w:p w14:paraId="69FFBEB0" w14:textId="03CE1CCB" w:rsidR="00847FDC" w:rsidRPr="004B5245" w:rsidRDefault="00216B3A" w:rsidP="00847FDC">
      <w:pPr>
        <w:numPr>
          <w:ilvl w:val="0"/>
          <w:numId w:val="20"/>
        </w:numPr>
        <w:spacing w:line="312" w:lineRule="auto"/>
        <w:rPr>
          <w:rFonts w:asciiTheme="minorHAnsi" w:hAnsiTheme="minorHAnsi" w:cs="Tahoma"/>
          <w:sz w:val="22"/>
          <w:lang w:val="en-IE" w:eastAsia="en-IE"/>
        </w:rPr>
      </w:pPr>
      <w:r w:rsidRPr="004B5245">
        <w:rPr>
          <w:rFonts w:asciiTheme="minorHAnsi" w:hAnsiTheme="minorHAnsi" w:cs="Tahoma"/>
          <w:sz w:val="22"/>
          <w:lang w:val="en-IE" w:eastAsia="en-IE"/>
        </w:rPr>
        <w:t>The 20</w:t>
      </w:r>
      <w:r w:rsidR="00847FDC" w:rsidRPr="004B5245">
        <w:rPr>
          <w:rFonts w:asciiTheme="minorHAnsi" w:hAnsiTheme="minorHAnsi" w:cs="Tahoma"/>
          <w:sz w:val="22"/>
          <w:lang w:val="en-IE" w:eastAsia="en-IE"/>
        </w:rPr>
        <w:t>19</w:t>
      </w:r>
      <w:r w:rsidRPr="004B5245">
        <w:rPr>
          <w:rFonts w:asciiTheme="minorHAnsi" w:hAnsiTheme="minorHAnsi" w:cs="Tahoma"/>
          <w:sz w:val="22"/>
          <w:lang w:val="en-IE" w:eastAsia="en-IE"/>
        </w:rPr>
        <w:t>/</w:t>
      </w:r>
      <w:r w:rsidR="00847FDC" w:rsidRPr="004B5245">
        <w:rPr>
          <w:rFonts w:asciiTheme="minorHAnsi" w:hAnsiTheme="minorHAnsi" w:cs="Tahoma"/>
          <w:sz w:val="22"/>
          <w:lang w:val="en-IE" w:eastAsia="en-IE"/>
        </w:rPr>
        <w:t>20</w:t>
      </w:r>
      <w:r w:rsidRPr="004B5245">
        <w:rPr>
          <w:rFonts w:asciiTheme="minorHAnsi" w:hAnsiTheme="minorHAnsi" w:cs="Tahoma"/>
          <w:sz w:val="22"/>
          <w:lang w:val="en-IE" w:eastAsia="en-IE"/>
        </w:rPr>
        <w:t xml:space="preserve"> </w:t>
      </w:r>
      <w:r w:rsidR="00847FDC" w:rsidRPr="004B5245">
        <w:rPr>
          <w:rFonts w:asciiTheme="minorHAnsi" w:hAnsiTheme="minorHAnsi" w:cs="Tahoma"/>
          <w:sz w:val="22"/>
          <w:lang w:val="en-IE" w:eastAsia="en-IE"/>
        </w:rPr>
        <w:t xml:space="preserve">National Drug and Alcohol Survey (NDAS) </w:t>
      </w:r>
      <w:r w:rsidR="00847FDC" w:rsidRPr="004B5245">
        <w:rPr>
          <w:rFonts w:asciiTheme="minorHAnsi" w:hAnsiTheme="minorHAnsi" w:cs="Tahoma"/>
          <w:sz w:val="22"/>
          <w:lang w:eastAsia="en-IE"/>
        </w:rPr>
        <w:t>reported that 24.4% of the population (15–64 years) had used cannabis at some point in their lives; 7.1% reported use in the year prior to the survey and 3.4% in the preceding month</w:t>
      </w:r>
      <w:r w:rsidR="007F2470">
        <w:rPr>
          <w:rFonts w:asciiTheme="minorHAnsi" w:hAnsiTheme="minorHAnsi" w:cs="Tahoma"/>
          <w:sz w:val="22"/>
          <w:lang w:eastAsia="en-IE"/>
        </w:rPr>
        <w:t>.</w:t>
      </w:r>
    </w:p>
    <w:p w14:paraId="77F6A32D" w14:textId="153351BE" w:rsidR="005A3E99" w:rsidRPr="004B5245" w:rsidRDefault="00847FDC" w:rsidP="00733DA9">
      <w:pPr>
        <w:numPr>
          <w:ilvl w:val="0"/>
          <w:numId w:val="20"/>
        </w:numPr>
        <w:spacing w:line="312" w:lineRule="auto"/>
        <w:rPr>
          <w:rFonts w:asciiTheme="minorHAnsi" w:hAnsiTheme="minorHAnsi" w:cs="Tahoma"/>
          <w:sz w:val="22"/>
          <w:lang w:val="en-IE" w:eastAsia="en-IE"/>
        </w:rPr>
      </w:pPr>
      <w:r w:rsidRPr="004B5245">
        <w:rPr>
          <w:rFonts w:asciiTheme="minorHAnsi" w:hAnsiTheme="minorHAnsi" w:cs="Tahoma"/>
          <w:sz w:val="22"/>
          <w:lang w:val="en-IE" w:eastAsia="en-IE"/>
        </w:rPr>
        <w:t xml:space="preserve">The </w:t>
      </w:r>
      <w:bookmarkStart w:id="4" w:name="_Hlk105523515"/>
      <w:r w:rsidRPr="004B5245">
        <w:rPr>
          <w:rFonts w:asciiTheme="minorHAnsi" w:hAnsiTheme="minorHAnsi" w:cs="Tahoma"/>
          <w:sz w:val="22"/>
          <w:lang w:val="en-IE" w:eastAsia="en-IE"/>
        </w:rPr>
        <w:t>NDAS</w:t>
      </w:r>
      <w:bookmarkEnd w:id="4"/>
      <w:r w:rsidRPr="004B5245">
        <w:rPr>
          <w:rFonts w:asciiTheme="minorHAnsi" w:hAnsiTheme="minorHAnsi" w:cs="Tahoma"/>
          <w:sz w:val="22"/>
          <w:lang w:val="en-IE" w:eastAsia="en-IE"/>
        </w:rPr>
        <w:t xml:space="preserve"> </w:t>
      </w:r>
      <w:r w:rsidR="00216B3A" w:rsidRPr="004B5245">
        <w:rPr>
          <w:rFonts w:asciiTheme="minorHAnsi" w:hAnsiTheme="minorHAnsi" w:cs="Tahoma"/>
          <w:sz w:val="22"/>
          <w:lang w:val="en-IE" w:eastAsia="en-IE"/>
        </w:rPr>
        <w:t xml:space="preserve">reported that </w:t>
      </w:r>
      <w:r w:rsidRPr="004B5245">
        <w:rPr>
          <w:rFonts w:asciiTheme="minorHAnsi" w:hAnsiTheme="minorHAnsi" w:cs="Tahoma"/>
          <w:sz w:val="22"/>
          <w:lang w:val="en-IE" w:eastAsia="en-IE"/>
        </w:rPr>
        <w:t>13.8</w:t>
      </w:r>
      <w:r w:rsidR="00216B3A" w:rsidRPr="004B5245">
        <w:rPr>
          <w:rFonts w:asciiTheme="minorHAnsi" w:hAnsiTheme="minorHAnsi" w:cs="Tahoma"/>
          <w:sz w:val="22"/>
          <w:lang w:val="en-IE" w:eastAsia="en-IE"/>
        </w:rPr>
        <w:t>% of young adults (15-34 years) used cannabis in the year prior to the survey</w:t>
      </w:r>
      <w:r w:rsidR="007F2470">
        <w:rPr>
          <w:rFonts w:asciiTheme="minorHAnsi" w:hAnsiTheme="minorHAnsi" w:cs="Tahoma"/>
          <w:sz w:val="22"/>
          <w:lang w:val="en-IE" w:eastAsia="en-IE"/>
        </w:rPr>
        <w:t>.</w:t>
      </w:r>
    </w:p>
    <w:p w14:paraId="6C58D3E4" w14:textId="4D96E2C0" w:rsidR="00216B3A" w:rsidRPr="004B5245" w:rsidRDefault="00216B3A" w:rsidP="00733DA9">
      <w:pPr>
        <w:numPr>
          <w:ilvl w:val="0"/>
          <w:numId w:val="20"/>
        </w:numPr>
        <w:spacing w:line="312" w:lineRule="auto"/>
        <w:rPr>
          <w:rFonts w:asciiTheme="minorHAnsi" w:hAnsiTheme="minorHAnsi" w:cs="Tahoma"/>
          <w:sz w:val="22"/>
          <w:lang w:val="en-IE" w:eastAsia="en-IE"/>
        </w:rPr>
      </w:pPr>
      <w:r w:rsidRPr="004B5245">
        <w:rPr>
          <w:rFonts w:asciiTheme="minorHAnsi" w:hAnsiTheme="minorHAnsi" w:cs="Tahoma"/>
          <w:sz w:val="22"/>
          <w:lang w:val="en-IE" w:eastAsia="en-IE"/>
        </w:rPr>
        <w:t xml:space="preserve">The 2019 ESPAD survey reported that </w:t>
      </w:r>
      <w:r w:rsidRPr="004B5245">
        <w:rPr>
          <w:rFonts w:asciiTheme="minorHAnsi" w:hAnsiTheme="minorHAnsi" w:cs="Tahoma"/>
          <w:sz w:val="22"/>
          <w:lang w:eastAsia="en-IE"/>
        </w:rPr>
        <w:t>16% of</w:t>
      </w:r>
      <w:r w:rsidR="001411F5" w:rsidRPr="004B5245">
        <w:rPr>
          <w:rFonts w:asciiTheme="minorHAnsi" w:hAnsiTheme="minorHAnsi" w:cs="Tahoma"/>
          <w:sz w:val="22"/>
          <w:lang w:eastAsia="en-IE"/>
        </w:rPr>
        <w:t xml:space="preserve"> </w:t>
      </w:r>
      <w:r w:rsidR="00BB6AEE">
        <w:rPr>
          <w:rFonts w:asciiTheme="minorHAnsi" w:hAnsiTheme="minorHAnsi" w:cs="Tahoma"/>
          <w:sz w:val="22"/>
          <w:lang w:eastAsia="en-IE"/>
        </w:rPr>
        <w:t>Irish</w:t>
      </w:r>
      <w:r w:rsidR="00E956B1">
        <w:rPr>
          <w:rFonts w:asciiTheme="minorHAnsi" w:hAnsiTheme="minorHAnsi" w:cs="Tahoma"/>
          <w:sz w:val="22"/>
          <w:lang w:eastAsia="en-IE"/>
        </w:rPr>
        <w:t xml:space="preserve"> </w:t>
      </w:r>
      <w:r w:rsidR="001411F5" w:rsidRPr="004B5245">
        <w:rPr>
          <w:rFonts w:asciiTheme="minorHAnsi" w:hAnsiTheme="minorHAnsi" w:cs="Tahoma"/>
          <w:sz w:val="22"/>
          <w:lang w:eastAsia="en-IE"/>
        </w:rPr>
        <w:t>secondary school students (aged</w:t>
      </w:r>
      <w:r w:rsidRPr="004B5245">
        <w:rPr>
          <w:rFonts w:asciiTheme="minorHAnsi" w:hAnsiTheme="minorHAnsi" w:cs="Tahoma"/>
          <w:sz w:val="22"/>
          <w:lang w:eastAsia="en-IE"/>
        </w:rPr>
        <w:t xml:space="preserve"> </w:t>
      </w:r>
      <w:r w:rsidR="001411F5" w:rsidRPr="004B5245">
        <w:rPr>
          <w:rFonts w:asciiTheme="minorHAnsi" w:hAnsiTheme="minorHAnsi" w:cs="Tahoma"/>
          <w:sz w:val="22"/>
          <w:lang w:eastAsia="en-IE"/>
        </w:rPr>
        <w:t>15–16)</w:t>
      </w:r>
      <w:r w:rsidRPr="004B5245">
        <w:rPr>
          <w:rFonts w:asciiTheme="minorHAnsi" w:hAnsiTheme="minorHAnsi" w:cs="Tahoma"/>
          <w:sz w:val="22"/>
          <w:lang w:eastAsia="en-IE"/>
        </w:rPr>
        <w:t xml:space="preserve"> had used cannabis in the last 12 months (recent use).</w:t>
      </w:r>
      <w:r w:rsidRPr="004B5245">
        <w:rPr>
          <w:rFonts w:asciiTheme="minorHAnsi" w:hAnsiTheme="minorHAnsi" w:cs="Tahoma"/>
          <w:sz w:val="22"/>
          <w:lang w:val="en-GB" w:eastAsia="en-IE"/>
        </w:rPr>
        <w:t xml:space="preserve"> </w:t>
      </w:r>
    </w:p>
    <w:p w14:paraId="5C367620" w14:textId="0BAA7EAE" w:rsidR="00683F32" w:rsidRPr="000A0E80" w:rsidRDefault="00216B3A" w:rsidP="00733DA9">
      <w:pPr>
        <w:pStyle w:val="NormalWeb"/>
        <w:numPr>
          <w:ilvl w:val="0"/>
          <w:numId w:val="20"/>
        </w:numPr>
        <w:spacing w:line="312" w:lineRule="auto"/>
        <w:rPr>
          <w:rFonts w:asciiTheme="minorHAnsi" w:hAnsiTheme="minorHAnsi" w:cs="Arial"/>
          <w:sz w:val="22"/>
          <w:szCs w:val="22"/>
          <w:lang w:val="en-GB" w:eastAsia="en-GB"/>
        </w:rPr>
      </w:pPr>
      <w:r w:rsidRPr="004B5245">
        <w:rPr>
          <w:rFonts w:asciiTheme="minorHAnsi" w:hAnsiTheme="minorHAnsi" w:cs="Tahoma"/>
          <w:sz w:val="22"/>
          <w:szCs w:val="22"/>
          <w:lang w:val="en-IE" w:eastAsia="en-IE"/>
        </w:rPr>
        <w:t>Cannabis was the main problem drug for 2</w:t>
      </w:r>
      <w:r w:rsidR="00BB6AEE">
        <w:rPr>
          <w:rFonts w:asciiTheme="minorHAnsi" w:hAnsiTheme="minorHAnsi" w:cs="Tahoma"/>
          <w:sz w:val="22"/>
          <w:szCs w:val="22"/>
          <w:lang w:val="en-IE" w:eastAsia="en-IE"/>
        </w:rPr>
        <w:t>,</w:t>
      </w:r>
      <w:r w:rsidR="000A0E80">
        <w:rPr>
          <w:rFonts w:asciiTheme="minorHAnsi" w:hAnsiTheme="minorHAnsi" w:cs="Tahoma"/>
          <w:sz w:val="22"/>
          <w:szCs w:val="22"/>
          <w:lang w:val="en-IE" w:eastAsia="en-IE"/>
        </w:rPr>
        <w:t>262 of</w:t>
      </w:r>
      <w:r w:rsidRPr="004B5245">
        <w:rPr>
          <w:rFonts w:asciiTheme="minorHAnsi" w:hAnsiTheme="minorHAnsi" w:cs="Tahoma"/>
          <w:sz w:val="22"/>
          <w:szCs w:val="22"/>
          <w:lang w:val="en-IE" w:eastAsia="en-IE"/>
        </w:rPr>
        <w:t xml:space="preserve"> cases (</w:t>
      </w:r>
      <w:r w:rsidR="00507C59" w:rsidRPr="004B5245">
        <w:rPr>
          <w:rFonts w:asciiTheme="minorHAnsi" w:hAnsiTheme="minorHAnsi" w:cs="Tahoma"/>
          <w:sz w:val="22"/>
          <w:szCs w:val="22"/>
          <w:lang w:val="en-IE" w:eastAsia="en-IE"/>
        </w:rPr>
        <w:t>21</w:t>
      </w:r>
      <w:r w:rsidRPr="004B5245">
        <w:rPr>
          <w:rFonts w:asciiTheme="minorHAnsi" w:hAnsiTheme="minorHAnsi" w:cs="Tahoma"/>
          <w:sz w:val="22"/>
          <w:szCs w:val="22"/>
          <w:lang w:val="en-IE" w:eastAsia="en-IE"/>
        </w:rPr>
        <w:t>% of all cases) entering drug treatment in Ireland in 20</w:t>
      </w:r>
      <w:r w:rsidR="00507C59" w:rsidRPr="004B5245">
        <w:rPr>
          <w:rFonts w:asciiTheme="minorHAnsi" w:hAnsiTheme="minorHAnsi" w:cs="Tahoma"/>
          <w:sz w:val="22"/>
          <w:szCs w:val="22"/>
          <w:lang w:val="en-IE" w:eastAsia="en-IE"/>
        </w:rPr>
        <w:t>2</w:t>
      </w:r>
      <w:r w:rsidR="00B57451">
        <w:rPr>
          <w:rFonts w:asciiTheme="minorHAnsi" w:hAnsiTheme="minorHAnsi" w:cs="Tahoma"/>
          <w:sz w:val="22"/>
          <w:szCs w:val="22"/>
          <w:lang w:val="en-IE" w:eastAsia="en-IE"/>
        </w:rPr>
        <w:t>1</w:t>
      </w:r>
      <w:r w:rsidRPr="004B5245">
        <w:rPr>
          <w:rFonts w:asciiTheme="minorHAnsi" w:hAnsiTheme="minorHAnsi" w:cs="Tahoma"/>
          <w:sz w:val="22"/>
          <w:szCs w:val="22"/>
          <w:lang w:val="en-IE" w:eastAsia="en-IE"/>
        </w:rPr>
        <w:t xml:space="preserve">. </w:t>
      </w:r>
    </w:p>
    <w:p w14:paraId="138390BC" w14:textId="1A62D29C" w:rsidR="001C76A2" w:rsidRDefault="001C76A2" w:rsidP="00733DA9">
      <w:pPr>
        <w:pStyle w:val="Heading3"/>
        <w:spacing w:line="312" w:lineRule="auto"/>
      </w:pPr>
      <w:r w:rsidRPr="008E0511">
        <w:t>Opioids (mainly heroin)</w:t>
      </w:r>
    </w:p>
    <w:p w14:paraId="3C91EE7A" w14:textId="3F9DFE40" w:rsidR="00F609D4" w:rsidRPr="00F609D4" w:rsidRDefault="00F609D4" w:rsidP="004B5245">
      <w:pPr>
        <w:spacing w:line="312" w:lineRule="auto"/>
        <w:rPr>
          <w:rFonts w:asciiTheme="minorHAnsi" w:hAnsiTheme="minorHAnsi" w:cstheme="minorHAnsi"/>
          <w:sz w:val="22"/>
          <w:lang w:val="en-GB"/>
        </w:rPr>
      </w:pPr>
      <w:r w:rsidRPr="00F609D4">
        <w:rPr>
          <w:rFonts w:asciiTheme="minorHAnsi" w:hAnsiTheme="minorHAnsi" w:cstheme="minorHAnsi"/>
          <w:sz w:val="22"/>
          <w:lang w:val="en-GB"/>
        </w:rPr>
        <w:t>While heroin injecting is in decline, there are concerns around the injecting of a broader range of substances, including amphetamines, cocaine, synthetic cathinones, prescribed opioids and other medicines. Drug-induced deaths continue to be driven by opioids and other drugs.</w:t>
      </w:r>
      <w:r w:rsidRPr="00F609D4">
        <w:rPr>
          <w:rFonts w:asciiTheme="minorHAnsi" w:hAnsiTheme="minorHAnsi" w:cstheme="minorHAnsi"/>
          <w:b/>
          <w:sz w:val="22"/>
          <w:lang w:val="en-GB"/>
        </w:rPr>
        <w:t xml:space="preserve"> </w:t>
      </w:r>
      <w:r w:rsidRPr="00F609D4">
        <w:rPr>
          <w:rFonts w:asciiTheme="minorHAnsi" w:hAnsiTheme="minorHAnsi" w:cstheme="minorHAnsi"/>
          <w:sz w:val="22"/>
          <w:lang w:val="en-GB"/>
        </w:rPr>
        <w:t xml:space="preserve">An estimated </w:t>
      </w:r>
      <w:r w:rsidR="007F2470">
        <w:rPr>
          <w:rFonts w:asciiTheme="minorHAnsi" w:hAnsiTheme="minorHAnsi" w:cstheme="minorHAnsi"/>
          <w:sz w:val="22"/>
          <w:lang w:val="en-GB"/>
        </w:rPr>
        <w:t>5,</w:t>
      </w:r>
      <w:r w:rsidRPr="00F609D4">
        <w:rPr>
          <w:rFonts w:asciiTheme="minorHAnsi" w:hAnsiTheme="minorHAnsi" w:cstheme="minorHAnsi"/>
          <w:sz w:val="22"/>
          <w:lang w:val="en-GB"/>
        </w:rPr>
        <w:t xml:space="preserve">800 overdose deaths, involving illicit drugs, occurred in the EU in 2020. Most of these fatalities were associated with polydrug toxicity, which typically involves combinations of illicit opioids, other illicit drugs, </w:t>
      </w:r>
      <w:r w:rsidR="00E74916" w:rsidRPr="00F609D4">
        <w:rPr>
          <w:rFonts w:asciiTheme="minorHAnsi" w:hAnsiTheme="minorHAnsi" w:cstheme="minorHAnsi"/>
          <w:sz w:val="22"/>
          <w:lang w:val="en-GB"/>
        </w:rPr>
        <w:t>medicines,</w:t>
      </w:r>
      <w:r w:rsidRPr="00F609D4">
        <w:rPr>
          <w:rFonts w:asciiTheme="minorHAnsi" w:hAnsiTheme="minorHAnsi" w:cstheme="minorHAnsi"/>
          <w:sz w:val="22"/>
          <w:lang w:val="en-GB"/>
        </w:rPr>
        <w:t xml:space="preserve"> and alcohol</w:t>
      </w:r>
      <w:r w:rsidR="004B5245">
        <w:rPr>
          <w:rFonts w:asciiTheme="minorHAnsi" w:hAnsiTheme="minorHAnsi" w:cstheme="minorHAnsi"/>
          <w:sz w:val="22"/>
          <w:lang w:val="en-GB"/>
        </w:rPr>
        <w:t>.</w:t>
      </w:r>
    </w:p>
    <w:p w14:paraId="3954480D" w14:textId="77777777" w:rsidR="001C76A2" w:rsidRPr="00E3138D" w:rsidRDefault="001C76A2" w:rsidP="00733DA9">
      <w:pPr>
        <w:spacing w:line="312" w:lineRule="auto"/>
      </w:pPr>
    </w:p>
    <w:p w14:paraId="715CE6B2" w14:textId="77777777" w:rsidR="001C76A2" w:rsidRPr="008E0511" w:rsidRDefault="001C76A2" w:rsidP="00733DA9">
      <w:pPr>
        <w:pStyle w:val="Heading4"/>
        <w:spacing w:line="312" w:lineRule="auto"/>
        <w:rPr>
          <w:color w:val="FF0000"/>
        </w:rPr>
      </w:pPr>
      <w:r w:rsidRPr="008E0511">
        <w:t>European situation</w:t>
      </w:r>
    </w:p>
    <w:p w14:paraId="140B41EA" w14:textId="3DFC163C" w:rsidR="001C76A2" w:rsidRPr="004B5245" w:rsidRDefault="001C76A2" w:rsidP="00733DA9">
      <w:pPr>
        <w:pStyle w:val="ListParagraph"/>
        <w:numPr>
          <w:ilvl w:val="0"/>
          <w:numId w:val="9"/>
        </w:numPr>
        <w:spacing w:line="312" w:lineRule="auto"/>
        <w:rPr>
          <w:rFonts w:asciiTheme="minorHAnsi" w:hAnsiTheme="minorHAnsi"/>
        </w:rPr>
      </w:pPr>
      <w:r w:rsidRPr="004B5245">
        <w:rPr>
          <w:rFonts w:asciiTheme="minorHAnsi" w:hAnsiTheme="minorHAnsi"/>
        </w:rPr>
        <w:t xml:space="preserve">There were an estimated </w:t>
      </w:r>
      <w:r w:rsidR="00E74916" w:rsidRPr="004B5245">
        <w:rPr>
          <w:rFonts w:asciiTheme="minorHAnsi" w:hAnsiTheme="minorHAnsi"/>
        </w:rPr>
        <w:t>one</w:t>
      </w:r>
      <w:r w:rsidRPr="004B5245">
        <w:rPr>
          <w:rFonts w:asciiTheme="minorHAnsi" w:hAnsiTheme="minorHAnsi"/>
        </w:rPr>
        <w:t xml:space="preserve"> million high-risk opioid users in Europe in 20</w:t>
      </w:r>
      <w:r w:rsidR="00683F32" w:rsidRPr="004B5245">
        <w:rPr>
          <w:rFonts w:asciiTheme="minorHAnsi" w:hAnsiTheme="minorHAnsi"/>
        </w:rPr>
        <w:t>20</w:t>
      </w:r>
      <w:r w:rsidRPr="004B5245">
        <w:rPr>
          <w:rFonts w:asciiTheme="minorHAnsi" w:hAnsiTheme="minorHAnsi"/>
        </w:rPr>
        <w:t>.</w:t>
      </w:r>
    </w:p>
    <w:p w14:paraId="0EEC5C3E" w14:textId="2B2FB465" w:rsidR="001C76A2" w:rsidRPr="004B5245" w:rsidRDefault="001C76A2" w:rsidP="00733DA9">
      <w:pPr>
        <w:pStyle w:val="ListParagraph"/>
        <w:numPr>
          <w:ilvl w:val="0"/>
          <w:numId w:val="9"/>
        </w:numPr>
        <w:spacing w:after="120" w:line="312" w:lineRule="auto"/>
      </w:pPr>
      <w:r w:rsidRPr="004B5245">
        <w:t>In 20</w:t>
      </w:r>
      <w:r w:rsidR="00683F32" w:rsidRPr="004B5245">
        <w:t>20</w:t>
      </w:r>
      <w:r w:rsidRPr="004B5245">
        <w:t xml:space="preserve">, use of opioids was reported as the main reason for entering specialised drug treatment by </w:t>
      </w:r>
      <w:r w:rsidR="00683F32" w:rsidRPr="004B5245">
        <w:t>66</w:t>
      </w:r>
      <w:r w:rsidR="000A0264">
        <w:t>,</w:t>
      </w:r>
      <w:r w:rsidRPr="004B5245">
        <w:t>000 clients, or 2</w:t>
      </w:r>
      <w:r w:rsidR="00E17453" w:rsidRPr="004B5245">
        <w:t>8</w:t>
      </w:r>
      <w:r w:rsidRPr="004B5245">
        <w:t xml:space="preserve">% of all those entering drug treatment in Europe. Of these, almost </w:t>
      </w:r>
      <w:r w:rsidR="00E17453" w:rsidRPr="004B5245">
        <w:t>11,200</w:t>
      </w:r>
      <w:r w:rsidRPr="004B5245">
        <w:t xml:space="preserve"> were first-time entrants. </w:t>
      </w:r>
    </w:p>
    <w:p w14:paraId="11A8AEE4" w14:textId="16A28112" w:rsidR="001C76A2" w:rsidRPr="004B5245" w:rsidRDefault="005C092D" w:rsidP="00733DA9">
      <w:pPr>
        <w:pStyle w:val="ListParagraph"/>
        <w:numPr>
          <w:ilvl w:val="0"/>
          <w:numId w:val="9"/>
        </w:numPr>
        <w:spacing w:line="312" w:lineRule="auto"/>
        <w:rPr>
          <w:rFonts w:asciiTheme="minorHAnsi" w:hAnsiTheme="minorHAnsi"/>
        </w:rPr>
      </w:pPr>
      <w:r w:rsidRPr="004B5245">
        <w:rPr>
          <w:rFonts w:asciiTheme="minorHAnsi" w:hAnsiTheme="minorHAnsi"/>
        </w:rPr>
        <w:t>Toxicology reports from suspected drug-induced deaths reported that opioids were found in an estimated 74% of fatal overdoses reported in the European Union, often in combination with other drugs.</w:t>
      </w:r>
    </w:p>
    <w:p w14:paraId="0F4A14D5" w14:textId="77777777" w:rsidR="001C76A2" w:rsidRPr="008E0511" w:rsidRDefault="001C76A2" w:rsidP="00733DA9">
      <w:pPr>
        <w:pStyle w:val="Heading4"/>
        <w:spacing w:line="312" w:lineRule="auto"/>
      </w:pPr>
      <w:r w:rsidRPr="008E0511">
        <w:t>Irish comparison</w:t>
      </w:r>
      <w:r>
        <w:t xml:space="preserve"> </w:t>
      </w:r>
    </w:p>
    <w:p w14:paraId="6EBA781B" w14:textId="002EB3C5" w:rsidR="00C749FD" w:rsidRPr="004B5245" w:rsidRDefault="00C749FD" w:rsidP="00C749FD">
      <w:pPr>
        <w:pStyle w:val="HRBText"/>
        <w:numPr>
          <w:ilvl w:val="0"/>
          <w:numId w:val="1"/>
        </w:numPr>
      </w:pPr>
      <w:r w:rsidRPr="004B5245">
        <w:t>The proportion of all entrants to treatment reporting an opioid as their main problem drug has decreased year on year since 2004, from a peak of 65% in 2004 to 3</w:t>
      </w:r>
      <w:r w:rsidR="000A0E80">
        <w:t>4</w:t>
      </w:r>
      <w:r w:rsidRPr="004B5245">
        <w:t>% in 202</w:t>
      </w:r>
      <w:r w:rsidR="000A0E80">
        <w:t>1</w:t>
      </w:r>
      <w:r w:rsidRPr="004B5245">
        <w:t>.</w:t>
      </w:r>
    </w:p>
    <w:p w14:paraId="20C66961" w14:textId="602843AE" w:rsidR="00C749FD" w:rsidRPr="004B5245" w:rsidRDefault="00C749FD" w:rsidP="00C749FD">
      <w:pPr>
        <w:pStyle w:val="HRBText"/>
        <w:numPr>
          <w:ilvl w:val="0"/>
          <w:numId w:val="1"/>
        </w:numPr>
        <w:rPr>
          <w:lang w:val="en-GB"/>
        </w:rPr>
      </w:pPr>
      <w:r w:rsidRPr="00C749FD">
        <w:rPr>
          <w:lang w:val="en-GB"/>
        </w:rPr>
        <w:t>In 202</w:t>
      </w:r>
      <w:r w:rsidR="000A0E80">
        <w:rPr>
          <w:lang w:val="en-GB"/>
        </w:rPr>
        <w:t>1</w:t>
      </w:r>
      <w:r w:rsidRPr="00C749FD">
        <w:rPr>
          <w:lang w:val="en-GB"/>
        </w:rPr>
        <w:t>, of those entering treatment for opioid use, 90% had heroin as the main problem drug</w:t>
      </w:r>
      <w:r w:rsidR="007F2470">
        <w:rPr>
          <w:lang w:val="en-GB"/>
        </w:rPr>
        <w:t>.</w:t>
      </w:r>
    </w:p>
    <w:p w14:paraId="69D46069" w14:textId="0332C438" w:rsidR="001C76A2" w:rsidRPr="004B5245" w:rsidRDefault="001C76A2" w:rsidP="00733DA9">
      <w:pPr>
        <w:numPr>
          <w:ilvl w:val="0"/>
          <w:numId w:val="1"/>
        </w:numPr>
        <w:spacing w:line="312" w:lineRule="auto"/>
        <w:rPr>
          <w:rFonts w:asciiTheme="minorHAnsi" w:hAnsiTheme="minorHAnsi" w:cs="Tahoma"/>
          <w:sz w:val="22"/>
        </w:rPr>
      </w:pPr>
      <w:r w:rsidRPr="004B5245">
        <w:rPr>
          <w:rFonts w:asciiTheme="minorHAnsi" w:hAnsiTheme="minorHAnsi" w:cs="Tahoma"/>
          <w:sz w:val="22"/>
        </w:rPr>
        <w:t>In 201</w:t>
      </w:r>
      <w:r w:rsidRPr="004B5245">
        <w:rPr>
          <w:rFonts w:asciiTheme="minorHAnsi" w:hAnsiTheme="minorHAnsi" w:cs="Tahoma"/>
          <w:sz w:val="22"/>
          <w:lang w:val="ga-IE"/>
        </w:rPr>
        <w:t xml:space="preserve">7 </w:t>
      </w:r>
      <w:r w:rsidRPr="004B5245">
        <w:rPr>
          <w:rFonts w:asciiTheme="minorHAnsi" w:hAnsiTheme="minorHAnsi" w:cs="Tahoma"/>
          <w:sz w:val="22"/>
        </w:rPr>
        <w:t xml:space="preserve">there were </w:t>
      </w:r>
      <w:r w:rsidRPr="004B5245">
        <w:rPr>
          <w:rFonts w:asciiTheme="minorHAnsi" w:hAnsiTheme="minorHAnsi" w:cs="Tahoma"/>
          <w:sz w:val="22"/>
          <w:lang w:val="ga-IE"/>
        </w:rPr>
        <w:t xml:space="preserve">77 </w:t>
      </w:r>
      <w:r w:rsidRPr="004B5245">
        <w:rPr>
          <w:rFonts w:asciiTheme="minorHAnsi" w:hAnsiTheme="minorHAnsi" w:cs="Tahoma"/>
          <w:sz w:val="22"/>
        </w:rPr>
        <w:t xml:space="preserve">deaths where heroin was implicated, compared to </w:t>
      </w:r>
      <w:r w:rsidRPr="004B5245">
        <w:rPr>
          <w:rFonts w:asciiTheme="minorHAnsi" w:hAnsiTheme="minorHAnsi" w:cs="Tahoma"/>
          <w:sz w:val="22"/>
          <w:lang w:val="ga-IE"/>
        </w:rPr>
        <w:t>74</w:t>
      </w:r>
      <w:r w:rsidRPr="004B5245">
        <w:rPr>
          <w:rFonts w:asciiTheme="minorHAnsi" w:hAnsiTheme="minorHAnsi" w:cs="Tahoma"/>
          <w:sz w:val="22"/>
        </w:rPr>
        <w:t xml:space="preserve"> in 201</w:t>
      </w:r>
      <w:r w:rsidRPr="004B5245">
        <w:rPr>
          <w:rFonts w:asciiTheme="minorHAnsi" w:hAnsiTheme="minorHAnsi" w:cs="Tahoma"/>
          <w:sz w:val="22"/>
          <w:lang w:val="ga-IE"/>
        </w:rPr>
        <w:t>6</w:t>
      </w:r>
      <w:r w:rsidRPr="004B5245">
        <w:rPr>
          <w:rFonts w:asciiTheme="minorHAnsi" w:hAnsiTheme="minorHAnsi" w:cs="Tahoma"/>
          <w:sz w:val="22"/>
        </w:rPr>
        <w:t>.  Fentanyl was implicated in seven poisoning deaths in 2017, the same as in 2015 and 2016.</w:t>
      </w:r>
    </w:p>
    <w:p w14:paraId="00271B26" w14:textId="77777777" w:rsidR="00E84A4E" w:rsidRPr="000D1872" w:rsidRDefault="00E84A4E" w:rsidP="00733DA9">
      <w:pPr>
        <w:spacing w:line="312" w:lineRule="auto"/>
        <w:rPr>
          <w:rFonts w:asciiTheme="minorHAnsi" w:hAnsiTheme="minorHAnsi" w:cs="Tahoma"/>
          <w:color w:val="FF0000"/>
          <w:sz w:val="22"/>
          <w:lang w:val="en-IE" w:eastAsia="en-IE"/>
        </w:rPr>
      </w:pPr>
    </w:p>
    <w:p w14:paraId="77492D62" w14:textId="255606C9" w:rsidR="00492657" w:rsidRPr="008E0511" w:rsidRDefault="00E80176" w:rsidP="00733DA9">
      <w:pPr>
        <w:pStyle w:val="Heading3"/>
        <w:spacing w:line="312" w:lineRule="auto"/>
        <w:rPr>
          <w:lang w:val="en-GB" w:eastAsia="en-GB"/>
        </w:rPr>
      </w:pPr>
      <w:r>
        <w:rPr>
          <w:lang w:val="en-GB" w:eastAsia="en-GB"/>
        </w:rPr>
        <w:t>N</w:t>
      </w:r>
      <w:r w:rsidR="00FF125B" w:rsidRPr="008E0511">
        <w:rPr>
          <w:lang w:val="en-GB" w:eastAsia="en-GB"/>
        </w:rPr>
        <w:t xml:space="preserve">ew </w:t>
      </w:r>
      <w:r w:rsidR="009A576E" w:rsidRPr="008E0511">
        <w:rPr>
          <w:lang w:val="en-GB" w:eastAsia="en-GB"/>
        </w:rPr>
        <w:t>p</w:t>
      </w:r>
      <w:r w:rsidR="00FF125B" w:rsidRPr="008E0511">
        <w:rPr>
          <w:lang w:val="en-GB" w:eastAsia="en-GB"/>
        </w:rPr>
        <w:t xml:space="preserve">sychoactive </w:t>
      </w:r>
      <w:r w:rsidR="009A576E" w:rsidRPr="008E0511">
        <w:rPr>
          <w:lang w:val="en-GB" w:eastAsia="en-GB"/>
        </w:rPr>
        <w:t>s</w:t>
      </w:r>
      <w:r w:rsidR="00FF125B" w:rsidRPr="008E0511">
        <w:rPr>
          <w:lang w:val="en-GB" w:eastAsia="en-GB"/>
        </w:rPr>
        <w:t>ubstances</w:t>
      </w:r>
      <w:r w:rsidR="00492657" w:rsidRPr="008E0511">
        <w:rPr>
          <w:lang w:val="en-GB" w:eastAsia="en-GB"/>
        </w:rPr>
        <w:t xml:space="preserve"> </w:t>
      </w:r>
      <w:r w:rsidR="001C76A2">
        <w:rPr>
          <w:lang w:val="en-GB" w:eastAsia="en-GB"/>
        </w:rPr>
        <w:t>and stimulants</w:t>
      </w:r>
    </w:p>
    <w:p w14:paraId="4D5F0BBA" w14:textId="77777777" w:rsidR="001B0E85" w:rsidRPr="008E0511" w:rsidRDefault="001B0E85" w:rsidP="00733DA9">
      <w:pPr>
        <w:pStyle w:val="Heading4"/>
        <w:spacing w:line="312" w:lineRule="auto"/>
      </w:pPr>
      <w:r w:rsidRPr="008E0511">
        <w:t xml:space="preserve">European situation </w:t>
      </w:r>
    </w:p>
    <w:p w14:paraId="2813C16E" w14:textId="48EFCD41" w:rsidR="001411F5" w:rsidRPr="004B5245" w:rsidRDefault="001411F5" w:rsidP="00733DA9">
      <w:pPr>
        <w:pStyle w:val="ListParagraph"/>
        <w:numPr>
          <w:ilvl w:val="0"/>
          <w:numId w:val="23"/>
        </w:numPr>
        <w:spacing w:after="120" w:line="312" w:lineRule="auto"/>
        <w:rPr>
          <w:bCs/>
        </w:rPr>
      </w:pPr>
      <w:r w:rsidRPr="004B5245">
        <w:rPr>
          <w:bCs/>
        </w:rPr>
        <w:t>At the end of 202</w:t>
      </w:r>
      <w:r w:rsidR="00234614" w:rsidRPr="004B5245">
        <w:rPr>
          <w:bCs/>
        </w:rPr>
        <w:t>1</w:t>
      </w:r>
      <w:r w:rsidRPr="004B5245">
        <w:rPr>
          <w:bCs/>
        </w:rPr>
        <w:t>, the EMCDDA was monitoring around 8</w:t>
      </w:r>
      <w:r w:rsidR="00234614" w:rsidRPr="004B5245">
        <w:rPr>
          <w:bCs/>
        </w:rPr>
        <w:t>8</w:t>
      </w:r>
      <w:r w:rsidRPr="004B5245">
        <w:rPr>
          <w:bCs/>
        </w:rPr>
        <w:t xml:space="preserve">0 new psychoactive substances, </w:t>
      </w:r>
      <w:bookmarkStart w:id="5" w:name="_Hlk63005143"/>
      <w:r w:rsidR="00234614" w:rsidRPr="004B5245">
        <w:rPr>
          <w:bCs/>
        </w:rPr>
        <w:t>52</w:t>
      </w:r>
      <w:r w:rsidRPr="004B5245">
        <w:rPr>
          <w:bCs/>
        </w:rPr>
        <w:t xml:space="preserve"> of which were first reported in Europe in 2020</w:t>
      </w:r>
      <w:bookmarkEnd w:id="5"/>
      <w:r w:rsidRPr="004B5245">
        <w:rPr>
          <w:bCs/>
        </w:rPr>
        <w:t xml:space="preserve">. </w:t>
      </w:r>
    </w:p>
    <w:p w14:paraId="18F071FA" w14:textId="03B964DF" w:rsidR="001411F5" w:rsidRPr="004B5245" w:rsidRDefault="00234614" w:rsidP="00733DA9">
      <w:pPr>
        <w:pStyle w:val="ListParagraph"/>
        <w:numPr>
          <w:ilvl w:val="0"/>
          <w:numId w:val="23"/>
        </w:numPr>
        <w:spacing w:after="120" w:line="312" w:lineRule="auto"/>
        <w:rPr>
          <w:bCs/>
        </w:rPr>
      </w:pPr>
      <w:r w:rsidRPr="004B5245">
        <w:rPr>
          <w:bCs/>
        </w:rPr>
        <w:lastRenderedPageBreak/>
        <w:t>A total of 224 new synthetic cannabinoids have been detected in Europe since 2008</w:t>
      </w:r>
      <w:r w:rsidR="007F2470">
        <w:rPr>
          <w:bCs/>
        </w:rPr>
        <w:t>.</w:t>
      </w:r>
    </w:p>
    <w:p w14:paraId="6713FCB8" w14:textId="6341C4C0" w:rsidR="00D70A06" w:rsidRPr="004B5245" w:rsidRDefault="00D70A06" w:rsidP="00733DA9">
      <w:pPr>
        <w:pStyle w:val="ListParagraph"/>
        <w:numPr>
          <w:ilvl w:val="0"/>
          <w:numId w:val="23"/>
        </w:numPr>
        <w:spacing w:after="120" w:line="312" w:lineRule="auto"/>
        <w:rPr>
          <w:bCs/>
        </w:rPr>
      </w:pPr>
      <w:r w:rsidRPr="004B5245">
        <w:rPr>
          <w:bCs/>
          <w:lang w:val="en-US"/>
        </w:rPr>
        <w:t xml:space="preserve">In 2021, 15 new </w:t>
      </w:r>
      <w:hyperlink r:id="rId12" w:history="1">
        <w:r w:rsidRPr="004B5245">
          <w:rPr>
            <w:rStyle w:val="Hyperlink"/>
            <w:bCs/>
            <w:color w:val="auto"/>
            <w:u w:val="none"/>
            <w:lang w:val="en-US"/>
          </w:rPr>
          <w:t>synthetic opioids</w:t>
        </w:r>
      </w:hyperlink>
      <w:r w:rsidRPr="004B5245">
        <w:rPr>
          <w:bCs/>
          <w:lang w:val="en-US"/>
        </w:rPr>
        <w:t xml:space="preserve">, </w:t>
      </w:r>
      <w:r w:rsidR="00A052BC">
        <w:rPr>
          <w:bCs/>
          <w:lang w:val="en-US"/>
        </w:rPr>
        <w:t>six</w:t>
      </w:r>
      <w:r w:rsidRPr="004B5245">
        <w:rPr>
          <w:bCs/>
          <w:lang w:val="en-US"/>
        </w:rPr>
        <w:t xml:space="preserve"> </w:t>
      </w:r>
      <w:hyperlink r:id="rId13" w:history="1">
        <w:r w:rsidRPr="004B5245">
          <w:rPr>
            <w:rStyle w:val="Hyperlink"/>
            <w:bCs/>
            <w:color w:val="auto"/>
            <w:u w:val="none"/>
            <w:lang w:val="en-US"/>
          </w:rPr>
          <w:t>synthetic cathinones</w:t>
        </w:r>
      </w:hyperlink>
      <w:r w:rsidRPr="004B5245">
        <w:rPr>
          <w:bCs/>
          <w:lang w:val="en-US"/>
        </w:rPr>
        <w:t xml:space="preserve"> and </w:t>
      </w:r>
      <w:r w:rsidR="00A052BC">
        <w:rPr>
          <w:bCs/>
          <w:lang w:val="en-US"/>
        </w:rPr>
        <w:t>six</w:t>
      </w:r>
      <w:r w:rsidRPr="004B5245">
        <w:rPr>
          <w:bCs/>
          <w:lang w:val="en-US"/>
        </w:rPr>
        <w:t xml:space="preserve"> new </w:t>
      </w:r>
      <w:hyperlink r:id="rId14" w:history="1">
        <w:r w:rsidRPr="004B5245">
          <w:rPr>
            <w:rStyle w:val="Hyperlink"/>
            <w:bCs/>
            <w:color w:val="auto"/>
            <w:u w:val="none"/>
            <w:lang w:val="en-US"/>
          </w:rPr>
          <w:t>synthetic cannabinoids</w:t>
        </w:r>
      </w:hyperlink>
      <w:r w:rsidRPr="004B5245">
        <w:rPr>
          <w:bCs/>
          <w:lang w:val="en-US"/>
        </w:rPr>
        <w:t xml:space="preserve"> were reported for the first time.</w:t>
      </w:r>
    </w:p>
    <w:p w14:paraId="5A4C7C08" w14:textId="717474A2" w:rsidR="001411F5" w:rsidRPr="004B5245" w:rsidRDefault="001411F5" w:rsidP="00733DA9">
      <w:pPr>
        <w:pStyle w:val="ListParagraph"/>
        <w:numPr>
          <w:ilvl w:val="0"/>
          <w:numId w:val="23"/>
        </w:numPr>
        <w:spacing w:after="120" w:line="312" w:lineRule="auto"/>
        <w:rPr>
          <w:bCs/>
        </w:rPr>
      </w:pPr>
      <w:bookmarkStart w:id="6" w:name="_Hlk63007557"/>
      <w:r w:rsidRPr="004B5245">
        <w:rPr>
          <w:bCs/>
        </w:rPr>
        <w:t xml:space="preserve">The </w:t>
      </w:r>
      <w:r w:rsidR="00D22CE4" w:rsidRPr="004B5245">
        <w:rPr>
          <w:bCs/>
        </w:rPr>
        <w:t>73</w:t>
      </w:r>
      <w:r w:rsidRPr="004B5245">
        <w:rPr>
          <w:bCs/>
        </w:rPr>
        <w:t xml:space="preserve"> new synthetic opioids detected between 2009 and 202</w:t>
      </w:r>
      <w:r w:rsidR="00D22CE4" w:rsidRPr="004B5245">
        <w:rPr>
          <w:bCs/>
        </w:rPr>
        <w:t>1</w:t>
      </w:r>
      <w:r w:rsidRPr="004B5245">
        <w:rPr>
          <w:bCs/>
        </w:rPr>
        <w:t xml:space="preserve"> include </w:t>
      </w:r>
      <w:r w:rsidR="00E74916" w:rsidRPr="004B5245">
        <w:rPr>
          <w:bCs/>
        </w:rPr>
        <w:t>six</w:t>
      </w:r>
      <w:r w:rsidRPr="004B5245">
        <w:rPr>
          <w:bCs/>
        </w:rPr>
        <w:t xml:space="preserve"> first reported in 202</w:t>
      </w:r>
      <w:r w:rsidR="00D22CE4" w:rsidRPr="004B5245">
        <w:rPr>
          <w:bCs/>
        </w:rPr>
        <w:t>1</w:t>
      </w:r>
      <w:r w:rsidRPr="004B5245">
        <w:rPr>
          <w:bCs/>
        </w:rPr>
        <w:t xml:space="preserve">. </w:t>
      </w:r>
    </w:p>
    <w:p w14:paraId="337E4745" w14:textId="13CF5DE3" w:rsidR="00AC1D68" w:rsidRDefault="001C76A2" w:rsidP="00AC1D68">
      <w:pPr>
        <w:pStyle w:val="ListParagraph"/>
        <w:numPr>
          <w:ilvl w:val="0"/>
          <w:numId w:val="23"/>
        </w:numPr>
        <w:spacing w:after="120" w:line="312" w:lineRule="auto"/>
      </w:pPr>
      <w:bookmarkStart w:id="7" w:name="_Hlk64723267"/>
      <w:bookmarkStart w:id="8" w:name="_Hlk69226573"/>
      <w:bookmarkStart w:id="9" w:name="_Hlk64527287"/>
      <w:bookmarkEnd w:id="6"/>
      <w:r w:rsidRPr="004B5245">
        <w:t xml:space="preserve">Surveys in European countries show that </w:t>
      </w:r>
      <w:r w:rsidR="00D22CE4" w:rsidRPr="004B5245">
        <w:t>1.9</w:t>
      </w:r>
      <w:r w:rsidRPr="004B5245">
        <w:t> million young adults (</w:t>
      </w:r>
      <w:r w:rsidR="00A052BC">
        <w:t xml:space="preserve">aged </w:t>
      </w:r>
      <w:r w:rsidRPr="004B5245">
        <w:t>15-34</w:t>
      </w:r>
      <w:r w:rsidR="00A052BC">
        <w:t xml:space="preserve"> years</w:t>
      </w:r>
      <w:r w:rsidRPr="004B5245">
        <w:t>) used MDMA in the last year</w:t>
      </w:r>
      <w:bookmarkEnd w:id="7"/>
      <w:r w:rsidRPr="004B5245">
        <w:t xml:space="preserve"> (1.9 % of this age group</w:t>
      </w:r>
      <w:r w:rsidR="00E74916" w:rsidRPr="004B5245">
        <w:t>).</w:t>
      </w:r>
      <w:r w:rsidRPr="004B5245">
        <w:t xml:space="preserve"> </w:t>
      </w:r>
      <w:bookmarkEnd w:id="8"/>
      <w:r w:rsidRPr="004B5245">
        <w:t>Prevalence estimates for those aged 15-24 years are higher, with 2.2 % (1.0 million) estimated to have used MDMA in the last year.</w:t>
      </w:r>
      <w:bookmarkEnd w:id="9"/>
    </w:p>
    <w:p w14:paraId="28855771" w14:textId="424DC7E3" w:rsidR="00AC1D68" w:rsidRPr="00AC1D68" w:rsidRDefault="00AC1D68" w:rsidP="00AC1D68">
      <w:pPr>
        <w:pStyle w:val="Heading4"/>
        <w:spacing w:line="312" w:lineRule="auto"/>
        <w:rPr>
          <w:lang w:val="ga-IE"/>
        </w:rPr>
      </w:pPr>
      <w:r w:rsidRPr="008E0511">
        <w:t>Irish comparison</w:t>
      </w:r>
    </w:p>
    <w:p w14:paraId="6DCC7383" w14:textId="11CBFB29" w:rsidR="00AC1D68" w:rsidRPr="002650DE" w:rsidRDefault="00144C9E" w:rsidP="002650DE">
      <w:pPr>
        <w:pStyle w:val="ListParagraph"/>
        <w:numPr>
          <w:ilvl w:val="0"/>
          <w:numId w:val="23"/>
        </w:numPr>
        <w:spacing w:after="120" w:line="312" w:lineRule="auto"/>
      </w:pPr>
      <w:r w:rsidRPr="00AC1D68">
        <w:rPr>
          <w:rFonts w:asciiTheme="minorHAnsi" w:hAnsiTheme="minorHAnsi" w:cs="Tahoma"/>
        </w:rPr>
        <w:t>The 201</w:t>
      </w:r>
      <w:r w:rsidR="00C204A7" w:rsidRPr="00AC1D68">
        <w:rPr>
          <w:rFonts w:asciiTheme="minorHAnsi" w:hAnsiTheme="minorHAnsi" w:cs="Tahoma"/>
        </w:rPr>
        <w:t>9</w:t>
      </w:r>
      <w:r w:rsidRPr="00AC1D68">
        <w:rPr>
          <w:rFonts w:asciiTheme="minorHAnsi" w:hAnsiTheme="minorHAnsi" w:cs="Tahoma"/>
        </w:rPr>
        <w:t>/</w:t>
      </w:r>
      <w:r w:rsidR="00C204A7" w:rsidRPr="00AC1D68">
        <w:rPr>
          <w:rFonts w:asciiTheme="minorHAnsi" w:hAnsiTheme="minorHAnsi" w:cs="Tahoma"/>
        </w:rPr>
        <w:t>20</w:t>
      </w:r>
      <w:r w:rsidRPr="00AC1D68">
        <w:rPr>
          <w:rFonts w:asciiTheme="minorHAnsi" w:hAnsiTheme="minorHAnsi" w:cs="Tahoma"/>
        </w:rPr>
        <w:t xml:space="preserve"> </w:t>
      </w:r>
      <w:r w:rsidR="00AC1D68">
        <w:rPr>
          <w:rFonts w:asciiTheme="minorHAnsi" w:hAnsiTheme="minorHAnsi" w:cs="Tahoma"/>
        </w:rPr>
        <w:t>National Drug and Alcohol Survey</w:t>
      </w:r>
      <w:r w:rsidRPr="00AC1D68">
        <w:rPr>
          <w:rFonts w:asciiTheme="minorHAnsi" w:hAnsiTheme="minorHAnsi" w:cs="Tahoma"/>
        </w:rPr>
        <w:t xml:space="preserve"> reported last-year prevalence of </w:t>
      </w:r>
      <w:r w:rsidR="005478AF" w:rsidRPr="00AC1D68">
        <w:rPr>
          <w:rFonts w:asciiTheme="minorHAnsi" w:hAnsiTheme="minorHAnsi" w:cs="Tahoma"/>
        </w:rPr>
        <w:t>MDMA</w:t>
      </w:r>
      <w:r w:rsidRPr="00AC1D68">
        <w:rPr>
          <w:rFonts w:asciiTheme="minorHAnsi" w:hAnsiTheme="minorHAnsi" w:cs="Tahoma"/>
        </w:rPr>
        <w:t xml:space="preserve"> of </w:t>
      </w:r>
      <w:r w:rsidR="00C204A7" w:rsidRPr="00AC1D68">
        <w:rPr>
          <w:rFonts w:asciiTheme="minorHAnsi" w:hAnsiTheme="minorHAnsi" w:cs="Tahoma"/>
        </w:rPr>
        <w:t>6.5</w:t>
      </w:r>
      <w:r w:rsidRPr="00AC1D68">
        <w:rPr>
          <w:rFonts w:asciiTheme="minorHAnsi" w:hAnsiTheme="minorHAnsi" w:cs="Tahoma"/>
        </w:rPr>
        <w:t>% for young adults (</w:t>
      </w:r>
      <w:r w:rsidR="00E80176" w:rsidRPr="00AC1D68">
        <w:rPr>
          <w:rFonts w:asciiTheme="minorHAnsi" w:hAnsiTheme="minorHAnsi" w:cs="Tahoma"/>
        </w:rPr>
        <w:t xml:space="preserve">aged </w:t>
      </w:r>
      <w:r w:rsidRPr="00AC1D68">
        <w:rPr>
          <w:rFonts w:asciiTheme="minorHAnsi" w:hAnsiTheme="minorHAnsi" w:cs="Tahoma"/>
        </w:rPr>
        <w:t>15-34</w:t>
      </w:r>
      <w:r w:rsidR="00E80176" w:rsidRPr="00AC1D68">
        <w:rPr>
          <w:rFonts w:asciiTheme="minorHAnsi" w:hAnsiTheme="minorHAnsi" w:cs="Tahoma"/>
        </w:rPr>
        <w:t xml:space="preserve"> years</w:t>
      </w:r>
      <w:r w:rsidRPr="00AC1D68">
        <w:rPr>
          <w:rFonts w:asciiTheme="minorHAnsi" w:hAnsiTheme="minorHAnsi" w:cs="Tahoma"/>
        </w:rPr>
        <w:t>).</w:t>
      </w:r>
      <w:r w:rsidR="00F548DF" w:rsidRPr="00AC1D68">
        <w:rPr>
          <w:rFonts w:asciiTheme="minorHAnsi" w:hAnsiTheme="minorHAnsi" w:cs="Tahoma"/>
        </w:rPr>
        <w:t xml:space="preserve"> </w:t>
      </w:r>
      <w:r w:rsidR="00AC1D68" w:rsidRPr="002650DE">
        <w:rPr>
          <w:rFonts w:asciiTheme="minorHAnsi" w:hAnsiTheme="minorHAnsi" w:cs="Tahoma"/>
        </w:rPr>
        <w:t>1.9% of young adults had taken a new psychoactive substances in the past year.</w:t>
      </w:r>
    </w:p>
    <w:p w14:paraId="1206FD0C" w14:textId="77777777" w:rsidR="00AC1D68" w:rsidRPr="00AC1D68" w:rsidRDefault="00144C9E" w:rsidP="00AC1D68">
      <w:pPr>
        <w:pStyle w:val="ListParagraph"/>
        <w:numPr>
          <w:ilvl w:val="0"/>
          <w:numId w:val="23"/>
        </w:numPr>
        <w:spacing w:after="120" w:line="312" w:lineRule="auto"/>
      </w:pPr>
      <w:r w:rsidRPr="00AC1D68">
        <w:rPr>
          <w:rFonts w:asciiTheme="minorHAnsi" w:eastAsia="Times New Roman" w:hAnsiTheme="minorHAnsi" w:cs="Tahoma"/>
        </w:rPr>
        <w:t xml:space="preserve">MDMA (alone or with other drugs) was implicated in </w:t>
      </w:r>
      <w:r w:rsidR="00BD15DF" w:rsidRPr="00AC1D68">
        <w:rPr>
          <w:rFonts w:asciiTheme="minorHAnsi" w:eastAsia="Times New Roman" w:hAnsiTheme="minorHAnsi" w:cs="Tahoma"/>
        </w:rPr>
        <w:t>14</w:t>
      </w:r>
      <w:r w:rsidRPr="00AC1D68">
        <w:rPr>
          <w:rFonts w:asciiTheme="minorHAnsi" w:eastAsia="Times New Roman" w:hAnsiTheme="minorHAnsi" w:cs="Tahoma"/>
        </w:rPr>
        <w:t xml:space="preserve"> </w:t>
      </w:r>
      <w:r w:rsidR="00BD15DF" w:rsidRPr="00AC1D68">
        <w:rPr>
          <w:rFonts w:asciiTheme="minorHAnsi" w:eastAsia="Times New Roman" w:hAnsiTheme="minorHAnsi" w:cs="Tahoma"/>
        </w:rPr>
        <w:t xml:space="preserve">poisoning </w:t>
      </w:r>
      <w:r w:rsidRPr="00AC1D68">
        <w:rPr>
          <w:rFonts w:asciiTheme="minorHAnsi" w:eastAsia="Times New Roman" w:hAnsiTheme="minorHAnsi" w:cs="Tahoma"/>
        </w:rPr>
        <w:t>deaths in 201</w:t>
      </w:r>
      <w:r w:rsidR="00BD15DF" w:rsidRPr="00AC1D68">
        <w:rPr>
          <w:rFonts w:asciiTheme="minorHAnsi" w:eastAsia="Times New Roman" w:hAnsiTheme="minorHAnsi" w:cs="Tahoma"/>
        </w:rPr>
        <w:t>7</w:t>
      </w:r>
      <w:r w:rsidRPr="00AC1D68">
        <w:rPr>
          <w:rFonts w:asciiTheme="minorHAnsi" w:eastAsia="Times New Roman" w:hAnsiTheme="minorHAnsi" w:cs="Tahoma"/>
        </w:rPr>
        <w:t xml:space="preserve">, </w:t>
      </w:r>
      <w:r w:rsidR="00BD15DF" w:rsidRPr="00AC1D68">
        <w:rPr>
          <w:rFonts w:asciiTheme="minorHAnsi" w:eastAsia="Times New Roman" w:hAnsiTheme="minorHAnsi" w:cs="Tahoma"/>
        </w:rPr>
        <w:t>up from eight in 2016.</w:t>
      </w:r>
    </w:p>
    <w:p w14:paraId="15FB8C5A" w14:textId="4D1AA3B4" w:rsidR="00513431" w:rsidRPr="00AC1D68" w:rsidRDefault="00513431" w:rsidP="00AC1D68">
      <w:pPr>
        <w:pStyle w:val="ListParagraph"/>
        <w:numPr>
          <w:ilvl w:val="0"/>
          <w:numId w:val="23"/>
        </w:numPr>
        <w:spacing w:after="120" w:line="312" w:lineRule="auto"/>
      </w:pPr>
      <w:r w:rsidRPr="00E56E91">
        <w:t>Benzodiazepines were the main problem drug for 11% of cases</w:t>
      </w:r>
      <w:r w:rsidR="00AC1D68">
        <w:t xml:space="preserve"> entering treatment</w:t>
      </w:r>
      <w:r w:rsidRPr="00E56E91">
        <w:t xml:space="preserve"> in 2021, an increase from </w:t>
      </w:r>
      <w:r>
        <w:t>9</w:t>
      </w:r>
      <w:r w:rsidRPr="00E56E91">
        <w:t>% of cases in 2015.</w:t>
      </w:r>
    </w:p>
    <w:p w14:paraId="47AB6982" w14:textId="77777777" w:rsidR="00513431" w:rsidRPr="004B5245" w:rsidRDefault="00513431" w:rsidP="00513431">
      <w:pPr>
        <w:pStyle w:val="ListParagraph"/>
        <w:spacing w:line="312" w:lineRule="auto"/>
        <w:ind w:left="360"/>
        <w:rPr>
          <w:rFonts w:asciiTheme="minorHAnsi" w:hAnsiTheme="minorHAnsi" w:cs="Tahoma"/>
          <w:lang w:val="en-US"/>
        </w:rPr>
      </w:pPr>
    </w:p>
    <w:p w14:paraId="001CFA97" w14:textId="77777777" w:rsidR="00E12C96" w:rsidRPr="007A5DF0" w:rsidRDefault="005B48CA" w:rsidP="002C3C8F">
      <w:pPr>
        <w:spacing w:line="312" w:lineRule="auto"/>
        <w:rPr>
          <w:b/>
        </w:rPr>
      </w:pPr>
      <w:r w:rsidRPr="007A5DF0">
        <w:rPr>
          <w:b/>
        </w:rPr>
        <w:t>ENDS</w:t>
      </w:r>
    </w:p>
    <w:p w14:paraId="72C62847" w14:textId="77777777" w:rsidR="005B48CA" w:rsidRPr="005B48CA" w:rsidRDefault="005B48CA" w:rsidP="00733DA9">
      <w:pPr>
        <w:spacing w:line="312" w:lineRule="auto"/>
      </w:pPr>
    </w:p>
    <w:p w14:paraId="37041931" w14:textId="1F268149" w:rsidR="003250CC" w:rsidRPr="008E0511" w:rsidRDefault="003250CC" w:rsidP="00733DA9">
      <w:pPr>
        <w:pStyle w:val="Heading2"/>
        <w:spacing w:line="312" w:lineRule="auto"/>
        <w:rPr>
          <w:lang w:val="en"/>
        </w:rPr>
      </w:pPr>
      <w:r w:rsidRPr="008E0511">
        <w:rPr>
          <w:lang w:val="en"/>
        </w:rPr>
        <w:t>If you have any queries in relation to the Irish figures, you</w:t>
      </w:r>
      <w:r w:rsidR="00A052BC">
        <w:rPr>
          <w:lang w:val="en"/>
        </w:rPr>
        <w:t>r</w:t>
      </w:r>
      <w:r w:rsidRPr="008E0511">
        <w:rPr>
          <w:lang w:val="en"/>
        </w:rPr>
        <w:t xml:space="preserve"> </w:t>
      </w:r>
      <w:r w:rsidR="00A052BC">
        <w:rPr>
          <w:lang w:val="en"/>
        </w:rPr>
        <w:t>press</w:t>
      </w:r>
      <w:r w:rsidR="006E1181" w:rsidRPr="008E0511">
        <w:rPr>
          <w:lang w:val="en"/>
        </w:rPr>
        <w:t xml:space="preserve"> </w:t>
      </w:r>
      <w:r w:rsidRPr="008E0511">
        <w:rPr>
          <w:lang w:val="en"/>
        </w:rPr>
        <w:t>contact</w:t>
      </w:r>
      <w:r w:rsidR="00A052BC">
        <w:rPr>
          <w:lang w:val="en"/>
        </w:rPr>
        <w:t xml:space="preserve"> is</w:t>
      </w:r>
      <w:r w:rsidR="00FE3B12" w:rsidRPr="008E0511">
        <w:rPr>
          <w:lang w:val="en"/>
        </w:rPr>
        <w:t>:</w:t>
      </w:r>
    </w:p>
    <w:p w14:paraId="33473628" w14:textId="5D4B50ED" w:rsidR="003250CC" w:rsidRPr="008E0511" w:rsidRDefault="00A052BC" w:rsidP="00733DA9">
      <w:pPr>
        <w:spacing w:line="312" w:lineRule="auto"/>
        <w:rPr>
          <w:rFonts w:asciiTheme="minorHAnsi" w:hAnsiTheme="minorHAnsi"/>
          <w:sz w:val="22"/>
          <w:lang w:val="en"/>
        </w:rPr>
      </w:pPr>
      <w:r>
        <w:rPr>
          <w:rFonts w:asciiTheme="minorHAnsi" w:hAnsiTheme="minorHAnsi"/>
          <w:sz w:val="22"/>
          <w:lang w:val="en"/>
        </w:rPr>
        <w:t>Gillian Markey, Communications Manager</w:t>
      </w:r>
      <w:r w:rsidR="00DF584E">
        <w:rPr>
          <w:rFonts w:asciiTheme="minorHAnsi" w:hAnsiTheme="minorHAnsi"/>
          <w:sz w:val="22"/>
          <w:lang w:val="en"/>
        </w:rPr>
        <w:t>,</w:t>
      </w:r>
      <w:r w:rsidR="0044377F">
        <w:rPr>
          <w:rFonts w:asciiTheme="minorHAnsi" w:hAnsiTheme="minorHAnsi"/>
          <w:sz w:val="22"/>
          <w:lang w:val="en"/>
        </w:rPr>
        <w:t xml:space="preserve"> </w:t>
      </w:r>
      <w:r w:rsidR="003250CC" w:rsidRPr="008E0511">
        <w:rPr>
          <w:rFonts w:asciiTheme="minorHAnsi" w:hAnsiTheme="minorHAnsi"/>
          <w:sz w:val="22"/>
          <w:lang w:val="en"/>
        </w:rPr>
        <w:t>Health Research Board</w:t>
      </w:r>
    </w:p>
    <w:p w14:paraId="4DF56FB3" w14:textId="4782BB92" w:rsidR="003250CC" w:rsidRPr="008E0511" w:rsidRDefault="003250CC" w:rsidP="00733DA9">
      <w:pPr>
        <w:spacing w:line="312" w:lineRule="auto"/>
        <w:rPr>
          <w:rFonts w:asciiTheme="minorHAnsi" w:hAnsiTheme="minorHAnsi"/>
          <w:sz w:val="22"/>
          <w:lang w:val="en"/>
        </w:rPr>
      </w:pPr>
      <w:bookmarkStart w:id="10" w:name="_Hlk105772736"/>
      <w:r w:rsidRPr="008E0511">
        <w:rPr>
          <w:rFonts w:asciiTheme="minorHAnsi" w:hAnsiTheme="minorHAnsi"/>
          <w:b/>
          <w:sz w:val="22"/>
          <w:lang w:val="en"/>
        </w:rPr>
        <w:t>m</w:t>
      </w:r>
      <w:r w:rsidRPr="008E0511">
        <w:rPr>
          <w:rFonts w:asciiTheme="minorHAnsi" w:hAnsiTheme="minorHAnsi"/>
          <w:sz w:val="22"/>
          <w:lang w:val="en"/>
        </w:rPr>
        <w:t xml:space="preserve"> +353 </w:t>
      </w:r>
      <w:bookmarkEnd w:id="10"/>
      <w:r w:rsidR="00A052BC">
        <w:rPr>
          <w:rFonts w:asciiTheme="minorHAnsi" w:hAnsiTheme="minorHAnsi"/>
          <w:sz w:val="22"/>
          <w:lang w:val="en"/>
        </w:rPr>
        <w:t>87 2288514</w:t>
      </w:r>
      <w:r w:rsidRPr="008E0511">
        <w:rPr>
          <w:rFonts w:asciiTheme="minorHAnsi" w:hAnsiTheme="minorHAnsi"/>
          <w:sz w:val="22"/>
          <w:lang w:val="en"/>
        </w:rPr>
        <w:tab/>
      </w:r>
      <w:r w:rsidRPr="008E0511">
        <w:rPr>
          <w:rFonts w:asciiTheme="minorHAnsi" w:hAnsiTheme="minorHAnsi"/>
          <w:b/>
          <w:sz w:val="22"/>
          <w:lang w:val="en"/>
        </w:rPr>
        <w:t>e</w:t>
      </w:r>
      <w:r w:rsidRPr="008E0511">
        <w:rPr>
          <w:rFonts w:asciiTheme="minorHAnsi" w:hAnsiTheme="minorHAnsi"/>
          <w:sz w:val="22"/>
          <w:lang w:val="en"/>
        </w:rPr>
        <w:t xml:space="preserve"> </w:t>
      </w:r>
      <w:r w:rsidR="00A052BC">
        <w:rPr>
          <w:rFonts w:asciiTheme="minorHAnsi" w:hAnsiTheme="minorHAnsi"/>
          <w:sz w:val="22"/>
          <w:lang w:val="en"/>
        </w:rPr>
        <w:t>gmarkey</w:t>
      </w:r>
      <w:r w:rsidRPr="008E0511">
        <w:rPr>
          <w:rFonts w:asciiTheme="minorHAnsi" w:hAnsiTheme="minorHAnsi"/>
          <w:sz w:val="22"/>
          <w:lang w:val="en"/>
        </w:rPr>
        <w:t>@hrb.ie</w:t>
      </w:r>
    </w:p>
    <w:p w14:paraId="5BCB17B1" w14:textId="77777777" w:rsidR="002F0158" w:rsidRDefault="002F0158" w:rsidP="00733DA9">
      <w:pPr>
        <w:spacing w:line="312" w:lineRule="auto"/>
        <w:rPr>
          <w:rFonts w:asciiTheme="minorHAnsi" w:hAnsiTheme="minorHAnsi"/>
          <w:sz w:val="22"/>
        </w:rPr>
      </w:pPr>
    </w:p>
    <w:p w14:paraId="1958D033" w14:textId="5D19F465" w:rsidR="005B48CA" w:rsidRDefault="005B48CA" w:rsidP="00733DA9">
      <w:pPr>
        <w:pStyle w:val="Heading2"/>
        <w:spacing w:line="312" w:lineRule="auto"/>
      </w:pPr>
      <w:r>
        <w:t xml:space="preserve">Notes </w:t>
      </w:r>
      <w:r w:rsidR="002C3C8F">
        <w:t>on</w:t>
      </w:r>
      <w:r w:rsidR="00733DA9">
        <w:t xml:space="preserve"> Irish data</w:t>
      </w:r>
    </w:p>
    <w:p w14:paraId="1DCF4B6B" w14:textId="55045537" w:rsidR="005B48CA" w:rsidRPr="00733DA9" w:rsidRDefault="005B48CA" w:rsidP="00733DA9">
      <w:pPr>
        <w:pStyle w:val="ListParagraph"/>
        <w:numPr>
          <w:ilvl w:val="0"/>
          <w:numId w:val="21"/>
        </w:numPr>
        <w:spacing w:line="312" w:lineRule="auto"/>
        <w:rPr>
          <w:rFonts w:asciiTheme="minorHAnsi" w:hAnsiTheme="minorHAnsi" w:cs="Tahoma"/>
          <w:bCs/>
          <w:i/>
          <w:lang w:val="ga-IE"/>
        </w:rPr>
      </w:pPr>
      <w:r w:rsidRPr="005B48CA">
        <w:rPr>
          <w:rFonts w:asciiTheme="minorHAnsi" w:hAnsiTheme="minorHAnsi" w:cs="Arial"/>
          <w:lang w:val="en-GB" w:eastAsia="en-GB"/>
        </w:rPr>
        <w:t xml:space="preserve">The Irish drug treatment data referred to </w:t>
      </w:r>
      <w:r w:rsidR="00F548DF">
        <w:rPr>
          <w:rFonts w:asciiTheme="minorHAnsi" w:hAnsiTheme="minorHAnsi" w:cs="Arial"/>
          <w:lang w:val="en-GB" w:eastAsia="en-GB"/>
        </w:rPr>
        <w:t>above</w:t>
      </w:r>
      <w:r w:rsidRPr="005B48CA">
        <w:rPr>
          <w:rFonts w:asciiTheme="minorHAnsi" w:hAnsiTheme="minorHAnsi" w:cs="Arial"/>
          <w:lang w:val="en-GB" w:eastAsia="en-GB"/>
        </w:rPr>
        <w:t xml:space="preserve"> is taken from reports on those entering treatment in </w:t>
      </w:r>
      <w:r w:rsidR="00E74916">
        <w:rPr>
          <w:rFonts w:asciiTheme="minorHAnsi" w:hAnsiTheme="minorHAnsi" w:cs="Arial"/>
          <w:lang w:val="en-GB" w:eastAsia="en-GB"/>
        </w:rPr>
        <w:t>202</w:t>
      </w:r>
      <w:r w:rsidR="00503D62">
        <w:rPr>
          <w:rFonts w:asciiTheme="minorHAnsi" w:hAnsiTheme="minorHAnsi" w:cs="Arial"/>
          <w:lang w:val="en-GB" w:eastAsia="en-GB"/>
        </w:rPr>
        <w:t>1</w:t>
      </w:r>
      <w:r w:rsidR="00B97439">
        <w:rPr>
          <w:rFonts w:asciiTheme="minorHAnsi" w:hAnsiTheme="minorHAnsi" w:cs="Arial"/>
          <w:lang w:val="en-GB" w:eastAsia="en-GB"/>
        </w:rPr>
        <w:t xml:space="preserve">. </w:t>
      </w:r>
      <w:r w:rsidR="00E74916" w:rsidRPr="005B48CA">
        <w:rPr>
          <w:rFonts w:asciiTheme="minorHAnsi" w:hAnsiTheme="minorHAnsi" w:cs="Arial"/>
          <w:lang w:val="en-GB" w:eastAsia="en-GB"/>
        </w:rPr>
        <w:t>The</w:t>
      </w:r>
      <w:r w:rsidRPr="005B48CA">
        <w:rPr>
          <w:rFonts w:asciiTheme="minorHAnsi" w:hAnsiTheme="minorHAnsi" w:cs="Arial"/>
          <w:lang w:val="en-GB" w:eastAsia="en-GB"/>
        </w:rPr>
        <w:t xml:space="preserve"> most recent year for which drug-related deaths estimates are available is 201</w:t>
      </w:r>
      <w:r w:rsidR="002A4C5F">
        <w:rPr>
          <w:rFonts w:asciiTheme="minorHAnsi" w:hAnsiTheme="minorHAnsi" w:cs="Arial"/>
          <w:lang w:val="en-GB" w:eastAsia="en-GB"/>
        </w:rPr>
        <w:t>7</w:t>
      </w:r>
      <w:r w:rsidRPr="005B48CA">
        <w:rPr>
          <w:rFonts w:asciiTheme="minorHAnsi" w:hAnsiTheme="minorHAnsi" w:cs="Arial"/>
          <w:lang w:val="en-GB" w:eastAsia="en-GB"/>
        </w:rPr>
        <w:t xml:space="preserve">. </w:t>
      </w:r>
    </w:p>
    <w:p w14:paraId="47120ABC" w14:textId="64A0B105" w:rsidR="00733DA9" w:rsidRPr="005B48CA" w:rsidRDefault="00733DA9" w:rsidP="00733DA9">
      <w:pPr>
        <w:pStyle w:val="ListParagraph"/>
        <w:numPr>
          <w:ilvl w:val="0"/>
          <w:numId w:val="21"/>
        </w:numPr>
        <w:spacing w:line="312" w:lineRule="auto"/>
        <w:rPr>
          <w:rFonts w:asciiTheme="minorHAnsi" w:hAnsiTheme="minorHAnsi" w:cs="Tahoma"/>
          <w:bCs/>
          <w:i/>
          <w:lang w:val="ga-IE"/>
        </w:rPr>
      </w:pPr>
      <w:r>
        <w:rPr>
          <w:rFonts w:asciiTheme="minorHAnsi" w:hAnsiTheme="minorHAnsi" w:cs="Arial"/>
          <w:lang w:val="en-GB" w:eastAsia="en-GB"/>
        </w:rPr>
        <w:t>Work on updating the estimate of the prevalence of opiate use in Ireland is underway.  The HRB will publish a report presenting this estimate later in 202</w:t>
      </w:r>
      <w:r w:rsidR="004B5245">
        <w:rPr>
          <w:rFonts w:asciiTheme="minorHAnsi" w:hAnsiTheme="minorHAnsi" w:cs="Arial"/>
          <w:lang w:val="en-GB" w:eastAsia="en-GB"/>
        </w:rPr>
        <w:t>2</w:t>
      </w:r>
      <w:r>
        <w:rPr>
          <w:rFonts w:asciiTheme="minorHAnsi" w:hAnsiTheme="minorHAnsi" w:cs="Arial"/>
          <w:lang w:val="en-GB" w:eastAsia="en-GB"/>
        </w:rPr>
        <w:t xml:space="preserve">. </w:t>
      </w:r>
    </w:p>
    <w:p w14:paraId="348D0C6E" w14:textId="15518A16" w:rsidR="005B48CA" w:rsidRPr="005B48CA" w:rsidRDefault="002A4C5F" w:rsidP="00733DA9">
      <w:pPr>
        <w:pStyle w:val="ListParagraph"/>
        <w:numPr>
          <w:ilvl w:val="0"/>
          <w:numId w:val="21"/>
        </w:numPr>
        <w:spacing w:line="312" w:lineRule="auto"/>
        <w:rPr>
          <w:rFonts w:asciiTheme="minorHAnsi" w:hAnsiTheme="minorHAnsi"/>
        </w:rPr>
      </w:pPr>
      <w:r>
        <w:rPr>
          <w:rFonts w:asciiTheme="minorHAnsi" w:hAnsiTheme="minorHAnsi" w:cs="Arial"/>
          <w:lang w:val="ga-IE"/>
        </w:rPr>
        <w:t>In 2019 t</w:t>
      </w:r>
      <w:r w:rsidR="005B48CA" w:rsidRPr="005B48CA">
        <w:rPr>
          <w:rFonts w:asciiTheme="minorHAnsi" w:hAnsiTheme="minorHAnsi" w:cs="Arial"/>
          <w:lang w:val="ga-IE"/>
        </w:rPr>
        <w:t xml:space="preserve">he Department of Health reconstituted the </w:t>
      </w:r>
      <w:r w:rsidR="005B48CA" w:rsidRPr="005B48CA">
        <w:rPr>
          <w:rFonts w:asciiTheme="minorHAnsi" w:hAnsiTheme="minorHAnsi" w:cs="Arial"/>
        </w:rPr>
        <w:t>Early Warning and Emerging Trends</w:t>
      </w:r>
      <w:r w:rsidR="005B48CA" w:rsidRPr="005B48CA">
        <w:rPr>
          <w:rFonts w:asciiTheme="minorHAnsi" w:hAnsiTheme="minorHAnsi" w:cs="Arial"/>
          <w:lang w:val="ga-IE"/>
        </w:rPr>
        <w:t xml:space="preserve"> network to advise the government and exchange information on </w:t>
      </w:r>
      <w:r w:rsidR="005B48CA" w:rsidRPr="005B48CA">
        <w:rPr>
          <w:rFonts w:asciiTheme="minorHAnsi" w:hAnsiTheme="minorHAnsi" w:cs="Arial"/>
        </w:rPr>
        <w:t>new psychoactive substances</w:t>
      </w:r>
      <w:r w:rsidR="005B48CA" w:rsidRPr="005B48CA">
        <w:rPr>
          <w:rFonts w:asciiTheme="minorHAnsi" w:hAnsiTheme="minorHAnsi" w:cs="Arial"/>
          <w:lang w:val="ga-IE"/>
        </w:rPr>
        <w:t xml:space="preserve">, </w:t>
      </w:r>
      <w:r w:rsidR="005B48CA" w:rsidRPr="005B48CA">
        <w:rPr>
          <w:rFonts w:asciiTheme="minorHAnsi" w:hAnsiTheme="minorHAnsi" w:cs="Arial"/>
        </w:rPr>
        <w:t>emerging drug trends or practices</w:t>
      </w:r>
      <w:r w:rsidR="005B48CA" w:rsidRPr="005B48CA">
        <w:rPr>
          <w:rFonts w:asciiTheme="minorHAnsi" w:hAnsiTheme="minorHAnsi" w:cs="Arial"/>
          <w:lang w:val="ga-IE"/>
        </w:rPr>
        <w:t xml:space="preserve"> and the consequences of such use.  </w:t>
      </w:r>
    </w:p>
    <w:sectPr w:rsidR="005B48CA" w:rsidRPr="005B48CA" w:rsidSect="00BA19DD">
      <w:footerReference w:type="default" r:id="rId15"/>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B5FB" w14:textId="77777777" w:rsidR="00433674" w:rsidRDefault="00433674" w:rsidP="00FE3B12">
      <w:r>
        <w:separator/>
      </w:r>
    </w:p>
  </w:endnote>
  <w:endnote w:type="continuationSeparator" w:id="0">
    <w:p w14:paraId="18B95950" w14:textId="77777777" w:rsidR="00433674" w:rsidRDefault="00433674" w:rsidP="00FE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1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183622"/>
      <w:docPartObj>
        <w:docPartGallery w:val="Page Numbers (Bottom of Page)"/>
        <w:docPartUnique/>
      </w:docPartObj>
    </w:sdtPr>
    <w:sdtEndPr/>
    <w:sdtContent>
      <w:sdt>
        <w:sdtPr>
          <w:id w:val="860082579"/>
          <w:docPartObj>
            <w:docPartGallery w:val="Page Numbers (Top of Page)"/>
            <w:docPartUnique/>
          </w:docPartObj>
        </w:sdtPr>
        <w:sdtEndPr/>
        <w:sdtContent>
          <w:p w14:paraId="7D645ABB" w14:textId="77777777" w:rsidR="00FE3B12" w:rsidRDefault="00FE3B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40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06A">
              <w:rPr>
                <w:b/>
                <w:bCs/>
                <w:noProof/>
              </w:rPr>
              <w:t>7</w:t>
            </w:r>
            <w:r>
              <w:rPr>
                <w:b/>
                <w:bCs/>
                <w:sz w:val="24"/>
                <w:szCs w:val="24"/>
              </w:rPr>
              <w:fldChar w:fldCharType="end"/>
            </w:r>
          </w:p>
        </w:sdtContent>
      </w:sdt>
    </w:sdtContent>
  </w:sdt>
  <w:p w14:paraId="0DF9BBD0" w14:textId="77777777" w:rsidR="00FE3B12" w:rsidRDefault="00FE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0FE3" w14:textId="77777777" w:rsidR="00433674" w:rsidRDefault="00433674" w:rsidP="00FE3B12">
      <w:r>
        <w:separator/>
      </w:r>
    </w:p>
  </w:footnote>
  <w:footnote w:type="continuationSeparator" w:id="0">
    <w:p w14:paraId="69018C8C" w14:textId="77777777" w:rsidR="00433674" w:rsidRDefault="00433674" w:rsidP="00FE3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D13"/>
    <w:multiLevelType w:val="hybridMultilevel"/>
    <w:tmpl w:val="9EAE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A61D0"/>
    <w:multiLevelType w:val="hybridMultilevel"/>
    <w:tmpl w:val="43604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57FD0"/>
    <w:multiLevelType w:val="hybridMultilevel"/>
    <w:tmpl w:val="D3422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0A47D3"/>
    <w:multiLevelType w:val="hybridMultilevel"/>
    <w:tmpl w:val="2250D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29018F"/>
    <w:multiLevelType w:val="hybridMultilevel"/>
    <w:tmpl w:val="E6A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46FFB"/>
    <w:multiLevelType w:val="hybridMultilevel"/>
    <w:tmpl w:val="7A767E98"/>
    <w:lvl w:ilvl="0" w:tplc="18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241202BC"/>
    <w:multiLevelType w:val="hybridMultilevel"/>
    <w:tmpl w:val="38C8C61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24B39"/>
    <w:multiLevelType w:val="hybridMultilevel"/>
    <w:tmpl w:val="2ACAF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A17508"/>
    <w:multiLevelType w:val="hybridMultilevel"/>
    <w:tmpl w:val="0738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76233"/>
    <w:multiLevelType w:val="hybridMultilevel"/>
    <w:tmpl w:val="345642C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83228"/>
    <w:multiLevelType w:val="hybridMultilevel"/>
    <w:tmpl w:val="F112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03272"/>
    <w:multiLevelType w:val="hybridMultilevel"/>
    <w:tmpl w:val="FCF27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EC52B8"/>
    <w:multiLevelType w:val="hybridMultilevel"/>
    <w:tmpl w:val="47166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E05718"/>
    <w:multiLevelType w:val="hybridMultilevel"/>
    <w:tmpl w:val="61906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68229D"/>
    <w:multiLevelType w:val="hybridMultilevel"/>
    <w:tmpl w:val="3148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064F1"/>
    <w:multiLevelType w:val="hybridMultilevel"/>
    <w:tmpl w:val="8346A1C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15514"/>
    <w:multiLevelType w:val="hybridMultilevel"/>
    <w:tmpl w:val="2A068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9F4EFF"/>
    <w:multiLevelType w:val="hybridMultilevel"/>
    <w:tmpl w:val="C01470A6"/>
    <w:lvl w:ilvl="0" w:tplc="1D2ED048">
      <w:start w:val="1"/>
      <w:numFmt w:val="bullet"/>
      <w:lvlText w:val="•"/>
      <w:lvlJc w:val="left"/>
      <w:pPr>
        <w:tabs>
          <w:tab w:val="num" w:pos="720"/>
        </w:tabs>
        <w:ind w:left="720" w:hanging="360"/>
      </w:pPr>
      <w:rPr>
        <w:rFonts w:ascii="Arial" w:hAnsi="Arial" w:hint="default"/>
      </w:rPr>
    </w:lvl>
    <w:lvl w:ilvl="1" w:tplc="EECED750" w:tentative="1">
      <w:start w:val="1"/>
      <w:numFmt w:val="bullet"/>
      <w:lvlText w:val="•"/>
      <w:lvlJc w:val="left"/>
      <w:pPr>
        <w:tabs>
          <w:tab w:val="num" w:pos="1440"/>
        </w:tabs>
        <w:ind w:left="1440" w:hanging="360"/>
      </w:pPr>
      <w:rPr>
        <w:rFonts w:ascii="Arial" w:hAnsi="Arial" w:hint="default"/>
      </w:rPr>
    </w:lvl>
    <w:lvl w:ilvl="2" w:tplc="932803AC" w:tentative="1">
      <w:start w:val="1"/>
      <w:numFmt w:val="bullet"/>
      <w:lvlText w:val="•"/>
      <w:lvlJc w:val="left"/>
      <w:pPr>
        <w:tabs>
          <w:tab w:val="num" w:pos="2160"/>
        </w:tabs>
        <w:ind w:left="2160" w:hanging="360"/>
      </w:pPr>
      <w:rPr>
        <w:rFonts w:ascii="Arial" w:hAnsi="Arial" w:hint="default"/>
      </w:rPr>
    </w:lvl>
    <w:lvl w:ilvl="3" w:tplc="3A900EC6" w:tentative="1">
      <w:start w:val="1"/>
      <w:numFmt w:val="bullet"/>
      <w:lvlText w:val="•"/>
      <w:lvlJc w:val="left"/>
      <w:pPr>
        <w:tabs>
          <w:tab w:val="num" w:pos="2880"/>
        </w:tabs>
        <w:ind w:left="2880" w:hanging="360"/>
      </w:pPr>
      <w:rPr>
        <w:rFonts w:ascii="Arial" w:hAnsi="Arial" w:hint="default"/>
      </w:rPr>
    </w:lvl>
    <w:lvl w:ilvl="4" w:tplc="00CE3A7E" w:tentative="1">
      <w:start w:val="1"/>
      <w:numFmt w:val="bullet"/>
      <w:lvlText w:val="•"/>
      <w:lvlJc w:val="left"/>
      <w:pPr>
        <w:tabs>
          <w:tab w:val="num" w:pos="3600"/>
        </w:tabs>
        <w:ind w:left="3600" w:hanging="360"/>
      </w:pPr>
      <w:rPr>
        <w:rFonts w:ascii="Arial" w:hAnsi="Arial" w:hint="default"/>
      </w:rPr>
    </w:lvl>
    <w:lvl w:ilvl="5" w:tplc="4E569A28" w:tentative="1">
      <w:start w:val="1"/>
      <w:numFmt w:val="bullet"/>
      <w:lvlText w:val="•"/>
      <w:lvlJc w:val="left"/>
      <w:pPr>
        <w:tabs>
          <w:tab w:val="num" w:pos="4320"/>
        </w:tabs>
        <w:ind w:left="4320" w:hanging="360"/>
      </w:pPr>
      <w:rPr>
        <w:rFonts w:ascii="Arial" w:hAnsi="Arial" w:hint="default"/>
      </w:rPr>
    </w:lvl>
    <w:lvl w:ilvl="6" w:tplc="856E6E8A" w:tentative="1">
      <w:start w:val="1"/>
      <w:numFmt w:val="bullet"/>
      <w:lvlText w:val="•"/>
      <w:lvlJc w:val="left"/>
      <w:pPr>
        <w:tabs>
          <w:tab w:val="num" w:pos="5040"/>
        </w:tabs>
        <w:ind w:left="5040" w:hanging="360"/>
      </w:pPr>
      <w:rPr>
        <w:rFonts w:ascii="Arial" w:hAnsi="Arial" w:hint="default"/>
      </w:rPr>
    </w:lvl>
    <w:lvl w:ilvl="7" w:tplc="FE20B41C" w:tentative="1">
      <w:start w:val="1"/>
      <w:numFmt w:val="bullet"/>
      <w:lvlText w:val="•"/>
      <w:lvlJc w:val="left"/>
      <w:pPr>
        <w:tabs>
          <w:tab w:val="num" w:pos="5760"/>
        </w:tabs>
        <w:ind w:left="5760" w:hanging="360"/>
      </w:pPr>
      <w:rPr>
        <w:rFonts w:ascii="Arial" w:hAnsi="Arial" w:hint="default"/>
      </w:rPr>
    </w:lvl>
    <w:lvl w:ilvl="8" w:tplc="288020C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0021CF"/>
    <w:multiLevelType w:val="hybridMultilevel"/>
    <w:tmpl w:val="90B01EF0"/>
    <w:lvl w:ilvl="0" w:tplc="4D52A97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270A1D"/>
    <w:multiLevelType w:val="hybridMultilevel"/>
    <w:tmpl w:val="37260E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DAF5644"/>
    <w:multiLevelType w:val="hybridMultilevel"/>
    <w:tmpl w:val="6F660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1711F5"/>
    <w:multiLevelType w:val="hybridMultilevel"/>
    <w:tmpl w:val="3D962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F4755B"/>
    <w:multiLevelType w:val="hybridMultilevel"/>
    <w:tmpl w:val="C47C558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abstractNum w:abstractNumId="23" w15:restartNumberingAfterBreak="0">
    <w:nsid w:val="6C8D2A61"/>
    <w:multiLevelType w:val="hybridMultilevel"/>
    <w:tmpl w:val="4F74A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9BBB59" w:themeColor="accent3"/>
      </w:rPr>
    </w:lvl>
    <w:lvl w:ilvl="1">
      <w:start w:val="1"/>
      <w:numFmt w:val="bullet"/>
      <w:lvlText w:val="̶"/>
      <w:lvlJc w:val="left"/>
      <w:pPr>
        <w:tabs>
          <w:tab w:val="num" w:pos="680"/>
        </w:tabs>
        <w:ind w:left="680" w:hanging="340"/>
      </w:pPr>
      <w:rPr>
        <w:rFonts w:ascii="Calibri" w:hAnsi="Calibri" w:hint="default"/>
        <w:color w:val="1F497D" w:themeColor="text2"/>
      </w:rPr>
    </w:lvl>
    <w:lvl w:ilvl="2">
      <w:start w:val="1"/>
      <w:numFmt w:val="bullet"/>
      <w:lvlText w:val=""/>
      <w:lvlJc w:val="left"/>
      <w:pPr>
        <w:tabs>
          <w:tab w:val="num" w:pos="1021"/>
        </w:tabs>
        <w:ind w:left="1020" w:hanging="340"/>
      </w:pPr>
      <w:rPr>
        <w:rFonts w:ascii="Symbol" w:hAnsi="Symbol" w:hint="default"/>
        <w:color w:val="9BBB59" w:themeColor="accent3"/>
      </w:rPr>
    </w:lvl>
    <w:lvl w:ilvl="3">
      <w:start w:val="1"/>
      <w:numFmt w:val="bullet"/>
      <w:lvlText w:val="̶"/>
      <w:lvlJc w:val="left"/>
      <w:pPr>
        <w:tabs>
          <w:tab w:val="num" w:pos="1361"/>
        </w:tabs>
        <w:ind w:left="1360" w:hanging="340"/>
      </w:pPr>
      <w:rPr>
        <w:rFonts w:ascii="Calibri" w:hAnsi="Calibri" w:hint="default"/>
        <w:color w:val="1F497D" w:themeColor="text2"/>
      </w:rPr>
    </w:lvl>
    <w:lvl w:ilvl="4">
      <w:start w:val="1"/>
      <w:numFmt w:val="bullet"/>
      <w:lvlText w:val=""/>
      <w:lvlJc w:val="left"/>
      <w:pPr>
        <w:tabs>
          <w:tab w:val="num" w:pos="1701"/>
        </w:tabs>
        <w:ind w:left="1700" w:hanging="340"/>
      </w:pPr>
      <w:rPr>
        <w:rFonts w:ascii="Symbol" w:hAnsi="Symbol" w:hint="default"/>
        <w:color w:val="1F497D" w:themeColor="text2"/>
      </w:rPr>
    </w:lvl>
    <w:lvl w:ilvl="5">
      <w:start w:val="1"/>
      <w:numFmt w:val="bullet"/>
      <w:lvlText w:val="̶"/>
      <w:lvlJc w:val="left"/>
      <w:pPr>
        <w:tabs>
          <w:tab w:val="num" w:pos="2041"/>
        </w:tabs>
        <w:ind w:left="2040" w:hanging="340"/>
      </w:pPr>
      <w:rPr>
        <w:rFonts w:ascii="Calibri" w:hAnsi="Calibri" w:hint="default"/>
        <w:color w:val="1F497D"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5" w15:restartNumberingAfterBreak="0">
    <w:nsid w:val="737940E6"/>
    <w:multiLevelType w:val="hybridMultilevel"/>
    <w:tmpl w:val="9822DB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7E84841"/>
    <w:multiLevelType w:val="hybridMultilevel"/>
    <w:tmpl w:val="5C161954"/>
    <w:lvl w:ilvl="0" w:tplc="3442522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0063C0"/>
    <w:multiLevelType w:val="hybridMultilevel"/>
    <w:tmpl w:val="C2C46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79029767">
    <w:abstractNumId w:val="11"/>
  </w:num>
  <w:num w:numId="2" w16cid:durableId="1203861835">
    <w:abstractNumId w:val="13"/>
  </w:num>
  <w:num w:numId="3" w16cid:durableId="1474910389">
    <w:abstractNumId w:val="7"/>
  </w:num>
  <w:num w:numId="4" w16cid:durableId="1674792904">
    <w:abstractNumId w:val="20"/>
  </w:num>
  <w:num w:numId="5" w16cid:durableId="617375004">
    <w:abstractNumId w:val="5"/>
  </w:num>
  <w:num w:numId="6" w16cid:durableId="387916510">
    <w:abstractNumId w:val="3"/>
  </w:num>
  <w:num w:numId="7" w16cid:durableId="547035255">
    <w:abstractNumId w:val="2"/>
  </w:num>
  <w:num w:numId="8" w16cid:durableId="456535753">
    <w:abstractNumId w:val="23"/>
  </w:num>
  <w:num w:numId="9" w16cid:durableId="1505783972">
    <w:abstractNumId w:val="0"/>
  </w:num>
  <w:num w:numId="10" w16cid:durableId="1547910207">
    <w:abstractNumId w:val="1"/>
  </w:num>
  <w:num w:numId="11" w16cid:durableId="1063217814">
    <w:abstractNumId w:val="25"/>
  </w:num>
  <w:num w:numId="12" w16cid:durableId="2046128761">
    <w:abstractNumId w:val="27"/>
  </w:num>
  <w:num w:numId="13" w16cid:durableId="27921501">
    <w:abstractNumId w:val="26"/>
  </w:num>
  <w:num w:numId="14" w16cid:durableId="1477647617">
    <w:abstractNumId w:val="14"/>
  </w:num>
  <w:num w:numId="15" w16cid:durableId="1863012319">
    <w:abstractNumId w:val="8"/>
  </w:num>
  <w:num w:numId="16" w16cid:durableId="582111810">
    <w:abstractNumId w:val="4"/>
  </w:num>
  <w:num w:numId="17" w16cid:durableId="1465807288">
    <w:abstractNumId w:val="10"/>
  </w:num>
  <w:num w:numId="18" w16cid:durableId="980188498">
    <w:abstractNumId w:val="15"/>
  </w:num>
  <w:num w:numId="19" w16cid:durableId="1353461214">
    <w:abstractNumId w:val="6"/>
  </w:num>
  <w:num w:numId="20" w16cid:durableId="2103334585">
    <w:abstractNumId w:val="9"/>
  </w:num>
  <w:num w:numId="21" w16cid:durableId="208687569">
    <w:abstractNumId w:val="21"/>
  </w:num>
  <w:num w:numId="22" w16cid:durableId="1516193531">
    <w:abstractNumId w:val="12"/>
  </w:num>
  <w:num w:numId="23" w16cid:durableId="959798731">
    <w:abstractNumId w:val="18"/>
  </w:num>
  <w:num w:numId="24" w16cid:durableId="610549478">
    <w:abstractNumId w:val="22"/>
  </w:num>
  <w:num w:numId="25" w16cid:durableId="2054235705">
    <w:abstractNumId w:val="19"/>
  </w:num>
  <w:num w:numId="26" w16cid:durableId="800267243">
    <w:abstractNumId w:val="17"/>
  </w:num>
  <w:num w:numId="27" w16cid:durableId="1171723592">
    <w:abstractNumId w:val="16"/>
  </w:num>
  <w:num w:numId="28" w16cid:durableId="21212901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85"/>
    <w:rsid w:val="000114A3"/>
    <w:rsid w:val="00014C6A"/>
    <w:rsid w:val="00032DB9"/>
    <w:rsid w:val="00060B80"/>
    <w:rsid w:val="0006430E"/>
    <w:rsid w:val="000736F5"/>
    <w:rsid w:val="000752A1"/>
    <w:rsid w:val="00075E62"/>
    <w:rsid w:val="00083465"/>
    <w:rsid w:val="00083822"/>
    <w:rsid w:val="000A0264"/>
    <w:rsid w:val="000A0E80"/>
    <w:rsid w:val="000A33B0"/>
    <w:rsid w:val="000A7E58"/>
    <w:rsid w:val="000B16B0"/>
    <w:rsid w:val="000B2186"/>
    <w:rsid w:val="000B7F8F"/>
    <w:rsid w:val="000C4B97"/>
    <w:rsid w:val="000C6F85"/>
    <w:rsid w:val="000D1872"/>
    <w:rsid w:val="000D4579"/>
    <w:rsid w:val="000E1043"/>
    <w:rsid w:val="000E134C"/>
    <w:rsid w:val="000F4225"/>
    <w:rsid w:val="000F441C"/>
    <w:rsid w:val="000F5D23"/>
    <w:rsid w:val="0010007A"/>
    <w:rsid w:val="001027B6"/>
    <w:rsid w:val="00106A98"/>
    <w:rsid w:val="00112F0F"/>
    <w:rsid w:val="00113981"/>
    <w:rsid w:val="00114F00"/>
    <w:rsid w:val="001153A7"/>
    <w:rsid w:val="001171E7"/>
    <w:rsid w:val="001411F5"/>
    <w:rsid w:val="00144C9E"/>
    <w:rsid w:val="00145D14"/>
    <w:rsid w:val="00155B75"/>
    <w:rsid w:val="00163255"/>
    <w:rsid w:val="0016387E"/>
    <w:rsid w:val="0017132F"/>
    <w:rsid w:val="001714ED"/>
    <w:rsid w:val="00171B4B"/>
    <w:rsid w:val="001721A4"/>
    <w:rsid w:val="00173B8D"/>
    <w:rsid w:val="00174F3B"/>
    <w:rsid w:val="00176094"/>
    <w:rsid w:val="00181FE1"/>
    <w:rsid w:val="00185985"/>
    <w:rsid w:val="00187A34"/>
    <w:rsid w:val="00187E40"/>
    <w:rsid w:val="001911BD"/>
    <w:rsid w:val="00194011"/>
    <w:rsid w:val="001A1D8E"/>
    <w:rsid w:val="001A2F08"/>
    <w:rsid w:val="001A4AC6"/>
    <w:rsid w:val="001A67E3"/>
    <w:rsid w:val="001A689E"/>
    <w:rsid w:val="001B0E85"/>
    <w:rsid w:val="001B132C"/>
    <w:rsid w:val="001B64F0"/>
    <w:rsid w:val="001B7418"/>
    <w:rsid w:val="001C0BBB"/>
    <w:rsid w:val="001C4FC8"/>
    <w:rsid w:val="001C55B3"/>
    <w:rsid w:val="001C76A2"/>
    <w:rsid w:val="001D14D5"/>
    <w:rsid w:val="001D28BA"/>
    <w:rsid w:val="001D55FF"/>
    <w:rsid w:val="001E4D02"/>
    <w:rsid w:val="001E61F3"/>
    <w:rsid w:val="001F175B"/>
    <w:rsid w:val="001F3A16"/>
    <w:rsid w:val="001F560C"/>
    <w:rsid w:val="001F5DCA"/>
    <w:rsid w:val="00207956"/>
    <w:rsid w:val="00211DB5"/>
    <w:rsid w:val="00215081"/>
    <w:rsid w:val="00216B3A"/>
    <w:rsid w:val="00216C37"/>
    <w:rsid w:val="00216E89"/>
    <w:rsid w:val="002254F1"/>
    <w:rsid w:val="00226B60"/>
    <w:rsid w:val="00234614"/>
    <w:rsid w:val="00245B9F"/>
    <w:rsid w:val="00247FBF"/>
    <w:rsid w:val="00251942"/>
    <w:rsid w:val="00252EA7"/>
    <w:rsid w:val="0025408E"/>
    <w:rsid w:val="00255959"/>
    <w:rsid w:val="0026110F"/>
    <w:rsid w:val="00262165"/>
    <w:rsid w:val="002650DE"/>
    <w:rsid w:val="00276379"/>
    <w:rsid w:val="0028305F"/>
    <w:rsid w:val="0028328C"/>
    <w:rsid w:val="002A03B0"/>
    <w:rsid w:val="002A13ED"/>
    <w:rsid w:val="002A155C"/>
    <w:rsid w:val="002A2A40"/>
    <w:rsid w:val="002A4C5F"/>
    <w:rsid w:val="002B70BB"/>
    <w:rsid w:val="002C0A63"/>
    <w:rsid w:val="002C3C8F"/>
    <w:rsid w:val="002D16BB"/>
    <w:rsid w:val="002E0CAA"/>
    <w:rsid w:val="002E1D6B"/>
    <w:rsid w:val="002F0158"/>
    <w:rsid w:val="002F4E14"/>
    <w:rsid w:val="003250CC"/>
    <w:rsid w:val="00332C3B"/>
    <w:rsid w:val="003534BE"/>
    <w:rsid w:val="003537E3"/>
    <w:rsid w:val="00354545"/>
    <w:rsid w:val="00356C68"/>
    <w:rsid w:val="00360D1E"/>
    <w:rsid w:val="00367404"/>
    <w:rsid w:val="00376815"/>
    <w:rsid w:val="003806CB"/>
    <w:rsid w:val="003858C5"/>
    <w:rsid w:val="0039152A"/>
    <w:rsid w:val="00392A5E"/>
    <w:rsid w:val="003A0C07"/>
    <w:rsid w:val="003B07D0"/>
    <w:rsid w:val="003B0CDF"/>
    <w:rsid w:val="003C097B"/>
    <w:rsid w:val="003C1C7B"/>
    <w:rsid w:val="003D3BD0"/>
    <w:rsid w:val="003D42D9"/>
    <w:rsid w:val="003E6838"/>
    <w:rsid w:val="003E69AE"/>
    <w:rsid w:val="003E7951"/>
    <w:rsid w:val="003F5B33"/>
    <w:rsid w:val="00403396"/>
    <w:rsid w:val="004074CB"/>
    <w:rsid w:val="004234BC"/>
    <w:rsid w:val="00430448"/>
    <w:rsid w:val="0043240B"/>
    <w:rsid w:val="00433674"/>
    <w:rsid w:val="00437885"/>
    <w:rsid w:val="0044377F"/>
    <w:rsid w:val="00445D93"/>
    <w:rsid w:val="00453B64"/>
    <w:rsid w:val="00456E99"/>
    <w:rsid w:val="00457DC5"/>
    <w:rsid w:val="00474825"/>
    <w:rsid w:val="00475654"/>
    <w:rsid w:val="00486B46"/>
    <w:rsid w:val="00487C5B"/>
    <w:rsid w:val="00492657"/>
    <w:rsid w:val="00495624"/>
    <w:rsid w:val="004A7203"/>
    <w:rsid w:val="004B0321"/>
    <w:rsid w:val="004B13BA"/>
    <w:rsid w:val="004B5245"/>
    <w:rsid w:val="004C77A2"/>
    <w:rsid w:val="004D2982"/>
    <w:rsid w:val="004F702D"/>
    <w:rsid w:val="004F78A9"/>
    <w:rsid w:val="00503D62"/>
    <w:rsid w:val="00507C59"/>
    <w:rsid w:val="00513431"/>
    <w:rsid w:val="00520995"/>
    <w:rsid w:val="005304EC"/>
    <w:rsid w:val="005478AF"/>
    <w:rsid w:val="00556414"/>
    <w:rsid w:val="00561A02"/>
    <w:rsid w:val="00562001"/>
    <w:rsid w:val="005746BD"/>
    <w:rsid w:val="00575633"/>
    <w:rsid w:val="00585EC9"/>
    <w:rsid w:val="00587F6B"/>
    <w:rsid w:val="00592848"/>
    <w:rsid w:val="0059529B"/>
    <w:rsid w:val="00596E71"/>
    <w:rsid w:val="005A3E99"/>
    <w:rsid w:val="005A459C"/>
    <w:rsid w:val="005B48CA"/>
    <w:rsid w:val="005B6EEE"/>
    <w:rsid w:val="005C092D"/>
    <w:rsid w:val="005C2EA8"/>
    <w:rsid w:val="005D333A"/>
    <w:rsid w:val="005D5BEB"/>
    <w:rsid w:val="005E3F79"/>
    <w:rsid w:val="005F26D2"/>
    <w:rsid w:val="005F38E0"/>
    <w:rsid w:val="005F4AE3"/>
    <w:rsid w:val="00600458"/>
    <w:rsid w:val="006017A8"/>
    <w:rsid w:val="00602D0C"/>
    <w:rsid w:val="00605429"/>
    <w:rsid w:val="006062BE"/>
    <w:rsid w:val="00617E90"/>
    <w:rsid w:val="0062047A"/>
    <w:rsid w:val="0062186F"/>
    <w:rsid w:val="00632046"/>
    <w:rsid w:val="0064321A"/>
    <w:rsid w:val="006552C9"/>
    <w:rsid w:val="0065709F"/>
    <w:rsid w:val="0065721E"/>
    <w:rsid w:val="006633D2"/>
    <w:rsid w:val="006678B4"/>
    <w:rsid w:val="00667B97"/>
    <w:rsid w:val="006703D6"/>
    <w:rsid w:val="00675CAE"/>
    <w:rsid w:val="006814E5"/>
    <w:rsid w:val="0068168A"/>
    <w:rsid w:val="00683F32"/>
    <w:rsid w:val="006956E6"/>
    <w:rsid w:val="006A4293"/>
    <w:rsid w:val="006B45FB"/>
    <w:rsid w:val="006C3BF8"/>
    <w:rsid w:val="006D131C"/>
    <w:rsid w:val="006E0BB3"/>
    <w:rsid w:val="006E1181"/>
    <w:rsid w:val="007055E3"/>
    <w:rsid w:val="00705CFB"/>
    <w:rsid w:val="00714211"/>
    <w:rsid w:val="007168F8"/>
    <w:rsid w:val="0071695C"/>
    <w:rsid w:val="00717792"/>
    <w:rsid w:val="00722667"/>
    <w:rsid w:val="007334A4"/>
    <w:rsid w:val="00733DA9"/>
    <w:rsid w:val="00734099"/>
    <w:rsid w:val="007441EC"/>
    <w:rsid w:val="00753B39"/>
    <w:rsid w:val="007652D5"/>
    <w:rsid w:val="00766153"/>
    <w:rsid w:val="0077009F"/>
    <w:rsid w:val="007711DC"/>
    <w:rsid w:val="007810FC"/>
    <w:rsid w:val="00785DF8"/>
    <w:rsid w:val="007A274C"/>
    <w:rsid w:val="007A5DF0"/>
    <w:rsid w:val="007A7638"/>
    <w:rsid w:val="007A765D"/>
    <w:rsid w:val="007B0F1D"/>
    <w:rsid w:val="007D563C"/>
    <w:rsid w:val="007E36B3"/>
    <w:rsid w:val="007F2470"/>
    <w:rsid w:val="007F3B2A"/>
    <w:rsid w:val="008040F4"/>
    <w:rsid w:val="008179E6"/>
    <w:rsid w:val="00824831"/>
    <w:rsid w:val="00830639"/>
    <w:rsid w:val="00837B7B"/>
    <w:rsid w:val="00840268"/>
    <w:rsid w:val="00847FDC"/>
    <w:rsid w:val="00854730"/>
    <w:rsid w:val="00856000"/>
    <w:rsid w:val="00863CE6"/>
    <w:rsid w:val="00871483"/>
    <w:rsid w:val="0088620C"/>
    <w:rsid w:val="00886C8D"/>
    <w:rsid w:val="008933CB"/>
    <w:rsid w:val="008965EB"/>
    <w:rsid w:val="008A01D9"/>
    <w:rsid w:val="008A5634"/>
    <w:rsid w:val="008B3A91"/>
    <w:rsid w:val="008C20E0"/>
    <w:rsid w:val="008C4488"/>
    <w:rsid w:val="008D2C41"/>
    <w:rsid w:val="008D5544"/>
    <w:rsid w:val="008E0511"/>
    <w:rsid w:val="008E07DD"/>
    <w:rsid w:val="008E6432"/>
    <w:rsid w:val="008F4A0C"/>
    <w:rsid w:val="008F6EDF"/>
    <w:rsid w:val="008F7F0D"/>
    <w:rsid w:val="009127B7"/>
    <w:rsid w:val="0092316D"/>
    <w:rsid w:val="0092778E"/>
    <w:rsid w:val="009371B8"/>
    <w:rsid w:val="00943930"/>
    <w:rsid w:val="00951D0D"/>
    <w:rsid w:val="00961F8E"/>
    <w:rsid w:val="00974624"/>
    <w:rsid w:val="00977EC1"/>
    <w:rsid w:val="009804C9"/>
    <w:rsid w:val="0098307D"/>
    <w:rsid w:val="00983B0C"/>
    <w:rsid w:val="00984AAD"/>
    <w:rsid w:val="0099228B"/>
    <w:rsid w:val="009933C8"/>
    <w:rsid w:val="0099368C"/>
    <w:rsid w:val="009A576E"/>
    <w:rsid w:val="009B1468"/>
    <w:rsid w:val="009B517F"/>
    <w:rsid w:val="009D35F6"/>
    <w:rsid w:val="009D75D2"/>
    <w:rsid w:val="009E57B5"/>
    <w:rsid w:val="009E7DE4"/>
    <w:rsid w:val="009F1327"/>
    <w:rsid w:val="009F2764"/>
    <w:rsid w:val="00A052BC"/>
    <w:rsid w:val="00A05531"/>
    <w:rsid w:val="00A21017"/>
    <w:rsid w:val="00A24D36"/>
    <w:rsid w:val="00A30A27"/>
    <w:rsid w:val="00A35B1B"/>
    <w:rsid w:val="00A3738A"/>
    <w:rsid w:val="00A46EF0"/>
    <w:rsid w:val="00A51CA3"/>
    <w:rsid w:val="00A560F1"/>
    <w:rsid w:val="00A56503"/>
    <w:rsid w:val="00A56E0E"/>
    <w:rsid w:val="00A573DB"/>
    <w:rsid w:val="00A6312E"/>
    <w:rsid w:val="00A85EEA"/>
    <w:rsid w:val="00A85FB0"/>
    <w:rsid w:val="00A868E6"/>
    <w:rsid w:val="00A92207"/>
    <w:rsid w:val="00AA0678"/>
    <w:rsid w:val="00AB56F9"/>
    <w:rsid w:val="00AB6A1A"/>
    <w:rsid w:val="00AB7616"/>
    <w:rsid w:val="00AC1D68"/>
    <w:rsid w:val="00AC2B15"/>
    <w:rsid w:val="00AC3E02"/>
    <w:rsid w:val="00AC5463"/>
    <w:rsid w:val="00AD7EC1"/>
    <w:rsid w:val="00AE606A"/>
    <w:rsid w:val="00B01A50"/>
    <w:rsid w:val="00B147E9"/>
    <w:rsid w:val="00B22AB5"/>
    <w:rsid w:val="00B27013"/>
    <w:rsid w:val="00B33397"/>
    <w:rsid w:val="00B41629"/>
    <w:rsid w:val="00B57451"/>
    <w:rsid w:val="00B819AA"/>
    <w:rsid w:val="00B8500E"/>
    <w:rsid w:val="00B97207"/>
    <w:rsid w:val="00B97439"/>
    <w:rsid w:val="00BB381E"/>
    <w:rsid w:val="00BB6AEE"/>
    <w:rsid w:val="00BB7C48"/>
    <w:rsid w:val="00BB7F04"/>
    <w:rsid w:val="00BD15DF"/>
    <w:rsid w:val="00BD37D1"/>
    <w:rsid w:val="00BD3C27"/>
    <w:rsid w:val="00BD406A"/>
    <w:rsid w:val="00BD4E47"/>
    <w:rsid w:val="00BD5F76"/>
    <w:rsid w:val="00BE4B2B"/>
    <w:rsid w:val="00BE70A6"/>
    <w:rsid w:val="00BF6152"/>
    <w:rsid w:val="00BF757C"/>
    <w:rsid w:val="00C07BD6"/>
    <w:rsid w:val="00C204A7"/>
    <w:rsid w:val="00C248CA"/>
    <w:rsid w:val="00C25689"/>
    <w:rsid w:val="00C3611A"/>
    <w:rsid w:val="00C36ADE"/>
    <w:rsid w:val="00C41F51"/>
    <w:rsid w:val="00C50976"/>
    <w:rsid w:val="00C656C9"/>
    <w:rsid w:val="00C679DD"/>
    <w:rsid w:val="00C7052C"/>
    <w:rsid w:val="00C72B17"/>
    <w:rsid w:val="00C749FD"/>
    <w:rsid w:val="00C85AF2"/>
    <w:rsid w:val="00C87A22"/>
    <w:rsid w:val="00CA01F9"/>
    <w:rsid w:val="00CA3567"/>
    <w:rsid w:val="00CA673C"/>
    <w:rsid w:val="00CB3A51"/>
    <w:rsid w:val="00CB7667"/>
    <w:rsid w:val="00CC31C7"/>
    <w:rsid w:val="00CD1726"/>
    <w:rsid w:val="00CD5E47"/>
    <w:rsid w:val="00CD5EC5"/>
    <w:rsid w:val="00CD7B87"/>
    <w:rsid w:val="00CF2793"/>
    <w:rsid w:val="00D0183A"/>
    <w:rsid w:val="00D02BF3"/>
    <w:rsid w:val="00D052C7"/>
    <w:rsid w:val="00D14A6F"/>
    <w:rsid w:val="00D14BBF"/>
    <w:rsid w:val="00D208B9"/>
    <w:rsid w:val="00D22CE4"/>
    <w:rsid w:val="00D42492"/>
    <w:rsid w:val="00D46419"/>
    <w:rsid w:val="00D5427E"/>
    <w:rsid w:val="00D56F40"/>
    <w:rsid w:val="00D6474B"/>
    <w:rsid w:val="00D70A06"/>
    <w:rsid w:val="00D7372F"/>
    <w:rsid w:val="00D87AA3"/>
    <w:rsid w:val="00D90F63"/>
    <w:rsid w:val="00DA185F"/>
    <w:rsid w:val="00DA198F"/>
    <w:rsid w:val="00DA19DC"/>
    <w:rsid w:val="00DB6F43"/>
    <w:rsid w:val="00DB7615"/>
    <w:rsid w:val="00DC3162"/>
    <w:rsid w:val="00DE49FF"/>
    <w:rsid w:val="00DE5D7A"/>
    <w:rsid w:val="00DE7222"/>
    <w:rsid w:val="00DF1719"/>
    <w:rsid w:val="00DF584E"/>
    <w:rsid w:val="00DF6429"/>
    <w:rsid w:val="00DF6BA9"/>
    <w:rsid w:val="00DF74D4"/>
    <w:rsid w:val="00E003F5"/>
    <w:rsid w:val="00E02DF1"/>
    <w:rsid w:val="00E06486"/>
    <w:rsid w:val="00E0683C"/>
    <w:rsid w:val="00E12C96"/>
    <w:rsid w:val="00E17453"/>
    <w:rsid w:val="00E2022B"/>
    <w:rsid w:val="00E21DA8"/>
    <w:rsid w:val="00E2534F"/>
    <w:rsid w:val="00E3082C"/>
    <w:rsid w:val="00E3138D"/>
    <w:rsid w:val="00E343B8"/>
    <w:rsid w:val="00E37BEA"/>
    <w:rsid w:val="00E46A09"/>
    <w:rsid w:val="00E47A44"/>
    <w:rsid w:val="00E50BC5"/>
    <w:rsid w:val="00E5604B"/>
    <w:rsid w:val="00E6054B"/>
    <w:rsid w:val="00E60A6F"/>
    <w:rsid w:val="00E61F38"/>
    <w:rsid w:val="00E664E7"/>
    <w:rsid w:val="00E71B19"/>
    <w:rsid w:val="00E7230A"/>
    <w:rsid w:val="00E74916"/>
    <w:rsid w:val="00E7547C"/>
    <w:rsid w:val="00E80176"/>
    <w:rsid w:val="00E805FD"/>
    <w:rsid w:val="00E83CA3"/>
    <w:rsid w:val="00E84A4E"/>
    <w:rsid w:val="00E9040A"/>
    <w:rsid w:val="00E956B1"/>
    <w:rsid w:val="00EA06F7"/>
    <w:rsid w:val="00EB4078"/>
    <w:rsid w:val="00EC4B3D"/>
    <w:rsid w:val="00EC7CB1"/>
    <w:rsid w:val="00ED39A2"/>
    <w:rsid w:val="00ED750F"/>
    <w:rsid w:val="00ED7DC0"/>
    <w:rsid w:val="00EE1095"/>
    <w:rsid w:val="00EE195D"/>
    <w:rsid w:val="00EE1DF7"/>
    <w:rsid w:val="00EE3614"/>
    <w:rsid w:val="00EE5378"/>
    <w:rsid w:val="00EE5849"/>
    <w:rsid w:val="00EE7417"/>
    <w:rsid w:val="00EE7DD8"/>
    <w:rsid w:val="00EF3E7A"/>
    <w:rsid w:val="00F06D7B"/>
    <w:rsid w:val="00F076C9"/>
    <w:rsid w:val="00F11884"/>
    <w:rsid w:val="00F126C8"/>
    <w:rsid w:val="00F1637D"/>
    <w:rsid w:val="00F164E2"/>
    <w:rsid w:val="00F3023D"/>
    <w:rsid w:val="00F32E57"/>
    <w:rsid w:val="00F45132"/>
    <w:rsid w:val="00F47CE6"/>
    <w:rsid w:val="00F548DF"/>
    <w:rsid w:val="00F609D4"/>
    <w:rsid w:val="00F75FFA"/>
    <w:rsid w:val="00F80B08"/>
    <w:rsid w:val="00F826CD"/>
    <w:rsid w:val="00F86738"/>
    <w:rsid w:val="00F90A1E"/>
    <w:rsid w:val="00F90B4A"/>
    <w:rsid w:val="00F9338C"/>
    <w:rsid w:val="00F95D01"/>
    <w:rsid w:val="00FA3233"/>
    <w:rsid w:val="00FA3D11"/>
    <w:rsid w:val="00FA4376"/>
    <w:rsid w:val="00FB2F4E"/>
    <w:rsid w:val="00FB419A"/>
    <w:rsid w:val="00FC0FDA"/>
    <w:rsid w:val="00FC1C88"/>
    <w:rsid w:val="00FD0595"/>
    <w:rsid w:val="00FD71F2"/>
    <w:rsid w:val="00FE3B12"/>
    <w:rsid w:val="00FF125B"/>
    <w:rsid w:val="00FF1970"/>
    <w:rsid w:val="00FF283A"/>
    <w:rsid w:val="00FF54F7"/>
    <w:rsid w:val="00FF6EA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2077"/>
  <w15:docId w15:val="{4BC3624C-D40F-43AA-A0CE-C23FD072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E85"/>
    <w:rPr>
      <w:rFonts w:ascii="Tahoma" w:eastAsia="Calibri" w:hAnsi="Tahoma" w:cs="Times New Roman"/>
      <w:sz w:val="20"/>
    </w:rPr>
  </w:style>
  <w:style w:type="paragraph" w:styleId="Heading1">
    <w:name w:val="heading 1"/>
    <w:basedOn w:val="Normal"/>
    <w:next w:val="Normal"/>
    <w:link w:val="Heading1Char"/>
    <w:uiPriority w:val="9"/>
    <w:qFormat/>
    <w:rsid w:val="007A7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76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76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1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NormalWeb">
    <w:name w:val="Normal (Web)"/>
    <w:basedOn w:val="Normal"/>
    <w:uiPriority w:val="99"/>
    <w:unhideWhenUsed/>
    <w:rsid w:val="001B0E85"/>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1B0E85"/>
    <w:pPr>
      <w:jc w:val="center"/>
    </w:pPr>
    <w:rPr>
      <w:rFonts w:eastAsia="Times New Roman"/>
      <w:b/>
      <w:bCs/>
      <w:sz w:val="24"/>
      <w:szCs w:val="24"/>
      <w:lang w:val="en-GB"/>
    </w:rPr>
  </w:style>
  <w:style w:type="character" w:customStyle="1" w:styleId="TitleChar">
    <w:name w:val="Title Char"/>
    <w:basedOn w:val="DefaultParagraphFont"/>
    <w:link w:val="Title"/>
    <w:rsid w:val="001B0E85"/>
    <w:rPr>
      <w:rFonts w:ascii="Tahoma" w:eastAsia="Times New Roman" w:hAnsi="Tahoma" w:cs="Times New Roman"/>
      <w:b/>
      <w:bCs/>
      <w:sz w:val="24"/>
      <w:szCs w:val="24"/>
      <w:lang w:val="en-GB"/>
    </w:rPr>
  </w:style>
  <w:style w:type="paragraph" w:styleId="BodyText2">
    <w:name w:val="Body Text 2"/>
    <w:basedOn w:val="Normal"/>
    <w:link w:val="BodyText2Char"/>
    <w:rsid w:val="001B0E85"/>
    <w:pPr>
      <w:spacing w:line="360" w:lineRule="auto"/>
      <w:jc w:val="both"/>
    </w:pPr>
    <w:rPr>
      <w:rFonts w:eastAsia="Times New Roman"/>
      <w:szCs w:val="24"/>
      <w:lang w:val="en-GB"/>
    </w:rPr>
  </w:style>
  <w:style w:type="character" w:customStyle="1" w:styleId="BodyText2Char">
    <w:name w:val="Body Text 2 Char"/>
    <w:basedOn w:val="DefaultParagraphFont"/>
    <w:link w:val="BodyText2"/>
    <w:rsid w:val="001B0E85"/>
    <w:rPr>
      <w:rFonts w:ascii="Tahoma" w:eastAsia="Times New Roman" w:hAnsi="Tahoma" w:cs="Times New Roman"/>
      <w:sz w:val="20"/>
      <w:szCs w:val="24"/>
      <w:lang w:val="en-GB"/>
    </w:rPr>
  </w:style>
  <w:style w:type="paragraph" w:styleId="ListParagraph">
    <w:name w:val="List Paragraph"/>
    <w:basedOn w:val="Normal"/>
    <w:qFormat/>
    <w:rsid w:val="001B0E85"/>
    <w:pPr>
      <w:spacing w:after="200" w:line="276" w:lineRule="auto"/>
      <w:ind w:left="720"/>
      <w:contextualSpacing/>
    </w:pPr>
    <w:rPr>
      <w:rFonts w:ascii="Calibri" w:hAnsi="Calibri"/>
      <w:sz w:val="22"/>
      <w:lang w:val="en-IE"/>
    </w:rPr>
  </w:style>
  <w:style w:type="character" w:styleId="CommentReference">
    <w:name w:val="annotation reference"/>
    <w:basedOn w:val="DefaultParagraphFont"/>
    <w:uiPriority w:val="99"/>
    <w:semiHidden/>
    <w:unhideWhenUsed/>
    <w:rsid w:val="00CC31C7"/>
    <w:rPr>
      <w:sz w:val="16"/>
      <w:szCs w:val="16"/>
    </w:rPr>
  </w:style>
  <w:style w:type="paragraph" w:styleId="CommentText">
    <w:name w:val="annotation text"/>
    <w:basedOn w:val="Normal"/>
    <w:link w:val="CommentTextChar"/>
    <w:uiPriority w:val="99"/>
    <w:unhideWhenUsed/>
    <w:rsid w:val="00CC31C7"/>
    <w:rPr>
      <w:szCs w:val="20"/>
    </w:rPr>
  </w:style>
  <w:style w:type="character" w:customStyle="1" w:styleId="CommentTextChar">
    <w:name w:val="Comment Text Char"/>
    <w:basedOn w:val="DefaultParagraphFont"/>
    <w:link w:val="CommentText"/>
    <w:uiPriority w:val="99"/>
    <w:rsid w:val="00CC31C7"/>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C31C7"/>
    <w:rPr>
      <w:b/>
      <w:bCs/>
    </w:rPr>
  </w:style>
  <w:style w:type="character" w:customStyle="1" w:styleId="CommentSubjectChar">
    <w:name w:val="Comment Subject Char"/>
    <w:basedOn w:val="CommentTextChar"/>
    <w:link w:val="CommentSubject"/>
    <w:uiPriority w:val="99"/>
    <w:semiHidden/>
    <w:rsid w:val="00CC31C7"/>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C31C7"/>
    <w:rPr>
      <w:rFonts w:cs="Tahoma"/>
      <w:sz w:val="16"/>
      <w:szCs w:val="16"/>
    </w:rPr>
  </w:style>
  <w:style w:type="character" w:customStyle="1" w:styleId="BalloonTextChar">
    <w:name w:val="Balloon Text Char"/>
    <w:basedOn w:val="DefaultParagraphFont"/>
    <w:link w:val="BalloonText"/>
    <w:uiPriority w:val="99"/>
    <w:semiHidden/>
    <w:rsid w:val="00CC31C7"/>
    <w:rPr>
      <w:rFonts w:ascii="Tahoma" w:eastAsia="Calibri" w:hAnsi="Tahoma" w:cs="Tahoma"/>
      <w:sz w:val="16"/>
      <w:szCs w:val="16"/>
    </w:rPr>
  </w:style>
  <w:style w:type="paragraph" w:customStyle="1" w:styleId="StyleBoxSinglesolidlineAuto05ptLinewidth">
    <w:name w:val="Style Box: (Single solid line Auto  0.5 pt Line width)"/>
    <w:basedOn w:val="Normal"/>
    <w:rsid w:val="00D14BBF"/>
    <w:pPr>
      <w:pBdr>
        <w:top w:val="single" w:sz="4" w:space="1" w:color="auto"/>
        <w:left w:val="single" w:sz="4" w:space="4" w:color="auto"/>
        <w:bottom w:val="single" w:sz="4" w:space="1" w:color="auto"/>
        <w:right w:val="single" w:sz="4" w:space="4" w:color="auto"/>
      </w:pBdr>
      <w:spacing w:after="120" w:line="312" w:lineRule="auto"/>
    </w:pPr>
    <w:rPr>
      <w:rFonts w:ascii="Calibri" w:eastAsia="ヒラギノ角ゴ Pro W3" w:hAnsi="Calibri"/>
      <w:color w:val="000000"/>
      <w:szCs w:val="24"/>
      <w:lang w:val="en-GB"/>
    </w:rPr>
  </w:style>
  <w:style w:type="paragraph" w:styleId="ListBullet">
    <w:name w:val="List Bullet"/>
    <w:basedOn w:val="Normal"/>
    <w:autoRedefine/>
    <w:uiPriority w:val="99"/>
    <w:rsid w:val="00D14BBF"/>
    <w:pPr>
      <w:numPr>
        <w:numId w:val="13"/>
      </w:numPr>
      <w:tabs>
        <w:tab w:val="clear" w:pos="720"/>
      </w:tabs>
      <w:spacing w:after="120"/>
      <w:ind w:left="360"/>
    </w:pPr>
    <w:rPr>
      <w:rFonts w:ascii="Arial" w:eastAsia="Arial Unicode MS" w:hAnsi="Arial"/>
      <w:szCs w:val="20"/>
      <w:lang w:val="en-GB"/>
    </w:rPr>
  </w:style>
  <w:style w:type="paragraph" w:styleId="BodyText">
    <w:name w:val="Body Text"/>
    <w:basedOn w:val="Normal"/>
    <w:link w:val="BodyTextChar"/>
    <w:uiPriority w:val="99"/>
    <w:semiHidden/>
    <w:unhideWhenUsed/>
    <w:rsid w:val="00E71B19"/>
    <w:pPr>
      <w:spacing w:after="120"/>
    </w:pPr>
  </w:style>
  <w:style w:type="character" w:customStyle="1" w:styleId="BodyTextChar">
    <w:name w:val="Body Text Char"/>
    <w:basedOn w:val="DefaultParagraphFont"/>
    <w:link w:val="BodyText"/>
    <w:uiPriority w:val="99"/>
    <w:semiHidden/>
    <w:rsid w:val="00E71B19"/>
    <w:rPr>
      <w:rFonts w:ascii="Tahoma" w:eastAsia="Calibri" w:hAnsi="Tahoma" w:cs="Times New Roman"/>
      <w:sz w:val="20"/>
    </w:rPr>
  </w:style>
  <w:style w:type="table" w:styleId="TableGrid">
    <w:name w:val="Table Grid"/>
    <w:basedOn w:val="TableNormal"/>
    <w:uiPriority w:val="59"/>
    <w:rsid w:val="00E71B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719"/>
    <w:pPr>
      <w:autoSpaceDE w:val="0"/>
      <w:autoSpaceDN w:val="0"/>
      <w:adjustRightInd w:val="0"/>
    </w:pPr>
    <w:rPr>
      <w:rFonts w:ascii="Arial" w:hAnsi="Arial" w:cs="Arial"/>
      <w:color w:val="000000"/>
      <w:sz w:val="24"/>
      <w:szCs w:val="24"/>
      <w:lang w:val="en-IE"/>
    </w:rPr>
  </w:style>
  <w:style w:type="character" w:styleId="Hyperlink">
    <w:name w:val="Hyperlink"/>
    <w:aliases w:val="Verzeichnis 1 RTX"/>
    <w:uiPriority w:val="99"/>
    <w:rsid w:val="00AB7616"/>
    <w:rPr>
      <w:color w:val="0000FF"/>
      <w:u w:val="single"/>
    </w:rPr>
  </w:style>
  <w:style w:type="paragraph" w:styleId="Revision">
    <w:name w:val="Revision"/>
    <w:hidden/>
    <w:uiPriority w:val="99"/>
    <w:semiHidden/>
    <w:rsid w:val="00E3082C"/>
    <w:rPr>
      <w:rFonts w:ascii="Tahoma" w:eastAsia="Calibri" w:hAnsi="Tahoma" w:cs="Times New Roman"/>
      <w:sz w:val="20"/>
    </w:rPr>
  </w:style>
  <w:style w:type="paragraph" w:styleId="Header">
    <w:name w:val="header"/>
    <w:basedOn w:val="Normal"/>
    <w:link w:val="HeaderChar"/>
    <w:uiPriority w:val="99"/>
    <w:unhideWhenUsed/>
    <w:rsid w:val="00FE3B12"/>
    <w:pPr>
      <w:tabs>
        <w:tab w:val="center" w:pos="4513"/>
        <w:tab w:val="right" w:pos="9026"/>
      </w:tabs>
    </w:pPr>
  </w:style>
  <w:style w:type="character" w:customStyle="1" w:styleId="HeaderChar">
    <w:name w:val="Header Char"/>
    <w:basedOn w:val="DefaultParagraphFont"/>
    <w:link w:val="Header"/>
    <w:uiPriority w:val="99"/>
    <w:rsid w:val="00FE3B12"/>
    <w:rPr>
      <w:rFonts w:ascii="Tahoma" w:eastAsia="Calibri" w:hAnsi="Tahoma" w:cs="Times New Roman"/>
      <w:sz w:val="20"/>
    </w:rPr>
  </w:style>
  <w:style w:type="paragraph" w:styleId="Footer">
    <w:name w:val="footer"/>
    <w:basedOn w:val="Normal"/>
    <w:link w:val="FooterChar"/>
    <w:uiPriority w:val="99"/>
    <w:unhideWhenUsed/>
    <w:rsid w:val="00FE3B12"/>
    <w:pPr>
      <w:tabs>
        <w:tab w:val="center" w:pos="4513"/>
        <w:tab w:val="right" w:pos="9026"/>
      </w:tabs>
    </w:pPr>
  </w:style>
  <w:style w:type="character" w:customStyle="1" w:styleId="FooterChar">
    <w:name w:val="Footer Char"/>
    <w:basedOn w:val="DefaultParagraphFont"/>
    <w:link w:val="Footer"/>
    <w:uiPriority w:val="99"/>
    <w:rsid w:val="00FE3B12"/>
    <w:rPr>
      <w:rFonts w:ascii="Tahoma" w:eastAsia="Calibri" w:hAnsi="Tahoma" w:cs="Times New Roman"/>
      <w:sz w:val="20"/>
    </w:rPr>
  </w:style>
  <w:style w:type="character" w:customStyle="1" w:styleId="personname">
    <w:name w:val="person_name"/>
    <w:basedOn w:val="DefaultParagraphFont"/>
    <w:rsid w:val="00FD0595"/>
  </w:style>
  <w:style w:type="character" w:customStyle="1" w:styleId="Heading1Char">
    <w:name w:val="Heading 1 Char"/>
    <w:basedOn w:val="DefaultParagraphFont"/>
    <w:link w:val="Heading1"/>
    <w:uiPriority w:val="9"/>
    <w:rsid w:val="007A76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A76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A7638"/>
    <w:rPr>
      <w:rFonts w:asciiTheme="majorHAnsi" w:eastAsiaTheme="majorEastAsia" w:hAnsiTheme="majorHAnsi" w:cstheme="majorBidi"/>
      <w:color w:val="243F60" w:themeColor="accent1" w:themeShade="7F"/>
      <w:sz w:val="24"/>
      <w:szCs w:val="24"/>
    </w:rPr>
  </w:style>
  <w:style w:type="character" w:customStyle="1" w:styleId="header-line-3">
    <w:name w:val="header-line-3"/>
    <w:rsid w:val="00207956"/>
  </w:style>
  <w:style w:type="character" w:customStyle="1" w:styleId="tgc">
    <w:name w:val="_tgc"/>
    <w:rsid w:val="00207956"/>
  </w:style>
  <w:style w:type="character" w:customStyle="1" w:styleId="Heading4Char">
    <w:name w:val="Heading 4 Char"/>
    <w:basedOn w:val="DefaultParagraphFont"/>
    <w:link w:val="Heading4"/>
    <w:uiPriority w:val="9"/>
    <w:rsid w:val="00E61F38"/>
    <w:rPr>
      <w:rFonts w:asciiTheme="majorHAnsi" w:eastAsiaTheme="majorEastAsia" w:hAnsiTheme="majorHAnsi" w:cstheme="majorBidi"/>
      <w:i/>
      <w:iCs/>
      <w:color w:val="365F91" w:themeColor="accent1" w:themeShade="BF"/>
      <w:sz w:val="20"/>
    </w:rPr>
  </w:style>
  <w:style w:type="character" w:styleId="UnresolvedMention">
    <w:name w:val="Unresolved Mention"/>
    <w:basedOn w:val="DefaultParagraphFont"/>
    <w:uiPriority w:val="99"/>
    <w:semiHidden/>
    <w:unhideWhenUsed/>
    <w:rsid w:val="005B48CA"/>
    <w:rPr>
      <w:color w:val="605E5C"/>
      <w:shd w:val="clear" w:color="auto" w:fill="E1DFDD"/>
    </w:rPr>
  </w:style>
  <w:style w:type="character" w:styleId="FollowedHyperlink">
    <w:name w:val="FollowedHyperlink"/>
    <w:basedOn w:val="DefaultParagraphFont"/>
    <w:uiPriority w:val="99"/>
    <w:semiHidden/>
    <w:unhideWhenUsed/>
    <w:rsid w:val="00A21017"/>
    <w:rPr>
      <w:color w:val="800080" w:themeColor="followedHyperlink"/>
      <w:u w:val="single"/>
    </w:rPr>
  </w:style>
  <w:style w:type="paragraph" w:customStyle="1" w:styleId="HRBText">
    <w:name w:val="HRB_Text"/>
    <w:basedOn w:val="Normal"/>
    <w:link w:val="HRBTextChar"/>
    <w:uiPriority w:val="15"/>
    <w:qFormat/>
    <w:rsid w:val="00C749FD"/>
    <w:pPr>
      <w:spacing w:after="120" w:line="276" w:lineRule="auto"/>
    </w:pPr>
    <w:rPr>
      <w:rFonts w:ascii="Calibri" w:eastAsiaTheme="minorHAnsi" w:hAnsi="Calibri" w:cstheme="minorBidi"/>
      <w:sz w:val="22"/>
      <w:lang w:val="en-IE"/>
    </w:rPr>
  </w:style>
  <w:style w:type="character" w:customStyle="1" w:styleId="HRBTextChar">
    <w:name w:val="HRB_Text Char"/>
    <w:basedOn w:val="DefaultParagraphFont"/>
    <w:link w:val="HRBText"/>
    <w:uiPriority w:val="15"/>
    <w:rsid w:val="00C749FD"/>
    <w:rPr>
      <w:rFonts w:ascii="Calibri" w:hAnsi="Calibri"/>
      <w:lang w:val="en-IE"/>
    </w:rPr>
  </w:style>
  <w:style w:type="paragraph" w:customStyle="1" w:styleId="HRBBulletTextL1-6">
    <w:name w:val="HRB_Bullet Text_L1-6"/>
    <w:basedOn w:val="Normal"/>
    <w:link w:val="HRBBulletTextL1-6Char"/>
    <w:uiPriority w:val="16"/>
    <w:qFormat/>
    <w:locked/>
    <w:rsid w:val="00332C3B"/>
    <w:pPr>
      <w:numPr>
        <w:numId w:val="28"/>
      </w:numPr>
      <w:spacing w:after="120" w:line="276" w:lineRule="auto"/>
    </w:pPr>
    <w:rPr>
      <w:rFonts w:ascii="Calibri" w:eastAsiaTheme="minorHAnsi" w:hAnsi="Calibri" w:cstheme="minorBidi"/>
      <w:sz w:val="22"/>
      <w:lang w:val="en-IE"/>
    </w:rPr>
  </w:style>
  <w:style w:type="character" w:customStyle="1" w:styleId="HRBBulletTextL1-6Char">
    <w:name w:val="HRB_Bullet Text_L1-6 Char"/>
    <w:basedOn w:val="DefaultParagraphFont"/>
    <w:link w:val="HRBBulletTextL1-6"/>
    <w:uiPriority w:val="16"/>
    <w:rsid w:val="00332C3B"/>
    <w:rPr>
      <w:rFonts w:ascii="Calibri" w:hAnsi="Calibri"/>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1545">
      <w:bodyDiv w:val="1"/>
      <w:marLeft w:val="0"/>
      <w:marRight w:val="0"/>
      <w:marTop w:val="0"/>
      <w:marBottom w:val="0"/>
      <w:divBdr>
        <w:top w:val="none" w:sz="0" w:space="0" w:color="auto"/>
        <w:left w:val="none" w:sz="0" w:space="0" w:color="auto"/>
        <w:bottom w:val="none" w:sz="0" w:space="0" w:color="auto"/>
        <w:right w:val="none" w:sz="0" w:space="0" w:color="auto"/>
      </w:divBdr>
      <w:divsChild>
        <w:div w:id="1748845716">
          <w:marLeft w:val="0"/>
          <w:marRight w:val="0"/>
          <w:marTop w:val="0"/>
          <w:marBottom w:val="0"/>
          <w:divBdr>
            <w:top w:val="none" w:sz="0" w:space="0" w:color="auto"/>
            <w:left w:val="none" w:sz="0" w:space="0" w:color="auto"/>
            <w:bottom w:val="none" w:sz="0" w:space="0" w:color="auto"/>
            <w:right w:val="none" w:sz="0" w:space="0" w:color="auto"/>
          </w:divBdr>
          <w:divsChild>
            <w:div w:id="239171582">
              <w:marLeft w:val="0"/>
              <w:marRight w:val="0"/>
              <w:marTop w:val="0"/>
              <w:marBottom w:val="0"/>
              <w:divBdr>
                <w:top w:val="none" w:sz="0" w:space="0" w:color="auto"/>
                <w:left w:val="none" w:sz="0" w:space="0" w:color="auto"/>
                <w:bottom w:val="none" w:sz="0" w:space="0" w:color="auto"/>
                <w:right w:val="none" w:sz="0" w:space="0" w:color="auto"/>
              </w:divBdr>
              <w:divsChild>
                <w:div w:id="1330475600">
                  <w:marLeft w:val="0"/>
                  <w:marRight w:val="0"/>
                  <w:marTop w:val="0"/>
                  <w:marBottom w:val="0"/>
                  <w:divBdr>
                    <w:top w:val="none" w:sz="0" w:space="0" w:color="auto"/>
                    <w:left w:val="none" w:sz="0" w:space="0" w:color="auto"/>
                    <w:bottom w:val="none" w:sz="0" w:space="0" w:color="auto"/>
                    <w:right w:val="none" w:sz="0" w:space="0" w:color="auto"/>
                  </w:divBdr>
                  <w:divsChild>
                    <w:div w:id="1136407271">
                      <w:marLeft w:val="0"/>
                      <w:marRight w:val="0"/>
                      <w:marTop w:val="0"/>
                      <w:marBottom w:val="0"/>
                      <w:divBdr>
                        <w:top w:val="none" w:sz="0" w:space="0" w:color="auto"/>
                        <w:left w:val="none" w:sz="0" w:space="0" w:color="auto"/>
                        <w:bottom w:val="none" w:sz="0" w:space="0" w:color="auto"/>
                        <w:right w:val="none" w:sz="0" w:space="0" w:color="auto"/>
                      </w:divBdr>
                      <w:divsChild>
                        <w:div w:id="967126084">
                          <w:marLeft w:val="0"/>
                          <w:marRight w:val="0"/>
                          <w:marTop w:val="0"/>
                          <w:marBottom w:val="0"/>
                          <w:divBdr>
                            <w:top w:val="none" w:sz="0" w:space="0" w:color="auto"/>
                            <w:left w:val="none" w:sz="0" w:space="0" w:color="auto"/>
                            <w:bottom w:val="none" w:sz="0" w:space="0" w:color="auto"/>
                            <w:right w:val="none" w:sz="0" w:space="0" w:color="auto"/>
                          </w:divBdr>
                          <w:divsChild>
                            <w:div w:id="1884367726">
                              <w:marLeft w:val="0"/>
                              <w:marRight w:val="0"/>
                              <w:marTop w:val="0"/>
                              <w:marBottom w:val="0"/>
                              <w:divBdr>
                                <w:top w:val="none" w:sz="0" w:space="0" w:color="auto"/>
                                <w:left w:val="none" w:sz="0" w:space="0" w:color="auto"/>
                                <w:bottom w:val="none" w:sz="0" w:space="0" w:color="auto"/>
                                <w:right w:val="none" w:sz="0" w:space="0" w:color="auto"/>
                              </w:divBdr>
                              <w:divsChild>
                                <w:div w:id="1477843926">
                                  <w:marLeft w:val="0"/>
                                  <w:marRight w:val="0"/>
                                  <w:marTop w:val="0"/>
                                  <w:marBottom w:val="0"/>
                                  <w:divBdr>
                                    <w:top w:val="none" w:sz="0" w:space="0" w:color="auto"/>
                                    <w:left w:val="none" w:sz="0" w:space="0" w:color="auto"/>
                                    <w:bottom w:val="none" w:sz="0" w:space="0" w:color="auto"/>
                                    <w:right w:val="none" w:sz="0" w:space="0" w:color="auto"/>
                                  </w:divBdr>
                                  <w:divsChild>
                                    <w:div w:id="2060936238">
                                      <w:marLeft w:val="0"/>
                                      <w:marRight w:val="0"/>
                                      <w:marTop w:val="0"/>
                                      <w:marBottom w:val="0"/>
                                      <w:divBdr>
                                        <w:top w:val="none" w:sz="0" w:space="0" w:color="auto"/>
                                        <w:left w:val="none" w:sz="0" w:space="0" w:color="auto"/>
                                        <w:bottom w:val="none" w:sz="0" w:space="0" w:color="auto"/>
                                        <w:right w:val="none" w:sz="0" w:space="0" w:color="auto"/>
                                      </w:divBdr>
                                      <w:divsChild>
                                        <w:div w:id="1136608764">
                                          <w:marLeft w:val="0"/>
                                          <w:marRight w:val="0"/>
                                          <w:marTop w:val="0"/>
                                          <w:marBottom w:val="0"/>
                                          <w:divBdr>
                                            <w:top w:val="none" w:sz="0" w:space="0" w:color="auto"/>
                                            <w:left w:val="none" w:sz="0" w:space="0" w:color="auto"/>
                                            <w:bottom w:val="none" w:sz="0" w:space="0" w:color="auto"/>
                                            <w:right w:val="none" w:sz="0" w:space="0" w:color="auto"/>
                                          </w:divBdr>
                                          <w:divsChild>
                                            <w:div w:id="1227374601">
                                              <w:marLeft w:val="0"/>
                                              <w:marRight w:val="0"/>
                                              <w:marTop w:val="0"/>
                                              <w:marBottom w:val="0"/>
                                              <w:divBdr>
                                                <w:top w:val="none" w:sz="0" w:space="0" w:color="auto"/>
                                                <w:left w:val="none" w:sz="0" w:space="0" w:color="auto"/>
                                                <w:bottom w:val="none" w:sz="0" w:space="0" w:color="auto"/>
                                                <w:right w:val="none" w:sz="0" w:space="0" w:color="auto"/>
                                              </w:divBdr>
                                              <w:divsChild>
                                                <w:div w:id="1422068982">
                                                  <w:marLeft w:val="0"/>
                                                  <w:marRight w:val="0"/>
                                                  <w:marTop w:val="0"/>
                                                  <w:marBottom w:val="0"/>
                                                  <w:divBdr>
                                                    <w:top w:val="none" w:sz="0" w:space="0" w:color="auto"/>
                                                    <w:left w:val="none" w:sz="0" w:space="0" w:color="auto"/>
                                                    <w:bottom w:val="none" w:sz="0" w:space="0" w:color="auto"/>
                                                    <w:right w:val="none" w:sz="0" w:space="0" w:color="auto"/>
                                                  </w:divBdr>
                                                  <w:divsChild>
                                                    <w:div w:id="946356134">
                                                      <w:marLeft w:val="0"/>
                                                      <w:marRight w:val="0"/>
                                                      <w:marTop w:val="0"/>
                                                      <w:marBottom w:val="0"/>
                                                      <w:divBdr>
                                                        <w:top w:val="none" w:sz="0" w:space="0" w:color="auto"/>
                                                        <w:left w:val="none" w:sz="0" w:space="0" w:color="auto"/>
                                                        <w:bottom w:val="none" w:sz="0" w:space="0" w:color="auto"/>
                                                        <w:right w:val="none" w:sz="0" w:space="0" w:color="auto"/>
                                                      </w:divBdr>
                                                    </w:div>
                                                    <w:div w:id="17939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798066">
      <w:bodyDiv w:val="1"/>
      <w:marLeft w:val="0"/>
      <w:marRight w:val="0"/>
      <w:marTop w:val="0"/>
      <w:marBottom w:val="0"/>
      <w:divBdr>
        <w:top w:val="none" w:sz="0" w:space="0" w:color="auto"/>
        <w:left w:val="none" w:sz="0" w:space="0" w:color="auto"/>
        <w:bottom w:val="none" w:sz="0" w:space="0" w:color="auto"/>
        <w:right w:val="none" w:sz="0" w:space="0" w:color="auto"/>
      </w:divBdr>
    </w:div>
    <w:div w:id="935018463">
      <w:bodyDiv w:val="1"/>
      <w:marLeft w:val="0"/>
      <w:marRight w:val="0"/>
      <w:marTop w:val="0"/>
      <w:marBottom w:val="0"/>
      <w:divBdr>
        <w:top w:val="none" w:sz="0" w:space="0" w:color="auto"/>
        <w:left w:val="none" w:sz="0" w:space="0" w:color="auto"/>
        <w:bottom w:val="none" w:sz="0" w:space="0" w:color="auto"/>
        <w:right w:val="none" w:sz="0" w:space="0" w:color="auto"/>
      </w:divBdr>
      <w:divsChild>
        <w:div w:id="1826775752">
          <w:marLeft w:val="0"/>
          <w:marRight w:val="0"/>
          <w:marTop w:val="0"/>
          <w:marBottom w:val="0"/>
          <w:divBdr>
            <w:top w:val="none" w:sz="0" w:space="0" w:color="auto"/>
            <w:left w:val="none" w:sz="0" w:space="0" w:color="auto"/>
            <w:bottom w:val="none" w:sz="0" w:space="0" w:color="auto"/>
            <w:right w:val="none" w:sz="0" w:space="0" w:color="auto"/>
          </w:divBdr>
          <w:divsChild>
            <w:div w:id="973363589">
              <w:marLeft w:val="0"/>
              <w:marRight w:val="0"/>
              <w:marTop w:val="0"/>
              <w:marBottom w:val="0"/>
              <w:divBdr>
                <w:top w:val="none" w:sz="0" w:space="0" w:color="auto"/>
                <w:left w:val="none" w:sz="0" w:space="0" w:color="auto"/>
                <w:bottom w:val="none" w:sz="0" w:space="0" w:color="auto"/>
                <w:right w:val="none" w:sz="0" w:space="0" w:color="auto"/>
              </w:divBdr>
              <w:divsChild>
                <w:div w:id="103158850">
                  <w:marLeft w:val="0"/>
                  <w:marRight w:val="0"/>
                  <w:marTop w:val="0"/>
                  <w:marBottom w:val="0"/>
                  <w:divBdr>
                    <w:top w:val="none" w:sz="0" w:space="0" w:color="auto"/>
                    <w:left w:val="none" w:sz="0" w:space="0" w:color="auto"/>
                    <w:bottom w:val="none" w:sz="0" w:space="0" w:color="auto"/>
                    <w:right w:val="none" w:sz="0" w:space="0" w:color="auto"/>
                  </w:divBdr>
                  <w:divsChild>
                    <w:div w:id="2075538839">
                      <w:marLeft w:val="0"/>
                      <w:marRight w:val="0"/>
                      <w:marTop w:val="0"/>
                      <w:marBottom w:val="0"/>
                      <w:divBdr>
                        <w:top w:val="none" w:sz="0" w:space="0" w:color="auto"/>
                        <w:left w:val="none" w:sz="0" w:space="0" w:color="auto"/>
                        <w:bottom w:val="none" w:sz="0" w:space="0" w:color="auto"/>
                        <w:right w:val="none" w:sz="0" w:space="0" w:color="auto"/>
                      </w:divBdr>
                      <w:divsChild>
                        <w:div w:id="1545436706">
                          <w:marLeft w:val="0"/>
                          <w:marRight w:val="0"/>
                          <w:marTop w:val="0"/>
                          <w:marBottom w:val="0"/>
                          <w:divBdr>
                            <w:top w:val="none" w:sz="0" w:space="0" w:color="auto"/>
                            <w:left w:val="none" w:sz="0" w:space="0" w:color="auto"/>
                            <w:bottom w:val="none" w:sz="0" w:space="0" w:color="auto"/>
                            <w:right w:val="none" w:sz="0" w:space="0" w:color="auto"/>
                          </w:divBdr>
                          <w:divsChild>
                            <w:div w:id="492380064">
                              <w:marLeft w:val="0"/>
                              <w:marRight w:val="0"/>
                              <w:marTop w:val="0"/>
                              <w:marBottom w:val="0"/>
                              <w:divBdr>
                                <w:top w:val="none" w:sz="0" w:space="0" w:color="auto"/>
                                <w:left w:val="none" w:sz="0" w:space="0" w:color="auto"/>
                                <w:bottom w:val="none" w:sz="0" w:space="0" w:color="auto"/>
                                <w:right w:val="none" w:sz="0" w:space="0" w:color="auto"/>
                              </w:divBdr>
                              <w:divsChild>
                                <w:div w:id="823736375">
                                  <w:marLeft w:val="0"/>
                                  <w:marRight w:val="0"/>
                                  <w:marTop w:val="0"/>
                                  <w:marBottom w:val="0"/>
                                  <w:divBdr>
                                    <w:top w:val="none" w:sz="0" w:space="0" w:color="auto"/>
                                    <w:left w:val="none" w:sz="0" w:space="0" w:color="auto"/>
                                    <w:bottom w:val="none" w:sz="0" w:space="0" w:color="auto"/>
                                    <w:right w:val="none" w:sz="0" w:space="0" w:color="auto"/>
                                  </w:divBdr>
                                  <w:divsChild>
                                    <w:div w:id="1454137302">
                                      <w:marLeft w:val="0"/>
                                      <w:marRight w:val="0"/>
                                      <w:marTop w:val="0"/>
                                      <w:marBottom w:val="0"/>
                                      <w:divBdr>
                                        <w:top w:val="none" w:sz="0" w:space="0" w:color="auto"/>
                                        <w:left w:val="none" w:sz="0" w:space="0" w:color="auto"/>
                                        <w:bottom w:val="none" w:sz="0" w:space="0" w:color="auto"/>
                                        <w:right w:val="none" w:sz="0" w:space="0" w:color="auto"/>
                                      </w:divBdr>
                                      <w:divsChild>
                                        <w:div w:id="252016120">
                                          <w:marLeft w:val="0"/>
                                          <w:marRight w:val="0"/>
                                          <w:marTop w:val="0"/>
                                          <w:marBottom w:val="0"/>
                                          <w:divBdr>
                                            <w:top w:val="none" w:sz="0" w:space="0" w:color="auto"/>
                                            <w:left w:val="none" w:sz="0" w:space="0" w:color="auto"/>
                                            <w:bottom w:val="none" w:sz="0" w:space="0" w:color="auto"/>
                                            <w:right w:val="none" w:sz="0" w:space="0" w:color="auto"/>
                                          </w:divBdr>
                                          <w:divsChild>
                                            <w:div w:id="20063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829343">
      <w:bodyDiv w:val="1"/>
      <w:marLeft w:val="0"/>
      <w:marRight w:val="0"/>
      <w:marTop w:val="0"/>
      <w:marBottom w:val="0"/>
      <w:divBdr>
        <w:top w:val="none" w:sz="0" w:space="0" w:color="auto"/>
        <w:left w:val="none" w:sz="0" w:space="0" w:color="auto"/>
        <w:bottom w:val="none" w:sz="0" w:space="0" w:color="auto"/>
        <w:right w:val="none" w:sz="0" w:space="0" w:color="auto"/>
      </w:divBdr>
      <w:divsChild>
        <w:div w:id="507137935">
          <w:marLeft w:val="547"/>
          <w:marRight w:val="0"/>
          <w:marTop w:val="0"/>
          <w:marBottom w:val="0"/>
          <w:divBdr>
            <w:top w:val="none" w:sz="0" w:space="0" w:color="auto"/>
            <w:left w:val="none" w:sz="0" w:space="0" w:color="auto"/>
            <w:bottom w:val="none" w:sz="0" w:space="0" w:color="auto"/>
            <w:right w:val="none" w:sz="0" w:space="0" w:color="auto"/>
          </w:divBdr>
        </w:div>
      </w:divsChild>
    </w:div>
    <w:div w:id="1566800516">
      <w:bodyDiv w:val="1"/>
      <w:marLeft w:val="0"/>
      <w:marRight w:val="0"/>
      <w:marTop w:val="0"/>
      <w:marBottom w:val="0"/>
      <w:divBdr>
        <w:top w:val="none" w:sz="0" w:space="0" w:color="auto"/>
        <w:left w:val="none" w:sz="0" w:space="0" w:color="auto"/>
        <w:bottom w:val="none" w:sz="0" w:space="0" w:color="auto"/>
        <w:right w:val="none" w:sz="0" w:space="0" w:color="auto"/>
      </w:divBdr>
      <w:divsChild>
        <w:div w:id="9257707">
          <w:marLeft w:val="0"/>
          <w:marRight w:val="0"/>
          <w:marTop w:val="0"/>
          <w:marBottom w:val="0"/>
          <w:divBdr>
            <w:top w:val="none" w:sz="0" w:space="0" w:color="auto"/>
            <w:left w:val="none" w:sz="0" w:space="0" w:color="auto"/>
            <w:bottom w:val="none" w:sz="0" w:space="0" w:color="auto"/>
            <w:right w:val="none" w:sz="0" w:space="0" w:color="auto"/>
          </w:divBdr>
          <w:divsChild>
            <w:div w:id="1080177461">
              <w:marLeft w:val="0"/>
              <w:marRight w:val="0"/>
              <w:marTop w:val="0"/>
              <w:marBottom w:val="0"/>
              <w:divBdr>
                <w:top w:val="none" w:sz="0" w:space="0" w:color="auto"/>
                <w:left w:val="none" w:sz="0" w:space="0" w:color="auto"/>
                <w:bottom w:val="none" w:sz="0" w:space="0" w:color="auto"/>
                <w:right w:val="none" w:sz="0" w:space="0" w:color="auto"/>
              </w:divBdr>
              <w:divsChild>
                <w:div w:id="1470443048">
                  <w:marLeft w:val="0"/>
                  <w:marRight w:val="0"/>
                  <w:marTop w:val="0"/>
                  <w:marBottom w:val="0"/>
                  <w:divBdr>
                    <w:top w:val="none" w:sz="0" w:space="0" w:color="auto"/>
                    <w:left w:val="none" w:sz="0" w:space="0" w:color="auto"/>
                    <w:bottom w:val="none" w:sz="0" w:space="0" w:color="auto"/>
                    <w:right w:val="none" w:sz="0" w:space="0" w:color="auto"/>
                  </w:divBdr>
                  <w:divsChild>
                    <w:div w:id="403994358">
                      <w:marLeft w:val="0"/>
                      <w:marRight w:val="0"/>
                      <w:marTop w:val="0"/>
                      <w:marBottom w:val="0"/>
                      <w:divBdr>
                        <w:top w:val="none" w:sz="0" w:space="0" w:color="auto"/>
                        <w:left w:val="none" w:sz="0" w:space="0" w:color="auto"/>
                        <w:bottom w:val="none" w:sz="0" w:space="0" w:color="auto"/>
                        <w:right w:val="none" w:sz="0" w:space="0" w:color="auto"/>
                      </w:divBdr>
                      <w:divsChild>
                        <w:div w:id="806165463">
                          <w:marLeft w:val="0"/>
                          <w:marRight w:val="0"/>
                          <w:marTop w:val="0"/>
                          <w:marBottom w:val="0"/>
                          <w:divBdr>
                            <w:top w:val="none" w:sz="0" w:space="0" w:color="auto"/>
                            <w:left w:val="none" w:sz="0" w:space="0" w:color="auto"/>
                            <w:bottom w:val="none" w:sz="0" w:space="0" w:color="auto"/>
                            <w:right w:val="none" w:sz="0" w:space="0" w:color="auto"/>
                          </w:divBdr>
                          <w:divsChild>
                            <w:div w:id="1716075332">
                              <w:marLeft w:val="0"/>
                              <w:marRight w:val="0"/>
                              <w:marTop w:val="0"/>
                              <w:marBottom w:val="0"/>
                              <w:divBdr>
                                <w:top w:val="none" w:sz="0" w:space="0" w:color="auto"/>
                                <w:left w:val="none" w:sz="0" w:space="0" w:color="auto"/>
                                <w:bottom w:val="none" w:sz="0" w:space="0" w:color="auto"/>
                                <w:right w:val="none" w:sz="0" w:space="0" w:color="auto"/>
                              </w:divBdr>
                              <w:divsChild>
                                <w:div w:id="1891915725">
                                  <w:marLeft w:val="0"/>
                                  <w:marRight w:val="0"/>
                                  <w:marTop w:val="0"/>
                                  <w:marBottom w:val="0"/>
                                  <w:divBdr>
                                    <w:top w:val="none" w:sz="0" w:space="0" w:color="auto"/>
                                    <w:left w:val="none" w:sz="0" w:space="0" w:color="auto"/>
                                    <w:bottom w:val="none" w:sz="0" w:space="0" w:color="auto"/>
                                    <w:right w:val="none" w:sz="0" w:space="0" w:color="auto"/>
                                  </w:divBdr>
                                  <w:divsChild>
                                    <w:div w:id="167213207">
                                      <w:marLeft w:val="0"/>
                                      <w:marRight w:val="0"/>
                                      <w:marTop w:val="0"/>
                                      <w:marBottom w:val="0"/>
                                      <w:divBdr>
                                        <w:top w:val="none" w:sz="0" w:space="0" w:color="auto"/>
                                        <w:left w:val="none" w:sz="0" w:space="0" w:color="auto"/>
                                        <w:bottom w:val="none" w:sz="0" w:space="0" w:color="auto"/>
                                        <w:right w:val="none" w:sz="0" w:space="0" w:color="auto"/>
                                      </w:divBdr>
                                      <w:divsChild>
                                        <w:div w:id="1371371672">
                                          <w:marLeft w:val="0"/>
                                          <w:marRight w:val="0"/>
                                          <w:marTop w:val="0"/>
                                          <w:marBottom w:val="0"/>
                                          <w:divBdr>
                                            <w:top w:val="none" w:sz="0" w:space="0" w:color="auto"/>
                                            <w:left w:val="none" w:sz="0" w:space="0" w:color="auto"/>
                                            <w:bottom w:val="none" w:sz="0" w:space="0" w:color="auto"/>
                                            <w:right w:val="none" w:sz="0" w:space="0" w:color="auto"/>
                                          </w:divBdr>
                                          <w:divsChild>
                                            <w:div w:id="1352954443">
                                              <w:marLeft w:val="0"/>
                                              <w:marRight w:val="0"/>
                                              <w:marTop w:val="0"/>
                                              <w:marBottom w:val="0"/>
                                              <w:divBdr>
                                                <w:top w:val="none" w:sz="0" w:space="0" w:color="auto"/>
                                                <w:left w:val="none" w:sz="0" w:space="0" w:color="auto"/>
                                                <w:bottom w:val="none" w:sz="0" w:space="0" w:color="auto"/>
                                                <w:right w:val="none" w:sz="0" w:space="0" w:color="auto"/>
                                              </w:divBdr>
                                              <w:divsChild>
                                                <w:div w:id="1853183948">
                                                  <w:marLeft w:val="0"/>
                                                  <w:marRight w:val="0"/>
                                                  <w:marTop w:val="0"/>
                                                  <w:marBottom w:val="0"/>
                                                  <w:divBdr>
                                                    <w:top w:val="none" w:sz="0" w:space="0" w:color="auto"/>
                                                    <w:left w:val="none" w:sz="0" w:space="0" w:color="auto"/>
                                                    <w:bottom w:val="none" w:sz="0" w:space="0" w:color="auto"/>
                                                    <w:right w:val="none" w:sz="0" w:space="0" w:color="auto"/>
                                                  </w:divBdr>
                                                  <w:divsChild>
                                                    <w:div w:id="944537191">
                                                      <w:marLeft w:val="0"/>
                                                      <w:marRight w:val="0"/>
                                                      <w:marTop w:val="0"/>
                                                      <w:marBottom w:val="0"/>
                                                      <w:divBdr>
                                                        <w:top w:val="none" w:sz="0" w:space="0" w:color="auto"/>
                                                        <w:left w:val="none" w:sz="0" w:space="0" w:color="auto"/>
                                                        <w:bottom w:val="none" w:sz="0" w:space="0" w:color="auto"/>
                                                        <w:right w:val="none" w:sz="0" w:space="0" w:color="auto"/>
                                                      </w:divBdr>
                                                    </w:div>
                                                    <w:div w:id="18542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620843">
      <w:bodyDiv w:val="1"/>
      <w:marLeft w:val="0"/>
      <w:marRight w:val="0"/>
      <w:marTop w:val="0"/>
      <w:marBottom w:val="0"/>
      <w:divBdr>
        <w:top w:val="none" w:sz="0" w:space="0" w:color="auto"/>
        <w:left w:val="none" w:sz="0" w:space="0" w:color="auto"/>
        <w:bottom w:val="none" w:sz="0" w:space="0" w:color="auto"/>
        <w:right w:val="none" w:sz="0" w:space="0" w:color="auto"/>
      </w:divBdr>
    </w:div>
    <w:div w:id="1769501618">
      <w:bodyDiv w:val="1"/>
      <w:marLeft w:val="0"/>
      <w:marRight w:val="0"/>
      <w:marTop w:val="0"/>
      <w:marBottom w:val="0"/>
      <w:divBdr>
        <w:top w:val="none" w:sz="0" w:space="0" w:color="auto"/>
        <w:left w:val="none" w:sz="0" w:space="0" w:color="auto"/>
        <w:bottom w:val="none" w:sz="0" w:space="0" w:color="auto"/>
        <w:right w:val="none" w:sz="0" w:space="0" w:color="auto"/>
      </w:divBdr>
      <w:divsChild>
        <w:div w:id="1714041248">
          <w:marLeft w:val="0"/>
          <w:marRight w:val="0"/>
          <w:marTop w:val="0"/>
          <w:marBottom w:val="0"/>
          <w:divBdr>
            <w:top w:val="none" w:sz="0" w:space="0" w:color="auto"/>
            <w:left w:val="none" w:sz="0" w:space="0" w:color="auto"/>
            <w:bottom w:val="none" w:sz="0" w:space="0" w:color="auto"/>
            <w:right w:val="none" w:sz="0" w:space="0" w:color="auto"/>
          </w:divBdr>
          <w:divsChild>
            <w:div w:id="1373268415">
              <w:marLeft w:val="0"/>
              <w:marRight w:val="0"/>
              <w:marTop w:val="0"/>
              <w:marBottom w:val="0"/>
              <w:divBdr>
                <w:top w:val="none" w:sz="0" w:space="0" w:color="auto"/>
                <w:left w:val="none" w:sz="0" w:space="0" w:color="auto"/>
                <w:bottom w:val="none" w:sz="0" w:space="0" w:color="auto"/>
                <w:right w:val="none" w:sz="0" w:space="0" w:color="auto"/>
              </w:divBdr>
              <w:divsChild>
                <w:div w:id="715734593">
                  <w:marLeft w:val="0"/>
                  <w:marRight w:val="0"/>
                  <w:marTop w:val="0"/>
                  <w:marBottom w:val="0"/>
                  <w:divBdr>
                    <w:top w:val="none" w:sz="0" w:space="0" w:color="auto"/>
                    <w:left w:val="none" w:sz="0" w:space="0" w:color="auto"/>
                    <w:bottom w:val="none" w:sz="0" w:space="0" w:color="auto"/>
                    <w:right w:val="none" w:sz="0" w:space="0" w:color="auto"/>
                  </w:divBdr>
                  <w:divsChild>
                    <w:div w:id="2061783804">
                      <w:marLeft w:val="0"/>
                      <w:marRight w:val="0"/>
                      <w:marTop w:val="0"/>
                      <w:marBottom w:val="0"/>
                      <w:divBdr>
                        <w:top w:val="none" w:sz="0" w:space="0" w:color="auto"/>
                        <w:left w:val="none" w:sz="0" w:space="0" w:color="auto"/>
                        <w:bottom w:val="none" w:sz="0" w:space="0" w:color="auto"/>
                        <w:right w:val="none" w:sz="0" w:space="0" w:color="auto"/>
                      </w:divBdr>
                      <w:divsChild>
                        <w:div w:id="1194659988">
                          <w:marLeft w:val="0"/>
                          <w:marRight w:val="0"/>
                          <w:marTop w:val="0"/>
                          <w:marBottom w:val="0"/>
                          <w:divBdr>
                            <w:top w:val="none" w:sz="0" w:space="0" w:color="auto"/>
                            <w:left w:val="none" w:sz="0" w:space="0" w:color="auto"/>
                            <w:bottom w:val="none" w:sz="0" w:space="0" w:color="auto"/>
                            <w:right w:val="none" w:sz="0" w:space="0" w:color="auto"/>
                          </w:divBdr>
                          <w:divsChild>
                            <w:div w:id="1718821742">
                              <w:marLeft w:val="0"/>
                              <w:marRight w:val="0"/>
                              <w:marTop w:val="0"/>
                              <w:marBottom w:val="0"/>
                              <w:divBdr>
                                <w:top w:val="none" w:sz="0" w:space="0" w:color="auto"/>
                                <w:left w:val="none" w:sz="0" w:space="0" w:color="auto"/>
                                <w:bottom w:val="none" w:sz="0" w:space="0" w:color="auto"/>
                                <w:right w:val="none" w:sz="0" w:space="0" w:color="auto"/>
                              </w:divBdr>
                              <w:divsChild>
                                <w:div w:id="1780180695">
                                  <w:marLeft w:val="0"/>
                                  <w:marRight w:val="0"/>
                                  <w:marTop w:val="0"/>
                                  <w:marBottom w:val="0"/>
                                  <w:divBdr>
                                    <w:top w:val="none" w:sz="0" w:space="0" w:color="auto"/>
                                    <w:left w:val="none" w:sz="0" w:space="0" w:color="auto"/>
                                    <w:bottom w:val="none" w:sz="0" w:space="0" w:color="auto"/>
                                    <w:right w:val="none" w:sz="0" w:space="0" w:color="auto"/>
                                  </w:divBdr>
                                  <w:divsChild>
                                    <w:div w:id="1107771599">
                                      <w:marLeft w:val="0"/>
                                      <w:marRight w:val="0"/>
                                      <w:marTop w:val="0"/>
                                      <w:marBottom w:val="0"/>
                                      <w:divBdr>
                                        <w:top w:val="none" w:sz="0" w:space="0" w:color="auto"/>
                                        <w:left w:val="none" w:sz="0" w:space="0" w:color="auto"/>
                                        <w:bottom w:val="none" w:sz="0" w:space="0" w:color="auto"/>
                                        <w:right w:val="none" w:sz="0" w:space="0" w:color="auto"/>
                                      </w:divBdr>
                                      <w:divsChild>
                                        <w:div w:id="1804421904">
                                          <w:marLeft w:val="0"/>
                                          <w:marRight w:val="0"/>
                                          <w:marTop w:val="0"/>
                                          <w:marBottom w:val="0"/>
                                          <w:divBdr>
                                            <w:top w:val="none" w:sz="0" w:space="0" w:color="auto"/>
                                            <w:left w:val="none" w:sz="0" w:space="0" w:color="auto"/>
                                            <w:bottom w:val="none" w:sz="0" w:space="0" w:color="auto"/>
                                            <w:right w:val="none" w:sz="0" w:space="0" w:color="auto"/>
                                          </w:divBdr>
                                          <w:divsChild>
                                            <w:div w:id="2038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001234">
      <w:bodyDiv w:val="1"/>
      <w:marLeft w:val="0"/>
      <w:marRight w:val="0"/>
      <w:marTop w:val="0"/>
      <w:marBottom w:val="0"/>
      <w:divBdr>
        <w:top w:val="none" w:sz="0" w:space="0" w:color="auto"/>
        <w:left w:val="none" w:sz="0" w:space="0" w:color="auto"/>
        <w:bottom w:val="none" w:sz="0" w:space="0" w:color="auto"/>
        <w:right w:val="none" w:sz="0" w:space="0" w:color="auto"/>
      </w:divBdr>
    </w:div>
    <w:div w:id="20736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dda.europa.eu/publications/topic-overviews/eu-early-warning-system_en" TargetMode="External"/><Relationship Id="rId13" Type="http://schemas.openxmlformats.org/officeDocument/2006/relationships/hyperlink" Target="https://www.emcdda.europa.eu/topics/synthetic-cathinones_en" TargetMode="External"/><Relationship Id="rId3" Type="http://schemas.openxmlformats.org/officeDocument/2006/relationships/settings" Target="settings.xml"/><Relationship Id="rId7" Type="http://schemas.openxmlformats.org/officeDocument/2006/relationships/hyperlink" Target="https://www.emcdda.europa.eu/edr2022" TargetMode="External"/><Relationship Id="rId12" Type="http://schemas.openxmlformats.org/officeDocument/2006/relationships/hyperlink" Target="https://www.emcdda.europa.eu/spotlights/fentanils-and-other-new-opioids_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cdda.europa.eu/topics/synthetic-cannabinoids_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mcdda.europa.eu/topics/synthetic-cathinones_en" TargetMode="External"/><Relationship Id="rId4" Type="http://schemas.openxmlformats.org/officeDocument/2006/relationships/webSettings" Target="webSettings.xml"/><Relationship Id="rId9" Type="http://schemas.openxmlformats.org/officeDocument/2006/relationships/hyperlink" Target="https://www.emcdda.europa.eu/spotlights/fentanils-and-other-new-opioids_en" TargetMode="External"/><Relationship Id="rId14" Type="http://schemas.openxmlformats.org/officeDocument/2006/relationships/hyperlink" Target="https://www.emcdda.europa.eu/topics/synthetic-cannabinoid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Cummins</dc:creator>
  <cp:lastModifiedBy>Mairea Nelson</cp:lastModifiedBy>
  <cp:revision>2</cp:revision>
  <cp:lastPrinted>2022-06-10T08:43:00Z</cp:lastPrinted>
  <dcterms:created xsi:type="dcterms:W3CDTF">2022-06-13T08:05:00Z</dcterms:created>
  <dcterms:modified xsi:type="dcterms:W3CDTF">2022-06-13T08:05:00Z</dcterms:modified>
</cp:coreProperties>
</file>