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E85" w:rsidRPr="00E61F38" w:rsidRDefault="007A765D" w:rsidP="00E61F38">
      <w:pPr>
        <w:pStyle w:val="Heading1"/>
      </w:pPr>
      <w:r w:rsidRPr="00E61F38">
        <w:t>Media brief</w:t>
      </w:r>
    </w:p>
    <w:p w:rsidR="007A7638" w:rsidRPr="002C046F" w:rsidRDefault="007A7638" w:rsidP="002C046F"/>
    <w:p w:rsidR="001B0E85" w:rsidRPr="00E61F38" w:rsidRDefault="001B0E85" w:rsidP="002C046F">
      <w:r w:rsidRPr="00E61F38">
        <w:t>H</w:t>
      </w:r>
      <w:r w:rsidR="001F3A16" w:rsidRPr="00E61F38">
        <w:t xml:space="preserve">ealth </w:t>
      </w:r>
      <w:r w:rsidRPr="00E61F38">
        <w:t>R</w:t>
      </w:r>
      <w:r w:rsidR="001F3A16" w:rsidRPr="00E61F38">
        <w:t xml:space="preserve">esearch </w:t>
      </w:r>
      <w:r w:rsidRPr="00E61F38">
        <w:t>B</w:t>
      </w:r>
      <w:r w:rsidR="001F3A16" w:rsidRPr="00E61F38">
        <w:t>oard</w:t>
      </w:r>
      <w:r w:rsidRPr="00E61F38">
        <w:t xml:space="preserve"> compares </w:t>
      </w:r>
      <w:r w:rsidR="000E1043" w:rsidRPr="00E61F38">
        <w:t xml:space="preserve">the Irish drug </w:t>
      </w:r>
      <w:r w:rsidRPr="00E61F38">
        <w:t xml:space="preserve">situation </w:t>
      </w:r>
      <w:r w:rsidR="000E1043" w:rsidRPr="00E61F38">
        <w:t>with the rest of</w:t>
      </w:r>
      <w:r w:rsidRPr="00E61F38">
        <w:t xml:space="preserve"> Europe</w:t>
      </w:r>
    </w:p>
    <w:p w:rsidR="00B22AB5" w:rsidRPr="008E0511" w:rsidRDefault="006E1181" w:rsidP="008E0511">
      <w:pPr>
        <w:pStyle w:val="NormalWeb"/>
        <w:spacing w:line="312" w:lineRule="auto"/>
        <w:rPr>
          <w:rFonts w:asciiTheme="minorHAnsi" w:hAnsiTheme="minorHAnsi"/>
          <w:sz w:val="22"/>
          <w:szCs w:val="22"/>
          <w:lang w:val="en"/>
        </w:rPr>
      </w:pPr>
      <w:r w:rsidRPr="008E0511">
        <w:rPr>
          <w:rFonts w:asciiTheme="minorHAnsi" w:hAnsiTheme="minorHAnsi" w:cs="Tahoma"/>
          <w:color w:val="FF0000"/>
          <w:sz w:val="22"/>
          <w:szCs w:val="22"/>
          <w:lang w:val="en-GB"/>
        </w:rPr>
        <w:t xml:space="preserve">Embargo </w:t>
      </w:r>
      <w:r w:rsidR="00CD5E47">
        <w:rPr>
          <w:rFonts w:asciiTheme="minorHAnsi" w:hAnsiTheme="minorHAnsi" w:cs="Tahoma"/>
          <w:color w:val="FF0000"/>
          <w:sz w:val="22"/>
          <w:szCs w:val="22"/>
          <w:lang w:val="en-GB"/>
        </w:rPr>
        <w:t xml:space="preserve">Thursday </w:t>
      </w:r>
      <w:r w:rsidR="00356C68" w:rsidRPr="008E0511">
        <w:rPr>
          <w:rFonts w:asciiTheme="minorHAnsi" w:hAnsiTheme="minorHAnsi" w:cs="Tahoma"/>
          <w:color w:val="FF0000"/>
          <w:sz w:val="22"/>
          <w:szCs w:val="22"/>
          <w:lang w:val="ga-IE"/>
        </w:rPr>
        <w:t>6</w:t>
      </w:r>
      <w:r w:rsidR="001D28BA" w:rsidRPr="008E0511">
        <w:rPr>
          <w:rFonts w:asciiTheme="minorHAnsi" w:hAnsiTheme="minorHAnsi" w:cs="Tahoma"/>
          <w:color w:val="FF0000"/>
          <w:sz w:val="22"/>
          <w:szCs w:val="22"/>
        </w:rPr>
        <w:t xml:space="preserve"> </w:t>
      </w:r>
      <w:r w:rsidR="009F1327" w:rsidRPr="008E0511">
        <w:rPr>
          <w:rFonts w:asciiTheme="minorHAnsi" w:hAnsiTheme="minorHAnsi" w:cs="Tahoma"/>
          <w:color w:val="FF0000"/>
          <w:sz w:val="22"/>
          <w:szCs w:val="22"/>
        </w:rPr>
        <w:t xml:space="preserve">June </w:t>
      </w:r>
      <w:r w:rsidR="00824831" w:rsidRPr="008E0511">
        <w:rPr>
          <w:rFonts w:asciiTheme="minorHAnsi" w:hAnsiTheme="minorHAnsi" w:cs="Tahoma"/>
          <w:color w:val="FF0000"/>
          <w:sz w:val="22"/>
          <w:szCs w:val="22"/>
        </w:rPr>
        <w:t>201</w:t>
      </w:r>
      <w:r w:rsidR="00356C68" w:rsidRPr="008E0511">
        <w:rPr>
          <w:rFonts w:asciiTheme="minorHAnsi" w:hAnsiTheme="minorHAnsi" w:cs="Tahoma"/>
          <w:color w:val="FF0000"/>
          <w:sz w:val="22"/>
          <w:szCs w:val="22"/>
          <w:lang w:val="ga-IE"/>
        </w:rPr>
        <w:t>9</w:t>
      </w:r>
      <w:r w:rsidR="001B0E85" w:rsidRPr="008E0511">
        <w:rPr>
          <w:rFonts w:asciiTheme="minorHAnsi" w:hAnsiTheme="minorHAnsi" w:cs="Tahoma"/>
          <w:color w:val="FF0000"/>
          <w:sz w:val="22"/>
          <w:szCs w:val="22"/>
        </w:rPr>
        <w:t xml:space="preserve">, </w:t>
      </w:r>
      <w:r w:rsidR="009F1327" w:rsidRPr="008E0511">
        <w:rPr>
          <w:rFonts w:asciiTheme="minorHAnsi" w:hAnsiTheme="minorHAnsi" w:cs="Tahoma"/>
          <w:color w:val="FF0000"/>
          <w:sz w:val="22"/>
          <w:szCs w:val="22"/>
        </w:rPr>
        <w:t>1</w:t>
      </w:r>
      <w:r w:rsidR="00106A98" w:rsidRPr="008E0511">
        <w:rPr>
          <w:rFonts w:asciiTheme="minorHAnsi" w:hAnsiTheme="minorHAnsi" w:cs="Tahoma"/>
          <w:color w:val="FF0000"/>
          <w:sz w:val="22"/>
          <w:szCs w:val="22"/>
        </w:rPr>
        <w:t>0</w:t>
      </w:r>
      <w:r w:rsidR="009F1327" w:rsidRPr="008E0511">
        <w:rPr>
          <w:rFonts w:asciiTheme="minorHAnsi" w:hAnsiTheme="minorHAnsi" w:cs="Tahoma"/>
          <w:color w:val="FF0000"/>
          <w:sz w:val="22"/>
          <w:szCs w:val="22"/>
        </w:rPr>
        <w:t>.</w:t>
      </w:r>
      <w:r w:rsidR="008E6432" w:rsidRPr="008E0511">
        <w:rPr>
          <w:rFonts w:asciiTheme="minorHAnsi" w:hAnsiTheme="minorHAnsi" w:cs="Tahoma"/>
          <w:color w:val="FF0000"/>
          <w:sz w:val="22"/>
          <w:szCs w:val="22"/>
        </w:rPr>
        <w:t>30</w:t>
      </w:r>
      <w:r w:rsidR="001B0E85" w:rsidRPr="008E0511">
        <w:rPr>
          <w:rFonts w:asciiTheme="minorHAnsi" w:hAnsiTheme="minorHAnsi" w:cs="Tahoma"/>
          <w:color w:val="FF0000"/>
          <w:sz w:val="22"/>
          <w:szCs w:val="22"/>
        </w:rPr>
        <w:t xml:space="preserve"> am</w:t>
      </w:r>
      <w:r w:rsidR="000E1043" w:rsidRPr="008E0511">
        <w:rPr>
          <w:rFonts w:asciiTheme="minorHAnsi" w:hAnsiTheme="minorHAnsi" w:cs="Tahoma"/>
          <w:color w:val="FF0000"/>
          <w:sz w:val="22"/>
          <w:szCs w:val="22"/>
        </w:rPr>
        <w:t xml:space="preserve">: </w:t>
      </w:r>
      <w:r w:rsidR="00705CFB" w:rsidRPr="008E0511">
        <w:rPr>
          <w:rFonts w:asciiTheme="minorHAnsi" w:hAnsiTheme="minorHAnsi" w:cs="Tahoma"/>
          <w:color w:val="FF0000"/>
          <w:sz w:val="22"/>
          <w:szCs w:val="22"/>
        </w:rPr>
        <w:t xml:space="preserve"> </w:t>
      </w:r>
      <w:r w:rsidR="008D5544" w:rsidRPr="008E0511">
        <w:rPr>
          <w:rFonts w:asciiTheme="minorHAnsi" w:hAnsiTheme="minorHAnsi" w:cs="Tahoma"/>
          <w:bCs/>
          <w:sz w:val="22"/>
          <w:szCs w:val="22"/>
        </w:rPr>
        <w:t>The</w:t>
      </w:r>
      <w:r w:rsidR="001B0E85" w:rsidRPr="008E0511">
        <w:rPr>
          <w:rFonts w:asciiTheme="minorHAnsi" w:hAnsiTheme="minorHAnsi" w:cs="Tahoma"/>
          <w:bCs/>
          <w:sz w:val="22"/>
          <w:szCs w:val="22"/>
        </w:rPr>
        <w:t xml:space="preserve"> European Monitoring Centre for Drugs and Drug Addiction (EMCDDA) </w:t>
      </w:r>
      <w:r w:rsidR="007A7638" w:rsidRPr="008E0511">
        <w:rPr>
          <w:rFonts w:asciiTheme="minorHAnsi" w:hAnsiTheme="minorHAnsi" w:cs="Tahoma"/>
          <w:bCs/>
          <w:sz w:val="22"/>
          <w:szCs w:val="22"/>
        </w:rPr>
        <w:t xml:space="preserve">will </w:t>
      </w:r>
      <w:r w:rsidR="008D5544" w:rsidRPr="008E0511">
        <w:rPr>
          <w:rFonts w:asciiTheme="minorHAnsi" w:hAnsiTheme="minorHAnsi" w:cs="Tahoma"/>
          <w:bCs/>
          <w:sz w:val="22"/>
          <w:szCs w:val="22"/>
        </w:rPr>
        <w:t xml:space="preserve">publish the </w:t>
      </w:r>
      <w:hyperlink r:id="rId7" w:history="1">
        <w:r w:rsidR="001B0E85" w:rsidRPr="003A0C07">
          <w:rPr>
            <w:rStyle w:val="Hyperlink"/>
            <w:rFonts w:asciiTheme="minorHAnsi" w:hAnsiTheme="minorHAnsi" w:cs="Tahoma"/>
            <w:b/>
            <w:bCs/>
            <w:i/>
            <w:sz w:val="22"/>
            <w:szCs w:val="22"/>
          </w:rPr>
          <w:t xml:space="preserve">European drug report </w:t>
        </w:r>
        <w:r w:rsidR="00824831" w:rsidRPr="003A0C07">
          <w:rPr>
            <w:rStyle w:val="Hyperlink"/>
            <w:rFonts w:asciiTheme="minorHAnsi" w:hAnsiTheme="minorHAnsi" w:cs="Tahoma"/>
            <w:b/>
            <w:bCs/>
            <w:i/>
            <w:sz w:val="22"/>
            <w:szCs w:val="22"/>
          </w:rPr>
          <w:t>201</w:t>
        </w:r>
        <w:r w:rsidR="00356C68" w:rsidRPr="003A0C07">
          <w:rPr>
            <w:rStyle w:val="Hyperlink"/>
            <w:rFonts w:asciiTheme="minorHAnsi" w:hAnsiTheme="minorHAnsi" w:cs="Tahoma"/>
            <w:b/>
            <w:bCs/>
            <w:i/>
            <w:sz w:val="22"/>
            <w:szCs w:val="22"/>
            <w:lang w:val="ga-IE"/>
          </w:rPr>
          <w:t>9</w:t>
        </w:r>
        <w:r w:rsidR="001B0E85" w:rsidRPr="003A0C07">
          <w:rPr>
            <w:rStyle w:val="Hyperlink"/>
            <w:rFonts w:asciiTheme="minorHAnsi" w:hAnsiTheme="minorHAnsi" w:cs="Tahoma"/>
            <w:b/>
            <w:bCs/>
            <w:i/>
            <w:sz w:val="22"/>
            <w:szCs w:val="22"/>
          </w:rPr>
          <w:t>: trends and developments</w:t>
        </w:r>
      </w:hyperlink>
      <w:r w:rsidR="001B0E85" w:rsidRPr="008E0511">
        <w:rPr>
          <w:rFonts w:asciiTheme="minorHAnsi" w:hAnsiTheme="minorHAnsi" w:cs="Tahoma"/>
          <w:b/>
          <w:bCs/>
          <w:i/>
          <w:sz w:val="22"/>
          <w:szCs w:val="22"/>
        </w:rPr>
        <w:t xml:space="preserve"> </w:t>
      </w:r>
      <w:r w:rsidR="001B0E85" w:rsidRPr="008E0511">
        <w:rPr>
          <w:rFonts w:asciiTheme="minorHAnsi" w:hAnsiTheme="minorHAnsi" w:cs="Tahoma"/>
          <w:bCs/>
          <w:sz w:val="22"/>
          <w:szCs w:val="22"/>
        </w:rPr>
        <w:t xml:space="preserve">today.  </w:t>
      </w:r>
      <w:r w:rsidR="007810FC" w:rsidRPr="008E0511">
        <w:rPr>
          <w:rFonts w:asciiTheme="minorHAnsi" w:hAnsiTheme="minorHAnsi" w:cs="Tahoma"/>
          <w:bCs/>
          <w:sz w:val="22"/>
          <w:szCs w:val="22"/>
          <w:lang w:val="en"/>
        </w:rPr>
        <w:t>Th</w:t>
      </w:r>
      <w:r w:rsidR="00B22AB5" w:rsidRPr="008E0511">
        <w:rPr>
          <w:rFonts w:asciiTheme="minorHAnsi" w:hAnsiTheme="minorHAnsi" w:cs="Tahoma"/>
          <w:bCs/>
          <w:sz w:val="22"/>
          <w:szCs w:val="22"/>
          <w:lang w:val="en"/>
        </w:rPr>
        <w:t xml:space="preserve">is </w:t>
      </w:r>
      <w:r w:rsidR="001B0E85" w:rsidRPr="008E0511">
        <w:rPr>
          <w:rFonts w:asciiTheme="minorHAnsi" w:hAnsiTheme="minorHAnsi" w:cs="Tahoma"/>
          <w:bCs/>
          <w:sz w:val="22"/>
          <w:szCs w:val="22"/>
          <w:lang w:val="en"/>
        </w:rPr>
        <w:t xml:space="preserve">report </w:t>
      </w:r>
      <w:r w:rsidR="008D5544" w:rsidRPr="008E0511">
        <w:rPr>
          <w:rFonts w:asciiTheme="minorHAnsi" w:hAnsiTheme="minorHAnsi" w:cs="Tahoma"/>
          <w:bCs/>
          <w:sz w:val="22"/>
          <w:szCs w:val="22"/>
          <w:lang w:val="en"/>
        </w:rPr>
        <w:t>provides a snapshot o</w:t>
      </w:r>
      <w:r w:rsidR="00B22AB5" w:rsidRPr="008E0511">
        <w:rPr>
          <w:rFonts w:asciiTheme="minorHAnsi" w:hAnsiTheme="minorHAnsi" w:cs="Tahoma"/>
          <w:bCs/>
          <w:sz w:val="22"/>
          <w:szCs w:val="22"/>
          <w:lang w:val="en"/>
        </w:rPr>
        <w:t>f</w:t>
      </w:r>
      <w:r w:rsidR="008D5544" w:rsidRPr="008E0511">
        <w:rPr>
          <w:rFonts w:asciiTheme="minorHAnsi" w:hAnsiTheme="minorHAnsi" w:cs="Tahoma"/>
          <w:bCs/>
          <w:sz w:val="22"/>
          <w:szCs w:val="22"/>
          <w:lang w:val="en"/>
        </w:rPr>
        <w:t xml:space="preserve"> the </w:t>
      </w:r>
      <w:r w:rsidR="001B0E85" w:rsidRPr="008E0511">
        <w:rPr>
          <w:rFonts w:asciiTheme="minorHAnsi" w:hAnsiTheme="minorHAnsi" w:cs="Tahoma"/>
          <w:bCs/>
          <w:sz w:val="22"/>
          <w:szCs w:val="22"/>
          <w:lang w:val="en"/>
        </w:rPr>
        <w:t xml:space="preserve">latest </w:t>
      </w:r>
      <w:r w:rsidR="007652D5" w:rsidRPr="008E0511">
        <w:rPr>
          <w:rFonts w:asciiTheme="minorHAnsi" w:hAnsiTheme="minorHAnsi" w:cs="Tahoma"/>
          <w:bCs/>
          <w:sz w:val="22"/>
          <w:szCs w:val="22"/>
          <w:lang w:val="en"/>
        </w:rPr>
        <w:t xml:space="preserve">drug </w:t>
      </w:r>
      <w:r w:rsidR="001B0E85" w:rsidRPr="008E0511">
        <w:rPr>
          <w:rFonts w:asciiTheme="minorHAnsi" w:hAnsiTheme="minorHAnsi" w:cs="Tahoma"/>
          <w:bCs/>
          <w:sz w:val="22"/>
          <w:szCs w:val="22"/>
          <w:lang w:val="en"/>
        </w:rPr>
        <w:t xml:space="preserve">trends across the 28 EU member states, Norway and Turkey.  </w:t>
      </w:r>
      <w:r w:rsidR="000E1043" w:rsidRPr="008E0511">
        <w:rPr>
          <w:rFonts w:asciiTheme="minorHAnsi" w:hAnsiTheme="minorHAnsi" w:cs="Tahoma"/>
          <w:bCs/>
          <w:sz w:val="22"/>
          <w:szCs w:val="22"/>
          <w:lang w:val="en"/>
        </w:rPr>
        <w:t>The H</w:t>
      </w:r>
      <w:r w:rsidR="00FF54F7" w:rsidRPr="008E0511">
        <w:rPr>
          <w:rFonts w:asciiTheme="minorHAnsi" w:hAnsiTheme="minorHAnsi" w:cs="Tahoma"/>
          <w:bCs/>
          <w:sz w:val="22"/>
          <w:szCs w:val="22"/>
          <w:lang w:val="en"/>
        </w:rPr>
        <w:t xml:space="preserve">ealth Research </w:t>
      </w:r>
      <w:r w:rsidR="000E1043" w:rsidRPr="008E0511">
        <w:rPr>
          <w:rFonts w:asciiTheme="minorHAnsi" w:hAnsiTheme="minorHAnsi" w:cs="Tahoma"/>
          <w:bCs/>
          <w:sz w:val="22"/>
          <w:szCs w:val="22"/>
          <w:lang w:val="en"/>
        </w:rPr>
        <w:t>B</w:t>
      </w:r>
      <w:r w:rsidR="00FF54F7" w:rsidRPr="008E0511">
        <w:rPr>
          <w:rFonts w:asciiTheme="minorHAnsi" w:hAnsiTheme="minorHAnsi" w:cs="Tahoma"/>
          <w:bCs/>
          <w:sz w:val="22"/>
          <w:szCs w:val="22"/>
          <w:lang w:val="en"/>
        </w:rPr>
        <w:t>oard</w:t>
      </w:r>
      <w:r w:rsidR="000E1043" w:rsidRPr="008E0511">
        <w:rPr>
          <w:rFonts w:asciiTheme="minorHAnsi" w:hAnsiTheme="minorHAnsi" w:cs="Tahoma"/>
          <w:bCs/>
          <w:sz w:val="22"/>
          <w:szCs w:val="22"/>
          <w:lang w:val="en"/>
        </w:rPr>
        <w:t xml:space="preserve"> </w:t>
      </w:r>
      <w:r w:rsidR="001F3A16" w:rsidRPr="008E0511">
        <w:rPr>
          <w:rFonts w:asciiTheme="minorHAnsi" w:hAnsiTheme="minorHAnsi" w:cs="Tahoma"/>
          <w:bCs/>
          <w:sz w:val="22"/>
          <w:szCs w:val="22"/>
          <w:lang w:val="en"/>
        </w:rPr>
        <w:t xml:space="preserve">(HRB) </w:t>
      </w:r>
      <w:r w:rsidR="000E1043" w:rsidRPr="008E0511">
        <w:rPr>
          <w:rFonts w:asciiTheme="minorHAnsi" w:hAnsiTheme="minorHAnsi" w:cs="Tahoma"/>
          <w:bCs/>
          <w:sz w:val="22"/>
          <w:szCs w:val="22"/>
          <w:lang w:val="en"/>
        </w:rPr>
        <w:t xml:space="preserve">provides the Irish </w:t>
      </w:r>
      <w:r w:rsidR="00FF54F7" w:rsidRPr="008E0511">
        <w:rPr>
          <w:rFonts w:asciiTheme="minorHAnsi" w:hAnsiTheme="minorHAnsi" w:cs="Tahoma"/>
          <w:bCs/>
          <w:sz w:val="22"/>
          <w:szCs w:val="22"/>
          <w:lang w:val="en"/>
        </w:rPr>
        <w:t xml:space="preserve">data and </w:t>
      </w:r>
      <w:r w:rsidR="007652D5" w:rsidRPr="008E0511">
        <w:rPr>
          <w:rFonts w:asciiTheme="minorHAnsi" w:hAnsiTheme="minorHAnsi" w:cs="Tahoma"/>
          <w:bCs/>
          <w:sz w:val="22"/>
          <w:szCs w:val="22"/>
          <w:lang w:val="en"/>
        </w:rPr>
        <w:t>research</w:t>
      </w:r>
      <w:r w:rsidR="00FF54F7" w:rsidRPr="008E0511">
        <w:rPr>
          <w:rFonts w:asciiTheme="minorHAnsi" w:hAnsiTheme="minorHAnsi" w:cs="Tahoma"/>
          <w:bCs/>
          <w:sz w:val="22"/>
          <w:szCs w:val="22"/>
          <w:lang w:val="en"/>
        </w:rPr>
        <w:t xml:space="preserve"> </w:t>
      </w:r>
      <w:r w:rsidR="000E1043" w:rsidRPr="008E0511">
        <w:rPr>
          <w:rFonts w:asciiTheme="minorHAnsi" w:hAnsiTheme="minorHAnsi" w:cs="Tahoma"/>
          <w:bCs/>
          <w:sz w:val="22"/>
          <w:szCs w:val="22"/>
          <w:lang w:val="en"/>
        </w:rPr>
        <w:t xml:space="preserve">for the EMCDDA </w:t>
      </w:r>
      <w:r w:rsidR="009B1468" w:rsidRPr="008E0511">
        <w:rPr>
          <w:rFonts w:asciiTheme="minorHAnsi" w:hAnsiTheme="minorHAnsi" w:cs="Tahoma"/>
          <w:bCs/>
          <w:sz w:val="22"/>
          <w:szCs w:val="22"/>
          <w:lang w:val="en"/>
        </w:rPr>
        <w:t xml:space="preserve">report. </w:t>
      </w:r>
    </w:p>
    <w:p w:rsidR="00B22AB5" w:rsidRPr="008E0511" w:rsidRDefault="00B22AB5" w:rsidP="008E0511">
      <w:pPr>
        <w:pStyle w:val="BodyText2"/>
        <w:tabs>
          <w:tab w:val="left" w:pos="1800"/>
        </w:tabs>
        <w:spacing w:line="312" w:lineRule="auto"/>
        <w:jc w:val="left"/>
        <w:rPr>
          <w:rFonts w:asciiTheme="minorHAnsi" w:hAnsiTheme="minorHAnsi" w:cs="Tahoma"/>
          <w:bCs/>
          <w:i/>
          <w:sz w:val="22"/>
          <w:szCs w:val="22"/>
          <w:highlight w:val="yellow"/>
        </w:rPr>
      </w:pPr>
      <w:r w:rsidRPr="008E0511">
        <w:rPr>
          <w:rFonts w:asciiTheme="minorHAnsi" w:hAnsiTheme="minorHAnsi" w:cs="Tahoma"/>
          <w:bCs/>
          <w:i/>
          <w:sz w:val="22"/>
          <w:szCs w:val="22"/>
        </w:rPr>
        <w:t>This media brief is designed to</w:t>
      </w:r>
      <w:r w:rsidR="0099228B" w:rsidRPr="008E0511">
        <w:rPr>
          <w:rFonts w:asciiTheme="minorHAnsi" w:hAnsiTheme="minorHAnsi" w:cs="Tahoma"/>
          <w:bCs/>
          <w:i/>
          <w:sz w:val="22"/>
          <w:szCs w:val="22"/>
        </w:rPr>
        <w:t xml:space="preserve"> </w:t>
      </w:r>
      <w:r w:rsidRPr="008E0511">
        <w:rPr>
          <w:rFonts w:asciiTheme="minorHAnsi" w:hAnsiTheme="minorHAnsi" w:cs="Tahoma"/>
          <w:bCs/>
          <w:i/>
          <w:sz w:val="22"/>
          <w:szCs w:val="22"/>
        </w:rPr>
        <w:t>highlight key points from the European report and</w:t>
      </w:r>
      <w:r w:rsidRPr="008E0511">
        <w:rPr>
          <w:rFonts w:asciiTheme="minorHAnsi" w:hAnsiTheme="minorHAnsi" w:cs="Tahoma"/>
          <w:bCs/>
          <w:i/>
          <w:sz w:val="22"/>
          <w:szCs w:val="22"/>
          <w:lang w:val="ga-IE"/>
        </w:rPr>
        <w:t>,</w:t>
      </w:r>
      <w:r w:rsidRPr="008E0511">
        <w:rPr>
          <w:rFonts w:asciiTheme="minorHAnsi" w:hAnsiTheme="minorHAnsi" w:cs="Tahoma"/>
          <w:bCs/>
          <w:i/>
          <w:sz w:val="22"/>
          <w:szCs w:val="22"/>
        </w:rPr>
        <w:t xml:space="preserve"> where the data </w:t>
      </w:r>
      <w:r w:rsidRPr="008E0511">
        <w:rPr>
          <w:rFonts w:asciiTheme="minorHAnsi" w:hAnsiTheme="minorHAnsi" w:cs="Tahoma"/>
          <w:bCs/>
          <w:i/>
          <w:sz w:val="22"/>
          <w:szCs w:val="22"/>
          <w:lang w:val="ga-IE"/>
        </w:rPr>
        <w:t>are</w:t>
      </w:r>
      <w:r w:rsidRPr="008E0511">
        <w:rPr>
          <w:rFonts w:asciiTheme="minorHAnsi" w:hAnsiTheme="minorHAnsi" w:cs="Tahoma"/>
          <w:bCs/>
          <w:i/>
          <w:sz w:val="22"/>
          <w:szCs w:val="22"/>
        </w:rPr>
        <w:t xml:space="preserve"> available, provide a comparison with the situation in Ireland.</w:t>
      </w:r>
      <w:r w:rsidR="007A7638" w:rsidRPr="008E0511">
        <w:rPr>
          <w:rFonts w:asciiTheme="minorHAnsi" w:hAnsiTheme="minorHAnsi" w:cs="Tahoma"/>
          <w:bCs/>
          <w:i/>
          <w:sz w:val="22"/>
          <w:szCs w:val="22"/>
        </w:rPr>
        <w:t xml:space="preserve"> </w:t>
      </w:r>
    </w:p>
    <w:p w:rsidR="007A7638" w:rsidRPr="002C046F" w:rsidRDefault="007A7638" w:rsidP="008E0511">
      <w:pPr>
        <w:pStyle w:val="BodyText2"/>
        <w:tabs>
          <w:tab w:val="left" w:pos="1800"/>
        </w:tabs>
        <w:spacing w:line="312" w:lineRule="auto"/>
        <w:jc w:val="left"/>
        <w:rPr>
          <w:rFonts w:asciiTheme="minorHAnsi" w:hAnsiTheme="minorHAnsi" w:cs="Tahoma"/>
          <w:bCs/>
          <w:sz w:val="22"/>
          <w:szCs w:val="22"/>
        </w:rPr>
      </w:pPr>
    </w:p>
    <w:p w:rsidR="007A7638" w:rsidRPr="008E0511" w:rsidRDefault="007A7638" w:rsidP="008E0511">
      <w:pPr>
        <w:pStyle w:val="BodyText2"/>
        <w:tabs>
          <w:tab w:val="left" w:pos="1800"/>
        </w:tabs>
        <w:spacing w:line="312" w:lineRule="auto"/>
        <w:jc w:val="left"/>
        <w:rPr>
          <w:rStyle w:val="Hyperlink"/>
          <w:rFonts w:asciiTheme="minorHAnsi" w:hAnsiTheme="minorHAnsi" w:cs="Tahoma"/>
          <w:b/>
          <w:bCs/>
          <w:i/>
          <w:sz w:val="22"/>
          <w:szCs w:val="22"/>
        </w:rPr>
      </w:pPr>
      <w:r w:rsidRPr="008E0511">
        <w:rPr>
          <w:rFonts w:asciiTheme="minorHAnsi" w:hAnsiTheme="minorHAnsi" w:cs="Tahoma"/>
          <w:bCs/>
          <w:sz w:val="22"/>
          <w:szCs w:val="22"/>
        </w:rPr>
        <w:t xml:space="preserve">Europe is seeing signs of an increase in cocaine availability, with seizures at record levels according to the latest  </w:t>
      </w:r>
      <w:hyperlink r:id="rId8" w:history="1">
        <w:r w:rsidRPr="00F548DF">
          <w:rPr>
            <w:rStyle w:val="Hyperlink"/>
            <w:rFonts w:asciiTheme="minorHAnsi" w:hAnsiTheme="minorHAnsi" w:cs="Tahoma"/>
            <w:b/>
            <w:bCs/>
            <w:sz w:val="22"/>
            <w:szCs w:val="22"/>
          </w:rPr>
          <w:t>European drug report 201</w:t>
        </w:r>
        <w:r w:rsidRPr="00F548DF">
          <w:rPr>
            <w:rStyle w:val="Hyperlink"/>
            <w:rFonts w:asciiTheme="minorHAnsi" w:hAnsiTheme="minorHAnsi" w:cs="Tahoma"/>
            <w:b/>
            <w:bCs/>
            <w:sz w:val="22"/>
            <w:szCs w:val="22"/>
            <w:lang w:val="ga-IE"/>
          </w:rPr>
          <w:t>9</w:t>
        </w:r>
        <w:r w:rsidRPr="00F548DF">
          <w:rPr>
            <w:rStyle w:val="Hyperlink"/>
            <w:rFonts w:asciiTheme="minorHAnsi" w:hAnsiTheme="minorHAnsi" w:cs="Tahoma"/>
            <w:b/>
            <w:bCs/>
            <w:sz w:val="22"/>
            <w:szCs w:val="22"/>
          </w:rPr>
          <w:t>: trends and developments.</w:t>
        </w:r>
      </w:hyperlink>
    </w:p>
    <w:p w:rsidR="007A7638" w:rsidRPr="008E0511" w:rsidRDefault="007A7638" w:rsidP="008E0511">
      <w:pPr>
        <w:pStyle w:val="BodyText2"/>
        <w:tabs>
          <w:tab w:val="left" w:pos="1800"/>
        </w:tabs>
        <w:spacing w:line="312" w:lineRule="auto"/>
        <w:jc w:val="left"/>
        <w:rPr>
          <w:rFonts w:asciiTheme="minorHAnsi" w:hAnsiTheme="minorHAnsi" w:cs="Tahoma"/>
          <w:bCs/>
          <w:sz w:val="22"/>
          <w:szCs w:val="22"/>
        </w:rPr>
      </w:pPr>
    </w:p>
    <w:p w:rsidR="007A7638" w:rsidRDefault="007A7638" w:rsidP="008E0511">
      <w:pPr>
        <w:pStyle w:val="BodyText2"/>
        <w:tabs>
          <w:tab w:val="left" w:pos="1800"/>
        </w:tabs>
        <w:spacing w:line="312" w:lineRule="auto"/>
        <w:jc w:val="left"/>
        <w:rPr>
          <w:rFonts w:asciiTheme="minorHAnsi" w:hAnsiTheme="minorHAnsi" w:cs="Tahoma"/>
          <w:bCs/>
          <w:sz w:val="22"/>
          <w:szCs w:val="22"/>
          <w:lang w:val="ga-IE"/>
        </w:rPr>
      </w:pPr>
      <w:r w:rsidRPr="008E0511">
        <w:rPr>
          <w:rFonts w:asciiTheme="minorHAnsi" w:hAnsiTheme="minorHAnsi" w:cs="Tahoma"/>
          <w:bCs/>
          <w:sz w:val="22"/>
          <w:szCs w:val="22"/>
        </w:rPr>
        <w:t xml:space="preserve">The report shows that in the EU 28, Norway and Turkey over one million seizures of illicit drugs are reported annually, around 96 million adults aged 15-64 years have tried an illicit drug in their lifetime and 1.2 million people receive treatment each year </w:t>
      </w:r>
      <w:r w:rsidR="001A4AC6">
        <w:rPr>
          <w:rFonts w:asciiTheme="minorHAnsi" w:hAnsiTheme="minorHAnsi" w:cs="Tahoma"/>
          <w:bCs/>
          <w:sz w:val="22"/>
          <w:szCs w:val="22"/>
        </w:rPr>
        <w:t>f</w:t>
      </w:r>
      <w:r w:rsidRPr="008E0511">
        <w:rPr>
          <w:rFonts w:asciiTheme="minorHAnsi" w:hAnsiTheme="minorHAnsi" w:cs="Tahoma"/>
          <w:bCs/>
          <w:sz w:val="22"/>
          <w:szCs w:val="22"/>
        </w:rPr>
        <w:t xml:space="preserve">or illicit drug use. In 2018, 55 new psychoactive substances (NPS) were detected in Europe for the first time, bringing the total monitored by the </w:t>
      </w:r>
      <w:r w:rsidR="001A4AC6">
        <w:rPr>
          <w:rFonts w:asciiTheme="minorHAnsi" w:hAnsiTheme="minorHAnsi" w:cs="Tahoma"/>
          <w:bCs/>
          <w:sz w:val="22"/>
          <w:szCs w:val="22"/>
        </w:rPr>
        <w:t>EMCDDA</w:t>
      </w:r>
      <w:r w:rsidRPr="008E0511">
        <w:rPr>
          <w:rFonts w:asciiTheme="minorHAnsi" w:hAnsiTheme="minorHAnsi" w:cs="Tahoma"/>
          <w:bCs/>
          <w:sz w:val="22"/>
          <w:szCs w:val="22"/>
        </w:rPr>
        <w:t xml:space="preserve"> to </w:t>
      </w:r>
      <w:r w:rsidR="00207956" w:rsidRPr="008E0511">
        <w:rPr>
          <w:rFonts w:asciiTheme="minorHAnsi" w:hAnsiTheme="minorHAnsi" w:cs="Tahoma"/>
          <w:bCs/>
          <w:sz w:val="22"/>
          <w:szCs w:val="22"/>
        </w:rPr>
        <w:t>730.</w:t>
      </w:r>
    </w:p>
    <w:p w:rsidR="00144C9E" w:rsidRDefault="00144C9E" w:rsidP="008E0511">
      <w:pPr>
        <w:pStyle w:val="BodyText2"/>
        <w:tabs>
          <w:tab w:val="left" w:pos="1800"/>
        </w:tabs>
        <w:spacing w:line="312" w:lineRule="auto"/>
        <w:jc w:val="left"/>
        <w:rPr>
          <w:rFonts w:asciiTheme="minorHAnsi" w:hAnsiTheme="minorHAnsi" w:cs="Tahoma"/>
          <w:bCs/>
          <w:sz w:val="22"/>
          <w:szCs w:val="22"/>
          <w:lang w:val="ga-IE"/>
        </w:rPr>
      </w:pPr>
    </w:p>
    <w:p w:rsidR="002C046F" w:rsidRDefault="00144C9E" w:rsidP="00144C9E">
      <w:pPr>
        <w:pStyle w:val="BodyText2"/>
        <w:tabs>
          <w:tab w:val="left" w:pos="1800"/>
        </w:tabs>
        <w:jc w:val="left"/>
        <w:rPr>
          <w:rFonts w:asciiTheme="minorHAnsi" w:hAnsiTheme="minorHAnsi" w:cs="Tahoma"/>
          <w:bCs/>
          <w:sz w:val="22"/>
          <w:lang w:val="en-US"/>
        </w:rPr>
      </w:pPr>
      <w:r w:rsidRPr="00144C9E">
        <w:rPr>
          <w:rFonts w:asciiTheme="minorHAnsi" w:hAnsiTheme="minorHAnsi" w:cs="Tahoma"/>
          <w:bCs/>
          <w:sz w:val="22"/>
          <w:lang w:val="en-US"/>
        </w:rPr>
        <w:t xml:space="preserve">Commenting on the report, the </w:t>
      </w:r>
      <w:r w:rsidRPr="00144C9E">
        <w:rPr>
          <w:rFonts w:asciiTheme="minorHAnsi" w:hAnsiTheme="minorHAnsi" w:cs="Tahoma"/>
          <w:b/>
          <w:bCs/>
          <w:sz w:val="22"/>
          <w:lang w:val="en-US"/>
        </w:rPr>
        <w:t>Minister of State with responsibility for the National Drugs Strategy, Catherine Byrne</w:t>
      </w:r>
      <w:r w:rsidRPr="00144C9E">
        <w:rPr>
          <w:rFonts w:asciiTheme="minorHAnsi" w:hAnsiTheme="minorHAnsi" w:cs="Tahoma"/>
          <w:bCs/>
          <w:sz w:val="22"/>
          <w:lang w:val="en-US"/>
        </w:rPr>
        <w:t>, said</w:t>
      </w:r>
      <w:r w:rsidR="00F548DF">
        <w:rPr>
          <w:rFonts w:asciiTheme="minorHAnsi" w:hAnsiTheme="minorHAnsi" w:cs="Tahoma"/>
          <w:bCs/>
          <w:sz w:val="22"/>
          <w:lang w:val="en-US"/>
        </w:rPr>
        <w:t>:</w:t>
      </w:r>
      <w:r w:rsidRPr="00144C9E">
        <w:rPr>
          <w:rFonts w:asciiTheme="minorHAnsi" w:hAnsiTheme="minorHAnsi" w:cs="Tahoma"/>
          <w:bCs/>
          <w:sz w:val="22"/>
          <w:lang w:val="ga-IE"/>
        </w:rPr>
        <w:t xml:space="preserve"> </w:t>
      </w:r>
      <w:r w:rsidR="001A4AC6">
        <w:rPr>
          <w:rFonts w:asciiTheme="minorHAnsi" w:hAnsiTheme="minorHAnsi" w:cs="Tahoma"/>
          <w:bCs/>
          <w:sz w:val="22"/>
          <w:lang w:val="en-US"/>
        </w:rPr>
        <w:t>‘</w:t>
      </w:r>
      <w:r w:rsidRPr="00144C9E">
        <w:rPr>
          <w:rFonts w:asciiTheme="minorHAnsi" w:hAnsiTheme="minorHAnsi" w:cs="Tahoma"/>
          <w:bCs/>
          <w:sz w:val="22"/>
          <w:lang w:val="en-US"/>
        </w:rPr>
        <w:t>The drug problem across Europe and here at home is of great concern, and the growing problem of cocaine use is particular worrying. In response, the HSE has developed a campaign to raise awareness of the dangers associated with cocaine and crack cocaine use. I have also recently allocated funding for the development of strategic health initiatives by the HSE and Drug and Alcohol Task Forces around the country, and it is anticipated they will include projects to tackle cocaine use.</w:t>
      </w:r>
    </w:p>
    <w:p w:rsidR="002C046F" w:rsidRDefault="002C046F" w:rsidP="00144C9E">
      <w:pPr>
        <w:pStyle w:val="BodyText2"/>
        <w:tabs>
          <w:tab w:val="left" w:pos="1800"/>
        </w:tabs>
        <w:jc w:val="left"/>
        <w:rPr>
          <w:rFonts w:asciiTheme="minorHAnsi" w:hAnsiTheme="minorHAnsi" w:cs="Tahoma"/>
          <w:bCs/>
          <w:sz w:val="22"/>
          <w:lang w:val="en-US"/>
        </w:rPr>
      </w:pPr>
    </w:p>
    <w:p w:rsidR="002C046F" w:rsidRDefault="00144C9E" w:rsidP="002C046F">
      <w:pPr>
        <w:pStyle w:val="BodyText2"/>
        <w:tabs>
          <w:tab w:val="left" w:pos="1800"/>
        </w:tabs>
        <w:jc w:val="left"/>
        <w:rPr>
          <w:rFonts w:asciiTheme="minorHAnsi" w:hAnsiTheme="minorHAnsi" w:cs="Tahoma"/>
          <w:bCs/>
          <w:sz w:val="22"/>
          <w:lang w:val="en-US"/>
        </w:rPr>
      </w:pPr>
      <w:r w:rsidRPr="00144C9E">
        <w:rPr>
          <w:rFonts w:asciiTheme="minorHAnsi" w:hAnsiTheme="minorHAnsi" w:cs="Tahoma"/>
          <w:bCs/>
          <w:sz w:val="22"/>
          <w:lang w:val="en-US"/>
        </w:rPr>
        <w:t>The report also highlights the issue of drug poisonings. Any death from drug use is a tragedy and we must continue to promote harm reduction and prevent overdose. Across Europe, Supervised Injecting Facilities have been instrumental in reducing drug-related harm and I remain firmly committed to the establishment of a pilot facility in Dublin city. I also welcome the increase in the provision of Naloxone and training in its delivery as another public health measure which can greatly reduce overdose deaths in Ireland</w:t>
      </w:r>
      <w:r w:rsidR="001A4AC6">
        <w:rPr>
          <w:rFonts w:asciiTheme="minorHAnsi" w:hAnsiTheme="minorHAnsi" w:cs="Tahoma"/>
          <w:bCs/>
          <w:sz w:val="22"/>
          <w:lang w:val="en-US"/>
        </w:rPr>
        <w:t>.’</w:t>
      </w:r>
    </w:p>
    <w:p w:rsidR="002C046F" w:rsidRPr="002C046F" w:rsidRDefault="002C046F" w:rsidP="002C046F">
      <w:pPr>
        <w:pStyle w:val="BodyText2"/>
        <w:tabs>
          <w:tab w:val="left" w:pos="1800"/>
        </w:tabs>
        <w:jc w:val="left"/>
        <w:rPr>
          <w:rFonts w:asciiTheme="minorHAnsi" w:hAnsiTheme="minorHAnsi" w:cs="Arial"/>
          <w:bCs/>
          <w:sz w:val="22"/>
          <w:szCs w:val="22"/>
          <w:lang w:eastAsia="en-GB"/>
        </w:rPr>
      </w:pPr>
    </w:p>
    <w:p w:rsidR="007441EC" w:rsidRDefault="007441EC" w:rsidP="002C046F">
      <w:pPr>
        <w:pStyle w:val="BodyText2"/>
        <w:tabs>
          <w:tab w:val="left" w:pos="1800"/>
        </w:tabs>
        <w:jc w:val="left"/>
        <w:rPr>
          <w:rFonts w:asciiTheme="minorHAnsi" w:hAnsiTheme="minorHAnsi" w:cs="Arial"/>
          <w:sz w:val="22"/>
          <w:szCs w:val="22"/>
          <w:lang w:eastAsia="en-GB"/>
        </w:rPr>
      </w:pPr>
      <w:r w:rsidRPr="008E0511">
        <w:rPr>
          <w:rFonts w:asciiTheme="minorHAnsi" w:hAnsiTheme="minorHAnsi" w:cs="Arial"/>
          <w:b/>
          <w:bCs/>
          <w:sz w:val="22"/>
          <w:szCs w:val="22"/>
          <w:lang w:eastAsia="en-GB"/>
        </w:rPr>
        <w:t xml:space="preserve">EMCDDA Director Alexis </w:t>
      </w:r>
      <w:proofErr w:type="spellStart"/>
      <w:r w:rsidRPr="008E0511">
        <w:rPr>
          <w:rFonts w:asciiTheme="minorHAnsi" w:hAnsiTheme="minorHAnsi" w:cs="Arial"/>
          <w:b/>
          <w:bCs/>
          <w:sz w:val="22"/>
          <w:szCs w:val="22"/>
          <w:lang w:eastAsia="en-GB"/>
        </w:rPr>
        <w:t>Goosdeel</w:t>
      </w:r>
      <w:proofErr w:type="spellEnd"/>
      <w:r w:rsidRPr="008E0511">
        <w:rPr>
          <w:rFonts w:asciiTheme="minorHAnsi" w:hAnsiTheme="minorHAnsi" w:cs="Arial"/>
          <w:b/>
          <w:bCs/>
          <w:sz w:val="22"/>
          <w:szCs w:val="22"/>
          <w:lang w:eastAsia="en-GB"/>
        </w:rPr>
        <w:t xml:space="preserve"> </w:t>
      </w:r>
      <w:r w:rsidRPr="008E0511">
        <w:rPr>
          <w:rFonts w:asciiTheme="minorHAnsi" w:hAnsiTheme="minorHAnsi" w:cs="Arial"/>
          <w:sz w:val="22"/>
          <w:szCs w:val="22"/>
          <w:lang w:eastAsia="en-GB"/>
        </w:rPr>
        <w:t xml:space="preserve">says: ‘The challenges we face in the drug area continue to grow. </w:t>
      </w:r>
      <w:r w:rsidRPr="008E0511">
        <w:rPr>
          <w:rFonts w:asciiTheme="minorHAnsi" w:hAnsiTheme="minorHAnsi" w:cs="Arial"/>
          <w:sz w:val="22"/>
          <w:szCs w:val="22"/>
          <w:lang w:eastAsia="en-GB"/>
        </w:rPr>
        <w:br/>
        <w:t xml:space="preserve">Not only are there signs of increased availability of established plant-based drugs like cocaine, but we are also witnessing an evolving market where synthetic drugs and drug production within Europe are growing in </w:t>
      </w:r>
      <w:r w:rsidRPr="008E0511">
        <w:rPr>
          <w:rFonts w:asciiTheme="minorHAnsi" w:hAnsiTheme="minorHAnsi" w:cs="Arial"/>
          <w:sz w:val="22"/>
          <w:szCs w:val="22"/>
          <w:lang w:eastAsia="en-GB"/>
        </w:rPr>
        <w:lastRenderedPageBreak/>
        <w:t>importance. This can be seen in problems associated with the use of highly potent synthetic opioids, in new production techniques for MDMA and amphetamines, and in recent developments in the processing of morphine into heroin inside Europe’s borders.’</w:t>
      </w:r>
    </w:p>
    <w:p w:rsidR="002C046F" w:rsidRPr="002C046F" w:rsidRDefault="002C046F" w:rsidP="002C046F">
      <w:pPr>
        <w:pStyle w:val="BodyText2"/>
        <w:tabs>
          <w:tab w:val="left" w:pos="1800"/>
        </w:tabs>
        <w:jc w:val="left"/>
        <w:rPr>
          <w:rFonts w:asciiTheme="minorHAnsi" w:hAnsiTheme="minorHAnsi" w:cs="Tahoma"/>
          <w:bCs/>
          <w:sz w:val="22"/>
        </w:rPr>
      </w:pPr>
    </w:p>
    <w:p w:rsidR="00DF6BA9" w:rsidRPr="008E0511" w:rsidRDefault="00DF6BA9" w:rsidP="00E61F38">
      <w:pPr>
        <w:pStyle w:val="Heading2"/>
        <w:rPr>
          <w:lang w:val="en-GB" w:eastAsia="en-GB"/>
        </w:rPr>
      </w:pPr>
      <w:r w:rsidRPr="008E0511">
        <w:rPr>
          <w:lang w:val="en-GB" w:eastAsia="en-GB"/>
        </w:rPr>
        <w:t xml:space="preserve">Overview of key highlights in </w:t>
      </w:r>
      <w:r w:rsidR="00216E89" w:rsidRPr="008E0511">
        <w:rPr>
          <w:lang w:val="en-GB" w:eastAsia="en-GB"/>
        </w:rPr>
        <w:t>European Drug Report</w:t>
      </w:r>
    </w:p>
    <w:p w:rsidR="00DF6BA9" w:rsidRDefault="00DF6BA9" w:rsidP="00E61F38">
      <w:pPr>
        <w:pStyle w:val="Heading3"/>
        <w:rPr>
          <w:lang w:val="en-GB" w:eastAsia="en-GB"/>
        </w:rPr>
      </w:pPr>
      <w:r w:rsidRPr="008E0511">
        <w:rPr>
          <w:lang w:val="en-GB" w:eastAsia="en-GB"/>
        </w:rPr>
        <w:t>C</w:t>
      </w:r>
      <w:r w:rsidR="002A155C" w:rsidRPr="008E0511">
        <w:rPr>
          <w:lang w:val="en-GB" w:eastAsia="en-GB"/>
        </w:rPr>
        <w:t>ocaine</w:t>
      </w:r>
      <w:r w:rsidRPr="008E0511">
        <w:rPr>
          <w:lang w:val="en-GB" w:eastAsia="en-GB"/>
        </w:rPr>
        <w:t xml:space="preserve"> sei</w:t>
      </w:r>
      <w:r w:rsidR="001911BD" w:rsidRPr="008E0511">
        <w:rPr>
          <w:lang w:val="en-GB" w:eastAsia="en-GB"/>
        </w:rPr>
        <w:t>z</w:t>
      </w:r>
      <w:r w:rsidRPr="008E0511">
        <w:rPr>
          <w:lang w:val="en-GB" w:eastAsia="en-GB"/>
        </w:rPr>
        <w:t>ures, distribution and health issues</w:t>
      </w:r>
    </w:p>
    <w:p w:rsidR="002C046F" w:rsidRPr="002C046F" w:rsidRDefault="002C046F" w:rsidP="002C046F">
      <w:pPr>
        <w:rPr>
          <w:lang w:val="en-GB" w:eastAsia="en-GB"/>
        </w:rPr>
      </w:pPr>
    </w:p>
    <w:p w:rsidR="002C046F" w:rsidRDefault="00DF6BA9" w:rsidP="002C046F">
      <w:pPr>
        <w:pStyle w:val="NormalWeb"/>
        <w:spacing w:before="0" w:beforeAutospacing="0" w:after="0" w:afterAutospacing="0"/>
        <w:rPr>
          <w:rFonts w:asciiTheme="minorHAnsi" w:hAnsiTheme="minorHAnsi" w:cs="Arial"/>
          <w:sz w:val="22"/>
          <w:szCs w:val="22"/>
          <w:lang w:val="en-GB" w:eastAsia="en-GB"/>
        </w:rPr>
      </w:pPr>
      <w:r w:rsidRPr="008E0511">
        <w:rPr>
          <w:rFonts w:asciiTheme="minorHAnsi" w:hAnsiTheme="minorHAnsi" w:cs="Arial"/>
          <w:b/>
          <w:sz w:val="22"/>
          <w:szCs w:val="22"/>
          <w:lang w:val="en-GB" w:eastAsia="en-GB"/>
        </w:rPr>
        <w:t>Cocaine seizures</w:t>
      </w:r>
      <w:r w:rsidR="002A155C" w:rsidRPr="008E0511">
        <w:rPr>
          <w:rFonts w:asciiTheme="minorHAnsi" w:hAnsiTheme="minorHAnsi" w:cs="Arial"/>
          <w:b/>
          <w:sz w:val="22"/>
          <w:szCs w:val="22"/>
          <w:lang w:val="en-GB" w:eastAsia="en-GB"/>
        </w:rPr>
        <w:t xml:space="preserve"> </w:t>
      </w:r>
      <w:r w:rsidR="002A155C" w:rsidRPr="008E0511">
        <w:rPr>
          <w:rFonts w:asciiTheme="minorHAnsi" w:hAnsiTheme="minorHAnsi" w:cs="Arial"/>
          <w:sz w:val="22"/>
          <w:szCs w:val="22"/>
          <w:lang w:val="en-GB" w:eastAsia="en-GB"/>
        </w:rPr>
        <w:t>are at the highest level for many years and the drug</w:t>
      </w:r>
      <w:r w:rsidR="00F826CD">
        <w:rPr>
          <w:rFonts w:asciiTheme="minorHAnsi" w:hAnsiTheme="minorHAnsi" w:cs="Arial"/>
          <w:sz w:val="22"/>
          <w:szCs w:val="22"/>
          <w:lang w:val="en-GB" w:eastAsia="en-GB"/>
        </w:rPr>
        <w:t xml:space="preserve"> </w:t>
      </w:r>
      <w:r w:rsidR="002A155C" w:rsidRPr="008E0511">
        <w:rPr>
          <w:rFonts w:asciiTheme="minorHAnsi" w:hAnsiTheme="minorHAnsi" w:cs="Arial"/>
          <w:sz w:val="22"/>
          <w:szCs w:val="22"/>
          <w:lang w:val="en-GB" w:eastAsia="en-GB"/>
        </w:rPr>
        <w:t>is becoming increasing</w:t>
      </w:r>
      <w:r w:rsidR="00F548DF">
        <w:rPr>
          <w:rFonts w:asciiTheme="minorHAnsi" w:hAnsiTheme="minorHAnsi" w:cs="Arial"/>
          <w:sz w:val="22"/>
          <w:szCs w:val="22"/>
          <w:lang w:val="en-GB" w:eastAsia="en-GB"/>
        </w:rPr>
        <w:t>ly</w:t>
      </w:r>
      <w:r w:rsidR="002A155C" w:rsidRPr="008E0511">
        <w:rPr>
          <w:rFonts w:asciiTheme="minorHAnsi" w:hAnsiTheme="minorHAnsi" w:cs="Arial"/>
          <w:sz w:val="22"/>
          <w:szCs w:val="22"/>
          <w:lang w:val="en-GB" w:eastAsia="en-GB"/>
        </w:rPr>
        <w:t xml:space="preserve"> available</w:t>
      </w:r>
      <w:r w:rsidR="00207956" w:rsidRPr="008E0511">
        <w:rPr>
          <w:rFonts w:asciiTheme="minorHAnsi" w:hAnsiTheme="minorHAnsi" w:cs="Arial"/>
          <w:sz w:val="22"/>
          <w:szCs w:val="22"/>
          <w:lang w:val="en-GB" w:eastAsia="en-GB"/>
        </w:rPr>
        <w:t>.</w:t>
      </w:r>
      <w:r w:rsidR="002A155C" w:rsidRPr="008E0511">
        <w:rPr>
          <w:rFonts w:asciiTheme="minorHAnsi" w:hAnsiTheme="minorHAnsi" w:cs="Arial"/>
          <w:sz w:val="22"/>
          <w:szCs w:val="22"/>
          <w:lang w:val="en-GB" w:eastAsia="en-GB"/>
        </w:rPr>
        <w:t xml:space="preserve"> </w:t>
      </w:r>
      <w:r w:rsidR="00207956" w:rsidRPr="008E0511">
        <w:rPr>
          <w:rFonts w:asciiTheme="minorHAnsi" w:hAnsiTheme="minorHAnsi" w:cs="Arial"/>
          <w:sz w:val="22"/>
          <w:szCs w:val="22"/>
          <w:lang w:val="en-GB" w:eastAsia="en-GB"/>
        </w:rPr>
        <w:t>A</w:t>
      </w:r>
      <w:r w:rsidR="002A155C" w:rsidRPr="008E0511">
        <w:rPr>
          <w:rFonts w:asciiTheme="minorHAnsi" w:hAnsiTheme="minorHAnsi" w:cs="Arial"/>
          <w:sz w:val="22"/>
          <w:szCs w:val="22"/>
          <w:lang w:val="en-GB" w:eastAsia="en-GB"/>
        </w:rPr>
        <w:t>round 73,000 people entered treatment for cocaine-related problems in 2017</w:t>
      </w:r>
      <w:r w:rsidR="00F95D01" w:rsidRPr="008E0511">
        <w:rPr>
          <w:rFonts w:asciiTheme="minorHAnsi" w:hAnsiTheme="minorHAnsi" w:cs="Arial"/>
          <w:sz w:val="22"/>
          <w:szCs w:val="22"/>
          <w:lang w:val="en-GB" w:eastAsia="en-GB"/>
        </w:rPr>
        <w:t xml:space="preserve"> with </w:t>
      </w:r>
      <w:r w:rsidR="001A4AC6">
        <w:rPr>
          <w:rFonts w:asciiTheme="minorHAnsi" w:hAnsiTheme="minorHAnsi" w:cs="Arial"/>
          <w:sz w:val="22"/>
          <w:szCs w:val="22"/>
          <w:lang w:val="en-GB" w:eastAsia="en-GB"/>
        </w:rPr>
        <w:t>worrying</w:t>
      </w:r>
      <w:r w:rsidR="00F95D01" w:rsidRPr="008E0511">
        <w:rPr>
          <w:rFonts w:asciiTheme="minorHAnsi" w:hAnsiTheme="minorHAnsi" w:cs="Arial"/>
          <w:sz w:val="22"/>
          <w:szCs w:val="22"/>
          <w:lang w:val="en-GB" w:eastAsia="en-GB"/>
        </w:rPr>
        <w:t xml:space="preserve"> numbers involved in crack cocaine use</w:t>
      </w:r>
      <w:r w:rsidR="00E60A6F" w:rsidRPr="008E0511">
        <w:rPr>
          <w:rFonts w:asciiTheme="minorHAnsi" w:hAnsiTheme="minorHAnsi" w:cs="Arial"/>
          <w:sz w:val="22"/>
          <w:szCs w:val="22"/>
          <w:lang w:val="en-GB" w:eastAsia="en-GB"/>
        </w:rPr>
        <w:t>, which is evident in Ireland as well</w:t>
      </w:r>
      <w:r w:rsidR="002A155C" w:rsidRPr="008E0511">
        <w:rPr>
          <w:rFonts w:asciiTheme="minorHAnsi" w:hAnsiTheme="minorHAnsi" w:cs="Arial"/>
          <w:sz w:val="22"/>
          <w:szCs w:val="22"/>
          <w:lang w:val="en-GB" w:eastAsia="en-GB"/>
        </w:rPr>
        <w:t xml:space="preserve">.  </w:t>
      </w:r>
      <w:r w:rsidR="00F95D01" w:rsidRPr="008E0511">
        <w:rPr>
          <w:rFonts w:asciiTheme="minorHAnsi" w:hAnsiTheme="minorHAnsi" w:cs="Arial"/>
          <w:sz w:val="22"/>
          <w:szCs w:val="22"/>
          <w:lang w:val="en-GB" w:eastAsia="en-GB"/>
        </w:rPr>
        <w:t>The price of cocaine has not increased but in 2017 the purity of the drugs at street level reached the highest it had been for a decade. While large-volume trafficking is still a major challenge for law enforcement agencies, there is increasing evidence that distributors are taking advantage of the opportunity presented by social media, the darknet and other technological advances.</w:t>
      </w:r>
    </w:p>
    <w:p w:rsidR="002C046F" w:rsidRDefault="002C046F" w:rsidP="002C046F">
      <w:pPr>
        <w:pStyle w:val="NormalWeb"/>
        <w:spacing w:before="0" w:beforeAutospacing="0" w:after="0" w:afterAutospacing="0"/>
        <w:rPr>
          <w:rFonts w:asciiTheme="minorHAnsi" w:hAnsiTheme="minorHAnsi" w:cs="Arial"/>
          <w:sz w:val="22"/>
          <w:szCs w:val="22"/>
          <w:lang w:val="en-GB" w:eastAsia="en-GB"/>
        </w:rPr>
      </w:pPr>
    </w:p>
    <w:p w:rsidR="00F95D01" w:rsidRDefault="001911BD" w:rsidP="002C046F">
      <w:pPr>
        <w:pStyle w:val="NormalWeb"/>
        <w:spacing w:before="0" w:beforeAutospacing="0" w:after="0" w:afterAutospacing="0"/>
        <w:rPr>
          <w:rFonts w:asciiTheme="minorHAnsi" w:hAnsiTheme="minorHAnsi" w:cs="Arial"/>
          <w:sz w:val="22"/>
          <w:szCs w:val="22"/>
          <w:lang w:val="en-GB" w:eastAsia="en-GB"/>
        </w:rPr>
      </w:pPr>
      <w:r w:rsidRPr="008E0511">
        <w:rPr>
          <w:rFonts w:asciiTheme="minorHAnsi" w:hAnsiTheme="minorHAnsi" w:cs="Arial"/>
          <w:sz w:val="22"/>
          <w:szCs w:val="22"/>
          <w:lang w:val="en-GB" w:eastAsia="en-GB"/>
        </w:rPr>
        <w:t xml:space="preserve">Heroin is still the most common illicit opioid on the drug market in Europe and is a major contributor to health and social costs. </w:t>
      </w:r>
      <w:r w:rsidR="00F95D01" w:rsidRPr="008E0511">
        <w:rPr>
          <w:rFonts w:asciiTheme="minorHAnsi" w:hAnsiTheme="minorHAnsi" w:cs="Arial"/>
          <w:sz w:val="22"/>
          <w:szCs w:val="22"/>
          <w:lang w:val="en-GB" w:eastAsia="en-GB"/>
        </w:rPr>
        <w:t>Seizures of heroin</w:t>
      </w:r>
      <w:r w:rsidR="00A560F1" w:rsidRPr="008E0511">
        <w:rPr>
          <w:rFonts w:asciiTheme="minorHAnsi" w:hAnsiTheme="minorHAnsi" w:cs="Arial"/>
          <w:sz w:val="22"/>
          <w:szCs w:val="22"/>
          <w:lang w:val="en-GB" w:eastAsia="en-GB"/>
        </w:rPr>
        <w:t xml:space="preserve"> and of acetic anhydride, a precursor chemical, have increased as have d</w:t>
      </w:r>
      <w:r w:rsidRPr="008E0511">
        <w:rPr>
          <w:rFonts w:asciiTheme="minorHAnsi" w:hAnsiTheme="minorHAnsi" w:cs="Arial"/>
          <w:sz w:val="22"/>
          <w:szCs w:val="22"/>
          <w:lang w:val="en-GB" w:eastAsia="en-GB"/>
        </w:rPr>
        <w:t>iscoveries</w:t>
      </w:r>
      <w:r w:rsidR="00A560F1" w:rsidRPr="008E0511">
        <w:rPr>
          <w:rFonts w:asciiTheme="minorHAnsi" w:hAnsiTheme="minorHAnsi" w:cs="Arial"/>
          <w:sz w:val="22"/>
          <w:szCs w:val="22"/>
          <w:lang w:val="en-GB" w:eastAsia="en-GB"/>
        </w:rPr>
        <w:t xml:space="preserve"> of heroin-processing laboratories. The synthetic opioids that have driven the opioid epidemic in North America only represent </w:t>
      </w:r>
      <w:r w:rsidR="00F548DF">
        <w:rPr>
          <w:rFonts w:asciiTheme="minorHAnsi" w:hAnsiTheme="minorHAnsi" w:cs="Arial"/>
          <w:sz w:val="22"/>
          <w:szCs w:val="22"/>
          <w:lang w:val="en-GB" w:eastAsia="en-GB"/>
        </w:rPr>
        <w:t xml:space="preserve">a </w:t>
      </w:r>
      <w:r w:rsidR="00A560F1" w:rsidRPr="008E0511">
        <w:rPr>
          <w:rFonts w:asciiTheme="minorHAnsi" w:hAnsiTheme="minorHAnsi" w:cs="Arial"/>
          <w:sz w:val="22"/>
          <w:szCs w:val="22"/>
          <w:lang w:val="en-GB" w:eastAsia="en-GB"/>
        </w:rPr>
        <w:t xml:space="preserve">small share of the European drug </w:t>
      </w:r>
      <w:proofErr w:type="gramStart"/>
      <w:r w:rsidR="00A560F1" w:rsidRPr="008E0511">
        <w:rPr>
          <w:rFonts w:asciiTheme="minorHAnsi" w:hAnsiTheme="minorHAnsi" w:cs="Arial"/>
          <w:sz w:val="22"/>
          <w:szCs w:val="22"/>
          <w:lang w:val="en-GB" w:eastAsia="en-GB"/>
        </w:rPr>
        <w:t>market</w:t>
      </w:r>
      <w:proofErr w:type="gramEnd"/>
      <w:r w:rsidR="00A560F1" w:rsidRPr="008E0511">
        <w:rPr>
          <w:rFonts w:asciiTheme="minorHAnsi" w:hAnsiTheme="minorHAnsi" w:cs="Arial"/>
          <w:sz w:val="22"/>
          <w:szCs w:val="22"/>
          <w:lang w:val="en-GB" w:eastAsia="en-GB"/>
        </w:rPr>
        <w:t xml:space="preserve"> but they are </w:t>
      </w:r>
      <w:r w:rsidR="00F548DF">
        <w:rPr>
          <w:rFonts w:asciiTheme="minorHAnsi" w:hAnsiTheme="minorHAnsi" w:cs="Arial"/>
          <w:sz w:val="22"/>
          <w:szCs w:val="22"/>
          <w:lang w:val="en-GB" w:eastAsia="en-GB"/>
        </w:rPr>
        <w:t>a growing</w:t>
      </w:r>
      <w:r w:rsidR="00A560F1" w:rsidRPr="008E0511">
        <w:rPr>
          <w:rFonts w:asciiTheme="minorHAnsi" w:hAnsiTheme="minorHAnsi" w:cs="Arial"/>
          <w:sz w:val="22"/>
          <w:szCs w:val="22"/>
          <w:lang w:val="en-GB" w:eastAsia="en-GB"/>
        </w:rPr>
        <w:t xml:space="preserve"> concern with links to overdoses and death. Six fentanyl derivatives were detected in Europe for the first time in 2018.   Drug treatment monitoring data indicates that one in every five clients entering treatment for opioid use now reports a synthetic opioid as their main problem drugs.</w:t>
      </w:r>
    </w:p>
    <w:p w:rsidR="002C046F" w:rsidRPr="008E0511" w:rsidRDefault="002C046F" w:rsidP="002C046F">
      <w:pPr>
        <w:pStyle w:val="NormalWeb"/>
        <w:spacing w:before="0" w:beforeAutospacing="0" w:after="0" w:afterAutospacing="0"/>
        <w:rPr>
          <w:rFonts w:asciiTheme="minorHAnsi" w:hAnsiTheme="minorHAnsi" w:cs="Arial"/>
          <w:sz w:val="22"/>
          <w:szCs w:val="22"/>
          <w:lang w:val="en-GB" w:eastAsia="en-GB"/>
        </w:rPr>
      </w:pPr>
    </w:p>
    <w:p w:rsidR="001911BD" w:rsidRDefault="001911BD" w:rsidP="002C046F">
      <w:pPr>
        <w:pStyle w:val="NormalWeb"/>
        <w:spacing w:before="0" w:beforeAutospacing="0" w:after="0" w:afterAutospacing="0"/>
        <w:rPr>
          <w:rFonts w:asciiTheme="minorHAnsi" w:hAnsiTheme="minorHAnsi" w:cs="Arial"/>
          <w:sz w:val="22"/>
          <w:szCs w:val="22"/>
          <w:lang w:val="en-GB" w:eastAsia="en-GB"/>
        </w:rPr>
      </w:pPr>
      <w:r w:rsidRPr="008E0511">
        <w:rPr>
          <w:rFonts w:asciiTheme="minorHAnsi" w:hAnsiTheme="minorHAnsi" w:cs="Arial"/>
          <w:sz w:val="22"/>
          <w:szCs w:val="22"/>
          <w:lang w:val="en-GB" w:eastAsia="en-GB"/>
        </w:rPr>
        <w:t xml:space="preserve">Cannabis remains the most widely used illicit drug in Europe. Some 17.5 million or 14.4 % of young Europeans (15–34 years) are estimated have used cannabis in the last year (EU-28). Around 1% of adults (15–64 years) in the EU are estimated to be daily, or almost daily, cannabis users. Cannabis is now the </w:t>
      </w:r>
      <w:r w:rsidR="00E60A6F" w:rsidRPr="008E0511">
        <w:rPr>
          <w:rFonts w:asciiTheme="minorHAnsi" w:hAnsiTheme="minorHAnsi" w:cs="Arial"/>
          <w:sz w:val="22"/>
          <w:szCs w:val="22"/>
          <w:lang w:val="en-GB" w:eastAsia="en-GB"/>
        </w:rPr>
        <w:t>substance most often named by new entrants to drug treatment as their main reason for contact.</w:t>
      </w:r>
    </w:p>
    <w:p w:rsidR="002C046F" w:rsidRPr="008E0511" w:rsidRDefault="002C046F" w:rsidP="002C046F">
      <w:pPr>
        <w:pStyle w:val="NormalWeb"/>
        <w:spacing w:before="0" w:beforeAutospacing="0" w:after="0" w:afterAutospacing="0"/>
        <w:rPr>
          <w:rFonts w:asciiTheme="minorHAnsi" w:hAnsiTheme="minorHAnsi" w:cs="Arial"/>
          <w:sz w:val="22"/>
          <w:szCs w:val="22"/>
          <w:lang w:val="en-GB" w:eastAsia="en-GB"/>
        </w:rPr>
      </w:pPr>
    </w:p>
    <w:p w:rsidR="00A560F1" w:rsidRDefault="00E60A6F" w:rsidP="002C046F">
      <w:pPr>
        <w:pStyle w:val="NormalWeb"/>
        <w:spacing w:before="0" w:beforeAutospacing="0" w:after="0" w:afterAutospacing="0"/>
        <w:rPr>
          <w:rFonts w:asciiTheme="minorHAnsi" w:hAnsiTheme="minorHAnsi" w:cs="Arial"/>
          <w:sz w:val="22"/>
          <w:szCs w:val="22"/>
          <w:lang w:val="en-GB" w:eastAsia="en-GB"/>
        </w:rPr>
      </w:pPr>
      <w:r w:rsidRPr="008E0511">
        <w:rPr>
          <w:rFonts w:asciiTheme="minorHAnsi" w:hAnsiTheme="minorHAnsi" w:cs="Arial"/>
          <w:sz w:val="22"/>
          <w:szCs w:val="22"/>
          <w:lang w:val="en-GB" w:eastAsia="en-GB"/>
        </w:rPr>
        <w:t xml:space="preserve">Synthetic drug production in Europe appears to be growing, diversifying and becoming more innovative. </w:t>
      </w:r>
      <w:r w:rsidR="00E5604B" w:rsidRPr="008E0511">
        <w:rPr>
          <w:rFonts w:asciiTheme="minorHAnsi" w:hAnsiTheme="minorHAnsi" w:cs="Arial"/>
          <w:sz w:val="22"/>
          <w:szCs w:val="22"/>
          <w:lang w:val="en-GB" w:eastAsia="en-GB"/>
        </w:rPr>
        <w:t xml:space="preserve">Europe </w:t>
      </w:r>
      <w:r w:rsidRPr="008E0511">
        <w:rPr>
          <w:rFonts w:asciiTheme="minorHAnsi" w:hAnsiTheme="minorHAnsi" w:cs="Arial"/>
          <w:sz w:val="22"/>
          <w:szCs w:val="22"/>
          <w:lang w:val="en-GB" w:eastAsia="en-GB"/>
        </w:rPr>
        <w:t>is</w:t>
      </w:r>
      <w:r w:rsidR="00E5604B" w:rsidRPr="008E0511">
        <w:rPr>
          <w:rFonts w:asciiTheme="minorHAnsi" w:hAnsiTheme="minorHAnsi" w:cs="Arial"/>
          <w:sz w:val="22"/>
          <w:szCs w:val="22"/>
          <w:lang w:val="en-GB" w:eastAsia="en-GB"/>
        </w:rPr>
        <w:t xml:space="preserve"> producing amphetamines and MDMA for use in Europe and globally.  The purity of both types of drugs is as high as it has been for several years and there are indications of increasing levels of production, such as raids on MDMA laboratories and detections of precursor dumping.</w:t>
      </w:r>
    </w:p>
    <w:p w:rsidR="002C046F" w:rsidRPr="008E0511" w:rsidRDefault="002C046F" w:rsidP="002C046F">
      <w:pPr>
        <w:pStyle w:val="NormalWeb"/>
        <w:spacing w:before="0" w:beforeAutospacing="0" w:after="0" w:afterAutospacing="0"/>
        <w:rPr>
          <w:rFonts w:asciiTheme="minorHAnsi" w:hAnsiTheme="minorHAnsi" w:cs="Arial"/>
          <w:sz w:val="22"/>
          <w:szCs w:val="22"/>
          <w:lang w:val="en-GB" w:eastAsia="en-GB"/>
        </w:rPr>
      </w:pPr>
    </w:p>
    <w:p w:rsidR="001911BD" w:rsidRPr="008E0511" w:rsidRDefault="001911BD" w:rsidP="00E61F38">
      <w:pPr>
        <w:pStyle w:val="Heading2"/>
        <w:rPr>
          <w:lang w:val="en-GB" w:eastAsia="en-GB"/>
        </w:rPr>
      </w:pPr>
      <w:r w:rsidRPr="008E0511">
        <w:rPr>
          <w:lang w:val="en-GB" w:eastAsia="en-GB"/>
        </w:rPr>
        <w:t>Comparison of the EU and Irish drug situation</w:t>
      </w:r>
    </w:p>
    <w:p w:rsidR="005B48CA" w:rsidRPr="002C046F" w:rsidRDefault="005B48CA" w:rsidP="002C046F"/>
    <w:p w:rsidR="00144C9E" w:rsidRPr="002B70BB" w:rsidRDefault="00144C9E" w:rsidP="002C046F">
      <w:pPr>
        <w:rPr>
          <w:lang w:val="en-GB" w:eastAsia="en-GB"/>
        </w:rPr>
      </w:pPr>
      <w:r w:rsidRPr="0099228B">
        <w:rPr>
          <w:lang w:val="en-GB" w:eastAsia="en-GB"/>
        </w:rPr>
        <w:t>Cocaine</w:t>
      </w:r>
    </w:p>
    <w:p w:rsidR="00144C9E" w:rsidRPr="00FE3B12" w:rsidRDefault="00144C9E" w:rsidP="00E61F38">
      <w:pPr>
        <w:pStyle w:val="Heading4"/>
        <w:rPr>
          <w:lang w:val="en-GB" w:eastAsia="en-GB"/>
        </w:rPr>
      </w:pPr>
      <w:r w:rsidRPr="00FE3B12">
        <w:rPr>
          <w:lang w:val="en-GB" w:eastAsia="en-GB"/>
        </w:rPr>
        <w:t>European situation</w:t>
      </w:r>
    </w:p>
    <w:p w:rsidR="00144C9E" w:rsidRPr="0099228B" w:rsidRDefault="00144C9E" w:rsidP="00144C9E">
      <w:pPr>
        <w:numPr>
          <w:ilvl w:val="0"/>
          <w:numId w:val="11"/>
        </w:numPr>
        <w:spacing w:line="312" w:lineRule="auto"/>
        <w:rPr>
          <w:rFonts w:asciiTheme="minorHAnsi" w:hAnsiTheme="minorHAnsi" w:cs="Tahoma"/>
          <w:sz w:val="22"/>
        </w:rPr>
      </w:pPr>
      <w:r w:rsidRPr="00F164E2">
        <w:rPr>
          <w:rFonts w:asciiTheme="minorHAnsi" w:hAnsiTheme="minorHAnsi" w:cs="Arial"/>
          <w:sz w:val="22"/>
        </w:rPr>
        <w:t xml:space="preserve">Around </w:t>
      </w:r>
      <w:r>
        <w:rPr>
          <w:rFonts w:asciiTheme="minorHAnsi" w:hAnsiTheme="minorHAnsi" w:cs="Arial"/>
          <w:sz w:val="22"/>
        </w:rPr>
        <w:t>2.</w:t>
      </w:r>
      <w:r>
        <w:rPr>
          <w:rFonts w:asciiTheme="minorHAnsi" w:hAnsiTheme="minorHAnsi" w:cs="Arial"/>
          <w:sz w:val="22"/>
          <w:lang w:val="ga-IE"/>
        </w:rPr>
        <w:t>6</w:t>
      </w:r>
      <w:r w:rsidRPr="00F164E2">
        <w:rPr>
          <w:rFonts w:asciiTheme="minorHAnsi" w:hAnsiTheme="minorHAnsi" w:cs="Arial"/>
          <w:sz w:val="22"/>
        </w:rPr>
        <w:t> </w:t>
      </w:r>
      <w:r w:rsidRPr="00F164E2" w:rsidDel="006631B5">
        <w:rPr>
          <w:rFonts w:asciiTheme="minorHAnsi" w:hAnsiTheme="minorHAnsi" w:cs="Arial"/>
          <w:sz w:val="22"/>
        </w:rPr>
        <w:t xml:space="preserve">million young adults </w:t>
      </w:r>
      <w:r w:rsidRPr="00F164E2">
        <w:rPr>
          <w:rFonts w:asciiTheme="minorHAnsi" w:hAnsiTheme="minorHAnsi" w:cs="Arial"/>
          <w:sz w:val="22"/>
        </w:rPr>
        <w:t>(</w:t>
      </w:r>
      <w:r w:rsidRPr="00F164E2" w:rsidDel="006631B5">
        <w:rPr>
          <w:rFonts w:asciiTheme="minorHAnsi" w:hAnsiTheme="minorHAnsi" w:cs="Arial"/>
          <w:sz w:val="22"/>
        </w:rPr>
        <w:t>15</w:t>
      </w:r>
      <w:r w:rsidRPr="00F164E2">
        <w:rPr>
          <w:rFonts w:asciiTheme="minorHAnsi" w:hAnsiTheme="minorHAnsi" w:cs="Arial"/>
          <w:sz w:val="22"/>
        </w:rPr>
        <w:t>–</w:t>
      </w:r>
      <w:r w:rsidRPr="00F164E2" w:rsidDel="006631B5">
        <w:rPr>
          <w:rFonts w:asciiTheme="minorHAnsi" w:hAnsiTheme="minorHAnsi" w:cs="Arial"/>
          <w:sz w:val="22"/>
        </w:rPr>
        <w:t>34</w:t>
      </w:r>
      <w:r w:rsidRPr="00F164E2">
        <w:rPr>
          <w:rFonts w:asciiTheme="minorHAnsi" w:hAnsiTheme="minorHAnsi" w:cs="Arial"/>
          <w:sz w:val="22"/>
        </w:rPr>
        <w:t xml:space="preserve"> years) have used cocaine </w:t>
      </w:r>
      <w:r w:rsidRPr="00F164E2" w:rsidDel="006631B5">
        <w:rPr>
          <w:rFonts w:asciiTheme="minorHAnsi" w:hAnsiTheme="minorHAnsi" w:cs="Arial"/>
          <w:sz w:val="22"/>
        </w:rPr>
        <w:t>in the last year</w:t>
      </w:r>
      <w:r w:rsidRPr="00F164E2">
        <w:rPr>
          <w:rFonts w:asciiTheme="minorHAnsi" w:hAnsiTheme="minorHAnsi" w:cs="Arial"/>
          <w:sz w:val="22"/>
          <w:lang w:val="en-GB"/>
        </w:rPr>
        <w:t xml:space="preserve"> across Europe. </w:t>
      </w:r>
      <w:r>
        <w:rPr>
          <w:rFonts w:asciiTheme="minorHAnsi" w:hAnsiTheme="minorHAnsi" w:cs="Arial"/>
          <w:sz w:val="22"/>
          <w:lang w:val="en-GB"/>
        </w:rPr>
        <w:t>Of the 12 countries that have reported prevalence figures since 2016, three have reported higher estimates and nine countries were stable compared to previous survey.</w:t>
      </w:r>
    </w:p>
    <w:p w:rsidR="00144C9E" w:rsidRPr="00FF125B" w:rsidRDefault="00144C9E" w:rsidP="00144C9E">
      <w:pPr>
        <w:numPr>
          <w:ilvl w:val="0"/>
          <w:numId w:val="11"/>
        </w:numPr>
        <w:spacing w:line="312" w:lineRule="auto"/>
        <w:rPr>
          <w:rFonts w:asciiTheme="minorHAnsi" w:hAnsiTheme="minorHAnsi" w:cs="Tahoma"/>
          <w:sz w:val="22"/>
        </w:rPr>
      </w:pPr>
      <w:r>
        <w:rPr>
          <w:rFonts w:asciiTheme="minorHAnsi" w:hAnsiTheme="minorHAnsi" w:cs="Arial"/>
          <w:sz w:val="22"/>
          <w:lang w:val="en-GB"/>
        </w:rPr>
        <w:t>Between 2014 and 2017 t</w:t>
      </w:r>
      <w:r>
        <w:rPr>
          <w:rFonts w:asciiTheme="minorHAnsi" w:hAnsiTheme="minorHAnsi" w:cs="Arial"/>
          <w:sz w:val="22"/>
          <w:lang w:val="ga-IE"/>
        </w:rPr>
        <w:t xml:space="preserve">here was a 35% </w:t>
      </w:r>
      <w:r w:rsidRPr="00F164E2">
        <w:rPr>
          <w:rFonts w:asciiTheme="minorHAnsi" w:hAnsiTheme="minorHAnsi" w:cs="Arial"/>
          <w:sz w:val="22"/>
          <w:lang w:val="ga-IE"/>
        </w:rPr>
        <w:t>increase</w:t>
      </w:r>
      <w:r>
        <w:rPr>
          <w:rFonts w:asciiTheme="minorHAnsi" w:hAnsiTheme="minorHAnsi" w:cs="Arial"/>
          <w:sz w:val="22"/>
          <w:lang w:val="en-GB"/>
        </w:rPr>
        <w:t xml:space="preserve"> </w:t>
      </w:r>
      <w:r w:rsidRPr="00F164E2">
        <w:rPr>
          <w:rFonts w:asciiTheme="minorHAnsi" w:hAnsiTheme="minorHAnsi" w:cs="Arial"/>
          <w:sz w:val="22"/>
          <w:lang w:val="ga-IE"/>
        </w:rPr>
        <w:t>in the number of first-time entrants to drug treatment services with cocaine as a main problem drug.</w:t>
      </w:r>
      <w:r w:rsidRPr="00F164E2">
        <w:rPr>
          <w:rFonts w:asciiTheme="minorHAnsi" w:hAnsiTheme="minorHAnsi" w:cs="Arial"/>
          <w:sz w:val="22"/>
          <w:lang w:val="en-GB"/>
        </w:rPr>
        <w:t xml:space="preserve"> </w:t>
      </w:r>
    </w:p>
    <w:p w:rsidR="00144C9E" w:rsidRPr="0092316D" w:rsidRDefault="00144C9E" w:rsidP="00144C9E">
      <w:pPr>
        <w:numPr>
          <w:ilvl w:val="0"/>
          <w:numId w:val="11"/>
        </w:numPr>
        <w:spacing w:line="312" w:lineRule="auto"/>
        <w:rPr>
          <w:rFonts w:asciiTheme="minorHAnsi" w:hAnsiTheme="minorHAnsi" w:cs="Tahoma"/>
          <w:sz w:val="22"/>
        </w:rPr>
      </w:pPr>
      <w:r>
        <w:rPr>
          <w:rFonts w:asciiTheme="minorHAnsi" w:hAnsiTheme="minorHAnsi" w:cs="Arial"/>
          <w:sz w:val="22"/>
          <w:lang w:val="en-GB"/>
        </w:rPr>
        <w:t>An estimated 10,600 clients entered treatment for primary crack cocaine use in 2016.  Many of these clients report heroin as a secondary problem drug and they tend to be more socially marginalised than those in treatment for the use of powder cocaine.</w:t>
      </w:r>
    </w:p>
    <w:p w:rsidR="00144C9E" w:rsidRPr="00FF125B" w:rsidRDefault="00144C9E" w:rsidP="00144C9E">
      <w:pPr>
        <w:numPr>
          <w:ilvl w:val="0"/>
          <w:numId w:val="11"/>
        </w:numPr>
        <w:spacing w:line="312" w:lineRule="auto"/>
        <w:rPr>
          <w:rFonts w:asciiTheme="minorHAnsi" w:hAnsiTheme="minorHAnsi" w:cs="Tahoma"/>
          <w:sz w:val="22"/>
        </w:rPr>
      </w:pPr>
      <w:r>
        <w:rPr>
          <w:rFonts w:asciiTheme="minorHAnsi" w:hAnsiTheme="minorHAnsi" w:cs="Tahoma"/>
          <w:sz w:val="22"/>
          <w:lang w:val="ga-IE"/>
        </w:rPr>
        <w:lastRenderedPageBreak/>
        <w:t>Analyses of  municipal wastewater demonstrated an increase in cocaine residues in 22 cities (out of a total of 38) between 2017 and 2018.</w:t>
      </w:r>
    </w:p>
    <w:p w:rsidR="00144C9E" w:rsidRPr="002C046F" w:rsidRDefault="00144C9E" w:rsidP="00144C9E">
      <w:pPr>
        <w:spacing w:line="312" w:lineRule="auto"/>
        <w:ind w:left="720"/>
        <w:rPr>
          <w:rFonts w:asciiTheme="minorHAnsi" w:hAnsiTheme="minorHAnsi" w:cs="Tahoma"/>
          <w:sz w:val="22"/>
        </w:rPr>
      </w:pPr>
    </w:p>
    <w:p w:rsidR="00144C9E" w:rsidRPr="009E7DE4" w:rsidRDefault="00144C9E" w:rsidP="00E61F38">
      <w:pPr>
        <w:pStyle w:val="Heading4"/>
      </w:pPr>
      <w:r w:rsidRPr="009E7DE4">
        <w:t>Irish comparison</w:t>
      </w:r>
    </w:p>
    <w:p w:rsidR="00144C9E" w:rsidRPr="009E7DE4" w:rsidRDefault="00144C9E" w:rsidP="00144C9E">
      <w:pPr>
        <w:numPr>
          <w:ilvl w:val="0"/>
          <w:numId w:val="11"/>
        </w:numPr>
        <w:spacing w:line="312" w:lineRule="auto"/>
        <w:rPr>
          <w:rFonts w:asciiTheme="minorHAnsi" w:hAnsiTheme="minorHAnsi" w:cs="Tahoma"/>
          <w:sz w:val="22"/>
        </w:rPr>
      </w:pPr>
      <w:r w:rsidRPr="009E7DE4">
        <w:rPr>
          <w:rFonts w:asciiTheme="minorHAnsi" w:hAnsiTheme="minorHAnsi" w:cs="Arial"/>
          <w:sz w:val="22"/>
          <w:lang w:val="en-GB"/>
        </w:rPr>
        <w:t xml:space="preserve">In Ireland the most recent </w:t>
      </w:r>
      <w:r w:rsidRPr="009E7DE4">
        <w:rPr>
          <w:rFonts w:asciiTheme="minorHAnsi" w:hAnsiTheme="minorHAnsi" w:cs="Tahoma"/>
          <w:sz w:val="22"/>
        </w:rPr>
        <w:t xml:space="preserve">general population </w:t>
      </w:r>
      <w:r w:rsidRPr="009E7DE4">
        <w:rPr>
          <w:rFonts w:asciiTheme="minorHAnsi" w:hAnsiTheme="minorHAnsi" w:cs="Arial"/>
          <w:sz w:val="22"/>
          <w:lang w:val="en-GB"/>
        </w:rPr>
        <w:t xml:space="preserve">survey in 2014-15 shows that 2.9 per cent of </w:t>
      </w:r>
      <w:r w:rsidRPr="009E7DE4">
        <w:rPr>
          <w:rFonts w:asciiTheme="minorHAnsi" w:hAnsiTheme="minorHAnsi" w:cs="Tahoma"/>
          <w:sz w:val="22"/>
        </w:rPr>
        <w:t>15–34-year</w:t>
      </w:r>
      <w:r>
        <w:rPr>
          <w:rFonts w:asciiTheme="minorHAnsi" w:hAnsiTheme="minorHAnsi" w:cs="Tahoma"/>
          <w:sz w:val="22"/>
          <w:lang w:val="ga-IE"/>
        </w:rPr>
        <w:t xml:space="preserve"> </w:t>
      </w:r>
      <w:r w:rsidRPr="009E7DE4">
        <w:rPr>
          <w:rFonts w:asciiTheme="minorHAnsi" w:hAnsiTheme="minorHAnsi" w:cs="Tahoma"/>
          <w:sz w:val="22"/>
        </w:rPr>
        <w:t xml:space="preserve">olds </w:t>
      </w:r>
      <w:r w:rsidRPr="009E7DE4">
        <w:rPr>
          <w:rFonts w:asciiTheme="minorHAnsi" w:hAnsiTheme="minorHAnsi" w:cs="Arial"/>
          <w:sz w:val="22"/>
          <w:lang w:val="en-GB"/>
        </w:rPr>
        <w:t>used cocaine in the last year</w:t>
      </w:r>
      <w:r w:rsidRPr="009E7DE4">
        <w:rPr>
          <w:rFonts w:asciiTheme="minorHAnsi" w:hAnsiTheme="minorHAnsi" w:cs="Tahoma"/>
          <w:sz w:val="22"/>
        </w:rPr>
        <w:t xml:space="preserve"> which ha</w:t>
      </w:r>
      <w:r w:rsidRPr="009E7DE4">
        <w:rPr>
          <w:rFonts w:asciiTheme="minorHAnsi" w:hAnsiTheme="minorHAnsi" w:cs="Tahoma"/>
          <w:sz w:val="22"/>
          <w:lang w:val="ga-IE"/>
        </w:rPr>
        <w:t>d</w:t>
      </w:r>
      <w:r w:rsidRPr="009E7DE4">
        <w:rPr>
          <w:rFonts w:asciiTheme="minorHAnsi" w:hAnsiTheme="minorHAnsi" w:cs="Tahoma"/>
          <w:sz w:val="22"/>
        </w:rPr>
        <w:t xml:space="preserve"> not changed since the 2010/11 survey.  </w:t>
      </w:r>
      <w:r w:rsidRPr="009E7DE4">
        <w:rPr>
          <w:rFonts w:asciiTheme="minorHAnsi" w:hAnsiTheme="minorHAnsi" w:cs="Tahoma"/>
          <w:sz w:val="22"/>
          <w:lang w:val="ga-IE"/>
        </w:rPr>
        <w:t>This is lower than the corresponding figure for the UK (4.</w:t>
      </w:r>
      <w:r>
        <w:rPr>
          <w:rFonts w:asciiTheme="minorHAnsi" w:hAnsiTheme="minorHAnsi" w:cs="Tahoma"/>
          <w:sz w:val="22"/>
          <w:lang w:val="ga-IE"/>
        </w:rPr>
        <w:t>7</w:t>
      </w:r>
      <w:r w:rsidRPr="009E7DE4">
        <w:rPr>
          <w:rFonts w:asciiTheme="minorHAnsi" w:hAnsiTheme="minorHAnsi" w:cs="Tahoma"/>
          <w:sz w:val="22"/>
          <w:lang w:val="ga-IE"/>
        </w:rPr>
        <w:t>%)</w:t>
      </w:r>
      <w:r>
        <w:rPr>
          <w:rFonts w:asciiTheme="minorHAnsi" w:hAnsiTheme="minorHAnsi" w:cs="Tahoma"/>
          <w:sz w:val="22"/>
          <w:lang w:val="ga-IE"/>
        </w:rPr>
        <w:t>, the Netherlands (4.5%) and roughly the same as Denmark</w:t>
      </w:r>
      <w:r w:rsidR="005B48CA">
        <w:rPr>
          <w:rFonts w:asciiTheme="minorHAnsi" w:hAnsiTheme="minorHAnsi" w:cs="Tahoma"/>
          <w:sz w:val="22"/>
          <w:lang w:val="ga-IE"/>
        </w:rPr>
        <w:t>, Spain</w:t>
      </w:r>
      <w:r>
        <w:rPr>
          <w:rFonts w:asciiTheme="minorHAnsi" w:hAnsiTheme="minorHAnsi" w:cs="Tahoma"/>
          <w:sz w:val="22"/>
          <w:lang w:val="ga-IE"/>
        </w:rPr>
        <w:t xml:space="preserve"> and</w:t>
      </w:r>
      <w:r w:rsidRPr="009E7DE4">
        <w:rPr>
          <w:rFonts w:asciiTheme="minorHAnsi" w:hAnsiTheme="minorHAnsi" w:cs="Tahoma"/>
          <w:sz w:val="22"/>
          <w:lang w:val="ga-IE"/>
        </w:rPr>
        <w:t xml:space="preserve"> France.  </w:t>
      </w:r>
      <w:r w:rsidRPr="009E7DE4">
        <w:rPr>
          <w:rFonts w:asciiTheme="minorHAnsi" w:hAnsiTheme="minorHAnsi" w:cs="Tahoma"/>
          <w:sz w:val="22"/>
          <w:lang w:val="en-GB"/>
        </w:rPr>
        <w:t xml:space="preserve">Only </w:t>
      </w:r>
      <w:r>
        <w:rPr>
          <w:rFonts w:asciiTheme="minorHAnsi" w:hAnsiTheme="minorHAnsi" w:cs="Tahoma"/>
          <w:sz w:val="22"/>
          <w:lang w:val="en-GB"/>
        </w:rPr>
        <w:t>six</w:t>
      </w:r>
      <w:r w:rsidRPr="009E7DE4">
        <w:rPr>
          <w:rFonts w:asciiTheme="minorHAnsi" w:hAnsiTheme="minorHAnsi" w:cs="Tahoma"/>
          <w:sz w:val="22"/>
          <w:lang w:val="en-GB"/>
        </w:rPr>
        <w:t xml:space="preserve"> countries report</w:t>
      </w:r>
      <w:r>
        <w:rPr>
          <w:rFonts w:asciiTheme="minorHAnsi" w:hAnsiTheme="minorHAnsi" w:cs="Tahoma"/>
          <w:sz w:val="22"/>
          <w:lang w:val="en-GB"/>
        </w:rPr>
        <w:t>ed</w:t>
      </w:r>
      <w:r w:rsidRPr="009E7DE4">
        <w:rPr>
          <w:rFonts w:asciiTheme="minorHAnsi" w:hAnsiTheme="minorHAnsi" w:cs="Tahoma"/>
          <w:sz w:val="22"/>
          <w:lang w:val="en-GB"/>
        </w:rPr>
        <w:t xml:space="preserve"> last year prevalence of cocaine use among young adults of 2.5% or more.</w:t>
      </w:r>
    </w:p>
    <w:p w:rsidR="00144C9E" w:rsidRPr="009E7DE4" w:rsidRDefault="00144C9E" w:rsidP="00144C9E">
      <w:pPr>
        <w:numPr>
          <w:ilvl w:val="0"/>
          <w:numId w:val="11"/>
        </w:numPr>
        <w:spacing w:line="312" w:lineRule="auto"/>
        <w:rPr>
          <w:rFonts w:asciiTheme="minorHAnsi" w:hAnsiTheme="minorHAnsi" w:cs="Tahoma"/>
          <w:bCs/>
          <w:sz w:val="22"/>
        </w:rPr>
      </w:pPr>
      <w:r>
        <w:rPr>
          <w:rFonts w:asciiTheme="minorHAnsi" w:eastAsia="Times New Roman" w:hAnsiTheme="minorHAnsi" w:cs="Tahoma"/>
          <w:bCs/>
          <w:sz w:val="22"/>
          <w:lang w:val="ga-IE"/>
        </w:rPr>
        <w:t xml:space="preserve">Cocaine is the third most common drug reported by those entering drug treatment in Ireland. </w:t>
      </w:r>
      <w:r w:rsidRPr="009E7DE4">
        <w:rPr>
          <w:rFonts w:asciiTheme="minorHAnsi" w:eastAsia="Times New Roman" w:hAnsiTheme="minorHAnsi" w:cs="Tahoma"/>
          <w:bCs/>
          <w:sz w:val="22"/>
        </w:rPr>
        <w:t xml:space="preserve">Since 2014 there has been a steady increase in the proportion of </w:t>
      </w:r>
      <w:r w:rsidRPr="009E7DE4">
        <w:rPr>
          <w:rFonts w:asciiTheme="minorHAnsi" w:hAnsiTheme="minorHAnsi" w:cs="Tahoma"/>
          <w:bCs/>
          <w:sz w:val="22"/>
        </w:rPr>
        <w:t xml:space="preserve">new </w:t>
      </w:r>
      <w:r w:rsidRPr="009E7DE4">
        <w:rPr>
          <w:rFonts w:asciiTheme="minorHAnsi" w:eastAsia="Times New Roman" w:hAnsiTheme="minorHAnsi" w:cs="Tahoma"/>
          <w:bCs/>
          <w:sz w:val="22"/>
        </w:rPr>
        <w:t xml:space="preserve">cases </w:t>
      </w:r>
      <w:r w:rsidRPr="009E7DE4">
        <w:rPr>
          <w:rFonts w:asciiTheme="minorHAnsi" w:hAnsiTheme="minorHAnsi" w:cs="Tahoma"/>
          <w:bCs/>
          <w:sz w:val="22"/>
        </w:rPr>
        <w:t xml:space="preserve">for treatment </w:t>
      </w:r>
      <w:r w:rsidRPr="009E7DE4">
        <w:rPr>
          <w:rFonts w:asciiTheme="minorHAnsi" w:eastAsia="Times New Roman" w:hAnsiTheme="minorHAnsi" w:cs="Tahoma"/>
          <w:bCs/>
          <w:sz w:val="22"/>
        </w:rPr>
        <w:t>reporting cocaine as a main problem drug</w:t>
      </w:r>
      <w:r w:rsidRPr="009E7DE4">
        <w:rPr>
          <w:rFonts w:asciiTheme="minorHAnsi" w:hAnsiTheme="minorHAnsi" w:cs="Tahoma"/>
          <w:bCs/>
          <w:sz w:val="22"/>
        </w:rPr>
        <w:t xml:space="preserve"> in Ireland</w:t>
      </w:r>
      <w:r w:rsidRPr="009E7DE4">
        <w:rPr>
          <w:rFonts w:asciiTheme="minorHAnsi" w:eastAsia="Times New Roman" w:hAnsiTheme="minorHAnsi" w:cs="Tahoma"/>
          <w:bCs/>
          <w:sz w:val="22"/>
        </w:rPr>
        <w:t>, rising from</w:t>
      </w:r>
      <w:r w:rsidRPr="009E7DE4">
        <w:rPr>
          <w:rFonts w:asciiTheme="minorHAnsi" w:hAnsiTheme="minorHAnsi" w:cs="Tahoma"/>
          <w:bCs/>
          <w:sz w:val="22"/>
        </w:rPr>
        <w:t xml:space="preserve"> a low of 297 cases in</w:t>
      </w:r>
      <w:r w:rsidRPr="009E7DE4">
        <w:rPr>
          <w:rFonts w:asciiTheme="minorHAnsi" w:eastAsia="Times New Roman" w:hAnsiTheme="minorHAnsi" w:cs="Tahoma"/>
          <w:bCs/>
          <w:sz w:val="22"/>
        </w:rPr>
        <w:t xml:space="preserve"> 201</w:t>
      </w:r>
      <w:r w:rsidR="005B48CA">
        <w:rPr>
          <w:rFonts w:asciiTheme="minorHAnsi" w:eastAsia="Times New Roman" w:hAnsiTheme="minorHAnsi" w:cs="Tahoma"/>
          <w:bCs/>
          <w:sz w:val="22"/>
        </w:rPr>
        <w:t>2</w:t>
      </w:r>
      <w:r w:rsidRPr="009E7DE4">
        <w:rPr>
          <w:rFonts w:asciiTheme="minorHAnsi" w:eastAsia="Times New Roman" w:hAnsiTheme="minorHAnsi" w:cs="Tahoma"/>
          <w:bCs/>
          <w:sz w:val="22"/>
        </w:rPr>
        <w:t xml:space="preserve"> to </w:t>
      </w:r>
      <w:r>
        <w:rPr>
          <w:rFonts w:asciiTheme="minorHAnsi" w:hAnsiTheme="minorHAnsi" w:cs="Tahoma"/>
          <w:bCs/>
          <w:sz w:val="22"/>
          <w:lang w:val="ga-IE"/>
        </w:rPr>
        <w:t>748</w:t>
      </w:r>
      <w:r w:rsidRPr="009E7DE4">
        <w:rPr>
          <w:rFonts w:asciiTheme="minorHAnsi" w:hAnsiTheme="minorHAnsi" w:cs="Tahoma"/>
          <w:bCs/>
          <w:sz w:val="22"/>
        </w:rPr>
        <w:t xml:space="preserve"> cases in</w:t>
      </w:r>
      <w:r w:rsidRPr="009E7DE4">
        <w:rPr>
          <w:rFonts w:asciiTheme="minorHAnsi" w:eastAsia="Times New Roman" w:hAnsiTheme="minorHAnsi" w:cs="Tahoma"/>
          <w:bCs/>
          <w:sz w:val="22"/>
        </w:rPr>
        <w:t xml:space="preserve"> 201</w:t>
      </w:r>
      <w:r>
        <w:rPr>
          <w:rFonts w:asciiTheme="minorHAnsi" w:eastAsia="Times New Roman" w:hAnsiTheme="minorHAnsi" w:cs="Tahoma"/>
          <w:bCs/>
          <w:sz w:val="22"/>
          <w:lang w:val="ga-IE"/>
        </w:rPr>
        <w:t>7</w:t>
      </w:r>
      <w:r w:rsidRPr="009E7DE4">
        <w:rPr>
          <w:rFonts w:asciiTheme="minorHAnsi" w:eastAsia="Times New Roman" w:hAnsiTheme="minorHAnsi" w:cs="Tahoma"/>
          <w:bCs/>
          <w:sz w:val="22"/>
        </w:rPr>
        <w:t xml:space="preserve">. </w:t>
      </w:r>
    </w:p>
    <w:p w:rsidR="00144C9E" w:rsidRPr="00F076C9" w:rsidRDefault="00144C9E" w:rsidP="00144C9E">
      <w:pPr>
        <w:numPr>
          <w:ilvl w:val="0"/>
          <w:numId w:val="11"/>
        </w:numPr>
        <w:spacing w:line="312" w:lineRule="auto"/>
        <w:rPr>
          <w:rFonts w:asciiTheme="minorHAnsi" w:hAnsiTheme="minorHAnsi" w:cs="Tahoma"/>
          <w:bCs/>
          <w:sz w:val="22"/>
        </w:rPr>
      </w:pPr>
      <w:r>
        <w:rPr>
          <w:rFonts w:asciiTheme="minorHAnsi" w:hAnsiTheme="minorHAnsi" w:cs="Tahoma"/>
          <w:bCs/>
          <w:sz w:val="22"/>
          <w:lang w:val="ga-IE"/>
        </w:rPr>
        <w:t>Cocaine was implicated in 41 deaths in Ireland in 2016, slightly down from the 45 deaths recorded in 2015.</w:t>
      </w:r>
    </w:p>
    <w:p w:rsidR="00144C9E" w:rsidRPr="00F076C9" w:rsidRDefault="00144C9E" w:rsidP="00144C9E">
      <w:pPr>
        <w:numPr>
          <w:ilvl w:val="0"/>
          <w:numId w:val="11"/>
        </w:numPr>
        <w:spacing w:line="312" w:lineRule="auto"/>
        <w:rPr>
          <w:rFonts w:asciiTheme="minorHAnsi" w:hAnsiTheme="minorHAnsi" w:cs="Tahoma"/>
          <w:bCs/>
          <w:sz w:val="22"/>
        </w:rPr>
      </w:pPr>
      <w:r w:rsidRPr="00F076C9">
        <w:rPr>
          <w:rFonts w:asciiTheme="minorHAnsi" w:hAnsiTheme="minorHAnsi"/>
          <w:sz w:val="22"/>
        </w:rPr>
        <w:t xml:space="preserve">Crack cocaine was reported as the main drug for 11.5% of cases </w:t>
      </w:r>
      <w:r>
        <w:rPr>
          <w:rFonts w:asciiTheme="minorHAnsi" w:hAnsiTheme="minorHAnsi"/>
          <w:sz w:val="22"/>
          <w:lang w:val="ga-IE"/>
        </w:rPr>
        <w:t>entering treatment for cocaine use</w:t>
      </w:r>
      <w:r w:rsidRPr="00F076C9">
        <w:rPr>
          <w:rFonts w:asciiTheme="minorHAnsi" w:hAnsiTheme="minorHAnsi"/>
          <w:sz w:val="22"/>
        </w:rPr>
        <w:t xml:space="preserve"> </w:t>
      </w:r>
      <w:r>
        <w:rPr>
          <w:rFonts w:asciiTheme="minorHAnsi" w:hAnsiTheme="minorHAnsi"/>
          <w:sz w:val="22"/>
        </w:rPr>
        <w:t xml:space="preserve">in </w:t>
      </w:r>
      <w:r w:rsidRPr="00F076C9">
        <w:rPr>
          <w:rFonts w:asciiTheme="minorHAnsi" w:hAnsiTheme="minorHAnsi"/>
          <w:sz w:val="22"/>
        </w:rPr>
        <w:t xml:space="preserve">2017. </w:t>
      </w:r>
    </w:p>
    <w:p w:rsidR="004074CB" w:rsidRPr="008E0511" w:rsidRDefault="004074CB" w:rsidP="008E0511">
      <w:pPr>
        <w:numPr>
          <w:ilvl w:val="0"/>
          <w:numId w:val="11"/>
        </w:numPr>
        <w:spacing w:line="312" w:lineRule="auto"/>
        <w:rPr>
          <w:rFonts w:asciiTheme="minorHAnsi" w:hAnsiTheme="minorHAnsi" w:cs="Tahoma"/>
          <w:bCs/>
          <w:sz w:val="22"/>
        </w:rPr>
      </w:pPr>
      <w:r w:rsidRPr="008E0511">
        <w:rPr>
          <w:rFonts w:asciiTheme="minorHAnsi" w:hAnsiTheme="minorHAnsi" w:cs="Tahoma"/>
          <w:bCs/>
          <w:sz w:val="22"/>
        </w:rPr>
        <w:t>The number of cocaine seizures decreased from a peak of 1,749 in 2007 t</w:t>
      </w:r>
      <w:r w:rsidR="00F826CD">
        <w:rPr>
          <w:rFonts w:asciiTheme="minorHAnsi" w:hAnsiTheme="minorHAnsi" w:cs="Tahoma"/>
          <w:bCs/>
          <w:sz w:val="22"/>
        </w:rPr>
        <w:t>o 364 in 2015.</w:t>
      </w:r>
      <w:r w:rsidRPr="008E0511">
        <w:rPr>
          <w:rFonts w:asciiTheme="minorHAnsi" w:hAnsiTheme="minorHAnsi" w:cs="Tahoma"/>
          <w:bCs/>
          <w:sz w:val="22"/>
        </w:rPr>
        <w:t xml:space="preserve"> However, in 2016, cocaine seizures increased by 63% from the 2015 figure with a further 33% increase evident in 2017.</w:t>
      </w:r>
    </w:p>
    <w:p w:rsidR="00F076C9" w:rsidRPr="008E0511" w:rsidRDefault="00F076C9" w:rsidP="008E0511">
      <w:pPr>
        <w:spacing w:line="312" w:lineRule="auto"/>
        <w:rPr>
          <w:rFonts w:asciiTheme="minorHAnsi" w:hAnsiTheme="minorHAnsi" w:cs="Tahoma"/>
          <w:bCs/>
          <w:sz w:val="22"/>
          <w:lang w:val="ga-IE"/>
        </w:rPr>
      </w:pPr>
    </w:p>
    <w:p w:rsidR="00492657" w:rsidRPr="008E0511" w:rsidRDefault="00492657" w:rsidP="00E61F38">
      <w:pPr>
        <w:pStyle w:val="Heading3"/>
        <w:rPr>
          <w:rFonts w:cs="Tahoma"/>
          <w:bCs/>
        </w:rPr>
      </w:pPr>
      <w:r w:rsidRPr="008E0511">
        <w:rPr>
          <w:lang w:val="en-GB" w:eastAsia="en-GB"/>
        </w:rPr>
        <w:t>Cannabis:</w:t>
      </w:r>
      <w:r w:rsidR="000B16B0" w:rsidRPr="008E0511">
        <w:rPr>
          <w:lang w:val="en-GB" w:eastAsia="en-GB"/>
        </w:rPr>
        <w:t xml:space="preserve"> </w:t>
      </w:r>
      <w:r w:rsidRPr="008E0511">
        <w:rPr>
          <w:lang w:val="en-GB" w:eastAsia="en-GB"/>
        </w:rPr>
        <w:t>availability and use</w:t>
      </w:r>
    </w:p>
    <w:p w:rsidR="00F076C9" w:rsidRPr="002C046F" w:rsidRDefault="00F076C9" w:rsidP="008E0511">
      <w:pPr>
        <w:pStyle w:val="NormalWeb"/>
        <w:spacing w:before="0" w:beforeAutospacing="0" w:after="0" w:afterAutospacing="0" w:line="312" w:lineRule="auto"/>
        <w:rPr>
          <w:rFonts w:asciiTheme="minorHAnsi" w:hAnsiTheme="minorHAnsi" w:cs="Arial"/>
          <w:sz w:val="22"/>
          <w:szCs w:val="22"/>
          <w:lang w:val="en-GB" w:eastAsia="en-GB"/>
        </w:rPr>
      </w:pPr>
    </w:p>
    <w:p w:rsidR="004C77A2" w:rsidRPr="008E0511" w:rsidRDefault="004C77A2" w:rsidP="00E61F38">
      <w:pPr>
        <w:pStyle w:val="Heading4"/>
        <w:rPr>
          <w:lang w:val="en-GB" w:eastAsia="en-GB"/>
        </w:rPr>
      </w:pPr>
      <w:r w:rsidRPr="008E0511">
        <w:rPr>
          <w:lang w:val="en-GB" w:eastAsia="en-GB"/>
        </w:rPr>
        <w:t>European situation</w:t>
      </w:r>
    </w:p>
    <w:p w:rsidR="004C77A2" w:rsidRPr="008E0511" w:rsidRDefault="004C77A2" w:rsidP="008E0511">
      <w:pPr>
        <w:pStyle w:val="NormalWeb"/>
        <w:numPr>
          <w:ilvl w:val="0"/>
          <w:numId w:val="18"/>
        </w:numPr>
        <w:spacing w:before="0" w:beforeAutospacing="0" w:after="0" w:afterAutospacing="0" w:line="312" w:lineRule="auto"/>
        <w:rPr>
          <w:rFonts w:asciiTheme="minorHAnsi" w:hAnsiTheme="minorHAnsi" w:cs="Arial"/>
          <w:sz w:val="22"/>
          <w:szCs w:val="22"/>
          <w:lang w:val="en-GB" w:eastAsia="en-GB"/>
        </w:rPr>
      </w:pPr>
      <w:r w:rsidRPr="008E0511">
        <w:rPr>
          <w:rFonts w:asciiTheme="minorHAnsi" w:hAnsiTheme="minorHAnsi" w:cs="Arial"/>
          <w:sz w:val="22"/>
          <w:szCs w:val="22"/>
          <w:lang w:val="en-GB" w:eastAsia="en-GB"/>
        </w:rPr>
        <w:t xml:space="preserve">Cannabis </w:t>
      </w:r>
      <w:r w:rsidR="00EE1DF7" w:rsidRPr="008E0511">
        <w:rPr>
          <w:rFonts w:asciiTheme="minorHAnsi" w:hAnsiTheme="minorHAnsi" w:cs="Arial"/>
          <w:sz w:val="22"/>
          <w:szCs w:val="22"/>
          <w:lang w:val="en-GB" w:eastAsia="en-GB"/>
        </w:rPr>
        <w:t>is most commonly</w:t>
      </w:r>
      <w:r w:rsidRPr="008E0511">
        <w:rPr>
          <w:rFonts w:asciiTheme="minorHAnsi" w:hAnsiTheme="minorHAnsi" w:cs="Arial"/>
          <w:sz w:val="22"/>
          <w:szCs w:val="22"/>
          <w:lang w:val="en-GB" w:eastAsia="en-GB"/>
        </w:rPr>
        <w:t xml:space="preserve"> used illicit drug in Europe, </w:t>
      </w:r>
      <w:r w:rsidR="00EE1DF7" w:rsidRPr="008E0511">
        <w:rPr>
          <w:rFonts w:asciiTheme="minorHAnsi" w:hAnsiTheme="minorHAnsi" w:cs="Arial"/>
          <w:sz w:val="22"/>
          <w:szCs w:val="22"/>
          <w:lang w:val="en-GB" w:eastAsia="en-GB"/>
        </w:rPr>
        <w:t xml:space="preserve">across all age groups.  </w:t>
      </w:r>
    </w:p>
    <w:p w:rsidR="004C77A2" w:rsidRPr="008E0511" w:rsidRDefault="004C77A2" w:rsidP="008E0511">
      <w:pPr>
        <w:pStyle w:val="NormalWeb"/>
        <w:numPr>
          <w:ilvl w:val="0"/>
          <w:numId w:val="18"/>
        </w:numPr>
        <w:spacing w:line="312" w:lineRule="auto"/>
        <w:rPr>
          <w:rFonts w:asciiTheme="minorHAnsi" w:hAnsiTheme="minorHAnsi" w:cs="Arial"/>
          <w:sz w:val="22"/>
          <w:szCs w:val="22"/>
          <w:lang w:val="en-GB" w:eastAsia="en-GB"/>
        </w:rPr>
      </w:pPr>
      <w:r w:rsidRPr="008E0511">
        <w:rPr>
          <w:rFonts w:asciiTheme="minorHAnsi" w:hAnsiTheme="minorHAnsi" w:cs="Tahoma"/>
          <w:sz w:val="22"/>
          <w:szCs w:val="22"/>
        </w:rPr>
        <w:t xml:space="preserve">The EMCDDA estimates that </w:t>
      </w:r>
      <w:r w:rsidRPr="008E0511">
        <w:rPr>
          <w:rFonts w:asciiTheme="minorHAnsi" w:hAnsiTheme="minorHAnsi" w:cs="Tahoma"/>
          <w:sz w:val="22"/>
          <w:szCs w:val="22"/>
          <w:lang w:val="ga-IE"/>
        </w:rPr>
        <w:t>14</w:t>
      </w:r>
      <w:r w:rsidR="00EE1DF7" w:rsidRPr="008E0511">
        <w:rPr>
          <w:rFonts w:asciiTheme="minorHAnsi" w:hAnsiTheme="minorHAnsi" w:cs="Tahoma"/>
          <w:sz w:val="22"/>
          <w:szCs w:val="22"/>
          <w:lang w:val="ga-IE"/>
        </w:rPr>
        <w:t>.4</w:t>
      </w:r>
      <w:r w:rsidRPr="008E0511">
        <w:rPr>
          <w:rFonts w:asciiTheme="minorHAnsi" w:hAnsiTheme="minorHAnsi" w:cs="Tahoma"/>
          <w:sz w:val="22"/>
          <w:szCs w:val="22"/>
        </w:rPr>
        <w:t xml:space="preserve">% of young </w:t>
      </w:r>
      <w:r w:rsidR="00EE1DF7" w:rsidRPr="008E0511">
        <w:rPr>
          <w:rFonts w:asciiTheme="minorHAnsi" w:hAnsiTheme="minorHAnsi" w:cs="Tahoma"/>
          <w:sz w:val="22"/>
          <w:szCs w:val="22"/>
          <w:lang w:val="ga-IE"/>
        </w:rPr>
        <w:t>adults</w:t>
      </w:r>
      <w:r w:rsidRPr="008E0511">
        <w:rPr>
          <w:rFonts w:asciiTheme="minorHAnsi" w:hAnsiTheme="minorHAnsi" w:cs="Tahoma"/>
          <w:sz w:val="22"/>
          <w:szCs w:val="22"/>
        </w:rPr>
        <w:t xml:space="preserve"> (15–34 years)</w:t>
      </w:r>
      <w:r w:rsidR="00EE1DF7" w:rsidRPr="008E0511">
        <w:rPr>
          <w:rFonts w:asciiTheme="minorHAnsi" w:hAnsiTheme="minorHAnsi" w:cs="Tahoma"/>
          <w:sz w:val="22"/>
          <w:szCs w:val="22"/>
          <w:lang w:val="ga-IE"/>
        </w:rPr>
        <w:t xml:space="preserve"> – an estimated 17.5 million people -</w:t>
      </w:r>
      <w:r w:rsidRPr="008E0511">
        <w:rPr>
          <w:rFonts w:asciiTheme="minorHAnsi" w:hAnsiTheme="minorHAnsi" w:cs="Tahoma"/>
          <w:sz w:val="22"/>
          <w:szCs w:val="22"/>
        </w:rPr>
        <w:t xml:space="preserve"> used cannabis in the last year.</w:t>
      </w:r>
      <w:r w:rsidR="00EE1DF7" w:rsidRPr="008E0511">
        <w:rPr>
          <w:rFonts w:asciiTheme="minorHAnsi" w:hAnsiTheme="minorHAnsi" w:cs="Tahoma"/>
          <w:sz w:val="22"/>
          <w:szCs w:val="22"/>
          <w:lang w:val="ga-IE"/>
        </w:rPr>
        <w:t xml:space="preserve"> Last year prevalence in this age group ranged from </w:t>
      </w:r>
      <w:r w:rsidR="00EE1DF7" w:rsidRPr="008E0511">
        <w:rPr>
          <w:rFonts w:asciiTheme="minorHAnsi" w:hAnsiTheme="minorHAnsi" w:cs="Tahoma"/>
          <w:sz w:val="22"/>
          <w:szCs w:val="22"/>
          <w:lang w:val="en-GB"/>
        </w:rPr>
        <w:t xml:space="preserve">3.5 % in Hungary to 21.8 % in France. </w:t>
      </w:r>
    </w:p>
    <w:p w:rsidR="00C679DD" w:rsidRPr="008E0511" w:rsidRDefault="00C679DD" w:rsidP="008E0511">
      <w:pPr>
        <w:pStyle w:val="NormalWeb"/>
        <w:numPr>
          <w:ilvl w:val="0"/>
          <w:numId w:val="18"/>
        </w:numPr>
        <w:spacing w:line="312" w:lineRule="auto"/>
        <w:rPr>
          <w:rFonts w:asciiTheme="minorHAnsi" w:hAnsiTheme="minorHAnsi" w:cs="Arial"/>
          <w:sz w:val="22"/>
          <w:szCs w:val="22"/>
          <w:lang w:val="en-GB" w:eastAsia="en-GB"/>
        </w:rPr>
      </w:pPr>
      <w:r w:rsidRPr="008E0511">
        <w:rPr>
          <w:rFonts w:asciiTheme="minorHAnsi" w:hAnsiTheme="minorHAnsi"/>
          <w:sz w:val="22"/>
          <w:szCs w:val="22"/>
        </w:rPr>
        <w:t>Cannabis is responsible for the greatest share of new entrants to treatment</w:t>
      </w:r>
      <w:r w:rsidR="007711DC" w:rsidRPr="008E0511">
        <w:rPr>
          <w:rFonts w:asciiTheme="minorHAnsi" w:hAnsiTheme="minorHAnsi"/>
          <w:sz w:val="22"/>
          <w:szCs w:val="22"/>
        </w:rPr>
        <w:t>.</w:t>
      </w:r>
      <w:r w:rsidRPr="008E0511">
        <w:rPr>
          <w:rFonts w:asciiTheme="minorHAnsi" w:hAnsiTheme="minorHAnsi" w:cs="Tahoma"/>
          <w:sz w:val="22"/>
          <w:szCs w:val="22"/>
          <w:lang w:val="en-GB"/>
        </w:rPr>
        <w:t xml:space="preserve"> The overall number of people entering treatment for the first time and who are seeking treatment for problem cannabis use increased by 67% between 2006 and 2017, although there was small reverse between 2016 and 2017</w:t>
      </w:r>
      <w:r w:rsidR="007711DC" w:rsidRPr="008E0511">
        <w:rPr>
          <w:rFonts w:asciiTheme="minorHAnsi" w:hAnsiTheme="minorHAnsi" w:cs="Tahoma"/>
          <w:sz w:val="22"/>
          <w:szCs w:val="22"/>
          <w:lang w:val="en-GB"/>
        </w:rPr>
        <w:t>.</w:t>
      </w:r>
    </w:p>
    <w:p w:rsidR="00FC1C88" w:rsidRPr="008E0511" w:rsidRDefault="00FC1C88" w:rsidP="008E0511">
      <w:pPr>
        <w:pStyle w:val="NormalWeb"/>
        <w:numPr>
          <w:ilvl w:val="0"/>
          <w:numId w:val="18"/>
        </w:numPr>
        <w:spacing w:line="312" w:lineRule="auto"/>
        <w:rPr>
          <w:rFonts w:asciiTheme="minorHAnsi" w:hAnsiTheme="minorHAnsi" w:cs="Arial"/>
          <w:sz w:val="22"/>
          <w:szCs w:val="22"/>
          <w:lang w:val="en-GB" w:eastAsia="en-GB"/>
        </w:rPr>
      </w:pPr>
      <w:r w:rsidRPr="008E0511">
        <w:rPr>
          <w:rFonts w:asciiTheme="minorHAnsi" w:hAnsiTheme="minorHAnsi"/>
          <w:sz w:val="22"/>
          <w:szCs w:val="22"/>
        </w:rPr>
        <w:t>In 201</w:t>
      </w:r>
      <w:r w:rsidR="00C679DD" w:rsidRPr="008E0511">
        <w:rPr>
          <w:rFonts w:asciiTheme="minorHAnsi" w:hAnsiTheme="minorHAnsi"/>
          <w:sz w:val="22"/>
          <w:szCs w:val="22"/>
          <w:lang w:val="ga-IE"/>
        </w:rPr>
        <w:t>7</w:t>
      </w:r>
      <w:r w:rsidRPr="008E0511">
        <w:rPr>
          <w:rFonts w:asciiTheme="minorHAnsi" w:hAnsiTheme="minorHAnsi"/>
          <w:sz w:val="22"/>
          <w:szCs w:val="22"/>
        </w:rPr>
        <w:t>,</w:t>
      </w:r>
      <w:r w:rsidR="00C679DD" w:rsidRPr="008E0511">
        <w:rPr>
          <w:rFonts w:asciiTheme="minorHAnsi" w:hAnsiTheme="minorHAnsi"/>
          <w:sz w:val="22"/>
          <w:szCs w:val="22"/>
          <w:lang w:val="ga-IE"/>
        </w:rPr>
        <w:t xml:space="preserve"> there were</w:t>
      </w:r>
      <w:r w:rsidRPr="008E0511">
        <w:rPr>
          <w:rFonts w:asciiTheme="minorHAnsi" w:hAnsiTheme="minorHAnsi"/>
          <w:sz w:val="22"/>
          <w:szCs w:val="22"/>
        </w:rPr>
        <w:t xml:space="preserve"> </w:t>
      </w:r>
      <w:r w:rsidRPr="008E0511">
        <w:rPr>
          <w:rFonts w:asciiTheme="minorHAnsi" w:hAnsiTheme="minorHAnsi"/>
          <w:sz w:val="22"/>
          <w:szCs w:val="22"/>
          <w:lang w:val="ga-IE"/>
        </w:rPr>
        <w:t>7</w:t>
      </w:r>
      <w:r w:rsidR="00C679DD" w:rsidRPr="008E0511">
        <w:rPr>
          <w:rFonts w:asciiTheme="minorHAnsi" w:hAnsiTheme="minorHAnsi"/>
          <w:sz w:val="22"/>
          <w:szCs w:val="22"/>
          <w:lang w:val="en-GB"/>
        </w:rPr>
        <w:t>82</w:t>
      </w:r>
      <w:r w:rsidRPr="008E0511">
        <w:rPr>
          <w:rFonts w:asciiTheme="minorHAnsi" w:hAnsiTheme="minorHAnsi"/>
          <w:sz w:val="22"/>
          <w:szCs w:val="22"/>
        </w:rPr>
        <w:t xml:space="preserve">,000 seizures of cannabis </w:t>
      </w:r>
      <w:r w:rsidRPr="008E0511">
        <w:rPr>
          <w:rFonts w:asciiTheme="minorHAnsi" w:hAnsiTheme="minorHAnsi"/>
          <w:sz w:val="22"/>
          <w:szCs w:val="22"/>
          <w:lang w:val="ga-IE"/>
        </w:rPr>
        <w:t xml:space="preserve">products </w:t>
      </w:r>
      <w:r w:rsidRPr="008E0511">
        <w:rPr>
          <w:rFonts w:asciiTheme="minorHAnsi" w:hAnsiTheme="minorHAnsi"/>
          <w:sz w:val="22"/>
          <w:szCs w:val="22"/>
        </w:rPr>
        <w:t xml:space="preserve">reported in the European Union. </w:t>
      </w:r>
    </w:p>
    <w:p w:rsidR="0099228B" w:rsidRPr="008E0511" w:rsidRDefault="004C77A2" w:rsidP="00E61F38">
      <w:pPr>
        <w:pStyle w:val="Heading4"/>
        <w:rPr>
          <w:lang w:val="en-GB" w:eastAsia="en-GB"/>
        </w:rPr>
      </w:pPr>
      <w:r w:rsidRPr="008E0511">
        <w:rPr>
          <w:lang w:val="en-GB" w:eastAsia="en-GB"/>
        </w:rPr>
        <w:t>Irish comparison</w:t>
      </w:r>
    </w:p>
    <w:p w:rsidR="00144C9E" w:rsidRPr="00376815" w:rsidRDefault="00144C9E" w:rsidP="00144C9E">
      <w:pPr>
        <w:pStyle w:val="NormalWeb"/>
        <w:numPr>
          <w:ilvl w:val="0"/>
          <w:numId w:val="20"/>
        </w:numPr>
        <w:spacing w:line="312" w:lineRule="auto"/>
        <w:rPr>
          <w:rFonts w:asciiTheme="minorHAnsi" w:hAnsiTheme="minorHAnsi" w:cs="Arial"/>
          <w:sz w:val="22"/>
          <w:szCs w:val="22"/>
          <w:lang w:val="en-GB" w:eastAsia="en-GB"/>
        </w:rPr>
      </w:pPr>
      <w:r w:rsidRPr="00376815">
        <w:rPr>
          <w:rFonts w:asciiTheme="minorHAnsi" w:hAnsiTheme="minorHAnsi" w:cs="Tahoma"/>
          <w:sz w:val="22"/>
          <w:szCs w:val="22"/>
          <w:lang w:val="en-IE" w:eastAsia="en-IE"/>
        </w:rPr>
        <w:t xml:space="preserve">The 2014/15 general population survey reported that 14% of young adults (15-34 years) used cannabis in the year prior to the survey, </w:t>
      </w:r>
      <w:r>
        <w:rPr>
          <w:rFonts w:asciiTheme="minorHAnsi" w:hAnsiTheme="minorHAnsi" w:cs="Tahoma"/>
          <w:sz w:val="22"/>
          <w:szCs w:val="22"/>
          <w:lang w:val="en-IE" w:eastAsia="en-IE"/>
        </w:rPr>
        <w:t>approaching the European average of 14.4%</w:t>
      </w:r>
      <w:r w:rsidRPr="00376815">
        <w:rPr>
          <w:rFonts w:asciiTheme="minorHAnsi" w:hAnsiTheme="minorHAnsi" w:cs="Tahoma"/>
          <w:sz w:val="22"/>
          <w:szCs w:val="22"/>
          <w:lang w:val="en-IE" w:eastAsia="en-IE"/>
        </w:rPr>
        <w:t>. This is the same prevalence as the European average for this age group and below that of Spain (1</w:t>
      </w:r>
      <w:r>
        <w:rPr>
          <w:rFonts w:asciiTheme="minorHAnsi" w:hAnsiTheme="minorHAnsi" w:cs="Tahoma"/>
          <w:sz w:val="22"/>
          <w:szCs w:val="22"/>
          <w:lang w:val="en-IE" w:eastAsia="en-IE"/>
        </w:rPr>
        <w:t>9%) and</w:t>
      </w:r>
      <w:r w:rsidRPr="00376815">
        <w:rPr>
          <w:rFonts w:asciiTheme="minorHAnsi" w:hAnsiTheme="minorHAnsi" w:cs="Tahoma"/>
          <w:sz w:val="22"/>
          <w:szCs w:val="22"/>
          <w:lang w:val="en-IE" w:eastAsia="en-IE"/>
        </w:rPr>
        <w:t xml:space="preserve"> France (2</w:t>
      </w:r>
      <w:r>
        <w:rPr>
          <w:rFonts w:asciiTheme="minorHAnsi" w:hAnsiTheme="minorHAnsi" w:cs="Tahoma"/>
          <w:sz w:val="22"/>
          <w:szCs w:val="22"/>
          <w:lang w:val="en-IE" w:eastAsia="en-IE"/>
        </w:rPr>
        <w:t>2</w:t>
      </w:r>
      <w:r w:rsidRPr="00376815">
        <w:rPr>
          <w:rFonts w:asciiTheme="minorHAnsi" w:hAnsiTheme="minorHAnsi" w:cs="Tahoma"/>
          <w:sz w:val="22"/>
          <w:szCs w:val="22"/>
          <w:lang w:val="en-IE" w:eastAsia="en-IE"/>
        </w:rPr>
        <w:t>%)</w:t>
      </w:r>
      <w:r>
        <w:rPr>
          <w:rFonts w:asciiTheme="minorHAnsi" w:hAnsiTheme="minorHAnsi" w:cs="Tahoma"/>
          <w:sz w:val="22"/>
          <w:szCs w:val="22"/>
          <w:lang w:val="en-IE" w:eastAsia="en-IE"/>
        </w:rPr>
        <w:t>,</w:t>
      </w:r>
      <w:r w:rsidRPr="00376815">
        <w:rPr>
          <w:rFonts w:asciiTheme="minorHAnsi" w:hAnsiTheme="minorHAnsi" w:cs="Tahoma"/>
          <w:sz w:val="22"/>
          <w:szCs w:val="22"/>
          <w:lang w:val="en-IE" w:eastAsia="en-IE"/>
        </w:rPr>
        <w:t xml:space="preserve"> but slightly above that of the UK (1</w:t>
      </w:r>
      <w:r>
        <w:rPr>
          <w:rFonts w:asciiTheme="minorHAnsi" w:hAnsiTheme="minorHAnsi" w:cs="Tahoma"/>
          <w:sz w:val="22"/>
          <w:szCs w:val="22"/>
          <w:lang w:val="en-IE" w:eastAsia="en-IE"/>
        </w:rPr>
        <w:t>1</w:t>
      </w:r>
      <w:r w:rsidRPr="00376815">
        <w:rPr>
          <w:rFonts w:asciiTheme="minorHAnsi" w:hAnsiTheme="minorHAnsi" w:cs="Tahoma"/>
          <w:sz w:val="22"/>
          <w:szCs w:val="22"/>
          <w:lang w:val="en-IE" w:eastAsia="en-IE"/>
        </w:rPr>
        <w:t>%).</w:t>
      </w:r>
    </w:p>
    <w:p w:rsidR="00144C9E" w:rsidRPr="00194011" w:rsidRDefault="00144C9E" w:rsidP="00144C9E">
      <w:pPr>
        <w:pStyle w:val="NormalWeb"/>
        <w:numPr>
          <w:ilvl w:val="0"/>
          <w:numId w:val="20"/>
        </w:numPr>
        <w:spacing w:line="312" w:lineRule="auto"/>
        <w:rPr>
          <w:rFonts w:asciiTheme="minorHAnsi" w:hAnsiTheme="minorHAnsi" w:cs="Arial"/>
          <w:sz w:val="22"/>
          <w:szCs w:val="22"/>
          <w:lang w:val="en-GB" w:eastAsia="en-GB"/>
        </w:rPr>
      </w:pPr>
      <w:r w:rsidRPr="00194011">
        <w:rPr>
          <w:rFonts w:asciiTheme="minorHAnsi" w:hAnsiTheme="minorHAnsi" w:cs="Tahoma"/>
          <w:sz w:val="22"/>
          <w:szCs w:val="22"/>
          <w:lang w:val="en-IE" w:eastAsia="en-IE"/>
        </w:rPr>
        <w:lastRenderedPageBreak/>
        <w:t xml:space="preserve">Cannabis was the main problem drug </w:t>
      </w:r>
      <w:r w:rsidR="00F548DF">
        <w:rPr>
          <w:rFonts w:asciiTheme="minorHAnsi" w:hAnsiTheme="minorHAnsi" w:cs="Tahoma"/>
          <w:sz w:val="22"/>
          <w:szCs w:val="22"/>
          <w:lang w:val="en-IE" w:eastAsia="en-IE"/>
        </w:rPr>
        <w:t>for</w:t>
      </w:r>
      <w:r w:rsidR="00E80176">
        <w:rPr>
          <w:rFonts w:asciiTheme="minorHAnsi" w:hAnsiTheme="minorHAnsi" w:cs="Tahoma"/>
          <w:sz w:val="22"/>
          <w:szCs w:val="22"/>
          <w:lang w:val="en-IE" w:eastAsia="en-IE"/>
        </w:rPr>
        <w:t xml:space="preserve"> </w:t>
      </w:r>
      <w:r w:rsidRPr="00194011">
        <w:rPr>
          <w:rFonts w:asciiTheme="minorHAnsi" w:hAnsiTheme="minorHAnsi" w:cs="Tahoma"/>
          <w:sz w:val="22"/>
          <w:szCs w:val="22"/>
          <w:lang w:val="en-IE" w:eastAsia="en-IE"/>
        </w:rPr>
        <w:t>24.7% of all cases entering drug treatment in Ireland in 2017 and was the most common main problem drug reported by new cases</w:t>
      </w:r>
      <w:r>
        <w:rPr>
          <w:rFonts w:asciiTheme="minorHAnsi" w:hAnsiTheme="minorHAnsi" w:cs="Tahoma"/>
          <w:sz w:val="22"/>
          <w:szCs w:val="22"/>
          <w:lang w:val="en-IE" w:eastAsia="en-IE"/>
        </w:rPr>
        <w:t xml:space="preserve"> </w:t>
      </w:r>
      <w:r w:rsidR="00E80176">
        <w:rPr>
          <w:rFonts w:asciiTheme="minorHAnsi" w:hAnsiTheme="minorHAnsi" w:cs="Tahoma"/>
          <w:sz w:val="22"/>
          <w:szCs w:val="22"/>
          <w:lang w:val="en-IE" w:eastAsia="en-IE"/>
        </w:rPr>
        <w:t>(</w:t>
      </w:r>
      <w:r>
        <w:rPr>
          <w:rFonts w:asciiTheme="minorHAnsi" w:hAnsiTheme="minorHAnsi" w:cs="Tahoma"/>
          <w:sz w:val="22"/>
          <w:szCs w:val="22"/>
          <w:lang w:val="en-IE" w:eastAsia="en-IE"/>
        </w:rPr>
        <w:t>39.1%</w:t>
      </w:r>
      <w:r w:rsidR="00E80176">
        <w:rPr>
          <w:rFonts w:asciiTheme="minorHAnsi" w:hAnsiTheme="minorHAnsi" w:cs="Tahoma"/>
          <w:sz w:val="22"/>
          <w:szCs w:val="22"/>
          <w:lang w:val="en-IE" w:eastAsia="en-IE"/>
        </w:rPr>
        <w:t>)</w:t>
      </w:r>
      <w:r w:rsidRPr="00194011">
        <w:rPr>
          <w:rFonts w:asciiTheme="minorHAnsi" w:hAnsiTheme="minorHAnsi" w:cs="Tahoma"/>
          <w:sz w:val="22"/>
          <w:szCs w:val="22"/>
          <w:lang w:val="en-IE" w:eastAsia="en-IE"/>
        </w:rPr>
        <w:t xml:space="preserve">. </w:t>
      </w:r>
    </w:p>
    <w:p w:rsidR="00144C9E" w:rsidRPr="00376815" w:rsidRDefault="00144C9E" w:rsidP="00144C9E">
      <w:pPr>
        <w:numPr>
          <w:ilvl w:val="0"/>
          <w:numId w:val="20"/>
        </w:numPr>
        <w:spacing w:line="312" w:lineRule="auto"/>
        <w:rPr>
          <w:rFonts w:asciiTheme="minorHAnsi" w:hAnsiTheme="minorHAnsi" w:cs="Tahoma"/>
          <w:sz w:val="22"/>
          <w:lang w:val="en-IE" w:eastAsia="en-IE"/>
        </w:rPr>
      </w:pPr>
      <w:r w:rsidRPr="00376815">
        <w:rPr>
          <w:rFonts w:asciiTheme="minorHAnsi" w:hAnsiTheme="minorHAnsi" w:cs="Tahoma"/>
          <w:sz w:val="22"/>
          <w:lang w:val="en-IE" w:eastAsia="en-IE"/>
        </w:rPr>
        <w:t xml:space="preserve">The 2014/15 ESPAD survey reported that </w:t>
      </w:r>
      <w:r w:rsidRPr="00376815">
        <w:rPr>
          <w:rFonts w:asciiTheme="minorHAnsi" w:hAnsiTheme="minorHAnsi" w:cs="Tahoma"/>
          <w:sz w:val="22"/>
          <w:lang w:val="en-GB" w:eastAsia="en-IE"/>
        </w:rPr>
        <w:t xml:space="preserve">18.9% of 15‒16-year-old students had used cannabis during their lifetime. This places Ireland slightly above the EU average of 16.5%. </w:t>
      </w:r>
    </w:p>
    <w:p w:rsidR="005C2EA8" w:rsidRPr="008E0511" w:rsidRDefault="005C2EA8" w:rsidP="008E0511">
      <w:pPr>
        <w:numPr>
          <w:ilvl w:val="0"/>
          <w:numId w:val="20"/>
        </w:numPr>
        <w:spacing w:line="312" w:lineRule="auto"/>
        <w:rPr>
          <w:rFonts w:asciiTheme="minorHAnsi" w:hAnsiTheme="minorHAnsi" w:cs="Tahoma"/>
          <w:sz w:val="22"/>
          <w:lang w:val="en-IE" w:eastAsia="en-IE"/>
        </w:rPr>
      </w:pPr>
      <w:r w:rsidRPr="008E0511">
        <w:rPr>
          <w:rFonts w:asciiTheme="minorHAnsi" w:hAnsiTheme="minorHAnsi" w:cs="Arial"/>
          <w:sz w:val="22"/>
          <w:lang w:val="en-IE"/>
        </w:rPr>
        <w:t>Cannabis herb has been shown as the most prominent drug seized in Ireland since 2010.  In 2017 there were 2083 seizures of cannabis type substances (including cannabis herb, plants and resin) a slight increase from the 2056 seizures in 2016.  There were 249 incidents of cannabis cultivation recorded by law enforcement agencies in 2017.</w:t>
      </w:r>
    </w:p>
    <w:p w:rsidR="00492657" w:rsidRPr="008E0511" w:rsidRDefault="00E80176" w:rsidP="00E61F38">
      <w:pPr>
        <w:pStyle w:val="Heading3"/>
        <w:rPr>
          <w:lang w:val="en-GB" w:eastAsia="en-GB"/>
        </w:rPr>
      </w:pPr>
      <w:r>
        <w:rPr>
          <w:lang w:val="en-GB" w:eastAsia="en-GB"/>
        </w:rPr>
        <w:t>N</w:t>
      </w:r>
      <w:r w:rsidR="00FF125B" w:rsidRPr="008E0511">
        <w:rPr>
          <w:lang w:val="en-GB" w:eastAsia="en-GB"/>
        </w:rPr>
        <w:t xml:space="preserve">ew </w:t>
      </w:r>
      <w:r w:rsidR="009A576E" w:rsidRPr="008E0511">
        <w:rPr>
          <w:lang w:val="en-GB" w:eastAsia="en-GB"/>
        </w:rPr>
        <w:t>p</w:t>
      </w:r>
      <w:r w:rsidR="00FF125B" w:rsidRPr="008E0511">
        <w:rPr>
          <w:lang w:val="en-GB" w:eastAsia="en-GB"/>
        </w:rPr>
        <w:t xml:space="preserve">sychoactive </w:t>
      </w:r>
      <w:r w:rsidR="009A576E" w:rsidRPr="008E0511">
        <w:rPr>
          <w:lang w:val="en-GB" w:eastAsia="en-GB"/>
        </w:rPr>
        <w:t>s</w:t>
      </w:r>
      <w:r w:rsidR="00FF125B" w:rsidRPr="008E0511">
        <w:rPr>
          <w:lang w:val="en-GB" w:eastAsia="en-GB"/>
        </w:rPr>
        <w:t>ubstances</w:t>
      </w:r>
      <w:r w:rsidR="00492657" w:rsidRPr="008E0511">
        <w:rPr>
          <w:lang w:val="en-GB" w:eastAsia="en-GB"/>
        </w:rPr>
        <w:t xml:space="preserve"> </w:t>
      </w:r>
    </w:p>
    <w:p w:rsidR="001B0E85" w:rsidRPr="008E0511" w:rsidRDefault="001B0E85" w:rsidP="00E61F38">
      <w:pPr>
        <w:pStyle w:val="Heading4"/>
      </w:pPr>
      <w:r w:rsidRPr="008E0511">
        <w:t xml:space="preserve">European situation </w:t>
      </w:r>
    </w:p>
    <w:p w:rsidR="00F3023D" w:rsidRPr="008E0511" w:rsidRDefault="00C07BD6" w:rsidP="008E0511">
      <w:pPr>
        <w:pStyle w:val="ListParagraph"/>
        <w:numPr>
          <w:ilvl w:val="0"/>
          <w:numId w:val="12"/>
        </w:numPr>
        <w:spacing w:line="312" w:lineRule="auto"/>
        <w:rPr>
          <w:rFonts w:asciiTheme="minorHAnsi" w:hAnsiTheme="minorHAnsi"/>
        </w:rPr>
      </w:pPr>
      <w:r w:rsidRPr="008E0511">
        <w:rPr>
          <w:rFonts w:asciiTheme="minorHAnsi" w:hAnsiTheme="minorHAnsi"/>
        </w:rPr>
        <w:t xml:space="preserve">Data on new psychoactive substances </w:t>
      </w:r>
      <w:r w:rsidR="00D14A6F" w:rsidRPr="008E0511">
        <w:rPr>
          <w:rFonts w:asciiTheme="minorHAnsi" w:hAnsiTheme="minorHAnsi"/>
        </w:rPr>
        <w:t xml:space="preserve">(NPS) </w:t>
      </w:r>
      <w:r w:rsidRPr="008E0511">
        <w:rPr>
          <w:rFonts w:asciiTheme="minorHAnsi" w:hAnsiTheme="minorHAnsi"/>
        </w:rPr>
        <w:t>are based on notifications by Member States to the EU Ear</w:t>
      </w:r>
      <w:r w:rsidR="00F126C8" w:rsidRPr="008E0511">
        <w:rPr>
          <w:rFonts w:asciiTheme="minorHAnsi" w:hAnsiTheme="minorHAnsi"/>
        </w:rPr>
        <w:t>ly Warning System (EWS). In 201</w:t>
      </w:r>
      <w:r w:rsidR="00BE4B2B" w:rsidRPr="008E0511">
        <w:rPr>
          <w:rFonts w:asciiTheme="minorHAnsi" w:hAnsiTheme="minorHAnsi"/>
          <w:lang w:val="ga-IE"/>
        </w:rPr>
        <w:t>8</w:t>
      </w:r>
      <w:r w:rsidRPr="008E0511">
        <w:rPr>
          <w:rFonts w:asciiTheme="minorHAnsi" w:hAnsiTheme="minorHAnsi"/>
        </w:rPr>
        <w:t xml:space="preserve">, </w:t>
      </w:r>
      <w:r w:rsidR="002F4E14" w:rsidRPr="008E0511">
        <w:rPr>
          <w:rFonts w:asciiTheme="minorHAnsi" w:hAnsiTheme="minorHAnsi"/>
          <w:lang w:val="ga-IE"/>
        </w:rPr>
        <w:t>5</w:t>
      </w:r>
      <w:r w:rsidR="00BE4B2B" w:rsidRPr="008E0511">
        <w:rPr>
          <w:rFonts w:asciiTheme="minorHAnsi" w:hAnsiTheme="minorHAnsi"/>
          <w:lang w:val="en-GB"/>
        </w:rPr>
        <w:t>5</w:t>
      </w:r>
      <w:r w:rsidR="002F4E14" w:rsidRPr="008E0511">
        <w:rPr>
          <w:rFonts w:asciiTheme="minorHAnsi" w:hAnsiTheme="minorHAnsi"/>
        </w:rPr>
        <w:t xml:space="preserve"> </w:t>
      </w:r>
      <w:r w:rsidRPr="008E0511">
        <w:rPr>
          <w:rFonts w:asciiTheme="minorHAnsi" w:hAnsiTheme="minorHAnsi"/>
        </w:rPr>
        <w:t>new substances were reported for the first time (</w:t>
      </w:r>
      <w:r w:rsidR="00BE4B2B" w:rsidRPr="008E0511">
        <w:rPr>
          <w:rFonts w:asciiTheme="minorHAnsi" w:hAnsiTheme="minorHAnsi"/>
          <w:lang w:val="ga-IE"/>
        </w:rPr>
        <w:t>51</w:t>
      </w:r>
      <w:r w:rsidRPr="008E0511">
        <w:rPr>
          <w:rFonts w:asciiTheme="minorHAnsi" w:hAnsiTheme="minorHAnsi"/>
        </w:rPr>
        <w:t xml:space="preserve"> in 201</w:t>
      </w:r>
      <w:r w:rsidR="00BE4B2B" w:rsidRPr="008E0511">
        <w:rPr>
          <w:rFonts w:asciiTheme="minorHAnsi" w:hAnsiTheme="minorHAnsi"/>
          <w:lang w:val="ga-IE"/>
        </w:rPr>
        <w:t>7</w:t>
      </w:r>
      <w:r w:rsidRPr="008E0511">
        <w:rPr>
          <w:rFonts w:asciiTheme="minorHAnsi" w:hAnsiTheme="minorHAnsi"/>
        </w:rPr>
        <w:t xml:space="preserve">). </w:t>
      </w:r>
      <w:r w:rsidR="00F126C8" w:rsidRPr="008E0511">
        <w:rPr>
          <w:rFonts w:asciiTheme="minorHAnsi" w:hAnsiTheme="minorHAnsi"/>
          <w:lang w:val="en-GB"/>
        </w:rPr>
        <w:t xml:space="preserve">By the end of </w:t>
      </w:r>
      <w:r w:rsidR="002F4E14" w:rsidRPr="008E0511">
        <w:rPr>
          <w:rFonts w:asciiTheme="minorHAnsi" w:hAnsiTheme="minorHAnsi"/>
          <w:lang w:val="en-GB"/>
        </w:rPr>
        <w:t>201</w:t>
      </w:r>
      <w:r w:rsidR="00A56E0E" w:rsidRPr="008E0511">
        <w:rPr>
          <w:rFonts w:asciiTheme="minorHAnsi" w:hAnsiTheme="minorHAnsi"/>
          <w:lang w:val="en-GB"/>
        </w:rPr>
        <w:t>8</w:t>
      </w:r>
      <w:r w:rsidR="00F126C8" w:rsidRPr="008E0511">
        <w:rPr>
          <w:rFonts w:asciiTheme="minorHAnsi" w:hAnsiTheme="minorHAnsi"/>
          <w:lang w:val="en-GB"/>
        </w:rPr>
        <w:t xml:space="preserve">, the </w:t>
      </w:r>
      <w:r w:rsidR="00F126C8" w:rsidRPr="008E0511">
        <w:rPr>
          <w:rFonts w:asciiTheme="minorHAnsi" w:hAnsiTheme="minorHAnsi"/>
          <w:b/>
          <w:lang w:val="en-GB"/>
        </w:rPr>
        <w:t>EMCDDA</w:t>
      </w:r>
      <w:r w:rsidR="00F126C8" w:rsidRPr="008E0511">
        <w:rPr>
          <w:rFonts w:asciiTheme="minorHAnsi" w:hAnsiTheme="minorHAnsi"/>
          <w:lang w:val="en-GB"/>
        </w:rPr>
        <w:t xml:space="preserve"> was monitoring more than </w:t>
      </w:r>
      <w:r w:rsidR="00BE4B2B" w:rsidRPr="008E0511">
        <w:rPr>
          <w:rFonts w:asciiTheme="minorHAnsi" w:hAnsiTheme="minorHAnsi"/>
          <w:lang w:val="en-GB"/>
        </w:rPr>
        <w:t>730</w:t>
      </w:r>
      <w:r w:rsidR="002F4E14" w:rsidRPr="008E0511">
        <w:rPr>
          <w:rFonts w:asciiTheme="minorHAnsi" w:hAnsiTheme="minorHAnsi"/>
          <w:lang w:val="en-GB"/>
        </w:rPr>
        <w:t xml:space="preserve"> </w:t>
      </w:r>
      <w:r w:rsidR="00F126C8" w:rsidRPr="008E0511">
        <w:rPr>
          <w:rFonts w:asciiTheme="minorHAnsi" w:hAnsiTheme="minorHAnsi"/>
          <w:lang w:val="en-GB"/>
        </w:rPr>
        <w:t xml:space="preserve">NPS, compared with around 300 monitored in 2013. </w:t>
      </w:r>
      <w:r w:rsidRPr="008E0511">
        <w:rPr>
          <w:rFonts w:asciiTheme="minorHAnsi" w:hAnsiTheme="minorHAnsi"/>
        </w:rPr>
        <w:t xml:space="preserve"> </w:t>
      </w:r>
      <w:r w:rsidR="00BE4B2B" w:rsidRPr="008E0511">
        <w:rPr>
          <w:rFonts w:asciiTheme="minorHAnsi" w:hAnsiTheme="minorHAnsi"/>
          <w:lang w:eastAsia="en-GB"/>
        </w:rPr>
        <w:t xml:space="preserve">The number of new substances being identified for the ﬁrst time each year increased sharply </w:t>
      </w:r>
      <w:r w:rsidR="0092778E" w:rsidRPr="008E0511">
        <w:rPr>
          <w:rFonts w:asciiTheme="minorHAnsi" w:hAnsiTheme="minorHAnsi"/>
          <w:lang w:val="ga-IE" w:eastAsia="en-GB"/>
        </w:rPr>
        <w:t>between</w:t>
      </w:r>
      <w:r w:rsidR="0092778E" w:rsidRPr="008E0511">
        <w:rPr>
          <w:rFonts w:asciiTheme="minorHAnsi" w:hAnsiTheme="minorHAnsi"/>
          <w:lang w:eastAsia="en-GB"/>
        </w:rPr>
        <w:t xml:space="preserve"> </w:t>
      </w:r>
      <w:r w:rsidR="00BE4B2B" w:rsidRPr="008E0511">
        <w:rPr>
          <w:rFonts w:asciiTheme="minorHAnsi" w:hAnsiTheme="minorHAnsi"/>
          <w:lang w:eastAsia="en-GB"/>
        </w:rPr>
        <w:t>2009</w:t>
      </w:r>
      <w:r w:rsidR="0092778E" w:rsidRPr="008E0511">
        <w:rPr>
          <w:rFonts w:asciiTheme="minorHAnsi" w:hAnsiTheme="minorHAnsi"/>
          <w:lang w:val="ga-IE" w:eastAsia="en-GB"/>
        </w:rPr>
        <w:t xml:space="preserve">, when 24 were identified, </w:t>
      </w:r>
      <w:r w:rsidR="00BE4B2B" w:rsidRPr="008E0511">
        <w:rPr>
          <w:rFonts w:asciiTheme="minorHAnsi" w:hAnsiTheme="minorHAnsi"/>
          <w:lang w:eastAsia="en-GB"/>
        </w:rPr>
        <w:t>and 2014</w:t>
      </w:r>
      <w:r w:rsidR="0092778E" w:rsidRPr="008E0511">
        <w:rPr>
          <w:rFonts w:asciiTheme="minorHAnsi" w:hAnsiTheme="minorHAnsi"/>
          <w:lang w:val="ga-IE" w:eastAsia="en-GB"/>
        </w:rPr>
        <w:t xml:space="preserve"> </w:t>
      </w:r>
      <w:r w:rsidR="00E80176">
        <w:rPr>
          <w:rFonts w:asciiTheme="minorHAnsi" w:hAnsiTheme="minorHAnsi"/>
          <w:lang w:val="ga-IE" w:eastAsia="en-GB"/>
        </w:rPr>
        <w:t>when there were</w:t>
      </w:r>
      <w:r w:rsidR="0092778E" w:rsidRPr="008E0511">
        <w:rPr>
          <w:rFonts w:asciiTheme="minorHAnsi" w:hAnsiTheme="minorHAnsi"/>
          <w:lang w:val="ga-IE" w:eastAsia="en-GB"/>
        </w:rPr>
        <w:t xml:space="preserve"> 101 notifications</w:t>
      </w:r>
      <w:r w:rsidR="00BE4B2B" w:rsidRPr="008E0511">
        <w:rPr>
          <w:rFonts w:asciiTheme="minorHAnsi" w:hAnsiTheme="minorHAnsi"/>
          <w:lang w:eastAsia="en-GB"/>
        </w:rPr>
        <w:t>, but has since declined</w:t>
      </w:r>
      <w:r w:rsidR="0092778E" w:rsidRPr="008E0511">
        <w:rPr>
          <w:rFonts w:asciiTheme="minorHAnsi" w:hAnsiTheme="minorHAnsi"/>
          <w:lang w:val="ga-IE" w:eastAsia="en-GB"/>
        </w:rPr>
        <w:t xml:space="preserve"> with 55 identified in 2018</w:t>
      </w:r>
      <w:r w:rsidR="00BE4B2B" w:rsidRPr="008E0511">
        <w:rPr>
          <w:rFonts w:asciiTheme="minorHAnsi" w:hAnsiTheme="minorHAnsi"/>
          <w:lang w:val="ga-IE" w:eastAsia="en-GB"/>
        </w:rPr>
        <w:t xml:space="preserve">. </w:t>
      </w:r>
    </w:p>
    <w:p w:rsidR="00BE4B2B" w:rsidRPr="008E0511" w:rsidRDefault="00BE4B2B" w:rsidP="008E0511">
      <w:pPr>
        <w:pStyle w:val="ListParagraph"/>
        <w:numPr>
          <w:ilvl w:val="0"/>
          <w:numId w:val="12"/>
        </w:numPr>
        <w:spacing w:line="312" w:lineRule="auto"/>
        <w:rPr>
          <w:rFonts w:asciiTheme="minorHAnsi" w:hAnsiTheme="minorHAnsi"/>
        </w:rPr>
      </w:pPr>
      <w:r w:rsidRPr="008E0511">
        <w:rPr>
          <w:rFonts w:asciiTheme="minorHAnsi" w:hAnsiTheme="minorHAnsi"/>
          <w:lang w:eastAsia="en-GB"/>
        </w:rPr>
        <w:t xml:space="preserve">390 substances, </w:t>
      </w:r>
      <w:r w:rsidRPr="008E0511">
        <w:rPr>
          <w:rFonts w:asciiTheme="minorHAnsi" w:hAnsiTheme="minorHAnsi"/>
        </w:rPr>
        <w:t xml:space="preserve">approximately half of the new substances being monitored </w:t>
      </w:r>
      <w:r w:rsidRPr="008E0511">
        <w:rPr>
          <w:rFonts w:asciiTheme="minorHAnsi" w:hAnsiTheme="minorHAnsi"/>
          <w:lang w:eastAsia="en-GB"/>
        </w:rPr>
        <w:t>by the EU Early Warning System, were detected in Europe in 2017</w:t>
      </w:r>
      <w:r w:rsidR="00EB4078" w:rsidRPr="008E0511">
        <w:rPr>
          <w:rFonts w:asciiTheme="minorHAnsi" w:hAnsiTheme="minorHAnsi"/>
          <w:lang w:eastAsia="en-GB"/>
        </w:rPr>
        <w:t>.</w:t>
      </w:r>
    </w:p>
    <w:p w:rsidR="00BE4B2B" w:rsidRPr="008E0511" w:rsidRDefault="00F3023D" w:rsidP="008E0511">
      <w:pPr>
        <w:pStyle w:val="ListParagraph"/>
        <w:numPr>
          <w:ilvl w:val="0"/>
          <w:numId w:val="12"/>
        </w:numPr>
        <w:spacing w:line="312" w:lineRule="auto"/>
        <w:rPr>
          <w:rFonts w:asciiTheme="minorHAnsi" w:hAnsiTheme="minorHAnsi"/>
        </w:rPr>
      </w:pPr>
      <w:r w:rsidRPr="008E0511">
        <w:rPr>
          <w:rFonts w:asciiTheme="minorHAnsi" w:hAnsiTheme="minorHAnsi"/>
        </w:rPr>
        <w:t>In 201</w:t>
      </w:r>
      <w:r w:rsidR="00BE4B2B" w:rsidRPr="008E0511">
        <w:rPr>
          <w:rFonts w:asciiTheme="minorHAnsi" w:hAnsiTheme="minorHAnsi"/>
          <w:lang w:val="ga-IE"/>
        </w:rPr>
        <w:t>7</w:t>
      </w:r>
      <w:r w:rsidRPr="008E0511">
        <w:rPr>
          <w:rFonts w:asciiTheme="minorHAnsi" w:hAnsiTheme="minorHAnsi"/>
        </w:rPr>
        <w:t>, almost 7</w:t>
      </w:r>
      <w:r w:rsidR="00BE4B2B" w:rsidRPr="008E0511">
        <w:rPr>
          <w:rFonts w:asciiTheme="minorHAnsi" w:hAnsiTheme="minorHAnsi"/>
          <w:lang w:val="ga-IE"/>
        </w:rPr>
        <w:t>8</w:t>
      </w:r>
      <w:r w:rsidR="000B7F8F" w:rsidRPr="008E0511">
        <w:rPr>
          <w:rFonts w:asciiTheme="minorHAnsi" w:hAnsiTheme="minorHAnsi"/>
        </w:rPr>
        <w:t>,</w:t>
      </w:r>
      <w:r w:rsidRPr="008E0511">
        <w:rPr>
          <w:rFonts w:asciiTheme="minorHAnsi" w:hAnsiTheme="minorHAnsi"/>
        </w:rPr>
        <w:t xml:space="preserve">000 seizures of new psychoactive substances were reported </w:t>
      </w:r>
      <w:r w:rsidR="00BE4B2B" w:rsidRPr="008E0511">
        <w:rPr>
          <w:rFonts w:asciiTheme="minorHAnsi" w:hAnsiTheme="minorHAnsi"/>
          <w:lang w:val="ga-IE"/>
        </w:rPr>
        <w:t xml:space="preserve">across Europe, 53,000 of which were in EU Member States.  </w:t>
      </w:r>
    </w:p>
    <w:p w:rsidR="003D42D9" w:rsidRPr="008E0511" w:rsidRDefault="00F3023D" w:rsidP="008E0511">
      <w:pPr>
        <w:pStyle w:val="ListParagraph"/>
        <w:numPr>
          <w:ilvl w:val="0"/>
          <w:numId w:val="12"/>
        </w:numPr>
        <w:spacing w:line="312" w:lineRule="auto"/>
        <w:rPr>
          <w:rFonts w:asciiTheme="minorHAnsi" w:hAnsiTheme="minorHAnsi"/>
        </w:rPr>
      </w:pPr>
      <w:r w:rsidRPr="008E0511">
        <w:rPr>
          <w:rFonts w:asciiTheme="minorHAnsi" w:hAnsiTheme="minorHAnsi"/>
        </w:rPr>
        <w:t xml:space="preserve">Synthetic cannabinoids </w:t>
      </w:r>
      <w:r w:rsidR="00BE4B2B" w:rsidRPr="008E0511">
        <w:rPr>
          <w:rFonts w:asciiTheme="minorHAnsi" w:hAnsiTheme="minorHAnsi"/>
          <w:lang w:val="ga-IE"/>
        </w:rPr>
        <w:t xml:space="preserve">and cathinones </w:t>
      </w:r>
      <w:r w:rsidRPr="008E0511">
        <w:rPr>
          <w:rFonts w:asciiTheme="minorHAnsi" w:hAnsiTheme="minorHAnsi"/>
        </w:rPr>
        <w:t>were the most frequently seized new</w:t>
      </w:r>
      <w:r w:rsidR="00BE4B2B" w:rsidRPr="008E0511">
        <w:rPr>
          <w:rFonts w:asciiTheme="minorHAnsi" w:hAnsiTheme="minorHAnsi"/>
        </w:rPr>
        <w:t xml:space="preserve"> psychoactive substances in 201</w:t>
      </w:r>
      <w:r w:rsidR="00BE4B2B" w:rsidRPr="008E0511">
        <w:rPr>
          <w:rFonts w:asciiTheme="minorHAnsi" w:hAnsiTheme="minorHAnsi"/>
          <w:lang w:val="ga-IE"/>
        </w:rPr>
        <w:t>7</w:t>
      </w:r>
      <w:r w:rsidRPr="008E0511">
        <w:rPr>
          <w:rFonts w:asciiTheme="minorHAnsi" w:hAnsiTheme="minorHAnsi"/>
        </w:rPr>
        <w:t>, with just over 32</w:t>
      </w:r>
      <w:r w:rsidR="000B7F8F" w:rsidRPr="008E0511">
        <w:rPr>
          <w:rFonts w:asciiTheme="minorHAnsi" w:hAnsiTheme="minorHAnsi"/>
        </w:rPr>
        <w:t>,</w:t>
      </w:r>
      <w:r w:rsidRPr="008E0511">
        <w:rPr>
          <w:rFonts w:asciiTheme="minorHAnsi" w:hAnsiTheme="minorHAnsi"/>
        </w:rPr>
        <w:t>000 seizures reported.</w:t>
      </w:r>
      <w:r w:rsidR="003D42D9" w:rsidRPr="008E0511">
        <w:rPr>
          <w:rFonts w:asciiTheme="minorHAnsi" w:hAnsiTheme="minorHAnsi"/>
        </w:rPr>
        <w:t xml:space="preserve"> In total, 118 synthetic cathinones have been identified since 2005, with 14 reported for the first time in 2016, a decrease from the 31 reported in 2014. </w:t>
      </w:r>
    </w:p>
    <w:p w:rsidR="006E0BB3" w:rsidRPr="008E0511" w:rsidRDefault="006E0BB3" w:rsidP="008E0511">
      <w:pPr>
        <w:pStyle w:val="ListParagraph"/>
        <w:numPr>
          <w:ilvl w:val="0"/>
          <w:numId w:val="12"/>
        </w:numPr>
        <w:spacing w:line="312" w:lineRule="auto"/>
        <w:rPr>
          <w:rFonts w:asciiTheme="minorHAnsi" w:hAnsiTheme="minorHAnsi"/>
        </w:rPr>
      </w:pPr>
      <w:r w:rsidRPr="008E0511">
        <w:rPr>
          <w:rFonts w:asciiTheme="minorHAnsi" w:hAnsiTheme="minorHAnsi"/>
          <w:lang w:val="ga-IE" w:eastAsia="en-GB"/>
        </w:rPr>
        <w:t xml:space="preserve">Production of </w:t>
      </w:r>
      <w:r w:rsidRPr="008E0511">
        <w:rPr>
          <w:rFonts w:asciiTheme="minorHAnsi" w:hAnsiTheme="minorHAnsi"/>
        </w:rPr>
        <w:t>MDMA (3,4-methylenedioxymethamphetamine)</w:t>
      </w:r>
      <w:r w:rsidRPr="008E0511">
        <w:rPr>
          <w:rFonts w:asciiTheme="minorHAnsi" w:hAnsiTheme="minorHAnsi"/>
          <w:lang w:val="ga-IE"/>
        </w:rPr>
        <w:t xml:space="preserve"> is concentrated in Belgium and The Netherlands and has increased in recent years as substitutes for controlled precursors of the drug have become more available.  </w:t>
      </w:r>
    </w:p>
    <w:p w:rsidR="006E0BB3" w:rsidRPr="008E0511" w:rsidRDefault="006E0BB3" w:rsidP="008E0511">
      <w:pPr>
        <w:pStyle w:val="ListParagraph"/>
        <w:numPr>
          <w:ilvl w:val="0"/>
          <w:numId w:val="12"/>
        </w:numPr>
        <w:spacing w:line="312" w:lineRule="auto"/>
        <w:rPr>
          <w:rFonts w:asciiTheme="minorHAnsi" w:hAnsiTheme="minorHAnsi"/>
        </w:rPr>
      </w:pPr>
      <w:r w:rsidRPr="008E0511">
        <w:rPr>
          <w:rFonts w:asciiTheme="minorHAnsi" w:hAnsiTheme="minorHAnsi"/>
          <w:lang w:val="ga-IE"/>
        </w:rPr>
        <w:t>An estimated</w:t>
      </w:r>
      <w:r w:rsidRPr="008E0511">
        <w:rPr>
          <w:rFonts w:asciiTheme="minorHAnsi" w:hAnsiTheme="minorHAnsi"/>
        </w:rPr>
        <w:t xml:space="preserve"> 6.6 million MDMA tablets </w:t>
      </w:r>
      <w:r w:rsidRPr="008E0511">
        <w:rPr>
          <w:rFonts w:asciiTheme="minorHAnsi" w:hAnsiTheme="minorHAnsi"/>
          <w:lang w:val="ga-IE"/>
        </w:rPr>
        <w:t xml:space="preserve">were </w:t>
      </w:r>
      <w:r w:rsidRPr="008E0511">
        <w:rPr>
          <w:rFonts w:asciiTheme="minorHAnsi" w:hAnsiTheme="minorHAnsi"/>
        </w:rPr>
        <w:t>reported seized in 2017</w:t>
      </w:r>
      <w:r w:rsidRPr="008E0511">
        <w:rPr>
          <w:rFonts w:asciiTheme="minorHAnsi" w:hAnsiTheme="minorHAnsi"/>
          <w:lang w:val="ga-IE"/>
        </w:rPr>
        <w:t>,</w:t>
      </w:r>
      <w:r w:rsidRPr="008E0511">
        <w:rPr>
          <w:rFonts w:asciiTheme="minorHAnsi" w:hAnsiTheme="minorHAnsi"/>
        </w:rPr>
        <w:t xml:space="preserve"> the highest number reported in the European Union in any year since 2007.</w:t>
      </w:r>
    </w:p>
    <w:p w:rsidR="00F126C8" w:rsidRPr="008E0511" w:rsidRDefault="00FF1970" w:rsidP="008E0511">
      <w:pPr>
        <w:pStyle w:val="ListParagraph"/>
        <w:numPr>
          <w:ilvl w:val="0"/>
          <w:numId w:val="12"/>
        </w:numPr>
        <w:spacing w:line="312" w:lineRule="auto"/>
        <w:rPr>
          <w:rFonts w:asciiTheme="minorHAnsi" w:hAnsiTheme="minorHAnsi"/>
        </w:rPr>
      </w:pPr>
      <w:r w:rsidRPr="008E0511">
        <w:rPr>
          <w:rFonts w:asciiTheme="minorHAnsi" w:hAnsiTheme="minorHAnsi"/>
        </w:rPr>
        <w:t>The EMCDDA estimates that 2.</w:t>
      </w:r>
      <w:r w:rsidR="000F4225" w:rsidRPr="008E0511">
        <w:rPr>
          <w:rFonts w:asciiTheme="minorHAnsi" w:hAnsiTheme="minorHAnsi"/>
          <w:lang w:val="ga-IE"/>
        </w:rPr>
        <w:t>1</w:t>
      </w:r>
      <w:r w:rsidRPr="008E0511">
        <w:rPr>
          <w:rFonts w:asciiTheme="minorHAnsi" w:hAnsiTheme="minorHAnsi"/>
        </w:rPr>
        <w:t xml:space="preserve"> million young adults (15–34</w:t>
      </w:r>
      <w:r w:rsidR="00C3611A" w:rsidRPr="008E0511">
        <w:rPr>
          <w:rFonts w:asciiTheme="minorHAnsi" w:hAnsiTheme="minorHAnsi"/>
        </w:rPr>
        <w:t xml:space="preserve"> years</w:t>
      </w:r>
      <w:r w:rsidR="000F4225" w:rsidRPr="008E0511">
        <w:rPr>
          <w:rFonts w:asciiTheme="minorHAnsi" w:hAnsiTheme="minorHAnsi"/>
          <w:lang w:val="ga-IE"/>
        </w:rPr>
        <w:t>)</w:t>
      </w:r>
      <w:r w:rsidR="00BF6152" w:rsidRPr="008E0511">
        <w:rPr>
          <w:rFonts w:asciiTheme="minorHAnsi" w:hAnsiTheme="minorHAnsi"/>
          <w:lang w:val="ga-IE"/>
        </w:rPr>
        <w:t>, or 1.</w:t>
      </w:r>
      <w:r w:rsidR="000F4225" w:rsidRPr="008E0511">
        <w:rPr>
          <w:rFonts w:asciiTheme="minorHAnsi" w:hAnsiTheme="minorHAnsi"/>
          <w:lang w:val="ga-IE"/>
        </w:rPr>
        <w:t>7</w:t>
      </w:r>
      <w:r w:rsidR="00BF6152" w:rsidRPr="008E0511">
        <w:rPr>
          <w:rFonts w:asciiTheme="minorHAnsi" w:hAnsiTheme="minorHAnsi"/>
          <w:lang w:val="ga-IE"/>
        </w:rPr>
        <w:t>% of</w:t>
      </w:r>
      <w:r w:rsidR="000F4225" w:rsidRPr="008E0511">
        <w:rPr>
          <w:rFonts w:asciiTheme="minorHAnsi" w:hAnsiTheme="minorHAnsi"/>
          <w:lang w:val="ga-IE"/>
        </w:rPr>
        <w:t xml:space="preserve"> this age group</w:t>
      </w:r>
      <w:r w:rsidRPr="008E0511">
        <w:rPr>
          <w:rFonts w:asciiTheme="minorHAnsi" w:hAnsiTheme="minorHAnsi"/>
        </w:rPr>
        <w:t xml:space="preserve"> used MDMA/ecstasy in the last year</w:t>
      </w:r>
      <w:r w:rsidR="00AB6A1A" w:rsidRPr="008E0511">
        <w:rPr>
          <w:rFonts w:asciiTheme="minorHAnsi" w:hAnsiTheme="minorHAnsi"/>
          <w:lang w:val="ga-IE"/>
        </w:rPr>
        <w:t>. National</w:t>
      </w:r>
      <w:r w:rsidRPr="008E0511">
        <w:rPr>
          <w:rFonts w:asciiTheme="minorHAnsi" w:hAnsiTheme="minorHAnsi"/>
        </w:rPr>
        <w:t xml:space="preserve"> estimates</w:t>
      </w:r>
      <w:r w:rsidR="00A05531" w:rsidRPr="008E0511">
        <w:rPr>
          <w:rFonts w:asciiTheme="minorHAnsi" w:hAnsiTheme="minorHAnsi"/>
          <w:lang w:val="ga-IE"/>
        </w:rPr>
        <w:t xml:space="preserve"> vary considerably with the Netherlands highest at 7.</w:t>
      </w:r>
      <w:r w:rsidR="000F4225" w:rsidRPr="008E0511">
        <w:rPr>
          <w:rFonts w:asciiTheme="minorHAnsi" w:hAnsiTheme="minorHAnsi"/>
          <w:lang w:val="ga-IE"/>
        </w:rPr>
        <w:t>1</w:t>
      </w:r>
      <w:r w:rsidR="00A05531" w:rsidRPr="008E0511">
        <w:rPr>
          <w:rFonts w:asciiTheme="minorHAnsi" w:hAnsiTheme="minorHAnsi"/>
          <w:lang w:val="ga-IE"/>
        </w:rPr>
        <w:t>%.</w:t>
      </w:r>
      <w:r w:rsidRPr="008E0511">
        <w:rPr>
          <w:rFonts w:asciiTheme="minorHAnsi" w:hAnsiTheme="minorHAnsi"/>
        </w:rPr>
        <w:t xml:space="preserve"> </w:t>
      </w:r>
    </w:p>
    <w:p w:rsidR="008E0511" w:rsidRPr="002C046F" w:rsidRDefault="008E0511" w:rsidP="008E0511">
      <w:pPr>
        <w:pStyle w:val="NormalWeb"/>
        <w:spacing w:before="0" w:beforeAutospacing="0" w:after="0" w:afterAutospacing="0" w:line="312" w:lineRule="auto"/>
        <w:rPr>
          <w:rFonts w:asciiTheme="minorHAnsi" w:hAnsiTheme="minorHAnsi" w:cs="Tahoma"/>
          <w:sz w:val="22"/>
          <w:szCs w:val="22"/>
          <w:lang w:val="ga-IE"/>
        </w:rPr>
      </w:pPr>
    </w:p>
    <w:p w:rsidR="00E46A09" w:rsidRPr="008E0511" w:rsidRDefault="001B0E85" w:rsidP="00E61F38">
      <w:pPr>
        <w:pStyle w:val="Heading4"/>
        <w:rPr>
          <w:lang w:val="ga-IE"/>
        </w:rPr>
      </w:pPr>
      <w:r w:rsidRPr="008E0511">
        <w:t>Irish comparison</w:t>
      </w:r>
    </w:p>
    <w:p w:rsidR="00144C9E" w:rsidRDefault="00144C9E" w:rsidP="00144C9E">
      <w:pPr>
        <w:pStyle w:val="NormalWeb"/>
        <w:numPr>
          <w:ilvl w:val="0"/>
          <w:numId w:val="5"/>
        </w:numPr>
        <w:spacing w:before="0" w:beforeAutospacing="0" w:after="0" w:afterAutospacing="0" w:line="312" w:lineRule="auto"/>
        <w:rPr>
          <w:rFonts w:asciiTheme="minorHAnsi" w:hAnsiTheme="minorHAnsi" w:cs="Tahoma"/>
          <w:sz w:val="22"/>
          <w:szCs w:val="22"/>
        </w:rPr>
      </w:pPr>
      <w:r>
        <w:rPr>
          <w:rFonts w:asciiTheme="minorHAnsi" w:hAnsiTheme="minorHAnsi" w:cs="Tahoma"/>
          <w:sz w:val="22"/>
          <w:szCs w:val="22"/>
        </w:rPr>
        <w:t xml:space="preserve">In 2010 more than 200 individual substances were controlled under the Misuse of Drugs Act 1977 and the Criminal Justice (psychoactive substances) Act 2010 was passed to prohibit supply of harmful NPS. While the court of appeal effectively annulled earlier declaration orders banning numerous substances, the Misuse of Drug (Amendment) Act 2015 was introduced to control these substances in Ireland. </w:t>
      </w:r>
    </w:p>
    <w:p w:rsidR="00144C9E" w:rsidRPr="00F164E2" w:rsidRDefault="00144C9E" w:rsidP="00144C9E">
      <w:pPr>
        <w:pStyle w:val="NormalWeb"/>
        <w:numPr>
          <w:ilvl w:val="0"/>
          <w:numId w:val="5"/>
        </w:numPr>
        <w:spacing w:before="0" w:beforeAutospacing="0" w:after="0" w:afterAutospacing="0" w:line="312" w:lineRule="auto"/>
        <w:rPr>
          <w:rFonts w:asciiTheme="minorHAnsi" w:hAnsiTheme="minorHAnsi" w:cs="Tahoma"/>
          <w:sz w:val="22"/>
          <w:szCs w:val="22"/>
        </w:rPr>
      </w:pPr>
      <w:r w:rsidRPr="00F164E2">
        <w:rPr>
          <w:rFonts w:asciiTheme="minorHAnsi" w:hAnsiTheme="minorHAnsi" w:cs="Tahoma"/>
          <w:sz w:val="22"/>
          <w:szCs w:val="22"/>
        </w:rPr>
        <w:lastRenderedPageBreak/>
        <w:t xml:space="preserve">The 2014/15 general population survey reported last-year prevalence of </w:t>
      </w:r>
      <w:r>
        <w:rPr>
          <w:rFonts w:asciiTheme="minorHAnsi" w:hAnsiTheme="minorHAnsi" w:cs="Tahoma"/>
          <w:sz w:val="22"/>
          <w:szCs w:val="22"/>
        </w:rPr>
        <w:t>e</w:t>
      </w:r>
      <w:r w:rsidRPr="00F164E2">
        <w:rPr>
          <w:rFonts w:asciiTheme="minorHAnsi" w:hAnsiTheme="minorHAnsi" w:cs="Tahoma"/>
          <w:sz w:val="22"/>
          <w:szCs w:val="22"/>
        </w:rPr>
        <w:t>cstasy of 4</w:t>
      </w:r>
      <w:r w:rsidR="00F548DF">
        <w:rPr>
          <w:rFonts w:asciiTheme="minorHAnsi" w:hAnsiTheme="minorHAnsi" w:cs="Tahoma"/>
          <w:sz w:val="22"/>
          <w:szCs w:val="22"/>
        </w:rPr>
        <w:t>.4</w:t>
      </w:r>
      <w:r w:rsidRPr="00F164E2">
        <w:rPr>
          <w:rFonts w:asciiTheme="minorHAnsi" w:hAnsiTheme="minorHAnsi" w:cs="Tahoma"/>
          <w:sz w:val="22"/>
          <w:szCs w:val="22"/>
        </w:rPr>
        <w:t>% for young adults (</w:t>
      </w:r>
      <w:r w:rsidR="00E80176">
        <w:rPr>
          <w:rFonts w:asciiTheme="minorHAnsi" w:hAnsiTheme="minorHAnsi" w:cs="Tahoma"/>
          <w:sz w:val="22"/>
          <w:szCs w:val="22"/>
        </w:rPr>
        <w:t xml:space="preserve">aged </w:t>
      </w:r>
      <w:r w:rsidRPr="00F164E2">
        <w:rPr>
          <w:rFonts w:asciiTheme="minorHAnsi" w:hAnsiTheme="minorHAnsi" w:cs="Tahoma"/>
          <w:sz w:val="22"/>
          <w:szCs w:val="22"/>
        </w:rPr>
        <w:t>15-34</w:t>
      </w:r>
      <w:r w:rsidR="00E80176">
        <w:rPr>
          <w:rFonts w:asciiTheme="minorHAnsi" w:hAnsiTheme="minorHAnsi" w:cs="Tahoma"/>
          <w:sz w:val="22"/>
          <w:szCs w:val="22"/>
        </w:rPr>
        <w:t xml:space="preserve"> years</w:t>
      </w:r>
      <w:r w:rsidRPr="00F164E2">
        <w:rPr>
          <w:rFonts w:asciiTheme="minorHAnsi" w:hAnsiTheme="minorHAnsi" w:cs="Tahoma"/>
          <w:sz w:val="22"/>
          <w:szCs w:val="22"/>
        </w:rPr>
        <w:t>), a significant increase from 0.9% recorded in the 2010/11 survey.</w:t>
      </w:r>
      <w:r w:rsidR="00F548DF" w:rsidRPr="00F548DF">
        <w:rPr>
          <w:rFonts w:asciiTheme="minorHAnsi" w:hAnsiTheme="minorHAnsi" w:cs="Tahoma"/>
        </w:rPr>
        <w:t xml:space="preserve"> </w:t>
      </w:r>
      <w:r w:rsidR="00F548DF">
        <w:rPr>
          <w:rFonts w:asciiTheme="minorHAnsi" w:hAnsiTheme="minorHAnsi" w:cs="Tahoma"/>
        </w:rPr>
        <w:t>Ireland is second after the Netherlands (7.1%) in Europe for prevalence of this drug.</w:t>
      </w:r>
    </w:p>
    <w:p w:rsidR="00144C9E" w:rsidRPr="00DF74D4" w:rsidRDefault="00144C9E" w:rsidP="00144C9E">
      <w:pPr>
        <w:pStyle w:val="ListParagraph"/>
        <w:numPr>
          <w:ilvl w:val="0"/>
          <w:numId w:val="5"/>
        </w:numPr>
        <w:spacing w:line="312" w:lineRule="auto"/>
        <w:rPr>
          <w:rFonts w:asciiTheme="minorHAnsi" w:hAnsiTheme="minorHAnsi" w:cs="Tahoma"/>
          <w:lang w:val="en-US"/>
        </w:rPr>
      </w:pPr>
      <w:r w:rsidRPr="00DF74D4">
        <w:rPr>
          <w:rFonts w:asciiTheme="minorHAnsi" w:eastAsia="Times New Roman" w:hAnsiTheme="minorHAnsi" w:cs="Tahoma"/>
          <w:lang w:val="en-US"/>
        </w:rPr>
        <w:t>MDMA (alone or with other drugs) was implicated in eight deaths</w:t>
      </w:r>
      <w:r>
        <w:rPr>
          <w:rFonts w:asciiTheme="minorHAnsi" w:eastAsia="Times New Roman" w:hAnsiTheme="minorHAnsi" w:cs="Tahoma"/>
          <w:lang w:val="en-US"/>
        </w:rPr>
        <w:t xml:space="preserve"> in 2016, the same number as in 2015</w:t>
      </w:r>
      <w:r w:rsidRPr="00DF74D4">
        <w:rPr>
          <w:rFonts w:asciiTheme="minorHAnsi" w:eastAsia="Times New Roman" w:hAnsiTheme="minorHAnsi" w:cs="Tahoma"/>
          <w:lang w:val="en-US"/>
        </w:rPr>
        <w:t xml:space="preserve"> compared to 15 such deaths in 2014.  </w:t>
      </w:r>
    </w:p>
    <w:p w:rsidR="007441EC" w:rsidRPr="008E0511" w:rsidRDefault="007441EC" w:rsidP="008E0511">
      <w:pPr>
        <w:pStyle w:val="ListParagraph"/>
        <w:numPr>
          <w:ilvl w:val="0"/>
          <w:numId w:val="5"/>
        </w:numPr>
        <w:spacing w:line="312" w:lineRule="auto"/>
        <w:rPr>
          <w:rFonts w:asciiTheme="minorHAnsi" w:hAnsiTheme="minorHAnsi" w:cs="Calibri"/>
        </w:rPr>
      </w:pPr>
      <w:r w:rsidRPr="008E0511">
        <w:rPr>
          <w:rFonts w:asciiTheme="minorHAnsi" w:hAnsiTheme="minorHAnsi" w:cs="Calibri"/>
        </w:rPr>
        <w:t>Apart from cocaine, MDMA is the stimulant that accounts for the highest number of seizures in this category. In 2016 there was a 71% increase in seizures from the 202 recorded in 2015, with 2017 seizures remaining almost exactly the same as in 2016.</w:t>
      </w:r>
    </w:p>
    <w:p w:rsidR="003B07D0" w:rsidRPr="008E0511" w:rsidRDefault="003B07D0" w:rsidP="008E0511">
      <w:pPr>
        <w:pStyle w:val="ListParagraph"/>
        <w:numPr>
          <w:ilvl w:val="0"/>
          <w:numId w:val="5"/>
        </w:numPr>
        <w:spacing w:line="312" w:lineRule="auto"/>
        <w:rPr>
          <w:rFonts w:asciiTheme="minorHAnsi" w:hAnsiTheme="minorHAnsi" w:cs="Calibri"/>
          <w:i/>
        </w:rPr>
      </w:pPr>
      <w:r w:rsidRPr="008E0511">
        <w:rPr>
          <w:rFonts w:asciiTheme="minorHAnsi" w:eastAsia="Arial" w:hAnsiTheme="minorHAnsi" w:cs="Arial"/>
        </w:rPr>
        <w:t>Synthetic drugs are not produced in Ireland, nor are general illicit drugs tableted. Ireland is viewed as an end source not a transit country</w:t>
      </w:r>
      <w:r w:rsidRPr="008E0511">
        <w:rPr>
          <w:rFonts w:asciiTheme="minorHAnsi" w:eastAsia="Arial" w:hAnsiTheme="minorHAnsi" w:cs="Arial"/>
          <w:lang w:val="ga-IE"/>
        </w:rPr>
        <w:t xml:space="preserve">.  </w:t>
      </w:r>
      <w:r w:rsidRPr="008E0511">
        <w:rPr>
          <w:rFonts w:asciiTheme="minorHAnsi" w:eastAsia="Arial" w:hAnsiTheme="minorHAnsi" w:cs="Arial"/>
        </w:rPr>
        <w:t xml:space="preserve">However, the market is constantly changing; pre-precursors such as </w:t>
      </w:r>
      <w:bookmarkStart w:id="0" w:name="_Hlk523999034"/>
      <w:r w:rsidRPr="008E0511">
        <w:rPr>
          <w:rFonts w:asciiTheme="minorHAnsi" w:eastAsia="Arial" w:hAnsiTheme="minorHAnsi" w:cs="Arial"/>
        </w:rPr>
        <w:t>alpha-</w:t>
      </w:r>
      <w:proofErr w:type="spellStart"/>
      <w:r w:rsidRPr="008E0511">
        <w:rPr>
          <w:rFonts w:asciiTheme="minorHAnsi" w:eastAsia="Arial" w:hAnsiTheme="minorHAnsi" w:cs="Arial"/>
        </w:rPr>
        <w:t>phenylacetoacetonitrile</w:t>
      </w:r>
      <w:proofErr w:type="spellEnd"/>
      <w:r w:rsidRPr="008E0511">
        <w:rPr>
          <w:rFonts w:asciiTheme="minorHAnsi" w:eastAsia="Arial" w:hAnsiTheme="minorHAnsi" w:cs="Arial"/>
        </w:rPr>
        <w:t xml:space="preserve"> (APAAN</w:t>
      </w:r>
      <w:bookmarkEnd w:id="0"/>
      <w:r w:rsidRPr="008E0511">
        <w:rPr>
          <w:rFonts w:asciiTheme="minorHAnsi" w:eastAsia="Arial" w:hAnsiTheme="minorHAnsi" w:cs="Arial"/>
        </w:rPr>
        <w:t xml:space="preserve">) and benzyl cyanide, and precursors such as </w:t>
      </w:r>
      <w:proofErr w:type="spellStart"/>
      <w:r w:rsidRPr="008E0511">
        <w:rPr>
          <w:rFonts w:asciiTheme="minorHAnsi" w:hAnsiTheme="minorHAnsi" w:cs="Arial"/>
          <w:color w:val="545454"/>
          <w:shd w:val="clear" w:color="auto" w:fill="FFFFFF"/>
        </w:rPr>
        <w:t>piperonyl</w:t>
      </w:r>
      <w:proofErr w:type="spellEnd"/>
      <w:r w:rsidRPr="008E0511">
        <w:rPr>
          <w:rFonts w:asciiTheme="minorHAnsi" w:hAnsiTheme="minorHAnsi" w:cs="Arial"/>
          <w:color w:val="545454"/>
          <w:shd w:val="clear" w:color="auto" w:fill="FFFFFF"/>
        </w:rPr>
        <w:t xml:space="preserve"> methyl ketone (</w:t>
      </w:r>
      <w:r w:rsidRPr="008E0511">
        <w:rPr>
          <w:rFonts w:asciiTheme="minorHAnsi" w:eastAsia="Arial" w:hAnsiTheme="minorHAnsi" w:cs="Arial"/>
        </w:rPr>
        <w:t xml:space="preserve">PMK) and </w:t>
      </w:r>
      <w:r w:rsidRPr="008E0511">
        <w:rPr>
          <w:rFonts w:asciiTheme="minorHAnsi" w:hAnsiTheme="minorHAnsi" w:cs="Arial"/>
          <w:color w:val="222222"/>
          <w:shd w:val="clear" w:color="auto" w:fill="FFFFFF"/>
        </w:rPr>
        <w:t>benzyl methyl ketone (</w:t>
      </w:r>
      <w:r w:rsidRPr="008E0511">
        <w:rPr>
          <w:rFonts w:asciiTheme="minorHAnsi" w:eastAsia="Arial" w:hAnsiTheme="minorHAnsi" w:cs="Arial"/>
        </w:rPr>
        <w:t>BMK), have been detected in Ireland in the past number of years.</w:t>
      </w:r>
    </w:p>
    <w:p w:rsidR="001B0E85" w:rsidRPr="002C046F" w:rsidRDefault="001B0E85" w:rsidP="008E0511">
      <w:pPr>
        <w:pStyle w:val="ListParagraph"/>
        <w:spacing w:line="312" w:lineRule="auto"/>
        <w:rPr>
          <w:rFonts w:asciiTheme="minorHAnsi" w:hAnsiTheme="minorHAnsi" w:cs="Calibri"/>
        </w:rPr>
      </w:pPr>
    </w:p>
    <w:p w:rsidR="00252EA7" w:rsidRPr="008E0511" w:rsidRDefault="00252EA7" w:rsidP="00E61F38">
      <w:pPr>
        <w:pStyle w:val="Heading3"/>
      </w:pPr>
      <w:r w:rsidRPr="008E0511">
        <w:t>Opioids (mainly heroin)</w:t>
      </w:r>
    </w:p>
    <w:p w:rsidR="00252EA7" w:rsidRPr="002C046F" w:rsidRDefault="00252EA7" w:rsidP="00E61F38">
      <w:pPr>
        <w:pStyle w:val="Heading4"/>
        <w:rPr>
          <w:color w:val="auto"/>
        </w:rPr>
      </w:pPr>
      <w:r w:rsidRPr="008E0511">
        <w:t>European situation</w:t>
      </w:r>
    </w:p>
    <w:p w:rsidR="00252EA7" w:rsidRPr="008E0511" w:rsidRDefault="00252EA7" w:rsidP="008E0511">
      <w:pPr>
        <w:pStyle w:val="ListParagraph"/>
        <w:numPr>
          <w:ilvl w:val="0"/>
          <w:numId w:val="9"/>
        </w:numPr>
        <w:spacing w:line="312" w:lineRule="auto"/>
        <w:rPr>
          <w:rFonts w:asciiTheme="minorHAnsi" w:hAnsiTheme="minorHAnsi"/>
        </w:rPr>
      </w:pPr>
      <w:r w:rsidRPr="008E0511">
        <w:rPr>
          <w:rFonts w:asciiTheme="minorHAnsi" w:hAnsiTheme="minorHAnsi"/>
        </w:rPr>
        <w:t>There w</w:t>
      </w:r>
      <w:r w:rsidR="00E80176">
        <w:rPr>
          <w:rFonts w:asciiTheme="minorHAnsi" w:hAnsiTheme="minorHAnsi"/>
        </w:rPr>
        <w:t>ere</w:t>
      </w:r>
      <w:r w:rsidRPr="008E0511">
        <w:rPr>
          <w:rFonts w:asciiTheme="minorHAnsi" w:hAnsiTheme="minorHAnsi"/>
        </w:rPr>
        <w:t xml:space="preserve"> an estimated 1.3 million high-risk opioid users in Europe in 201</w:t>
      </w:r>
      <w:r w:rsidR="00DF74D4" w:rsidRPr="008E0511">
        <w:rPr>
          <w:rFonts w:asciiTheme="minorHAnsi" w:hAnsiTheme="minorHAnsi"/>
          <w:lang w:val="ga-IE"/>
        </w:rPr>
        <w:t>7</w:t>
      </w:r>
      <w:r w:rsidRPr="008E0511">
        <w:rPr>
          <w:rFonts w:asciiTheme="minorHAnsi" w:hAnsiTheme="minorHAnsi"/>
        </w:rPr>
        <w:t>.</w:t>
      </w:r>
    </w:p>
    <w:p w:rsidR="00252EA7" w:rsidRPr="008E0511" w:rsidRDefault="00252EA7" w:rsidP="008E0511">
      <w:pPr>
        <w:pStyle w:val="ListParagraph"/>
        <w:numPr>
          <w:ilvl w:val="0"/>
          <w:numId w:val="9"/>
        </w:numPr>
        <w:spacing w:line="312" w:lineRule="auto"/>
        <w:rPr>
          <w:rFonts w:asciiTheme="minorHAnsi" w:hAnsiTheme="minorHAnsi"/>
        </w:rPr>
      </w:pPr>
      <w:r w:rsidRPr="008E0511">
        <w:rPr>
          <w:rFonts w:asciiTheme="minorHAnsi" w:hAnsiTheme="minorHAnsi"/>
        </w:rPr>
        <w:t>In 201</w:t>
      </w:r>
      <w:r w:rsidR="00DF74D4" w:rsidRPr="008E0511">
        <w:rPr>
          <w:rFonts w:asciiTheme="minorHAnsi" w:hAnsiTheme="minorHAnsi"/>
          <w:lang w:val="ga-IE"/>
        </w:rPr>
        <w:t>7</w:t>
      </w:r>
      <w:r w:rsidRPr="008E0511">
        <w:rPr>
          <w:rFonts w:asciiTheme="minorHAnsi" w:hAnsiTheme="minorHAnsi"/>
        </w:rPr>
        <w:t>, use of opioids was reported as the main reason for entering specialised drug treatment by 177</w:t>
      </w:r>
      <w:r w:rsidR="000B7F8F" w:rsidRPr="008E0511">
        <w:rPr>
          <w:rFonts w:asciiTheme="minorHAnsi" w:hAnsiTheme="minorHAnsi"/>
        </w:rPr>
        <w:t>,</w:t>
      </w:r>
      <w:r w:rsidRPr="008E0511">
        <w:rPr>
          <w:rFonts w:asciiTheme="minorHAnsi" w:hAnsiTheme="minorHAnsi"/>
        </w:rPr>
        <w:t>000 clients or 37% of all those entering drug treatment in Europe. Of these, 3</w:t>
      </w:r>
      <w:r w:rsidR="00DF74D4" w:rsidRPr="008E0511">
        <w:rPr>
          <w:rFonts w:asciiTheme="minorHAnsi" w:hAnsiTheme="minorHAnsi"/>
          <w:lang w:val="ga-IE"/>
        </w:rPr>
        <w:t>2</w:t>
      </w:r>
      <w:r w:rsidRPr="008E0511">
        <w:rPr>
          <w:rFonts w:asciiTheme="minorHAnsi" w:hAnsiTheme="minorHAnsi"/>
        </w:rPr>
        <w:t> 000 were first-time entrants</w:t>
      </w:r>
      <w:r w:rsidRPr="008E0511">
        <w:rPr>
          <w:rFonts w:asciiTheme="minorHAnsi" w:hAnsiTheme="minorHAnsi"/>
          <w:lang w:val="ga-IE"/>
        </w:rPr>
        <w:t xml:space="preserve">, </w:t>
      </w:r>
      <w:r w:rsidR="00DF74D4" w:rsidRPr="008E0511">
        <w:rPr>
          <w:rFonts w:asciiTheme="minorHAnsi" w:hAnsiTheme="minorHAnsi"/>
          <w:lang w:val="ga-IE"/>
        </w:rPr>
        <w:t>a drop of 3,800 compared with the previous year</w:t>
      </w:r>
      <w:r w:rsidRPr="008E0511">
        <w:rPr>
          <w:rFonts w:asciiTheme="minorHAnsi" w:hAnsiTheme="minorHAnsi"/>
          <w:lang w:val="ga-IE"/>
        </w:rPr>
        <w:t xml:space="preserve">. </w:t>
      </w:r>
      <w:r w:rsidR="00DF74D4" w:rsidRPr="008E0511">
        <w:rPr>
          <w:rFonts w:asciiTheme="minorHAnsi" w:hAnsiTheme="minorHAnsi"/>
          <w:lang w:val="ga-IE"/>
        </w:rPr>
        <w:t xml:space="preserve"> T</w:t>
      </w:r>
      <w:r w:rsidR="00DF74D4" w:rsidRPr="008E0511">
        <w:rPr>
          <w:rFonts w:asciiTheme="minorHAnsi" w:hAnsiTheme="minorHAnsi"/>
        </w:rPr>
        <w:t>he number of first-time heroin clients more than halved from a peak in 2007, to a low point in 2013</w:t>
      </w:r>
      <w:r w:rsidR="00EB4078" w:rsidRPr="008E0511">
        <w:rPr>
          <w:rFonts w:asciiTheme="minorHAnsi" w:hAnsiTheme="minorHAnsi"/>
        </w:rPr>
        <w:t>.</w:t>
      </w:r>
    </w:p>
    <w:p w:rsidR="0077009F" w:rsidRPr="008E0511" w:rsidRDefault="0077009F" w:rsidP="008E0511">
      <w:pPr>
        <w:pStyle w:val="ListParagraph"/>
        <w:numPr>
          <w:ilvl w:val="0"/>
          <w:numId w:val="9"/>
        </w:numPr>
        <w:spacing w:line="312" w:lineRule="auto"/>
        <w:rPr>
          <w:rFonts w:asciiTheme="minorHAnsi" w:hAnsiTheme="minorHAnsi"/>
        </w:rPr>
      </w:pPr>
      <w:r w:rsidRPr="008E0511">
        <w:rPr>
          <w:rFonts w:asciiTheme="minorHAnsi" w:hAnsiTheme="minorHAnsi"/>
        </w:rPr>
        <w:t xml:space="preserve">It is estimated that at least </w:t>
      </w:r>
      <w:r w:rsidR="00DF74D4" w:rsidRPr="008E0511">
        <w:rPr>
          <w:rFonts w:asciiTheme="minorHAnsi" w:hAnsiTheme="minorHAnsi"/>
          <w:lang w:val="ga-IE"/>
        </w:rPr>
        <w:t>8,279</w:t>
      </w:r>
      <w:r w:rsidRPr="008E0511">
        <w:rPr>
          <w:rFonts w:asciiTheme="minorHAnsi" w:hAnsiTheme="minorHAnsi"/>
        </w:rPr>
        <w:t xml:space="preserve"> overdose deaths, </w:t>
      </w:r>
      <w:r w:rsidRPr="008E0511">
        <w:rPr>
          <w:rFonts w:asciiTheme="minorHAnsi" w:hAnsiTheme="minorHAnsi"/>
          <w:lang w:val="ga-IE"/>
        </w:rPr>
        <w:t>mainly involving opioids</w:t>
      </w:r>
      <w:r w:rsidRPr="008E0511">
        <w:rPr>
          <w:rFonts w:asciiTheme="minorHAnsi" w:hAnsiTheme="minorHAnsi"/>
        </w:rPr>
        <w:t xml:space="preserve">, occurred in the </w:t>
      </w:r>
      <w:r w:rsidR="00C3611A" w:rsidRPr="008E0511">
        <w:rPr>
          <w:rFonts w:asciiTheme="minorHAnsi" w:hAnsiTheme="minorHAnsi"/>
        </w:rPr>
        <w:t>EU</w:t>
      </w:r>
      <w:r w:rsidR="00E12C96" w:rsidRPr="008E0511">
        <w:rPr>
          <w:rFonts w:asciiTheme="minorHAnsi" w:hAnsiTheme="minorHAnsi"/>
        </w:rPr>
        <w:t xml:space="preserve"> </w:t>
      </w:r>
      <w:r w:rsidRPr="008E0511">
        <w:rPr>
          <w:rFonts w:asciiTheme="minorHAnsi" w:hAnsiTheme="minorHAnsi"/>
        </w:rPr>
        <w:t>in 201</w:t>
      </w:r>
      <w:r w:rsidR="00DF74D4" w:rsidRPr="008E0511">
        <w:rPr>
          <w:rFonts w:asciiTheme="minorHAnsi" w:hAnsiTheme="minorHAnsi"/>
          <w:lang w:val="ga-IE"/>
        </w:rPr>
        <w:t>7</w:t>
      </w:r>
      <w:r w:rsidRPr="008E0511">
        <w:rPr>
          <w:rFonts w:asciiTheme="minorHAnsi" w:hAnsiTheme="minorHAnsi"/>
        </w:rPr>
        <w:t>.</w:t>
      </w:r>
      <w:r w:rsidRPr="008E0511">
        <w:rPr>
          <w:rFonts w:asciiTheme="minorHAnsi" w:hAnsiTheme="minorHAnsi"/>
          <w:lang w:val="ga-IE"/>
        </w:rPr>
        <w:t xml:space="preserve"> </w:t>
      </w:r>
      <w:r w:rsidRPr="008E0511">
        <w:rPr>
          <w:rFonts w:asciiTheme="minorHAnsi" w:hAnsiTheme="minorHAnsi"/>
        </w:rPr>
        <w:t>As in previous years, the United Kingdom (34%) and Germany (1</w:t>
      </w:r>
      <w:r w:rsidR="00DF74D4" w:rsidRPr="008E0511">
        <w:rPr>
          <w:rFonts w:asciiTheme="minorHAnsi" w:hAnsiTheme="minorHAnsi"/>
          <w:lang w:val="ga-IE"/>
        </w:rPr>
        <w:t>3</w:t>
      </w:r>
      <w:r w:rsidRPr="008E0511">
        <w:rPr>
          <w:rFonts w:asciiTheme="minorHAnsi" w:hAnsiTheme="minorHAnsi"/>
        </w:rPr>
        <w:t xml:space="preserve">%) together account for </w:t>
      </w:r>
      <w:r w:rsidR="00DF74D4" w:rsidRPr="008E0511">
        <w:rPr>
          <w:rFonts w:asciiTheme="minorHAnsi" w:hAnsiTheme="minorHAnsi"/>
          <w:lang w:val="ga-IE"/>
        </w:rPr>
        <w:t>nearly</w:t>
      </w:r>
      <w:r w:rsidRPr="008E0511">
        <w:rPr>
          <w:rFonts w:asciiTheme="minorHAnsi" w:hAnsiTheme="minorHAnsi"/>
        </w:rPr>
        <w:t xml:space="preserve"> half of the European total.</w:t>
      </w:r>
    </w:p>
    <w:p w:rsidR="005E3F79" w:rsidRPr="002C046F" w:rsidRDefault="005E3F79" w:rsidP="008E0511">
      <w:pPr>
        <w:spacing w:line="312" w:lineRule="auto"/>
        <w:rPr>
          <w:rFonts w:asciiTheme="minorHAnsi" w:hAnsiTheme="minorHAnsi" w:cs="Tahoma"/>
          <w:sz w:val="22"/>
          <w:lang w:val="ga-IE"/>
        </w:rPr>
      </w:pPr>
    </w:p>
    <w:p w:rsidR="00252EA7" w:rsidRPr="008E0511" w:rsidRDefault="00252EA7" w:rsidP="00E61F38">
      <w:pPr>
        <w:pStyle w:val="Heading4"/>
      </w:pPr>
      <w:r w:rsidRPr="008E0511">
        <w:t>Irish comparison</w:t>
      </w:r>
    </w:p>
    <w:p w:rsidR="00144C9E" w:rsidRPr="00840268" w:rsidRDefault="00144C9E" w:rsidP="00144C9E">
      <w:pPr>
        <w:numPr>
          <w:ilvl w:val="0"/>
          <w:numId w:val="1"/>
        </w:numPr>
        <w:spacing w:line="312" w:lineRule="auto"/>
        <w:rPr>
          <w:rFonts w:asciiTheme="minorHAnsi" w:hAnsiTheme="minorHAnsi" w:cs="Tahoma"/>
          <w:sz w:val="22"/>
        </w:rPr>
      </w:pPr>
      <w:r w:rsidRPr="00840268">
        <w:rPr>
          <w:rFonts w:asciiTheme="minorHAnsi" w:hAnsiTheme="minorHAnsi" w:cs="Tahoma"/>
          <w:sz w:val="22"/>
        </w:rPr>
        <w:t xml:space="preserve">A prevalence </w:t>
      </w:r>
      <w:proofErr w:type="gramStart"/>
      <w:r w:rsidRPr="00840268">
        <w:rPr>
          <w:rFonts w:asciiTheme="minorHAnsi" w:hAnsiTheme="minorHAnsi" w:cs="Tahoma"/>
          <w:sz w:val="22"/>
        </w:rPr>
        <w:t>estimate</w:t>
      </w:r>
      <w:proofErr w:type="gramEnd"/>
      <w:r w:rsidRPr="00840268">
        <w:rPr>
          <w:rFonts w:asciiTheme="minorHAnsi" w:hAnsiTheme="minorHAnsi" w:cs="Tahoma"/>
          <w:sz w:val="22"/>
        </w:rPr>
        <w:t xml:space="preserve"> of opioid use in the Republic of Ireland</w:t>
      </w:r>
      <w:r>
        <w:rPr>
          <w:rFonts w:asciiTheme="minorHAnsi" w:hAnsiTheme="minorHAnsi" w:cs="Tahoma"/>
          <w:sz w:val="22"/>
          <w:lang w:val="ga-IE"/>
        </w:rPr>
        <w:t xml:space="preserve"> in 2014</w:t>
      </w:r>
      <w:r w:rsidRPr="00840268">
        <w:rPr>
          <w:rFonts w:asciiTheme="minorHAnsi" w:hAnsiTheme="minorHAnsi" w:cs="Tahoma"/>
          <w:sz w:val="22"/>
        </w:rPr>
        <w:t xml:space="preserve">, calculated using an analysis of four data sources, was between 18,720 and 21,454. </w:t>
      </w:r>
    </w:p>
    <w:p w:rsidR="00144C9E" w:rsidRPr="00FE3B12" w:rsidRDefault="00144C9E" w:rsidP="00144C9E">
      <w:pPr>
        <w:numPr>
          <w:ilvl w:val="0"/>
          <w:numId w:val="1"/>
        </w:numPr>
        <w:spacing w:line="312" w:lineRule="auto"/>
        <w:rPr>
          <w:rFonts w:asciiTheme="minorHAnsi" w:hAnsiTheme="minorHAnsi" w:cs="Tahoma"/>
          <w:sz w:val="22"/>
        </w:rPr>
      </w:pPr>
      <w:r w:rsidRPr="00840268">
        <w:rPr>
          <w:rFonts w:asciiTheme="minorHAnsi" w:hAnsiTheme="minorHAnsi" w:cs="Tahoma"/>
          <w:sz w:val="22"/>
        </w:rPr>
        <w:t>The estimates</w:t>
      </w:r>
      <w:r>
        <w:rPr>
          <w:rFonts w:asciiTheme="minorHAnsi" w:hAnsiTheme="minorHAnsi" w:cs="Tahoma"/>
          <w:sz w:val="22"/>
          <w:lang w:val="ga-IE"/>
        </w:rPr>
        <w:t xml:space="preserve"> of prevalence of opioid use</w:t>
      </w:r>
      <w:r w:rsidRPr="00840268">
        <w:rPr>
          <w:rFonts w:asciiTheme="minorHAnsi" w:hAnsiTheme="minorHAnsi" w:cs="Tahoma"/>
          <w:sz w:val="22"/>
        </w:rPr>
        <w:t xml:space="preserve"> for Dublin</w:t>
      </w:r>
      <w:r>
        <w:rPr>
          <w:rFonts w:asciiTheme="minorHAnsi" w:hAnsiTheme="minorHAnsi" w:cs="Tahoma"/>
          <w:sz w:val="22"/>
          <w:lang w:val="ga-IE"/>
        </w:rPr>
        <w:t xml:space="preserve"> in 2014</w:t>
      </w:r>
      <w:r w:rsidRPr="00840268">
        <w:rPr>
          <w:rFonts w:asciiTheme="minorHAnsi" w:hAnsiTheme="minorHAnsi" w:cs="Tahoma"/>
          <w:sz w:val="22"/>
        </w:rPr>
        <w:t xml:space="preserve"> were 13,458 opioid users.  The corresponding figures for 2006, the last time the study was done were 14,909. The prevalence for the rest of Ireland (excluding Dublin) was estimated to be 5,530, also a slight decrease from 2006</w:t>
      </w:r>
      <w:r>
        <w:rPr>
          <w:rFonts w:asciiTheme="minorHAnsi" w:hAnsiTheme="minorHAnsi" w:cs="Tahoma"/>
          <w:sz w:val="22"/>
        </w:rPr>
        <w:t>.</w:t>
      </w:r>
    </w:p>
    <w:p w:rsidR="00144C9E" w:rsidRPr="00F164E2" w:rsidRDefault="00144C9E" w:rsidP="00144C9E">
      <w:pPr>
        <w:numPr>
          <w:ilvl w:val="0"/>
          <w:numId w:val="1"/>
        </w:numPr>
        <w:spacing w:line="312" w:lineRule="auto"/>
        <w:rPr>
          <w:rFonts w:asciiTheme="minorHAnsi" w:hAnsiTheme="minorHAnsi" w:cs="Tahoma"/>
          <w:sz w:val="22"/>
        </w:rPr>
      </w:pPr>
      <w:r w:rsidRPr="00F164E2">
        <w:rPr>
          <w:rFonts w:asciiTheme="minorHAnsi" w:hAnsiTheme="minorHAnsi" w:cs="Tahoma"/>
          <w:sz w:val="22"/>
          <w:lang w:val="en-IE"/>
        </w:rPr>
        <w:t>Opiates (mainly heroin) were the most common main problem drug reported by cases entering treatment in 201</w:t>
      </w:r>
      <w:r>
        <w:rPr>
          <w:rFonts w:asciiTheme="minorHAnsi" w:hAnsiTheme="minorHAnsi" w:cs="Tahoma"/>
          <w:sz w:val="22"/>
          <w:lang w:val="en-IE"/>
        </w:rPr>
        <w:t>7</w:t>
      </w:r>
      <w:r w:rsidRPr="00F164E2">
        <w:rPr>
          <w:rFonts w:asciiTheme="minorHAnsi" w:hAnsiTheme="minorHAnsi" w:cs="Tahoma"/>
          <w:sz w:val="22"/>
          <w:lang w:val="en-IE"/>
        </w:rPr>
        <w:t xml:space="preserve">.  There were </w:t>
      </w:r>
      <w:r>
        <w:rPr>
          <w:rFonts w:asciiTheme="minorHAnsi" w:hAnsiTheme="minorHAnsi" w:cs="Tahoma"/>
          <w:sz w:val="22"/>
          <w:lang w:val="en-IE"/>
        </w:rPr>
        <w:t>4,016</w:t>
      </w:r>
      <w:r w:rsidRPr="00F164E2">
        <w:rPr>
          <w:rFonts w:asciiTheme="minorHAnsi" w:hAnsiTheme="minorHAnsi" w:cs="Tahoma"/>
          <w:sz w:val="22"/>
          <w:lang w:val="en-IE"/>
        </w:rPr>
        <w:t xml:space="preserve"> cases (</w:t>
      </w:r>
      <w:r>
        <w:rPr>
          <w:rFonts w:asciiTheme="minorHAnsi" w:hAnsiTheme="minorHAnsi" w:cs="Tahoma"/>
          <w:sz w:val="22"/>
          <w:lang w:val="en-IE"/>
        </w:rPr>
        <w:t>45.0</w:t>
      </w:r>
      <w:r w:rsidRPr="00F164E2">
        <w:rPr>
          <w:rFonts w:asciiTheme="minorHAnsi" w:hAnsiTheme="minorHAnsi" w:cs="Tahoma"/>
          <w:sz w:val="22"/>
          <w:lang w:val="en-IE"/>
        </w:rPr>
        <w:t>%) in 201</w:t>
      </w:r>
      <w:r>
        <w:rPr>
          <w:rFonts w:asciiTheme="minorHAnsi" w:hAnsiTheme="minorHAnsi" w:cs="Tahoma"/>
          <w:sz w:val="22"/>
          <w:lang w:val="en-IE"/>
        </w:rPr>
        <w:t>7</w:t>
      </w:r>
      <w:r w:rsidRPr="00F164E2">
        <w:rPr>
          <w:rFonts w:asciiTheme="minorHAnsi" w:hAnsiTheme="minorHAnsi" w:cs="Tahoma"/>
          <w:sz w:val="22"/>
          <w:lang w:val="en-IE"/>
        </w:rPr>
        <w:t xml:space="preserve">, a continuation of the steady decrease in the proportion of the total number entering treatment in recent years. </w:t>
      </w:r>
    </w:p>
    <w:p w:rsidR="00144C9E" w:rsidRPr="00F164E2" w:rsidRDefault="00144C9E" w:rsidP="00144C9E">
      <w:pPr>
        <w:numPr>
          <w:ilvl w:val="0"/>
          <w:numId w:val="1"/>
        </w:numPr>
        <w:spacing w:line="312" w:lineRule="auto"/>
        <w:rPr>
          <w:rFonts w:asciiTheme="minorHAnsi" w:hAnsiTheme="minorHAnsi" w:cs="Tahoma"/>
          <w:sz w:val="22"/>
        </w:rPr>
      </w:pPr>
      <w:r w:rsidRPr="00F164E2">
        <w:rPr>
          <w:rFonts w:asciiTheme="minorHAnsi" w:hAnsiTheme="minorHAnsi" w:cs="Tahoma"/>
          <w:sz w:val="22"/>
          <w:lang w:val="en-GB"/>
        </w:rPr>
        <w:t>Between 2007 and 2010 opiates (mainly heroin) were the main problem drug reported by new entrants, but opiates were superseded by cannabis in 2011, and this trend continues</w:t>
      </w:r>
      <w:r w:rsidRPr="00F164E2">
        <w:rPr>
          <w:rFonts w:asciiTheme="minorHAnsi" w:hAnsiTheme="minorHAnsi" w:cs="Tahoma"/>
          <w:sz w:val="22"/>
          <w:lang w:val="en-IE"/>
        </w:rPr>
        <w:t xml:space="preserve"> with </w:t>
      </w:r>
      <w:r>
        <w:rPr>
          <w:rFonts w:asciiTheme="minorHAnsi" w:hAnsiTheme="minorHAnsi" w:cs="Tahoma"/>
          <w:sz w:val="22"/>
          <w:lang w:val="en-IE"/>
        </w:rPr>
        <w:t xml:space="preserve">less than </w:t>
      </w:r>
      <w:r w:rsidRPr="00F164E2">
        <w:rPr>
          <w:rFonts w:asciiTheme="minorHAnsi" w:hAnsiTheme="minorHAnsi" w:cs="Tahoma"/>
          <w:sz w:val="22"/>
          <w:lang w:val="en-IE"/>
        </w:rPr>
        <w:t>a quarter of new cases in 201</w:t>
      </w:r>
      <w:r>
        <w:rPr>
          <w:rFonts w:asciiTheme="minorHAnsi" w:hAnsiTheme="minorHAnsi" w:cs="Tahoma"/>
          <w:sz w:val="22"/>
          <w:lang w:val="en-IE"/>
        </w:rPr>
        <w:t>7</w:t>
      </w:r>
      <w:r w:rsidR="007A5DF0">
        <w:rPr>
          <w:rFonts w:asciiTheme="minorHAnsi" w:hAnsiTheme="minorHAnsi" w:cs="Tahoma"/>
          <w:sz w:val="22"/>
          <w:lang w:val="en-IE"/>
        </w:rPr>
        <w:t xml:space="preserve"> </w:t>
      </w:r>
      <w:r w:rsidRPr="00F164E2">
        <w:rPr>
          <w:rFonts w:asciiTheme="minorHAnsi" w:hAnsiTheme="minorHAnsi" w:cs="Tahoma"/>
          <w:sz w:val="22"/>
          <w:lang w:val="en-IE"/>
        </w:rPr>
        <w:t>reporting heroin use.</w:t>
      </w:r>
    </w:p>
    <w:p w:rsidR="00144C9E" w:rsidRPr="00F164E2" w:rsidRDefault="00144C9E" w:rsidP="00144C9E">
      <w:pPr>
        <w:numPr>
          <w:ilvl w:val="0"/>
          <w:numId w:val="1"/>
        </w:numPr>
        <w:spacing w:line="312" w:lineRule="auto"/>
        <w:rPr>
          <w:rFonts w:asciiTheme="minorHAnsi" w:hAnsiTheme="minorHAnsi" w:cs="Tahoma"/>
          <w:sz w:val="22"/>
        </w:rPr>
      </w:pPr>
      <w:r w:rsidRPr="00F164E2">
        <w:rPr>
          <w:rFonts w:asciiTheme="minorHAnsi" w:hAnsiTheme="minorHAnsi" w:cs="Tahoma"/>
          <w:sz w:val="22"/>
        </w:rPr>
        <w:lastRenderedPageBreak/>
        <w:t xml:space="preserve">Methadone (alone or with another drug) was implicated in </w:t>
      </w:r>
      <w:r>
        <w:rPr>
          <w:rFonts w:asciiTheme="minorHAnsi" w:hAnsiTheme="minorHAnsi" w:cs="Tahoma"/>
          <w:sz w:val="22"/>
          <w:lang w:val="ga-IE"/>
        </w:rPr>
        <w:t>29%</w:t>
      </w:r>
      <w:r w:rsidRPr="00F164E2">
        <w:rPr>
          <w:rFonts w:asciiTheme="minorHAnsi" w:hAnsiTheme="minorHAnsi" w:cs="Tahoma"/>
          <w:sz w:val="22"/>
        </w:rPr>
        <w:t xml:space="preserve"> of poisoning deaths and continues to be the opiate most commonly </w:t>
      </w:r>
      <w:r>
        <w:rPr>
          <w:rFonts w:asciiTheme="minorHAnsi" w:hAnsiTheme="minorHAnsi" w:cs="Tahoma"/>
          <w:sz w:val="22"/>
          <w:lang w:val="ga-IE"/>
        </w:rPr>
        <w:t>associated with</w:t>
      </w:r>
      <w:r w:rsidRPr="00F164E2">
        <w:rPr>
          <w:rFonts w:asciiTheme="minorHAnsi" w:hAnsiTheme="minorHAnsi" w:cs="Tahoma"/>
          <w:sz w:val="22"/>
        </w:rPr>
        <w:t xml:space="preserve"> poisoning deaths. In 201</w:t>
      </w:r>
      <w:r>
        <w:rPr>
          <w:rFonts w:asciiTheme="minorHAnsi" w:hAnsiTheme="minorHAnsi" w:cs="Tahoma"/>
          <w:sz w:val="22"/>
          <w:lang w:val="ga-IE"/>
        </w:rPr>
        <w:t>6</w:t>
      </w:r>
      <w:r w:rsidRPr="00F164E2">
        <w:rPr>
          <w:rFonts w:asciiTheme="minorHAnsi" w:hAnsiTheme="minorHAnsi" w:cs="Tahoma"/>
          <w:sz w:val="22"/>
        </w:rPr>
        <w:t xml:space="preserve">, there were </w:t>
      </w:r>
      <w:r>
        <w:rPr>
          <w:rFonts w:asciiTheme="minorHAnsi" w:hAnsiTheme="minorHAnsi" w:cs="Tahoma"/>
          <w:sz w:val="22"/>
          <w:lang w:val="ga-IE"/>
        </w:rPr>
        <w:t>103</w:t>
      </w:r>
      <w:r w:rsidRPr="00F164E2">
        <w:rPr>
          <w:rFonts w:asciiTheme="minorHAnsi" w:hAnsiTheme="minorHAnsi" w:cs="Tahoma"/>
          <w:sz w:val="22"/>
        </w:rPr>
        <w:t xml:space="preserve"> deaths where methadone was implicated, compared to </w:t>
      </w:r>
      <w:r>
        <w:rPr>
          <w:rFonts w:asciiTheme="minorHAnsi" w:hAnsiTheme="minorHAnsi" w:cs="Tahoma"/>
          <w:sz w:val="22"/>
          <w:lang w:val="ga-IE"/>
        </w:rPr>
        <w:t>89</w:t>
      </w:r>
      <w:r w:rsidRPr="00F164E2">
        <w:rPr>
          <w:rFonts w:asciiTheme="minorHAnsi" w:hAnsiTheme="minorHAnsi" w:cs="Tahoma"/>
          <w:sz w:val="22"/>
        </w:rPr>
        <w:t xml:space="preserve"> deaths in 201</w:t>
      </w:r>
      <w:r>
        <w:rPr>
          <w:rFonts w:asciiTheme="minorHAnsi" w:hAnsiTheme="minorHAnsi" w:cs="Tahoma"/>
          <w:sz w:val="22"/>
          <w:lang w:val="ga-IE"/>
        </w:rPr>
        <w:t>5 and 105 in 2014</w:t>
      </w:r>
      <w:r w:rsidRPr="00F164E2">
        <w:rPr>
          <w:rFonts w:asciiTheme="minorHAnsi" w:hAnsiTheme="minorHAnsi" w:cs="Tahoma"/>
          <w:sz w:val="22"/>
        </w:rPr>
        <w:t xml:space="preserve">.  </w:t>
      </w:r>
      <w:r>
        <w:rPr>
          <w:rFonts w:asciiTheme="minorHAnsi" w:hAnsiTheme="minorHAnsi" w:cs="Tahoma"/>
          <w:sz w:val="22"/>
          <w:lang w:val="ga-IE"/>
        </w:rPr>
        <w:t>The peak in recent years was in</w:t>
      </w:r>
      <w:r w:rsidRPr="00F164E2">
        <w:rPr>
          <w:rFonts w:asciiTheme="minorHAnsi" w:hAnsiTheme="minorHAnsi" w:cs="Tahoma"/>
          <w:sz w:val="22"/>
        </w:rPr>
        <w:t xml:space="preserve"> 2011 when there were 11</w:t>
      </w:r>
      <w:r>
        <w:rPr>
          <w:rFonts w:asciiTheme="minorHAnsi" w:hAnsiTheme="minorHAnsi" w:cs="Tahoma"/>
          <w:sz w:val="22"/>
          <w:lang w:val="ga-IE"/>
        </w:rPr>
        <w:t>6</w:t>
      </w:r>
      <w:r w:rsidRPr="00F164E2">
        <w:rPr>
          <w:rFonts w:asciiTheme="minorHAnsi" w:hAnsiTheme="minorHAnsi" w:cs="Tahoma"/>
          <w:sz w:val="22"/>
        </w:rPr>
        <w:t xml:space="preserve"> deaths where methadone was implicated.</w:t>
      </w:r>
    </w:p>
    <w:p w:rsidR="00144C9E" w:rsidRDefault="00144C9E" w:rsidP="00144C9E">
      <w:pPr>
        <w:numPr>
          <w:ilvl w:val="0"/>
          <w:numId w:val="1"/>
        </w:numPr>
        <w:spacing w:line="312" w:lineRule="auto"/>
        <w:rPr>
          <w:rFonts w:asciiTheme="minorHAnsi" w:hAnsiTheme="minorHAnsi" w:cs="Tahoma"/>
          <w:sz w:val="22"/>
        </w:rPr>
      </w:pPr>
      <w:r w:rsidRPr="00F164E2">
        <w:rPr>
          <w:rFonts w:asciiTheme="minorHAnsi" w:hAnsiTheme="minorHAnsi" w:cs="Tahoma"/>
          <w:sz w:val="22"/>
        </w:rPr>
        <w:t>In 201</w:t>
      </w:r>
      <w:r>
        <w:rPr>
          <w:rFonts w:asciiTheme="minorHAnsi" w:hAnsiTheme="minorHAnsi" w:cs="Tahoma"/>
          <w:sz w:val="22"/>
          <w:lang w:val="ga-IE"/>
        </w:rPr>
        <w:t>6</w:t>
      </w:r>
      <w:r w:rsidRPr="00F164E2">
        <w:rPr>
          <w:rFonts w:asciiTheme="minorHAnsi" w:hAnsiTheme="minorHAnsi" w:cs="Tahoma"/>
          <w:sz w:val="22"/>
          <w:lang w:val="ga-IE"/>
        </w:rPr>
        <w:t xml:space="preserve"> </w:t>
      </w:r>
      <w:r w:rsidRPr="00F164E2">
        <w:rPr>
          <w:rFonts w:asciiTheme="minorHAnsi" w:hAnsiTheme="minorHAnsi" w:cs="Tahoma"/>
          <w:sz w:val="22"/>
        </w:rPr>
        <w:t xml:space="preserve">there were </w:t>
      </w:r>
      <w:r>
        <w:rPr>
          <w:rFonts w:asciiTheme="minorHAnsi" w:hAnsiTheme="minorHAnsi" w:cs="Tahoma"/>
          <w:sz w:val="22"/>
          <w:lang w:val="ga-IE"/>
        </w:rPr>
        <w:t>72</w:t>
      </w:r>
      <w:r w:rsidRPr="00F164E2">
        <w:rPr>
          <w:rFonts w:asciiTheme="minorHAnsi" w:hAnsiTheme="minorHAnsi" w:cs="Tahoma"/>
          <w:sz w:val="22"/>
          <w:lang w:val="ga-IE"/>
        </w:rPr>
        <w:t xml:space="preserve"> </w:t>
      </w:r>
      <w:r w:rsidRPr="00F164E2">
        <w:rPr>
          <w:rFonts w:asciiTheme="minorHAnsi" w:hAnsiTheme="minorHAnsi" w:cs="Tahoma"/>
          <w:sz w:val="22"/>
        </w:rPr>
        <w:t xml:space="preserve">deaths where heroin was implicated, compared to </w:t>
      </w:r>
      <w:r>
        <w:rPr>
          <w:rFonts w:asciiTheme="minorHAnsi" w:hAnsiTheme="minorHAnsi" w:cs="Tahoma"/>
          <w:sz w:val="22"/>
          <w:lang w:val="ga-IE"/>
        </w:rPr>
        <w:t>83</w:t>
      </w:r>
      <w:r w:rsidRPr="00F164E2">
        <w:rPr>
          <w:rFonts w:asciiTheme="minorHAnsi" w:hAnsiTheme="minorHAnsi" w:cs="Tahoma"/>
          <w:sz w:val="22"/>
        </w:rPr>
        <w:t xml:space="preserve"> in 201</w:t>
      </w:r>
      <w:r>
        <w:rPr>
          <w:rFonts w:asciiTheme="minorHAnsi" w:hAnsiTheme="minorHAnsi" w:cs="Tahoma"/>
          <w:sz w:val="22"/>
          <w:lang w:val="ga-IE"/>
        </w:rPr>
        <w:t>5</w:t>
      </w:r>
      <w:r w:rsidRPr="00F164E2">
        <w:rPr>
          <w:rFonts w:asciiTheme="minorHAnsi" w:hAnsiTheme="minorHAnsi" w:cs="Tahoma"/>
          <w:sz w:val="22"/>
        </w:rPr>
        <w:t xml:space="preserve">.  </w:t>
      </w:r>
    </w:p>
    <w:p w:rsidR="00E3082C" w:rsidRPr="008E0511" w:rsidRDefault="00766153" w:rsidP="008E0511">
      <w:pPr>
        <w:numPr>
          <w:ilvl w:val="0"/>
          <w:numId w:val="1"/>
        </w:numPr>
        <w:spacing w:line="312" w:lineRule="auto"/>
        <w:rPr>
          <w:rFonts w:asciiTheme="minorHAnsi" w:hAnsiTheme="minorHAnsi" w:cs="Tahoma"/>
          <w:sz w:val="22"/>
        </w:rPr>
      </w:pPr>
      <w:r w:rsidRPr="008E0511">
        <w:rPr>
          <w:rFonts w:asciiTheme="minorHAnsi" w:hAnsiTheme="minorHAnsi" w:cs="Arial"/>
          <w:color w:val="000000" w:themeColor="text1"/>
          <w:sz w:val="22"/>
          <w:lang w:val="en-IE"/>
        </w:rPr>
        <w:t xml:space="preserve">Following a peak in 2014, the number of seizures of </w:t>
      </w:r>
      <w:r w:rsidR="00367404" w:rsidRPr="008E0511">
        <w:rPr>
          <w:rFonts w:asciiTheme="minorHAnsi" w:hAnsiTheme="minorHAnsi" w:cs="Arial"/>
          <w:color w:val="000000" w:themeColor="text1"/>
          <w:sz w:val="22"/>
          <w:lang w:val="en-IE"/>
        </w:rPr>
        <w:t>opioids</w:t>
      </w:r>
      <w:r w:rsidRPr="008E0511">
        <w:rPr>
          <w:rFonts w:asciiTheme="minorHAnsi" w:hAnsiTheme="minorHAnsi" w:cs="Arial"/>
          <w:color w:val="000000" w:themeColor="text1"/>
          <w:sz w:val="22"/>
          <w:lang w:val="en-IE"/>
        </w:rPr>
        <w:t xml:space="preserve"> continued to decline year on year, with the number of seizures in 2017 (765) being approximately 59% lower than in 2014.</w:t>
      </w:r>
      <w:r w:rsidR="00252EA7" w:rsidRPr="008E0511">
        <w:rPr>
          <w:rFonts w:asciiTheme="minorHAnsi" w:hAnsiTheme="minorHAnsi" w:cs="Tahoma"/>
          <w:sz w:val="22"/>
        </w:rPr>
        <w:t xml:space="preserve"> </w:t>
      </w:r>
    </w:p>
    <w:p w:rsidR="001B0E85" w:rsidRPr="002C046F" w:rsidRDefault="001B0E85" w:rsidP="008E0511">
      <w:pPr>
        <w:pStyle w:val="NormalWeb"/>
        <w:spacing w:before="0" w:beforeAutospacing="0" w:after="0" w:afterAutospacing="0" w:line="312" w:lineRule="auto"/>
        <w:ind w:left="360"/>
        <w:rPr>
          <w:rFonts w:asciiTheme="minorHAnsi" w:hAnsiTheme="minorHAnsi" w:cs="Calibri"/>
          <w:sz w:val="22"/>
          <w:szCs w:val="22"/>
        </w:rPr>
      </w:pPr>
      <w:bookmarkStart w:id="1" w:name="_GoBack"/>
    </w:p>
    <w:bookmarkEnd w:id="1"/>
    <w:p w:rsidR="00E12C96" w:rsidRPr="003A0C07" w:rsidRDefault="00E12C96" w:rsidP="008E0511">
      <w:pPr>
        <w:spacing w:line="312" w:lineRule="auto"/>
        <w:rPr>
          <w:rStyle w:val="Hyperlink"/>
          <w:rFonts w:asciiTheme="minorHAnsi" w:hAnsiTheme="minorHAnsi"/>
          <w:sz w:val="22"/>
          <w:lang w:val="en"/>
        </w:rPr>
      </w:pPr>
      <w:r w:rsidRPr="008E0511">
        <w:rPr>
          <w:rFonts w:asciiTheme="minorHAnsi" w:hAnsiTheme="minorHAnsi"/>
          <w:sz w:val="22"/>
          <w:lang w:val="en"/>
        </w:rPr>
        <w:t xml:space="preserve">Journalists can access the </w:t>
      </w:r>
      <w:r w:rsidRPr="008E0511">
        <w:rPr>
          <w:rFonts w:asciiTheme="minorHAnsi" w:hAnsiTheme="minorHAnsi"/>
          <w:i/>
          <w:sz w:val="22"/>
          <w:lang w:val="en"/>
        </w:rPr>
        <w:t>European Drug Report 201</w:t>
      </w:r>
      <w:r w:rsidR="00DF74D4" w:rsidRPr="008E0511">
        <w:rPr>
          <w:rFonts w:asciiTheme="minorHAnsi" w:hAnsiTheme="minorHAnsi"/>
          <w:i/>
          <w:sz w:val="22"/>
          <w:lang w:val="en"/>
        </w:rPr>
        <w:t>9</w:t>
      </w:r>
      <w:r w:rsidR="00722667" w:rsidRPr="008E0511">
        <w:rPr>
          <w:rFonts w:asciiTheme="minorHAnsi" w:hAnsiTheme="minorHAnsi"/>
          <w:i/>
          <w:sz w:val="22"/>
          <w:lang w:val="en"/>
        </w:rPr>
        <w:t xml:space="preserve"> </w:t>
      </w:r>
      <w:r w:rsidRPr="008E0511">
        <w:rPr>
          <w:rFonts w:asciiTheme="minorHAnsi" w:hAnsiTheme="minorHAnsi"/>
          <w:sz w:val="22"/>
          <w:lang w:val="en"/>
        </w:rPr>
        <w:t>and all related documents at the following link.</w:t>
      </w:r>
      <w:r w:rsidRPr="008E0511">
        <w:rPr>
          <w:rFonts w:asciiTheme="minorHAnsi" w:hAnsiTheme="minorHAnsi"/>
          <w:i/>
          <w:sz w:val="22"/>
          <w:lang w:val="en"/>
        </w:rPr>
        <w:t xml:space="preserve"> </w:t>
      </w:r>
      <w:r w:rsidR="003A0C07">
        <w:rPr>
          <w:rStyle w:val="Hyperlink"/>
          <w:rFonts w:asciiTheme="minorHAnsi" w:hAnsiTheme="minorHAnsi"/>
          <w:i/>
          <w:sz w:val="22"/>
          <w:lang w:val="en"/>
        </w:rPr>
        <w:fldChar w:fldCharType="begin"/>
      </w:r>
      <w:r w:rsidR="003A0C07">
        <w:rPr>
          <w:rStyle w:val="Hyperlink"/>
          <w:rFonts w:asciiTheme="minorHAnsi" w:hAnsiTheme="minorHAnsi"/>
          <w:i/>
          <w:sz w:val="22"/>
          <w:lang w:val="en"/>
        </w:rPr>
        <w:instrText xml:space="preserve"> HYPERLINK "http://www.emcdda.europa.eu/edr2019" </w:instrText>
      </w:r>
      <w:r w:rsidR="003A0C07">
        <w:rPr>
          <w:rStyle w:val="Hyperlink"/>
          <w:rFonts w:asciiTheme="minorHAnsi" w:hAnsiTheme="minorHAnsi"/>
          <w:i/>
          <w:sz w:val="22"/>
          <w:lang w:val="en"/>
        </w:rPr>
        <w:fldChar w:fldCharType="separate"/>
      </w:r>
      <w:r w:rsidRPr="003A0C07">
        <w:rPr>
          <w:rStyle w:val="Hyperlink"/>
          <w:rFonts w:asciiTheme="minorHAnsi" w:hAnsiTheme="minorHAnsi"/>
          <w:i/>
          <w:sz w:val="22"/>
          <w:lang w:val="en"/>
        </w:rPr>
        <w:t>http://www.emcdda.europa.eu/edr201</w:t>
      </w:r>
      <w:r w:rsidR="00DF74D4" w:rsidRPr="003A0C07">
        <w:rPr>
          <w:rStyle w:val="Hyperlink"/>
          <w:rFonts w:asciiTheme="minorHAnsi" w:hAnsiTheme="minorHAnsi"/>
          <w:i/>
          <w:sz w:val="22"/>
          <w:lang w:val="en"/>
        </w:rPr>
        <w:t>9</w:t>
      </w:r>
    </w:p>
    <w:p w:rsidR="007A5DF0" w:rsidRDefault="003A0C07" w:rsidP="00E61F38">
      <w:pPr>
        <w:pStyle w:val="Heading2"/>
      </w:pPr>
      <w:r>
        <w:rPr>
          <w:rStyle w:val="Hyperlink"/>
          <w:rFonts w:asciiTheme="minorHAnsi" w:eastAsia="Calibri" w:hAnsiTheme="minorHAnsi" w:cs="Times New Roman"/>
          <w:i/>
          <w:sz w:val="22"/>
          <w:szCs w:val="22"/>
          <w:lang w:val="en"/>
        </w:rPr>
        <w:fldChar w:fldCharType="end"/>
      </w:r>
    </w:p>
    <w:p w:rsidR="00E12C96" w:rsidRPr="007A5DF0" w:rsidRDefault="005B48CA" w:rsidP="007A5DF0">
      <w:pPr>
        <w:rPr>
          <w:b/>
        </w:rPr>
      </w:pPr>
      <w:r w:rsidRPr="007A5DF0">
        <w:rPr>
          <w:b/>
        </w:rPr>
        <w:t>ENDS</w:t>
      </w:r>
    </w:p>
    <w:p w:rsidR="005B48CA" w:rsidRPr="005B48CA" w:rsidRDefault="005B48CA" w:rsidP="005B48CA"/>
    <w:p w:rsidR="003250CC" w:rsidRPr="008E0511" w:rsidRDefault="003250CC" w:rsidP="00E61F38">
      <w:pPr>
        <w:pStyle w:val="Heading2"/>
        <w:rPr>
          <w:lang w:val="en"/>
        </w:rPr>
      </w:pPr>
      <w:r w:rsidRPr="008E0511">
        <w:rPr>
          <w:lang w:val="en"/>
        </w:rPr>
        <w:t xml:space="preserve">If you have any queries in relation to the Irish figures, you </w:t>
      </w:r>
      <w:r w:rsidR="006E1181" w:rsidRPr="008E0511">
        <w:rPr>
          <w:lang w:val="en"/>
        </w:rPr>
        <w:t xml:space="preserve">can </w:t>
      </w:r>
      <w:r w:rsidRPr="008E0511">
        <w:rPr>
          <w:lang w:val="en"/>
        </w:rPr>
        <w:t>contact</w:t>
      </w:r>
      <w:r w:rsidR="00FE3B12" w:rsidRPr="008E0511">
        <w:rPr>
          <w:lang w:val="en"/>
        </w:rPr>
        <w:t>:</w:t>
      </w:r>
    </w:p>
    <w:p w:rsidR="003250CC" w:rsidRPr="008E0511" w:rsidRDefault="003250CC" w:rsidP="008E0511">
      <w:pPr>
        <w:spacing w:line="312" w:lineRule="auto"/>
        <w:rPr>
          <w:rFonts w:asciiTheme="minorHAnsi" w:hAnsiTheme="minorHAnsi"/>
          <w:sz w:val="22"/>
          <w:lang w:val="en"/>
        </w:rPr>
      </w:pPr>
      <w:r w:rsidRPr="008E0511">
        <w:rPr>
          <w:rFonts w:asciiTheme="minorHAnsi" w:hAnsiTheme="minorHAnsi"/>
          <w:sz w:val="22"/>
          <w:lang w:val="en"/>
        </w:rPr>
        <w:t>Gillian Markey, Communications Manager, Health Research Board</w:t>
      </w:r>
    </w:p>
    <w:p w:rsidR="003250CC" w:rsidRPr="008E0511" w:rsidRDefault="003250CC" w:rsidP="008E0511">
      <w:pPr>
        <w:spacing w:line="312" w:lineRule="auto"/>
        <w:rPr>
          <w:rFonts w:asciiTheme="minorHAnsi" w:hAnsiTheme="minorHAnsi"/>
          <w:sz w:val="22"/>
          <w:lang w:val="en"/>
        </w:rPr>
      </w:pPr>
      <w:r w:rsidRPr="008E0511">
        <w:rPr>
          <w:rFonts w:asciiTheme="minorHAnsi" w:hAnsiTheme="minorHAnsi"/>
          <w:b/>
          <w:sz w:val="22"/>
          <w:lang w:val="en"/>
        </w:rPr>
        <w:t>m</w:t>
      </w:r>
      <w:r w:rsidRPr="008E0511">
        <w:rPr>
          <w:rFonts w:asciiTheme="minorHAnsi" w:hAnsiTheme="minorHAnsi"/>
          <w:sz w:val="22"/>
          <w:lang w:val="en"/>
        </w:rPr>
        <w:t xml:space="preserve"> +353 87 2288514</w:t>
      </w:r>
      <w:r w:rsidRPr="008E0511">
        <w:rPr>
          <w:rFonts w:asciiTheme="minorHAnsi" w:hAnsiTheme="minorHAnsi"/>
          <w:sz w:val="22"/>
          <w:lang w:val="en"/>
        </w:rPr>
        <w:tab/>
      </w:r>
      <w:r w:rsidRPr="008E0511">
        <w:rPr>
          <w:rFonts w:asciiTheme="minorHAnsi" w:hAnsiTheme="minorHAnsi"/>
          <w:b/>
          <w:sz w:val="22"/>
          <w:lang w:val="en"/>
        </w:rPr>
        <w:t>e</w:t>
      </w:r>
      <w:r w:rsidRPr="008E0511">
        <w:rPr>
          <w:rFonts w:asciiTheme="minorHAnsi" w:hAnsiTheme="minorHAnsi"/>
          <w:sz w:val="22"/>
          <w:lang w:val="en"/>
        </w:rPr>
        <w:t xml:space="preserve"> gmarkey@hrb.ie</w:t>
      </w:r>
    </w:p>
    <w:p w:rsidR="002F0158" w:rsidRDefault="002F0158" w:rsidP="008E0511">
      <w:pPr>
        <w:spacing w:line="312" w:lineRule="auto"/>
        <w:rPr>
          <w:rFonts w:asciiTheme="minorHAnsi" w:hAnsiTheme="minorHAnsi"/>
          <w:sz w:val="22"/>
        </w:rPr>
      </w:pPr>
    </w:p>
    <w:p w:rsidR="005B48CA" w:rsidRDefault="005B48CA" w:rsidP="005B48CA">
      <w:pPr>
        <w:pStyle w:val="Heading2"/>
      </w:pPr>
      <w:r>
        <w:t>Notes to Editors</w:t>
      </w:r>
    </w:p>
    <w:p w:rsidR="005B48CA" w:rsidRPr="005B48CA" w:rsidRDefault="005B48CA" w:rsidP="005B48CA">
      <w:pPr>
        <w:pStyle w:val="ListParagraph"/>
        <w:numPr>
          <w:ilvl w:val="0"/>
          <w:numId w:val="21"/>
        </w:numPr>
        <w:spacing w:line="312" w:lineRule="auto"/>
        <w:rPr>
          <w:rFonts w:asciiTheme="minorHAnsi" w:hAnsiTheme="minorHAnsi" w:cs="Arial"/>
          <w:lang w:val="en-GB" w:eastAsia="en-GB"/>
        </w:rPr>
      </w:pPr>
      <w:r w:rsidRPr="005B48CA">
        <w:rPr>
          <w:rFonts w:asciiTheme="minorHAnsi" w:hAnsiTheme="minorHAnsi" w:cs="Arial"/>
          <w:lang w:val="en-GB" w:eastAsia="en-GB"/>
        </w:rPr>
        <w:t xml:space="preserve">The most recent </w:t>
      </w:r>
      <w:r>
        <w:rPr>
          <w:rFonts w:asciiTheme="minorHAnsi" w:hAnsiTheme="minorHAnsi" w:cs="Arial"/>
          <w:lang w:val="en-GB" w:eastAsia="en-GB"/>
        </w:rPr>
        <w:t>Irish</w:t>
      </w:r>
      <w:r w:rsidRPr="005B48CA">
        <w:rPr>
          <w:rFonts w:asciiTheme="minorHAnsi" w:hAnsiTheme="minorHAnsi" w:cs="Arial"/>
          <w:lang w:val="en-GB" w:eastAsia="en-GB"/>
        </w:rPr>
        <w:t xml:space="preserve"> household study estimating the prevalence of drug use in Ireland was undertaken in 2015. A new survey is currently being conducted and the results of this will be published in 2020. </w:t>
      </w:r>
    </w:p>
    <w:p w:rsidR="005B48CA" w:rsidRPr="005B48CA" w:rsidRDefault="005B48CA" w:rsidP="005B48CA">
      <w:pPr>
        <w:pStyle w:val="ListParagraph"/>
        <w:numPr>
          <w:ilvl w:val="0"/>
          <w:numId w:val="21"/>
        </w:numPr>
        <w:spacing w:line="312" w:lineRule="auto"/>
        <w:rPr>
          <w:rFonts w:asciiTheme="minorHAnsi" w:hAnsiTheme="minorHAnsi" w:cs="Tahoma"/>
          <w:bCs/>
          <w:i/>
          <w:lang w:val="ga-IE"/>
        </w:rPr>
      </w:pPr>
      <w:r w:rsidRPr="005B48CA">
        <w:rPr>
          <w:rFonts w:asciiTheme="minorHAnsi" w:hAnsiTheme="minorHAnsi" w:cs="Arial"/>
          <w:lang w:val="en-GB" w:eastAsia="en-GB"/>
        </w:rPr>
        <w:t xml:space="preserve">The Irish drug treatment data referred to </w:t>
      </w:r>
      <w:r w:rsidR="00F548DF">
        <w:rPr>
          <w:rFonts w:asciiTheme="minorHAnsi" w:hAnsiTheme="minorHAnsi" w:cs="Arial"/>
          <w:lang w:val="en-GB" w:eastAsia="en-GB"/>
        </w:rPr>
        <w:t>above</w:t>
      </w:r>
      <w:r w:rsidRPr="005B48CA">
        <w:rPr>
          <w:rFonts w:asciiTheme="minorHAnsi" w:hAnsiTheme="minorHAnsi" w:cs="Arial"/>
          <w:lang w:val="en-GB" w:eastAsia="en-GB"/>
        </w:rPr>
        <w:t xml:space="preserve"> is taken from reports on those entering treatment in 2017.  The most recent year for which drug-related deaths estimates are available is 2016. </w:t>
      </w:r>
      <w:r w:rsidRPr="005B48CA">
        <w:rPr>
          <w:rFonts w:asciiTheme="minorHAnsi" w:hAnsiTheme="minorHAnsi" w:cs="Tahoma"/>
          <w:bCs/>
        </w:rPr>
        <w:t xml:space="preserve">The latest </w:t>
      </w:r>
      <w:r w:rsidRPr="007A5DF0">
        <w:rPr>
          <w:rFonts w:asciiTheme="minorHAnsi" w:hAnsiTheme="minorHAnsi" w:cs="Tahoma"/>
          <w:b/>
          <w:bCs/>
        </w:rPr>
        <w:t>Irish data</w:t>
      </w:r>
      <w:r w:rsidRPr="005B48CA">
        <w:rPr>
          <w:rFonts w:asciiTheme="minorHAnsi" w:hAnsiTheme="minorHAnsi" w:cs="Tahoma"/>
          <w:bCs/>
        </w:rPr>
        <w:t xml:space="preserve"> on drug deaths and drug treatment have already been released earlier this year</w:t>
      </w:r>
      <w:r w:rsidRPr="005B48CA">
        <w:rPr>
          <w:rFonts w:asciiTheme="minorHAnsi" w:hAnsiTheme="minorHAnsi" w:cs="Tahoma"/>
          <w:bCs/>
          <w:i/>
        </w:rPr>
        <w:t>.</w:t>
      </w:r>
      <w:r w:rsidRPr="005B48CA">
        <w:rPr>
          <w:rFonts w:asciiTheme="minorHAnsi" w:hAnsiTheme="minorHAnsi" w:cs="Tahoma"/>
          <w:bCs/>
          <w:i/>
          <w:lang w:val="ga-IE"/>
        </w:rPr>
        <w:t xml:space="preserve"> </w:t>
      </w:r>
    </w:p>
    <w:p w:rsidR="005B48CA" w:rsidRPr="005B48CA" w:rsidRDefault="005B48CA" w:rsidP="00783703">
      <w:pPr>
        <w:pStyle w:val="ListParagraph"/>
        <w:numPr>
          <w:ilvl w:val="0"/>
          <w:numId w:val="21"/>
        </w:numPr>
        <w:spacing w:line="312" w:lineRule="auto"/>
        <w:rPr>
          <w:rFonts w:asciiTheme="minorHAnsi" w:hAnsiTheme="minorHAnsi"/>
        </w:rPr>
      </w:pPr>
      <w:r w:rsidRPr="005B48CA">
        <w:rPr>
          <w:rFonts w:asciiTheme="minorHAnsi" w:hAnsiTheme="minorHAnsi" w:cs="Arial"/>
          <w:lang w:val="ga-IE"/>
        </w:rPr>
        <w:t xml:space="preserve">The Department of Health have recently reconstituted the </w:t>
      </w:r>
      <w:r w:rsidRPr="005B48CA">
        <w:rPr>
          <w:rFonts w:asciiTheme="minorHAnsi" w:hAnsiTheme="minorHAnsi" w:cs="Arial"/>
        </w:rPr>
        <w:t>Early Warning and Emerging Trends</w:t>
      </w:r>
      <w:r w:rsidRPr="005B48CA">
        <w:rPr>
          <w:rFonts w:asciiTheme="minorHAnsi" w:hAnsiTheme="minorHAnsi" w:cs="Arial"/>
          <w:lang w:val="ga-IE"/>
        </w:rPr>
        <w:t xml:space="preserve"> network to advise the government and exchange information on </w:t>
      </w:r>
      <w:r w:rsidRPr="005B48CA">
        <w:rPr>
          <w:rFonts w:asciiTheme="minorHAnsi" w:hAnsiTheme="minorHAnsi" w:cs="Arial"/>
        </w:rPr>
        <w:t>new psychoactive substances</w:t>
      </w:r>
      <w:r w:rsidRPr="005B48CA">
        <w:rPr>
          <w:rFonts w:asciiTheme="minorHAnsi" w:hAnsiTheme="minorHAnsi" w:cs="Arial"/>
          <w:lang w:val="ga-IE"/>
        </w:rPr>
        <w:t xml:space="preserve">, </w:t>
      </w:r>
      <w:r w:rsidRPr="005B48CA">
        <w:rPr>
          <w:rFonts w:asciiTheme="minorHAnsi" w:hAnsiTheme="minorHAnsi" w:cs="Arial"/>
        </w:rPr>
        <w:t>emerging drug trends or practices</w:t>
      </w:r>
      <w:r w:rsidRPr="005B48CA">
        <w:rPr>
          <w:rFonts w:asciiTheme="minorHAnsi" w:hAnsiTheme="minorHAnsi" w:cs="Arial"/>
          <w:lang w:val="ga-IE"/>
        </w:rPr>
        <w:t xml:space="preserve"> and the consequences of such use.  </w:t>
      </w:r>
    </w:p>
    <w:sectPr w:rsidR="005B48CA" w:rsidRPr="005B48CA" w:rsidSect="00BA19DD">
      <w:footerReference w:type="default" r:id="rId9"/>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BA0" w:rsidRDefault="00440BA0" w:rsidP="00FE3B12">
      <w:r>
        <w:separator/>
      </w:r>
    </w:p>
  </w:endnote>
  <w:endnote w:type="continuationSeparator" w:id="0">
    <w:p w:rsidR="00440BA0" w:rsidRDefault="00440BA0" w:rsidP="00FE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183622"/>
      <w:docPartObj>
        <w:docPartGallery w:val="Page Numbers (Bottom of Page)"/>
        <w:docPartUnique/>
      </w:docPartObj>
    </w:sdtPr>
    <w:sdtEndPr/>
    <w:sdtContent>
      <w:sdt>
        <w:sdtPr>
          <w:id w:val="860082579"/>
          <w:docPartObj>
            <w:docPartGallery w:val="Page Numbers (Top of Page)"/>
            <w:docPartUnique/>
          </w:docPartObj>
        </w:sdtPr>
        <w:sdtEndPr/>
        <w:sdtContent>
          <w:p w:rsidR="00FE3B12" w:rsidRDefault="00FE3B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40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06A">
              <w:rPr>
                <w:b/>
                <w:bCs/>
                <w:noProof/>
              </w:rPr>
              <w:t>7</w:t>
            </w:r>
            <w:r>
              <w:rPr>
                <w:b/>
                <w:bCs/>
                <w:sz w:val="24"/>
                <w:szCs w:val="24"/>
              </w:rPr>
              <w:fldChar w:fldCharType="end"/>
            </w:r>
          </w:p>
        </w:sdtContent>
      </w:sdt>
    </w:sdtContent>
  </w:sdt>
  <w:p w:rsidR="00FE3B12" w:rsidRDefault="00FE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BA0" w:rsidRDefault="00440BA0" w:rsidP="00FE3B12">
      <w:r>
        <w:separator/>
      </w:r>
    </w:p>
  </w:footnote>
  <w:footnote w:type="continuationSeparator" w:id="0">
    <w:p w:rsidR="00440BA0" w:rsidRDefault="00440BA0" w:rsidP="00FE3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D13"/>
    <w:multiLevelType w:val="hybridMultilevel"/>
    <w:tmpl w:val="9EAE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A61D0"/>
    <w:multiLevelType w:val="hybridMultilevel"/>
    <w:tmpl w:val="43604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57FD0"/>
    <w:multiLevelType w:val="hybridMultilevel"/>
    <w:tmpl w:val="D3422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0A47D3"/>
    <w:multiLevelType w:val="hybridMultilevel"/>
    <w:tmpl w:val="2250D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29018F"/>
    <w:multiLevelType w:val="hybridMultilevel"/>
    <w:tmpl w:val="E6A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46FFB"/>
    <w:multiLevelType w:val="hybridMultilevel"/>
    <w:tmpl w:val="7A767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1202BC"/>
    <w:multiLevelType w:val="hybridMultilevel"/>
    <w:tmpl w:val="38C8C61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24B39"/>
    <w:multiLevelType w:val="hybridMultilevel"/>
    <w:tmpl w:val="2ACAF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6A17508"/>
    <w:multiLevelType w:val="hybridMultilevel"/>
    <w:tmpl w:val="0738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76233"/>
    <w:multiLevelType w:val="hybridMultilevel"/>
    <w:tmpl w:val="345642C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83228"/>
    <w:multiLevelType w:val="hybridMultilevel"/>
    <w:tmpl w:val="F112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03272"/>
    <w:multiLevelType w:val="hybridMultilevel"/>
    <w:tmpl w:val="FCF27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9E05718"/>
    <w:multiLevelType w:val="hybridMultilevel"/>
    <w:tmpl w:val="61906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68229D"/>
    <w:multiLevelType w:val="hybridMultilevel"/>
    <w:tmpl w:val="3148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3064F1"/>
    <w:multiLevelType w:val="hybridMultilevel"/>
    <w:tmpl w:val="8346A1C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F5644"/>
    <w:multiLevelType w:val="hybridMultilevel"/>
    <w:tmpl w:val="6F660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1711F5"/>
    <w:multiLevelType w:val="hybridMultilevel"/>
    <w:tmpl w:val="3D962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C8D2A61"/>
    <w:multiLevelType w:val="hybridMultilevel"/>
    <w:tmpl w:val="4F74A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7940E6"/>
    <w:multiLevelType w:val="hybridMultilevel"/>
    <w:tmpl w:val="9822DB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7E84841"/>
    <w:multiLevelType w:val="hybridMultilevel"/>
    <w:tmpl w:val="5C161954"/>
    <w:lvl w:ilvl="0" w:tplc="3442522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0063C0"/>
    <w:multiLevelType w:val="hybridMultilevel"/>
    <w:tmpl w:val="C2C46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15"/>
  </w:num>
  <w:num w:numId="5">
    <w:abstractNumId w:val="5"/>
  </w:num>
  <w:num w:numId="6">
    <w:abstractNumId w:val="3"/>
  </w:num>
  <w:num w:numId="7">
    <w:abstractNumId w:val="2"/>
  </w:num>
  <w:num w:numId="8">
    <w:abstractNumId w:val="17"/>
  </w:num>
  <w:num w:numId="9">
    <w:abstractNumId w:val="0"/>
  </w:num>
  <w:num w:numId="10">
    <w:abstractNumId w:val="1"/>
  </w:num>
  <w:num w:numId="11">
    <w:abstractNumId w:val="18"/>
  </w:num>
  <w:num w:numId="12">
    <w:abstractNumId w:val="20"/>
  </w:num>
  <w:num w:numId="13">
    <w:abstractNumId w:val="19"/>
  </w:num>
  <w:num w:numId="14">
    <w:abstractNumId w:val="13"/>
  </w:num>
  <w:num w:numId="15">
    <w:abstractNumId w:val="8"/>
  </w:num>
  <w:num w:numId="16">
    <w:abstractNumId w:val="4"/>
  </w:num>
  <w:num w:numId="17">
    <w:abstractNumId w:val="10"/>
  </w:num>
  <w:num w:numId="18">
    <w:abstractNumId w:val="14"/>
  </w:num>
  <w:num w:numId="19">
    <w:abstractNumId w:val="6"/>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85"/>
    <w:rsid w:val="000114A3"/>
    <w:rsid w:val="00032DB9"/>
    <w:rsid w:val="00060B80"/>
    <w:rsid w:val="0006430E"/>
    <w:rsid w:val="000752A1"/>
    <w:rsid w:val="00083465"/>
    <w:rsid w:val="000B16B0"/>
    <w:rsid w:val="000B2186"/>
    <w:rsid w:val="000B7F8F"/>
    <w:rsid w:val="000C4B97"/>
    <w:rsid w:val="000C6F85"/>
    <w:rsid w:val="000E1043"/>
    <w:rsid w:val="000E134C"/>
    <w:rsid w:val="000F4225"/>
    <w:rsid w:val="000F441C"/>
    <w:rsid w:val="000F5D23"/>
    <w:rsid w:val="001027B6"/>
    <w:rsid w:val="00106A98"/>
    <w:rsid w:val="001153A7"/>
    <w:rsid w:val="001171E7"/>
    <w:rsid w:val="00144C9E"/>
    <w:rsid w:val="00145D14"/>
    <w:rsid w:val="0016387E"/>
    <w:rsid w:val="0017132F"/>
    <w:rsid w:val="001714ED"/>
    <w:rsid w:val="00171B4B"/>
    <w:rsid w:val="001721A4"/>
    <w:rsid w:val="00173B8D"/>
    <w:rsid w:val="00174F3B"/>
    <w:rsid w:val="00176094"/>
    <w:rsid w:val="00181FE1"/>
    <w:rsid w:val="00185985"/>
    <w:rsid w:val="00187A34"/>
    <w:rsid w:val="00187E40"/>
    <w:rsid w:val="001911BD"/>
    <w:rsid w:val="00194011"/>
    <w:rsid w:val="001A1D8E"/>
    <w:rsid w:val="001A2F08"/>
    <w:rsid w:val="001A4AC6"/>
    <w:rsid w:val="001A67E3"/>
    <w:rsid w:val="001A689E"/>
    <w:rsid w:val="001B0E85"/>
    <w:rsid w:val="001B132C"/>
    <w:rsid w:val="001B64F0"/>
    <w:rsid w:val="001C4FC8"/>
    <w:rsid w:val="001C55B3"/>
    <w:rsid w:val="001D14D5"/>
    <w:rsid w:val="001D28BA"/>
    <w:rsid w:val="001D55FF"/>
    <w:rsid w:val="001E61F3"/>
    <w:rsid w:val="001F175B"/>
    <w:rsid w:val="001F3A16"/>
    <w:rsid w:val="001F560C"/>
    <w:rsid w:val="001F5DCA"/>
    <w:rsid w:val="00207956"/>
    <w:rsid w:val="00211DB5"/>
    <w:rsid w:val="00216C37"/>
    <w:rsid w:val="00216E89"/>
    <w:rsid w:val="002254F1"/>
    <w:rsid w:val="00226B60"/>
    <w:rsid w:val="00245B9F"/>
    <w:rsid w:val="00251942"/>
    <w:rsid w:val="00252EA7"/>
    <w:rsid w:val="0025408E"/>
    <w:rsid w:val="00255959"/>
    <w:rsid w:val="0026110F"/>
    <w:rsid w:val="00276379"/>
    <w:rsid w:val="0028305F"/>
    <w:rsid w:val="0028328C"/>
    <w:rsid w:val="002A03B0"/>
    <w:rsid w:val="002A13ED"/>
    <w:rsid w:val="002A155C"/>
    <w:rsid w:val="002A2A40"/>
    <w:rsid w:val="002B70BB"/>
    <w:rsid w:val="002C046F"/>
    <w:rsid w:val="002C0A63"/>
    <w:rsid w:val="002D16BB"/>
    <w:rsid w:val="002E1D6B"/>
    <w:rsid w:val="002F0158"/>
    <w:rsid w:val="002F4E14"/>
    <w:rsid w:val="003250CC"/>
    <w:rsid w:val="003534BE"/>
    <w:rsid w:val="00354545"/>
    <w:rsid w:val="00356C68"/>
    <w:rsid w:val="00360D1E"/>
    <w:rsid w:val="00367404"/>
    <w:rsid w:val="00376815"/>
    <w:rsid w:val="003806CB"/>
    <w:rsid w:val="0039152A"/>
    <w:rsid w:val="00392A5E"/>
    <w:rsid w:val="003A0C07"/>
    <w:rsid w:val="003B07D0"/>
    <w:rsid w:val="003B0CDF"/>
    <w:rsid w:val="003C097B"/>
    <w:rsid w:val="003C1C7B"/>
    <w:rsid w:val="003D3BD0"/>
    <w:rsid w:val="003D42D9"/>
    <w:rsid w:val="003E6838"/>
    <w:rsid w:val="003E69AE"/>
    <w:rsid w:val="00403396"/>
    <w:rsid w:val="004074CB"/>
    <w:rsid w:val="004234BC"/>
    <w:rsid w:val="0043240B"/>
    <w:rsid w:val="00440BA0"/>
    <w:rsid w:val="00445D93"/>
    <w:rsid w:val="00456E99"/>
    <w:rsid w:val="00457DC5"/>
    <w:rsid w:val="00474825"/>
    <w:rsid w:val="00475654"/>
    <w:rsid w:val="00487C5B"/>
    <w:rsid w:val="00492657"/>
    <w:rsid w:val="00495624"/>
    <w:rsid w:val="004A7203"/>
    <w:rsid w:val="004B13BA"/>
    <w:rsid w:val="004C77A2"/>
    <w:rsid w:val="004D2982"/>
    <w:rsid w:val="004F702D"/>
    <w:rsid w:val="004F78A9"/>
    <w:rsid w:val="005304EC"/>
    <w:rsid w:val="00561A02"/>
    <w:rsid w:val="00562001"/>
    <w:rsid w:val="005746BD"/>
    <w:rsid w:val="00585EC9"/>
    <w:rsid w:val="00587F6B"/>
    <w:rsid w:val="00592848"/>
    <w:rsid w:val="0059529B"/>
    <w:rsid w:val="005B48CA"/>
    <w:rsid w:val="005B6EEE"/>
    <w:rsid w:val="005C2EA8"/>
    <w:rsid w:val="005D333A"/>
    <w:rsid w:val="005E3F79"/>
    <w:rsid w:val="005F26D2"/>
    <w:rsid w:val="005F4AE3"/>
    <w:rsid w:val="00600458"/>
    <w:rsid w:val="006017A8"/>
    <w:rsid w:val="00605429"/>
    <w:rsid w:val="00617E90"/>
    <w:rsid w:val="0062047A"/>
    <w:rsid w:val="0062186F"/>
    <w:rsid w:val="0064321A"/>
    <w:rsid w:val="006552C9"/>
    <w:rsid w:val="0065709F"/>
    <w:rsid w:val="0065721E"/>
    <w:rsid w:val="006633D2"/>
    <w:rsid w:val="006678B4"/>
    <w:rsid w:val="006703D6"/>
    <w:rsid w:val="00675CAE"/>
    <w:rsid w:val="006814E5"/>
    <w:rsid w:val="0068168A"/>
    <w:rsid w:val="006956E6"/>
    <w:rsid w:val="006A4293"/>
    <w:rsid w:val="006B45FB"/>
    <w:rsid w:val="006C3BF8"/>
    <w:rsid w:val="006D131C"/>
    <w:rsid w:val="006E0BB3"/>
    <w:rsid w:val="006E1181"/>
    <w:rsid w:val="00705CFB"/>
    <w:rsid w:val="007168F8"/>
    <w:rsid w:val="0071695C"/>
    <w:rsid w:val="00717792"/>
    <w:rsid w:val="00722667"/>
    <w:rsid w:val="007334A4"/>
    <w:rsid w:val="00734099"/>
    <w:rsid w:val="007441EC"/>
    <w:rsid w:val="00753B39"/>
    <w:rsid w:val="007652D5"/>
    <w:rsid w:val="00766153"/>
    <w:rsid w:val="0077009F"/>
    <w:rsid w:val="007711DC"/>
    <w:rsid w:val="007810FC"/>
    <w:rsid w:val="007A274C"/>
    <w:rsid w:val="007A5DF0"/>
    <w:rsid w:val="007A7638"/>
    <w:rsid w:val="007A765D"/>
    <w:rsid w:val="007B0F1D"/>
    <w:rsid w:val="007D563C"/>
    <w:rsid w:val="007E36B3"/>
    <w:rsid w:val="008040F4"/>
    <w:rsid w:val="008179E6"/>
    <w:rsid w:val="00824831"/>
    <w:rsid w:val="00837B7B"/>
    <w:rsid w:val="00840268"/>
    <w:rsid w:val="00854730"/>
    <w:rsid w:val="00856000"/>
    <w:rsid w:val="00863CE6"/>
    <w:rsid w:val="00871483"/>
    <w:rsid w:val="0088620C"/>
    <w:rsid w:val="008933CB"/>
    <w:rsid w:val="008965EB"/>
    <w:rsid w:val="008A5634"/>
    <w:rsid w:val="008B3A91"/>
    <w:rsid w:val="008C20E0"/>
    <w:rsid w:val="008C4488"/>
    <w:rsid w:val="008D2C41"/>
    <w:rsid w:val="008D5544"/>
    <w:rsid w:val="008E0511"/>
    <w:rsid w:val="008E07DD"/>
    <w:rsid w:val="008E6432"/>
    <w:rsid w:val="008F4A0C"/>
    <w:rsid w:val="008F7F0D"/>
    <w:rsid w:val="009127B7"/>
    <w:rsid w:val="0092316D"/>
    <w:rsid w:val="0092778E"/>
    <w:rsid w:val="009371B8"/>
    <w:rsid w:val="00943930"/>
    <w:rsid w:val="00961F8E"/>
    <w:rsid w:val="00974624"/>
    <w:rsid w:val="009804C9"/>
    <w:rsid w:val="0098307D"/>
    <w:rsid w:val="00983B0C"/>
    <w:rsid w:val="0099228B"/>
    <w:rsid w:val="009933C8"/>
    <w:rsid w:val="0099368C"/>
    <w:rsid w:val="009A576E"/>
    <w:rsid w:val="009B1468"/>
    <w:rsid w:val="009B517F"/>
    <w:rsid w:val="009D35F6"/>
    <w:rsid w:val="009D75D2"/>
    <w:rsid w:val="009E57B5"/>
    <w:rsid w:val="009E7DE4"/>
    <w:rsid w:val="009F1327"/>
    <w:rsid w:val="009F2764"/>
    <w:rsid w:val="00A05531"/>
    <w:rsid w:val="00A21017"/>
    <w:rsid w:val="00A24D36"/>
    <w:rsid w:val="00A30A27"/>
    <w:rsid w:val="00A35B1B"/>
    <w:rsid w:val="00A3738A"/>
    <w:rsid w:val="00A51CA3"/>
    <w:rsid w:val="00A560F1"/>
    <w:rsid w:val="00A56503"/>
    <w:rsid w:val="00A56E0E"/>
    <w:rsid w:val="00A573DB"/>
    <w:rsid w:val="00A868E6"/>
    <w:rsid w:val="00A92207"/>
    <w:rsid w:val="00AA0678"/>
    <w:rsid w:val="00AB56F9"/>
    <w:rsid w:val="00AB6A1A"/>
    <w:rsid w:val="00AB7616"/>
    <w:rsid w:val="00AC2B15"/>
    <w:rsid w:val="00AC3E02"/>
    <w:rsid w:val="00AD7EC1"/>
    <w:rsid w:val="00AE606A"/>
    <w:rsid w:val="00B01A50"/>
    <w:rsid w:val="00B22AB5"/>
    <w:rsid w:val="00B27013"/>
    <w:rsid w:val="00B33397"/>
    <w:rsid w:val="00B97207"/>
    <w:rsid w:val="00BB381E"/>
    <w:rsid w:val="00BB7C48"/>
    <w:rsid w:val="00BD37D1"/>
    <w:rsid w:val="00BD3C27"/>
    <w:rsid w:val="00BD406A"/>
    <w:rsid w:val="00BD4E47"/>
    <w:rsid w:val="00BE4B2B"/>
    <w:rsid w:val="00BE70A6"/>
    <w:rsid w:val="00BF6152"/>
    <w:rsid w:val="00BF757C"/>
    <w:rsid w:val="00C07BD6"/>
    <w:rsid w:val="00C248CA"/>
    <w:rsid w:val="00C25689"/>
    <w:rsid w:val="00C3611A"/>
    <w:rsid w:val="00C36ADE"/>
    <w:rsid w:val="00C41F51"/>
    <w:rsid w:val="00C50976"/>
    <w:rsid w:val="00C679DD"/>
    <w:rsid w:val="00C7052C"/>
    <w:rsid w:val="00C72B17"/>
    <w:rsid w:val="00C87A22"/>
    <w:rsid w:val="00CA01F9"/>
    <w:rsid w:val="00CA3567"/>
    <w:rsid w:val="00CA673C"/>
    <w:rsid w:val="00CB3A51"/>
    <w:rsid w:val="00CC31C7"/>
    <w:rsid w:val="00CD5E47"/>
    <w:rsid w:val="00CD5EC5"/>
    <w:rsid w:val="00D0183A"/>
    <w:rsid w:val="00D02BF3"/>
    <w:rsid w:val="00D052C7"/>
    <w:rsid w:val="00D14A6F"/>
    <w:rsid w:val="00D14BBF"/>
    <w:rsid w:val="00D42492"/>
    <w:rsid w:val="00D46419"/>
    <w:rsid w:val="00D56F40"/>
    <w:rsid w:val="00D6474B"/>
    <w:rsid w:val="00D7372F"/>
    <w:rsid w:val="00D87AA3"/>
    <w:rsid w:val="00D90F63"/>
    <w:rsid w:val="00DA185F"/>
    <w:rsid w:val="00DA198F"/>
    <w:rsid w:val="00DA19DC"/>
    <w:rsid w:val="00DB6F43"/>
    <w:rsid w:val="00DB7615"/>
    <w:rsid w:val="00DE49FF"/>
    <w:rsid w:val="00DE7222"/>
    <w:rsid w:val="00DF1719"/>
    <w:rsid w:val="00DF6429"/>
    <w:rsid w:val="00DF6BA9"/>
    <w:rsid w:val="00DF74D4"/>
    <w:rsid w:val="00E003F5"/>
    <w:rsid w:val="00E02DF1"/>
    <w:rsid w:val="00E06486"/>
    <w:rsid w:val="00E0683C"/>
    <w:rsid w:val="00E12C96"/>
    <w:rsid w:val="00E2022B"/>
    <w:rsid w:val="00E21DA8"/>
    <w:rsid w:val="00E2534F"/>
    <w:rsid w:val="00E3082C"/>
    <w:rsid w:val="00E343B8"/>
    <w:rsid w:val="00E37BEA"/>
    <w:rsid w:val="00E46A09"/>
    <w:rsid w:val="00E47A44"/>
    <w:rsid w:val="00E50BC5"/>
    <w:rsid w:val="00E5604B"/>
    <w:rsid w:val="00E6054B"/>
    <w:rsid w:val="00E60A6F"/>
    <w:rsid w:val="00E61F38"/>
    <w:rsid w:val="00E664E7"/>
    <w:rsid w:val="00E71B19"/>
    <w:rsid w:val="00E7547C"/>
    <w:rsid w:val="00E80176"/>
    <w:rsid w:val="00E805FD"/>
    <w:rsid w:val="00E9040A"/>
    <w:rsid w:val="00EA06F7"/>
    <w:rsid w:val="00EB4078"/>
    <w:rsid w:val="00EC7CB1"/>
    <w:rsid w:val="00ED39A2"/>
    <w:rsid w:val="00ED750F"/>
    <w:rsid w:val="00ED7DC0"/>
    <w:rsid w:val="00EE1095"/>
    <w:rsid w:val="00EE195D"/>
    <w:rsid w:val="00EE1DF7"/>
    <w:rsid w:val="00EE3614"/>
    <w:rsid w:val="00EE5378"/>
    <w:rsid w:val="00EE5849"/>
    <w:rsid w:val="00EE7417"/>
    <w:rsid w:val="00EE7DD8"/>
    <w:rsid w:val="00F06D7B"/>
    <w:rsid w:val="00F076C9"/>
    <w:rsid w:val="00F11884"/>
    <w:rsid w:val="00F126C8"/>
    <w:rsid w:val="00F1637D"/>
    <w:rsid w:val="00F164E2"/>
    <w:rsid w:val="00F3023D"/>
    <w:rsid w:val="00F32E57"/>
    <w:rsid w:val="00F45132"/>
    <w:rsid w:val="00F47CE6"/>
    <w:rsid w:val="00F548DF"/>
    <w:rsid w:val="00F80B08"/>
    <w:rsid w:val="00F826CD"/>
    <w:rsid w:val="00F86738"/>
    <w:rsid w:val="00F90A1E"/>
    <w:rsid w:val="00F9338C"/>
    <w:rsid w:val="00F95D01"/>
    <w:rsid w:val="00FA3233"/>
    <w:rsid w:val="00FB419A"/>
    <w:rsid w:val="00FC0FDA"/>
    <w:rsid w:val="00FC1C88"/>
    <w:rsid w:val="00FD0595"/>
    <w:rsid w:val="00FD71F2"/>
    <w:rsid w:val="00FE3B12"/>
    <w:rsid w:val="00FF125B"/>
    <w:rsid w:val="00FF1970"/>
    <w:rsid w:val="00FF283A"/>
    <w:rsid w:val="00FF54F7"/>
    <w:rsid w:val="00FF6EAF"/>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513A"/>
  <w15:docId w15:val="{4BC3624C-D40F-43AA-A0CE-C23FD072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E85"/>
    <w:rPr>
      <w:rFonts w:ascii="Tahoma" w:eastAsia="Calibri" w:hAnsi="Tahoma" w:cs="Times New Roman"/>
      <w:sz w:val="20"/>
    </w:rPr>
  </w:style>
  <w:style w:type="paragraph" w:styleId="Heading1">
    <w:name w:val="heading 1"/>
    <w:basedOn w:val="Normal"/>
    <w:next w:val="Normal"/>
    <w:link w:val="Heading1Char"/>
    <w:uiPriority w:val="9"/>
    <w:qFormat/>
    <w:rsid w:val="007A76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76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76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1F3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NormalWeb">
    <w:name w:val="Normal (Web)"/>
    <w:basedOn w:val="Normal"/>
    <w:uiPriority w:val="99"/>
    <w:unhideWhenUsed/>
    <w:rsid w:val="001B0E85"/>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1B0E85"/>
    <w:pPr>
      <w:jc w:val="center"/>
    </w:pPr>
    <w:rPr>
      <w:rFonts w:eastAsia="Times New Roman"/>
      <w:b/>
      <w:bCs/>
      <w:sz w:val="24"/>
      <w:szCs w:val="24"/>
      <w:lang w:val="en-GB"/>
    </w:rPr>
  </w:style>
  <w:style w:type="character" w:customStyle="1" w:styleId="TitleChar">
    <w:name w:val="Title Char"/>
    <w:basedOn w:val="DefaultParagraphFont"/>
    <w:link w:val="Title"/>
    <w:rsid w:val="001B0E85"/>
    <w:rPr>
      <w:rFonts w:ascii="Tahoma" w:eastAsia="Times New Roman" w:hAnsi="Tahoma" w:cs="Times New Roman"/>
      <w:b/>
      <w:bCs/>
      <w:sz w:val="24"/>
      <w:szCs w:val="24"/>
      <w:lang w:val="en-GB"/>
    </w:rPr>
  </w:style>
  <w:style w:type="paragraph" w:styleId="BodyText2">
    <w:name w:val="Body Text 2"/>
    <w:basedOn w:val="Normal"/>
    <w:link w:val="BodyText2Char"/>
    <w:rsid w:val="001B0E85"/>
    <w:pPr>
      <w:spacing w:line="360" w:lineRule="auto"/>
      <w:jc w:val="both"/>
    </w:pPr>
    <w:rPr>
      <w:rFonts w:eastAsia="Times New Roman"/>
      <w:szCs w:val="24"/>
      <w:lang w:val="en-GB"/>
    </w:rPr>
  </w:style>
  <w:style w:type="character" w:customStyle="1" w:styleId="BodyText2Char">
    <w:name w:val="Body Text 2 Char"/>
    <w:basedOn w:val="DefaultParagraphFont"/>
    <w:link w:val="BodyText2"/>
    <w:rsid w:val="001B0E85"/>
    <w:rPr>
      <w:rFonts w:ascii="Tahoma" w:eastAsia="Times New Roman" w:hAnsi="Tahoma" w:cs="Times New Roman"/>
      <w:sz w:val="20"/>
      <w:szCs w:val="24"/>
      <w:lang w:val="en-GB"/>
    </w:rPr>
  </w:style>
  <w:style w:type="paragraph" w:styleId="ListParagraph">
    <w:name w:val="List Paragraph"/>
    <w:basedOn w:val="Normal"/>
    <w:uiPriority w:val="34"/>
    <w:qFormat/>
    <w:rsid w:val="001B0E85"/>
    <w:pPr>
      <w:spacing w:after="200" w:line="276" w:lineRule="auto"/>
      <w:ind w:left="720"/>
      <w:contextualSpacing/>
    </w:pPr>
    <w:rPr>
      <w:rFonts w:ascii="Calibri" w:hAnsi="Calibri"/>
      <w:sz w:val="22"/>
      <w:lang w:val="en-IE"/>
    </w:rPr>
  </w:style>
  <w:style w:type="character" w:styleId="CommentReference">
    <w:name w:val="annotation reference"/>
    <w:basedOn w:val="DefaultParagraphFont"/>
    <w:uiPriority w:val="99"/>
    <w:semiHidden/>
    <w:unhideWhenUsed/>
    <w:rsid w:val="00CC31C7"/>
    <w:rPr>
      <w:sz w:val="16"/>
      <w:szCs w:val="16"/>
    </w:rPr>
  </w:style>
  <w:style w:type="paragraph" w:styleId="CommentText">
    <w:name w:val="annotation text"/>
    <w:basedOn w:val="Normal"/>
    <w:link w:val="CommentTextChar"/>
    <w:uiPriority w:val="99"/>
    <w:semiHidden/>
    <w:unhideWhenUsed/>
    <w:rsid w:val="00CC31C7"/>
    <w:rPr>
      <w:szCs w:val="20"/>
    </w:rPr>
  </w:style>
  <w:style w:type="character" w:customStyle="1" w:styleId="CommentTextChar">
    <w:name w:val="Comment Text Char"/>
    <w:basedOn w:val="DefaultParagraphFont"/>
    <w:link w:val="CommentText"/>
    <w:uiPriority w:val="99"/>
    <w:semiHidden/>
    <w:rsid w:val="00CC31C7"/>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C31C7"/>
    <w:rPr>
      <w:b/>
      <w:bCs/>
    </w:rPr>
  </w:style>
  <w:style w:type="character" w:customStyle="1" w:styleId="CommentSubjectChar">
    <w:name w:val="Comment Subject Char"/>
    <w:basedOn w:val="CommentTextChar"/>
    <w:link w:val="CommentSubject"/>
    <w:uiPriority w:val="99"/>
    <w:semiHidden/>
    <w:rsid w:val="00CC31C7"/>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C31C7"/>
    <w:rPr>
      <w:rFonts w:cs="Tahoma"/>
      <w:sz w:val="16"/>
      <w:szCs w:val="16"/>
    </w:rPr>
  </w:style>
  <w:style w:type="character" w:customStyle="1" w:styleId="BalloonTextChar">
    <w:name w:val="Balloon Text Char"/>
    <w:basedOn w:val="DefaultParagraphFont"/>
    <w:link w:val="BalloonText"/>
    <w:uiPriority w:val="99"/>
    <w:semiHidden/>
    <w:rsid w:val="00CC31C7"/>
    <w:rPr>
      <w:rFonts w:ascii="Tahoma" w:eastAsia="Calibri" w:hAnsi="Tahoma" w:cs="Tahoma"/>
      <w:sz w:val="16"/>
      <w:szCs w:val="16"/>
    </w:rPr>
  </w:style>
  <w:style w:type="paragraph" w:customStyle="1" w:styleId="StyleBoxSinglesolidlineAuto05ptLinewidth">
    <w:name w:val="Style Box: (Single solid line Auto  0.5 pt Line width)"/>
    <w:basedOn w:val="Normal"/>
    <w:rsid w:val="00D14BBF"/>
    <w:pPr>
      <w:pBdr>
        <w:top w:val="single" w:sz="4" w:space="1" w:color="auto"/>
        <w:left w:val="single" w:sz="4" w:space="4" w:color="auto"/>
        <w:bottom w:val="single" w:sz="4" w:space="1" w:color="auto"/>
        <w:right w:val="single" w:sz="4" w:space="4" w:color="auto"/>
      </w:pBdr>
      <w:spacing w:after="120" w:line="312" w:lineRule="auto"/>
    </w:pPr>
    <w:rPr>
      <w:rFonts w:ascii="Calibri" w:eastAsia="ヒラギノ角ゴ Pro W3" w:hAnsi="Calibri"/>
      <w:color w:val="000000"/>
      <w:szCs w:val="24"/>
      <w:lang w:val="en-GB"/>
    </w:rPr>
  </w:style>
  <w:style w:type="paragraph" w:styleId="ListBullet">
    <w:name w:val="List Bullet"/>
    <w:basedOn w:val="Normal"/>
    <w:autoRedefine/>
    <w:uiPriority w:val="99"/>
    <w:rsid w:val="00D14BBF"/>
    <w:pPr>
      <w:numPr>
        <w:numId w:val="13"/>
      </w:numPr>
      <w:tabs>
        <w:tab w:val="clear" w:pos="720"/>
      </w:tabs>
      <w:spacing w:after="120"/>
      <w:ind w:left="360"/>
    </w:pPr>
    <w:rPr>
      <w:rFonts w:ascii="Arial" w:eastAsia="Arial Unicode MS" w:hAnsi="Arial"/>
      <w:szCs w:val="20"/>
      <w:lang w:val="en-GB"/>
    </w:rPr>
  </w:style>
  <w:style w:type="paragraph" w:styleId="BodyText">
    <w:name w:val="Body Text"/>
    <w:basedOn w:val="Normal"/>
    <w:link w:val="BodyTextChar"/>
    <w:uiPriority w:val="99"/>
    <w:semiHidden/>
    <w:unhideWhenUsed/>
    <w:rsid w:val="00E71B19"/>
    <w:pPr>
      <w:spacing w:after="120"/>
    </w:pPr>
  </w:style>
  <w:style w:type="character" w:customStyle="1" w:styleId="BodyTextChar">
    <w:name w:val="Body Text Char"/>
    <w:basedOn w:val="DefaultParagraphFont"/>
    <w:link w:val="BodyText"/>
    <w:uiPriority w:val="99"/>
    <w:semiHidden/>
    <w:rsid w:val="00E71B19"/>
    <w:rPr>
      <w:rFonts w:ascii="Tahoma" w:eastAsia="Calibri" w:hAnsi="Tahoma" w:cs="Times New Roman"/>
      <w:sz w:val="20"/>
    </w:rPr>
  </w:style>
  <w:style w:type="table" w:styleId="TableGrid">
    <w:name w:val="Table Grid"/>
    <w:basedOn w:val="TableNormal"/>
    <w:uiPriority w:val="59"/>
    <w:rsid w:val="00E71B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719"/>
    <w:pPr>
      <w:autoSpaceDE w:val="0"/>
      <w:autoSpaceDN w:val="0"/>
      <w:adjustRightInd w:val="0"/>
    </w:pPr>
    <w:rPr>
      <w:rFonts w:ascii="Arial" w:hAnsi="Arial" w:cs="Arial"/>
      <w:color w:val="000000"/>
      <w:sz w:val="24"/>
      <w:szCs w:val="24"/>
      <w:lang w:val="en-IE"/>
    </w:rPr>
  </w:style>
  <w:style w:type="character" w:styleId="Hyperlink">
    <w:name w:val="Hyperlink"/>
    <w:aliases w:val="Verzeichnis 1 RTX"/>
    <w:uiPriority w:val="99"/>
    <w:rsid w:val="00AB7616"/>
    <w:rPr>
      <w:color w:val="0000FF"/>
      <w:u w:val="single"/>
    </w:rPr>
  </w:style>
  <w:style w:type="paragraph" w:styleId="Revision">
    <w:name w:val="Revision"/>
    <w:hidden/>
    <w:uiPriority w:val="99"/>
    <w:semiHidden/>
    <w:rsid w:val="00E3082C"/>
    <w:rPr>
      <w:rFonts w:ascii="Tahoma" w:eastAsia="Calibri" w:hAnsi="Tahoma" w:cs="Times New Roman"/>
      <w:sz w:val="20"/>
    </w:rPr>
  </w:style>
  <w:style w:type="paragraph" w:styleId="Header">
    <w:name w:val="header"/>
    <w:basedOn w:val="Normal"/>
    <w:link w:val="HeaderChar"/>
    <w:uiPriority w:val="99"/>
    <w:unhideWhenUsed/>
    <w:rsid w:val="00FE3B12"/>
    <w:pPr>
      <w:tabs>
        <w:tab w:val="center" w:pos="4513"/>
        <w:tab w:val="right" w:pos="9026"/>
      </w:tabs>
    </w:pPr>
  </w:style>
  <w:style w:type="character" w:customStyle="1" w:styleId="HeaderChar">
    <w:name w:val="Header Char"/>
    <w:basedOn w:val="DefaultParagraphFont"/>
    <w:link w:val="Header"/>
    <w:uiPriority w:val="99"/>
    <w:rsid w:val="00FE3B12"/>
    <w:rPr>
      <w:rFonts w:ascii="Tahoma" w:eastAsia="Calibri" w:hAnsi="Tahoma" w:cs="Times New Roman"/>
      <w:sz w:val="20"/>
    </w:rPr>
  </w:style>
  <w:style w:type="paragraph" w:styleId="Footer">
    <w:name w:val="footer"/>
    <w:basedOn w:val="Normal"/>
    <w:link w:val="FooterChar"/>
    <w:uiPriority w:val="99"/>
    <w:unhideWhenUsed/>
    <w:rsid w:val="00FE3B12"/>
    <w:pPr>
      <w:tabs>
        <w:tab w:val="center" w:pos="4513"/>
        <w:tab w:val="right" w:pos="9026"/>
      </w:tabs>
    </w:pPr>
  </w:style>
  <w:style w:type="character" w:customStyle="1" w:styleId="FooterChar">
    <w:name w:val="Footer Char"/>
    <w:basedOn w:val="DefaultParagraphFont"/>
    <w:link w:val="Footer"/>
    <w:uiPriority w:val="99"/>
    <w:rsid w:val="00FE3B12"/>
    <w:rPr>
      <w:rFonts w:ascii="Tahoma" w:eastAsia="Calibri" w:hAnsi="Tahoma" w:cs="Times New Roman"/>
      <w:sz w:val="20"/>
    </w:rPr>
  </w:style>
  <w:style w:type="character" w:customStyle="1" w:styleId="personname">
    <w:name w:val="person_name"/>
    <w:basedOn w:val="DefaultParagraphFont"/>
    <w:rsid w:val="00FD0595"/>
  </w:style>
  <w:style w:type="character" w:customStyle="1" w:styleId="Heading1Char">
    <w:name w:val="Heading 1 Char"/>
    <w:basedOn w:val="DefaultParagraphFont"/>
    <w:link w:val="Heading1"/>
    <w:uiPriority w:val="9"/>
    <w:rsid w:val="007A76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A76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A7638"/>
    <w:rPr>
      <w:rFonts w:asciiTheme="majorHAnsi" w:eastAsiaTheme="majorEastAsia" w:hAnsiTheme="majorHAnsi" w:cstheme="majorBidi"/>
      <w:color w:val="243F60" w:themeColor="accent1" w:themeShade="7F"/>
      <w:sz w:val="24"/>
      <w:szCs w:val="24"/>
    </w:rPr>
  </w:style>
  <w:style w:type="character" w:customStyle="1" w:styleId="header-line-3">
    <w:name w:val="header-line-3"/>
    <w:rsid w:val="00207956"/>
  </w:style>
  <w:style w:type="character" w:customStyle="1" w:styleId="tgc">
    <w:name w:val="_tgc"/>
    <w:rsid w:val="00207956"/>
  </w:style>
  <w:style w:type="character" w:customStyle="1" w:styleId="Heading4Char">
    <w:name w:val="Heading 4 Char"/>
    <w:basedOn w:val="DefaultParagraphFont"/>
    <w:link w:val="Heading4"/>
    <w:uiPriority w:val="9"/>
    <w:rsid w:val="00E61F38"/>
    <w:rPr>
      <w:rFonts w:asciiTheme="majorHAnsi" w:eastAsiaTheme="majorEastAsia" w:hAnsiTheme="majorHAnsi" w:cstheme="majorBidi"/>
      <w:i/>
      <w:iCs/>
      <w:color w:val="365F91" w:themeColor="accent1" w:themeShade="BF"/>
      <w:sz w:val="20"/>
    </w:rPr>
  </w:style>
  <w:style w:type="character" w:styleId="UnresolvedMention">
    <w:name w:val="Unresolved Mention"/>
    <w:basedOn w:val="DefaultParagraphFont"/>
    <w:uiPriority w:val="99"/>
    <w:semiHidden/>
    <w:unhideWhenUsed/>
    <w:rsid w:val="005B48CA"/>
    <w:rPr>
      <w:color w:val="605E5C"/>
      <w:shd w:val="clear" w:color="auto" w:fill="E1DFDD"/>
    </w:rPr>
  </w:style>
  <w:style w:type="character" w:styleId="FollowedHyperlink">
    <w:name w:val="FollowedHyperlink"/>
    <w:basedOn w:val="DefaultParagraphFont"/>
    <w:uiPriority w:val="99"/>
    <w:semiHidden/>
    <w:unhideWhenUsed/>
    <w:rsid w:val="00A21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81545">
      <w:bodyDiv w:val="1"/>
      <w:marLeft w:val="0"/>
      <w:marRight w:val="0"/>
      <w:marTop w:val="0"/>
      <w:marBottom w:val="0"/>
      <w:divBdr>
        <w:top w:val="none" w:sz="0" w:space="0" w:color="auto"/>
        <w:left w:val="none" w:sz="0" w:space="0" w:color="auto"/>
        <w:bottom w:val="none" w:sz="0" w:space="0" w:color="auto"/>
        <w:right w:val="none" w:sz="0" w:space="0" w:color="auto"/>
      </w:divBdr>
      <w:divsChild>
        <w:div w:id="1748845716">
          <w:marLeft w:val="0"/>
          <w:marRight w:val="0"/>
          <w:marTop w:val="0"/>
          <w:marBottom w:val="0"/>
          <w:divBdr>
            <w:top w:val="none" w:sz="0" w:space="0" w:color="auto"/>
            <w:left w:val="none" w:sz="0" w:space="0" w:color="auto"/>
            <w:bottom w:val="none" w:sz="0" w:space="0" w:color="auto"/>
            <w:right w:val="none" w:sz="0" w:space="0" w:color="auto"/>
          </w:divBdr>
          <w:divsChild>
            <w:div w:id="239171582">
              <w:marLeft w:val="0"/>
              <w:marRight w:val="0"/>
              <w:marTop w:val="0"/>
              <w:marBottom w:val="0"/>
              <w:divBdr>
                <w:top w:val="none" w:sz="0" w:space="0" w:color="auto"/>
                <w:left w:val="none" w:sz="0" w:space="0" w:color="auto"/>
                <w:bottom w:val="none" w:sz="0" w:space="0" w:color="auto"/>
                <w:right w:val="none" w:sz="0" w:space="0" w:color="auto"/>
              </w:divBdr>
              <w:divsChild>
                <w:div w:id="1330475600">
                  <w:marLeft w:val="0"/>
                  <w:marRight w:val="0"/>
                  <w:marTop w:val="0"/>
                  <w:marBottom w:val="0"/>
                  <w:divBdr>
                    <w:top w:val="none" w:sz="0" w:space="0" w:color="auto"/>
                    <w:left w:val="none" w:sz="0" w:space="0" w:color="auto"/>
                    <w:bottom w:val="none" w:sz="0" w:space="0" w:color="auto"/>
                    <w:right w:val="none" w:sz="0" w:space="0" w:color="auto"/>
                  </w:divBdr>
                  <w:divsChild>
                    <w:div w:id="1136407271">
                      <w:marLeft w:val="0"/>
                      <w:marRight w:val="0"/>
                      <w:marTop w:val="0"/>
                      <w:marBottom w:val="0"/>
                      <w:divBdr>
                        <w:top w:val="none" w:sz="0" w:space="0" w:color="auto"/>
                        <w:left w:val="none" w:sz="0" w:space="0" w:color="auto"/>
                        <w:bottom w:val="none" w:sz="0" w:space="0" w:color="auto"/>
                        <w:right w:val="none" w:sz="0" w:space="0" w:color="auto"/>
                      </w:divBdr>
                      <w:divsChild>
                        <w:div w:id="967126084">
                          <w:marLeft w:val="0"/>
                          <w:marRight w:val="0"/>
                          <w:marTop w:val="0"/>
                          <w:marBottom w:val="0"/>
                          <w:divBdr>
                            <w:top w:val="none" w:sz="0" w:space="0" w:color="auto"/>
                            <w:left w:val="none" w:sz="0" w:space="0" w:color="auto"/>
                            <w:bottom w:val="none" w:sz="0" w:space="0" w:color="auto"/>
                            <w:right w:val="none" w:sz="0" w:space="0" w:color="auto"/>
                          </w:divBdr>
                          <w:divsChild>
                            <w:div w:id="1884367726">
                              <w:marLeft w:val="0"/>
                              <w:marRight w:val="0"/>
                              <w:marTop w:val="0"/>
                              <w:marBottom w:val="0"/>
                              <w:divBdr>
                                <w:top w:val="none" w:sz="0" w:space="0" w:color="auto"/>
                                <w:left w:val="none" w:sz="0" w:space="0" w:color="auto"/>
                                <w:bottom w:val="none" w:sz="0" w:space="0" w:color="auto"/>
                                <w:right w:val="none" w:sz="0" w:space="0" w:color="auto"/>
                              </w:divBdr>
                              <w:divsChild>
                                <w:div w:id="1477843926">
                                  <w:marLeft w:val="0"/>
                                  <w:marRight w:val="0"/>
                                  <w:marTop w:val="0"/>
                                  <w:marBottom w:val="0"/>
                                  <w:divBdr>
                                    <w:top w:val="none" w:sz="0" w:space="0" w:color="auto"/>
                                    <w:left w:val="none" w:sz="0" w:space="0" w:color="auto"/>
                                    <w:bottom w:val="none" w:sz="0" w:space="0" w:color="auto"/>
                                    <w:right w:val="none" w:sz="0" w:space="0" w:color="auto"/>
                                  </w:divBdr>
                                  <w:divsChild>
                                    <w:div w:id="2060936238">
                                      <w:marLeft w:val="0"/>
                                      <w:marRight w:val="0"/>
                                      <w:marTop w:val="0"/>
                                      <w:marBottom w:val="0"/>
                                      <w:divBdr>
                                        <w:top w:val="none" w:sz="0" w:space="0" w:color="auto"/>
                                        <w:left w:val="none" w:sz="0" w:space="0" w:color="auto"/>
                                        <w:bottom w:val="none" w:sz="0" w:space="0" w:color="auto"/>
                                        <w:right w:val="none" w:sz="0" w:space="0" w:color="auto"/>
                                      </w:divBdr>
                                      <w:divsChild>
                                        <w:div w:id="1136608764">
                                          <w:marLeft w:val="0"/>
                                          <w:marRight w:val="0"/>
                                          <w:marTop w:val="0"/>
                                          <w:marBottom w:val="0"/>
                                          <w:divBdr>
                                            <w:top w:val="none" w:sz="0" w:space="0" w:color="auto"/>
                                            <w:left w:val="none" w:sz="0" w:space="0" w:color="auto"/>
                                            <w:bottom w:val="none" w:sz="0" w:space="0" w:color="auto"/>
                                            <w:right w:val="none" w:sz="0" w:space="0" w:color="auto"/>
                                          </w:divBdr>
                                          <w:divsChild>
                                            <w:div w:id="1227374601">
                                              <w:marLeft w:val="0"/>
                                              <w:marRight w:val="0"/>
                                              <w:marTop w:val="0"/>
                                              <w:marBottom w:val="0"/>
                                              <w:divBdr>
                                                <w:top w:val="none" w:sz="0" w:space="0" w:color="auto"/>
                                                <w:left w:val="none" w:sz="0" w:space="0" w:color="auto"/>
                                                <w:bottom w:val="none" w:sz="0" w:space="0" w:color="auto"/>
                                                <w:right w:val="none" w:sz="0" w:space="0" w:color="auto"/>
                                              </w:divBdr>
                                              <w:divsChild>
                                                <w:div w:id="1422068982">
                                                  <w:marLeft w:val="0"/>
                                                  <w:marRight w:val="0"/>
                                                  <w:marTop w:val="0"/>
                                                  <w:marBottom w:val="0"/>
                                                  <w:divBdr>
                                                    <w:top w:val="none" w:sz="0" w:space="0" w:color="auto"/>
                                                    <w:left w:val="none" w:sz="0" w:space="0" w:color="auto"/>
                                                    <w:bottom w:val="none" w:sz="0" w:space="0" w:color="auto"/>
                                                    <w:right w:val="none" w:sz="0" w:space="0" w:color="auto"/>
                                                  </w:divBdr>
                                                  <w:divsChild>
                                                    <w:div w:id="946356134">
                                                      <w:marLeft w:val="0"/>
                                                      <w:marRight w:val="0"/>
                                                      <w:marTop w:val="0"/>
                                                      <w:marBottom w:val="0"/>
                                                      <w:divBdr>
                                                        <w:top w:val="none" w:sz="0" w:space="0" w:color="auto"/>
                                                        <w:left w:val="none" w:sz="0" w:space="0" w:color="auto"/>
                                                        <w:bottom w:val="none" w:sz="0" w:space="0" w:color="auto"/>
                                                        <w:right w:val="none" w:sz="0" w:space="0" w:color="auto"/>
                                                      </w:divBdr>
                                                    </w:div>
                                                    <w:div w:id="17939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018463">
      <w:bodyDiv w:val="1"/>
      <w:marLeft w:val="0"/>
      <w:marRight w:val="0"/>
      <w:marTop w:val="0"/>
      <w:marBottom w:val="0"/>
      <w:divBdr>
        <w:top w:val="none" w:sz="0" w:space="0" w:color="auto"/>
        <w:left w:val="none" w:sz="0" w:space="0" w:color="auto"/>
        <w:bottom w:val="none" w:sz="0" w:space="0" w:color="auto"/>
        <w:right w:val="none" w:sz="0" w:space="0" w:color="auto"/>
      </w:divBdr>
      <w:divsChild>
        <w:div w:id="1826775752">
          <w:marLeft w:val="0"/>
          <w:marRight w:val="0"/>
          <w:marTop w:val="0"/>
          <w:marBottom w:val="0"/>
          <w:divBdr>
            <w:top w:val="none" w:sz="0" w:space="0" w:color="auto"/>
            <w:left w:val="none" w:sz="0" w:space="0" w:color="auto"/>
            <w:bottom w:val="none" w:sz="0" w:space="0" w:color="auto"/>
            <w:right w:val="none" w:sz="0" w:space="0" w:color="auto"/>
          </w:divBdr>
          <w:divsChild>
            <w:div w:id="973363589">
              <w:marLeft w:val="0"/>
              <w:marRight w:val="0"/>
              <w:marTop w:val="0"/>
              <w:marBottom w:val="0"/>
              <w:divBdr>
                <w:top w:val="none" w:sz="0" w:space="0" w:color="auto"/>
                <w:left w:val="none" w:sz="0" w:space="0" w:color="auto"/>
                <w:bottom w:val="none" w:sz="0" w:space="0" w:color="auto"/>
                <w:right w:val="none" w:sz="0" w:space="0" w:color="auto"/>
              </w:divBdr>
              <w:divsChild>
                <w:div w:id="103158850">
                  <w:marLeft w:val="0"/>
                  <w:marRight w:val="0"/>
                  <w:marTop w:val="0"/>
                  <w:marBottom w:val="0"/>
                  <w:divBdr>
                    <w:top w:val="none" w:sz="0" w:space="0" w:color="auto"/>
                    <w:left w:val="none" w:sz="0" w:space="0" w:color="auto"/>
                    <w:bottom w:val="none" w:sz="0" w:space="0" w:color="auto"/>
                    <w:right w:val="none" w:sz="0" w:space="0" w:color="auto"/>
                  </w:divBdr>
                  <w:divsChild>
                    <w:div w:id="2075538839">
                      <w:marLeft w:val="0"/>
                      <w:marRight w:val="0"/>
                      <w:marTop w:val="0"/>
                      <w:marBottom w:val="0"/>
                      <w:divBdr>
                        <w:top w:val="none" w:sz="0" w:space="0" w:color="auto"/>
                        <w:left w:val="none" w:sz="0" w:space="0" w:color="auto"/>
                        <w:bottom w:val="none" w:sz="0" w:space="0" w:color="auto"/>
                        <w:right w:val="none" w:sz="0" w:space="0" w:color="auto"/>
                      </w:divBdr>
                      <w:divsChild>
                        <w:div w:id="1545436706">
                          <w:marLeft w:val="0"/>
                          <w:marRight w:val="0"/>
                          <w:marTop w:val="0"/>
                          <w:marBottom w:val="0"/>
                          <w:divBdr>
                            <w:top w:val="none" w:sz="0" w:space="0" w:color="auto"/>
                            <w:left w:val="none" w:sz="0" w:space="0" w:color="auto"/>
                            <w:bottom w:val="none" w:sz="0" w:space="0" w:color="auto"/>
                            <w:right w:val="none" w:sz="0" w:space="0" w:color="auto"/>
                          </w:divBdr>
                          <w:divsChild>
                            <w:div w:id="492380064">
                              <w:marLeft w:val="0"/>
                              <w:marRight w:val="0"/>
                              <w:marTop w:val="0"/>
                              <w:marBottom w:val="0"/>
                              <w:divBdr>
                                <w:top w:val="none" w:sz="0" w:space="0" w:color="auto"/>
                                <w:left w:val="none" w:sz="0" w:space="0" w:color="auto"/>
                                <w:bottom w:val="none" w:sz="0" w:space="0" w:color="auto"/>
                                <w:right w:val="none" w:sz="0" w:space="0" w:color="auto"/>
                              </w:divBdr>
                              <w:divsChild>
                                <w:div w:id="823736375">
                                  <w:marLeft w:val="0"/>
                                  <w:marRight w:val="0"/>
                                  <w:marTop w:val="0"/>
                                  <w:marBottom w:val="0"/>
                                  <w:divBdr>
                                    <w:top w:val="none" w:sz="0" w:space="0" w:color="auto"/>
                                    <w:left w:val="none" w:sz="0" w:space="0" w:color="auto"/>
                                    <w:bottom w:val="none" w:sz="0" w:space="0" w:color="auto"/>
                                    <w:right w:val="none" w:sz="0" w:space="0" w:color="auto"/>
                                  </w:divBdr>
                                  <w:divsChild>
                                    <w:div w:id="1454137302">
                                      <w:marLeft w:val="0"/>
                                      <w:marRight w:val="0"/>
                                      <w:marTop w:val="0"/>
                                      <w:marBottom w:val="0"/>
                                      <w:divBdr>
                                        <w:top w:val="none" w:sz="0" w:space="0" w:color="auto"/>
                                        <w:left w:val="none" w:sz="0" w:space="0" w:color="auto"/>
                                        <w:bottom w:val="none" w:sz="0" w:space="0" w:color="auto"/>
                                        <w:right w:val="none" w:sz="0" w:space="0" w:color="auto"/>
                                      </w:divBdr>
                                      <w:divsChild>
                                        <w:div w:id="252016120">
                                          <w:marLeft w:val="0"/>
                                          <w:marRight w:val="0"/>
                                          <w:marTop w:val="0"/>
                                          <w:marBottom w:val="0"/>
                                          <w:divBdr>
                                            <w:top w:val="none" w:sz="0" w:space="0" w:color="auto"/>
                                            <w:left w:val="none" w:sz="0" w:space="0" w:color="auto"/>
                                            <w:bottom w:val="none" w:sz="0" w:space="0" w:color="auto"/>
                                            <w:right w:val="none" w:sz="0" w:space="0" w:color="auto"/>
                                          </w:divBdr>
                                          <w:divsChild>
                                            <w:div w:id="20063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800516">
      <w:bodyDiv w:val="1"/>
      <w:marLeft w:val="0"/>
      <w:marRight w:val="0"/>
      <w:marTop w:val="0"/>
      <w:marBottom w:val="0"/>
      <w:divBdr>
        <w:top w:val="none" w:sz="0" w:space="0" w:color="auto"/>
        <w:left w:val="none" w:sz="0" w:space="0" w:color="auto"/>
        <w:bottom w:val="none" w:sz="0" w:space="0" w:color="auto"/>
        <w:right w:val="none" w:sz="0" w:space="0" w:color="auto"/>
      </w:divBdr>
      <w:divsChild>
        <w:div w:id="9257707">
          <w:marLeft w:val="0"/>
          <w:marRight w:val="0"/>
          <w:marTop w:val="0"/>
          <w:marBottom w:val="0"/>
          <w:divBdr>
            <w:top w:val="none" w:sz="0" w:space="0" w:color="auto"/>
            <w:left w:val="none" w:sz="0" w:space="0" w:color="auto"/>
            <w:bottom w:val="none" w:sz="0" w:space="0" w:color="auto"/>
            <w:right w:val="none" w:sz="0" w:space="0" w:color="auto"/>
          </w:divBdr>
          <w:divsChild>
            <w:div w:id="1080177461">
              <w:marLeft w:val="0"/>
              <w:marRight w:val="0"/>
              <w:marTop w:val="0"/>
              <w:marBottom w:val="0"/>
              <w:divBdr>
                <w:top w:val="none" w:sz="0" w:space="0" w:color="auto"/>
                <w:left w:val="none" w:sz="0" w:space="0" w:color="auto"/>
                <w:bottom w:val="none" w:sz="0" w:space="0" w:color="auto"/>
                <w:right w:val="none" w:sz="0" w:space="0" w:color="auto"/>
              </w:divBdr>
              <w:divsChild>
                <w:div w:id="1470443048">
                  <w:marLeft w:val="0"/>
                  <w:marRight w:val="0"/>
                  <w:marTop w:val="0"/>
                  <w:marBottom w:val="0"/>
                  <w:divBdr>
                    <w:top w:val="none" w:sz="0" w:space="0" w:color="auto"/>
                    <w:left w:val="none" w:sz="0" w:space="0" w:color="auto"/>
                    <w:bottom w:val="none" w:sz="0" w:space="0" w:color="auto"/>
                    <w:right w:val="none" w:sz="0" w:space="0" w:color="auto"/>
                  </w:divBdr>
                  <w:divsChild>
                    <w:div w:id="403994358">
                      <w:marLeft w:val="0"/>
                      <w:marRight w:val="0"/>
                      <w:marTop w:val="0"/>
                      <w:marBottom w:val="0"/>
                      <w:divBdr>
                        <w:top w:val="none" w:sz="0" w:space="0" w:color="auto"/>
                        <w:left w:val="none" w:sz="0" w:space="0" w:color="auto"/>
                        <w:bottom w:val="none" w:sz="0" w:space="0" w:color="auto"/>
                        <w:right w:val="none" w:sz="0" w:space="0" w:color="auto"/>
                      </w:divBdr>
                      <w:divsChild>
                        <w:div w:id="806165463">
                          <w:marLeft w:val="0"/>
                          <w:marRight w:val="0"/>
                          <w:marTop w:val="0"/>
                          <w:marBottom w:val="0"/>
                          <w:divBdr>
                            <w:top w:val="none" w:sz="0" w:space="0" w:color="auto"/>
                            <w:left w:val="none" w:sz="0" w:space="0" w:color="auto"/>
                            <w:bottom w:val="none" w:sz="0" w:space="0" w:color="auto"/>
                            <w:right w:val="none" w:sz="0" w:space="0" w:color="auto"/>
                          </w:divBdr>
                          <w:divsChild>
                            <w:div w:id="1716075332">
                              <w:marLeft w:val="0"/>
                              <w:marRight w:val="0"/>
                              <w:marTop w:val="0"/>
                              <w:marBottom w:val="0"/>
                              <w:divBdr>
                                <w:top w:val="none" w:sz="0" w:space="0" w:color="auto"/>
                                <w:left w:val="none" w:sz="0" w:space="0" w:color="auto"/>
                                <w:bottom w:val="none" w:sz="0" w:space="0" w:color="auto"/>
                                <w:right w:val="none" w:sz="0" w:space="0" w:color="auto"/>
                              </w:divBdr>
                              <w:divsChild>
                                <w:div w:id="1891915725">
                                  <w:marLeft w:val="0"/>
                                  <w:marRight w:val="0"/>
                                  <w:marTop w:val="0"/>
                                  <w:marBottom w:val="0"/>
                                  <w:divBdr>
                                    <w:top w:val="none" w:sz="0" w:space="0" w:color="auto"/>
                                    <w:left w:val="none" w:sz="0" w:space="0" w:color="auto"/>
                                    <w:bottom w:val="none" w:sz="0" w:space="0" w:color="auto"/>
                                    <w:right w:val="none" w:sz="0" w:space="0" w:color="auto"/>
                                  </w:divBdr>
                                  <w:divsChild>
                                    <w:div w:id="167213207">
                                      <w:marLeft w:val="0"/>
                                      <w:marRight w:val="0"/>
                                      <w:marTop w:val="0"/>
                                      <w:marBottom w:val="0"/>
                                      <w:divBdr>
                                        <w:top w:val="none" w:sz="0" w:space="0" w:color="auto"/>
                                        <w:left w:val="none" w:sz="0" w:space="0" w:color="auto"/>
                                        <w:bottom w:val="none" w:sz="0" w:space="0" w:color="auto"/>
                                        <w:right w:val="none" w:sz="0" w:space="0" w:color="auto"/>
                                      </w:divBdr>
                                      <w:divsChild>
                                        <w:div w:id="1371371672">
                                          <w:marLeft w:val="0"/>
                                          <w:marRight w:val="0"/>
                                          <w:marTop w:val="0"/>
                                          <w:marBottom w:val="0"/>
                                          <w:divBdr>
                                            <w:top w:val="none" w:sz="0" w:space="0" w:color="auto"/>
                                            <w:left w:val="none" w:sz="0" w:space="0" w:color="auto"/>
                                            <w:bottom w:val="none" w:sz="0" w:space="0" w:color="auto"/>
                                            <w:right w:val="none" w:sz="0" w:space="0" w:color="auto"/>
                                          </w:divBdr>
                                          <w:divsChild>
                                            <w:div w:id="1352954443">
                                              <w:marLeft w:val="0"/>
                                              <w:marRight w:val="0"/>
                                              <w:marTop w:val="0"/>
                                              <w:marBottom w:val="0"/>
                                              <w:divBdr>
                                                <w:top w:val="none" w:sz="0" w:space="0" w:color="auto"/>
                                                <w:left w:val="none" w:sz="0" w:space="0" w:color="auto"/>
                                                <w:bottom w:val="none" w:sz="0" w:space="0" w:color="auto"/>
                                                <w:right w:val="none" w:sz="0" w:space="0" w:color="auto"/>
                                              </w:divBdr>
                                              <w:divsChild>
                                                <w:div w:id="1853183948">
                                                  <w:marLeft w:val="0"/>
                                                  <w:marRight w:val="0"/>
                                                  <w:marTop w:val="0"/>
                                                  <w:marBottom w:val="0"/>
                                                  <w:divBdr>
                                                    <w:top w:val="none" w:sz="0" w:space="0" w:color="auto"/>
                                                    <w:left w:val="none" w:sz="0" w:space="0" w:color="auto"/>
                                                    <w:bottom w:val="none" w:sz="0" w:space="0" w:color="auto"/>
                                                    <w:right w:val="none" w:sz="0" w:space="0" w:color="auto"/>
                                                  </w:divBdr>
                                                  <w:divsChild>
                                                    <w:div w:id="944537191">
                                                      <w:marLeft w:val="0"/>
                                                      <w:marRight w:val="0"/>
                                                      <w:marTop w:val="0"/>
                                                      <w:marBottom w:val="0"/>
                                                      <w:divBdr>
                                                        <w:top w:val="none" w:sz="0" w:space="0" w:color="auto"/>
                                                        <w:left w:val="none" w:sz="0" w:space="0" w:color="auto"/>
                                                        <w:bottom w:val="none" w:sz="0" w:space="0" w:color="auto"/>
                                                        <w:right w:val="none" w:sz="0" w:space="0" w:color="auto"/>
                                                      </w:divBdr>
                                                    </w:div>
                                                    <w:div w:id="18542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501618">
      <w:bodyDiv w:val="1"/>
      <w:marLeft w:val="0"/>
      <w:marRight w:val="0"/>
      <w:marTop w:val="0"/>
      <w:marBottom w:val="0"/>
      <w:divBdr>
        <w:top w:val="none" w:sz="0" w:space="0" w:color="auto"/>
        <w:left w:val="none" w:sz="0" w:space="0" w:color="auto"/>
        <w:bottom w:val="none" w:sz="0" w:space="0" w:color="auto"/>
        <w:right w:val="none" w:sz="0" w:space="0" w:color="auto"/>
      </w:divBdr>
      <w:divsChild>
        <w:div w:id="1714041248">
          <w:marLeft w:val="0"/>
          <w:marRight w:val="0"/>
          <w:marTop w:val="0"/>
          <w:marBottom w:val="0"/>
          <w:divBdr>
            <w:top w:val="none" w:sz="0" w:space="0" w:color="auto"/>
            <w:left w:val="none" w:sz="0" w:space="0" w:color="auto"/>
            <w:bottom w:val="none" w:sz="0" w:space="0" w:color="auto"/>
            <w:right w:val="none" w:sz="0" w:space="0" w:color="auto"/>
          </w:divBdr>
          <w:divsChild>
            <w:div w:id="1373268415">
              <w:marLeft w:val="0"/>
              <w:marRight w:val="0"/>
              <w:marTop w:val="0"/>
              <w:marBottom w:val="0"/>
              <w:divBdr>
                <w:top w:val="none" w:sz="0" w:space="0" w:color="auto"/>
                <w:left w:val="none" w:sz="0" w:space="0" w:color="auto"/>
                <w:bottom w:val="none" w:sz="0" w:space="0" w:color="auto"/>
                <w:right w:val="none" w:sz="0" w:space="0" w:color="auto"/>
              </w:divBdr>
              <w:divsChild>
                <w:div w:id="715734593">
                  <w:marLeft w:val="0"/>
                  <w:marRight w:val="0"/>
                  <w:marTop w:val="0"/>
                  <w:marBottom w:val="0"/>
                  <w:divBdr>
                    <w:top w:val="none" w:sz="0" w:space="0" w:color="auto"/>
                    <w:left w:val="none" w:sz="0" w:space="0" w:color="auto"/>
                    <w:bottom w:val="none" w:sz="0" w:space="0" w:color="auto"/>
                    <w:right w:val="none" w:sz="0" w:space="0" w:color="auto"/>
                  </w:divBdr>
                  <w:divsChild>
                    <w:div w:id="2061783804">
                      <w:marLeft w:val="0"/>
                      <w:marRight w:val="0"/>
                      <w:marTop w:val="0"/>
                      <w:marBottom w:val="0"/>
                      <w:divBdr>
                        <w:top w:val="none" w:sz="0" w:space="0" w:color="auto"/>
                        <w:left w:val="none" w:sz="0" w:space="0" w:color="auto"/>
                        <w:bottom w:val="none" w:sz="0" w:space="0" w:color="auto"/>
                        <w:right w:val="none" w:sz="0" w:space="0" w:color="auto"/>
                      </w:divBdr>
                      <w:divsChild>
                        <w:div w:id="1194659988">
                          <w:marLeft w:val="0"/>
                          <w:marRight w:val="0"/>
                          <w:marTop w:val="0"/>
                          <w:marBottom w:val="0"/>
                          <w:divBdr>
                            <w:top w:val="none" w:sz="0" w:space="0" w:color="auto"/>
                            <w:left w:val="none" w:sz="0" w:space="0" w:color="auto"/>
                            <w:bottom w:val="none" w:sz="0" w:space="0" w:color="auto"/>
                            <w:right w:val="none" w:sz="0" w:space="0" w:color="auto"/>
                          </w:divBdr>
                          <w:divsChild>
                            <w:div w:id="1718821742">
                              <w:marLeft w:val="0"/>
                              <w:marRight w:val="0"/>
                              <w:marTop w:val="0"/>
                              <w:marBottom w:val="0"/>
                              <w:divBdr>
                                <w:top w:val="none" w:sz="0" w:space="0" w:color="auto"/>
                                <w:left w:val="none" w:sz="0" w:space="0" w:color="auto"/>
                                <w:bottom w:val="none" w:sz="0" w:space="0" w:color="auto"/>
                                <w:right w:val="none" w:sz="0" w:space="0" w:color="auto"/>
                              </w:divBdr>
                              <w:divsChild>
                                <w:div w:id="1780180695">
                                  <w:marLeft w:val="0"/>
                                  <w:marRight w:val="0"/>
                                  <w:marTop w:val="0"/>
                                  <w:marBottom w:val="0"/>
                                  <w:divBdr>
                                    <w:top w:val="none" w:sz="0" w:space="0" w:color="auto"/>
                                    <w:left w:val="none" w:sz="0" w:space="0" w:color="auto"/>
                                    <w:bottom w:val="none" w:sz="0" w:space="0" w:color="auto"/>
                                    <w:right w:val="none" w:sz="0" w:space="0" w:color="auto"/>
                                  </w:divBdr>
                                  <w:divsChild>
                                    <w:div w:id="1107771599">
                                      <w:marLeft w:val="0"/>
                                      <w:marRight w:val="0"/>
                                      <w:marTop w:val="0"/>
                                      <w:marBottom w:val="0"/>
                                      <w:divBdr>
                                        <w:top w:val="none" w:sz="0" w:space="0" w:color="auto"/>
                                        <w:left w:val="none" w:sz="0" w:space="0" w:color="auto"/>
                                        <w:bottom w:val="none" w:sz="0" w:space="0" w:color="auto"/>
                                        <w:right w:val="none" w:sz="0" w:space="0" w:color="auto"/>
                                      </w:divBdr>
                                      <w:divsChild>
                                        <w:div w:id="1804421904">
                                          <w:marLeft w:val="0"/>
                                          <w:marRight w:val="0"/>
                                          <w:marTop w:val="0"/>
                                          <w:marBottom w:val="0"/>
                                          <w:divBdr>
                                            <w:top w:val="none" w:sz="0" w:space="0" w:color="auto"/>
                                            <w:left w:val="none" w:sz="0" w:space="0" w:color="auto"/>
                                            <w:bottom w:val="none" w:sz="0" w:space="0" w:color="auto"/>
                                            <w:right w:val="none" w:sz="0" w:space="0" w:color="auto"/>
                                          </w:divBdr>
                                          <w:divsChild>
                                            <w:div w:id="2038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0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dda.europa.eu/edr2019" TargetMode="External"/><Relationship Id="rId3" Type="http://schemas.openxmlformats.org/officeDocument/2006/relationships/settings" Target="settings.xml"/><Relationship Id="rId7" Type="http://schemas.openxmlformats.org/officeDocument/2006/relationships/hyperlink" Target="http://www.emcdda.europa.eu/edr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Cummins</dc:creator>
  <cp:lastModifiedBy>Mairea Nelson</cp:lastModifiedBy>
  <cp:revision>2</cp:revision>
  <cp:lastPrinted>2018-06-05T08:44:00Z</cp:lastPrinted>
  <dcterms:created xsi:type="dcterms:W3CDTF">2019-06-05T12:47:00Z</dcterms:created>
  <dcterms:modified xsi:type="dcterms:W3CDTF">2019-06-05T12:47:00Z</dcterms:modified>
</cp:coreProperties>
</file>