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768" w:rsidRDefault="00F52FB3" w:rsidP="00F52FB3">
      <w:r w:rsidRPr="00F52FB3">
        <w:rPr>
          <w:b/>
        </w:rPr>
        <w:t>Headline</w:t>
      </w:r>
      <w:r>
        <w:t xml:space="preserve">: Drug </w:t>
      </w:r>
      <w:r w:rsidR="00936197">
        <w:t>t</w:t>
      </w:r>
      <w:r>
        <w:t>reatment in Ireland:</w:t>
      </w:r>
      <w:r w:rsidR="006F3080">
        <w:t xml:space="preserve"> HRB publishes</w:t>
      </w:r>
      <w:r>
        <w:t xml:space="preserve"> latest figures </w:t>
      </w:r>
    </w:p>
    <w:p w:rsidR="006F3080" w:rsidRDefault="00F52FB3" w:rsidP="00F52FB3">
      <w:r w:rsidRPr="00F52FB3">
        <w:rPr>
          <w:b/>
        </w:rPr>
        <w:t>Sub</w:t>
      </w:r>
      <w:r>
        <w:rPr>
          <w:b/>
        </w:rPr>
        <w:t xml:space="preserve"> </w:t>
      </w:r>
      <w:r w:rsidRPr="00F52FB3">
        <w:rPr>
          <w:b/>
        </w:rPr>
        <w:t>headline</w:t>
      </w:r>
      <w:r>
        <w:t xml:space="preserve">: </w:t>
      </w:r>
      <w:r w:rsidR="00171339" w:rsidRPr="00237294">
        <w:rPr>
          <w:color w:val="FF0000"/>
        </w:rPr>
        <w:t xml:space="preserve">Embargo Wednesday 17 April at 00.01. </w:t>
      </w:r>
      <w:r>
        <w:t>Latest figures from the Health Research Board show</w:t>
      </w:r>
      <w:r w:rsidRPr="00F52FB3">
        <w:t xml:space="preserve"> 63,303 cases</w:t>
      </w:r>
      <w:r w:rsidR="001823B7">
        <w:t>*</w:t>
      </w:r>
      <w:r w:rsidR="00805CF5">
        <w:t xml:space="preserve"> presented</w:t>
      </w:r>
      <w:r w:rsidRPr="00F52FB3">
        <w:t xml:space="preserve"> </w:t>
      </w:r>
      <w:r w:rsidR="00805CF5">
        <w:t>for</w:t>
      </w:r>
      <w:r w:rsidRPr="00F52FB3">
        <w:t xml:space="preserve"> treatment for problem drug use</w:t>
      </w:r>
      <w:r w:rsidR="001D037F">
        <w:t xml:space="preserve"> (excluding alcohol)</w:t>
      </w:r>
      <w:r w:rsidRPr="00F52FB3">
        <w:t xml:space="preserve"> </w:t>
      </w:r>
      <w:r>
        <w:t xml:space="preserve">between 2011 and 2017. </w:t>
      </w:r>
      <w:r w:rsidRPr="00F52FB3">
        <w:t xml:space="preserve"> The number of treated cases </w:t>
      </w:r>
      <w:r w:rsidR="007D0AA3">
        <w:t>increased</w:t>
      </w:r>
      <w:r w:rsidRPr="00F52FB3">
        <w:t xml:space="preserve"> from 8,361 in 2011 to 9,892 in 2015, and then decreased to </w:t>
      </w:r>
      <w:r w:rsidRPr="00FC3FA7">
        <w:t>8,922 in 2017</w:t>
      </w:r>
      <w:r w:rsidRPr="00936197">
        <w:t>.</w:t>
      </w:r>
      <w:r w:rsidRPr="00F52FB3">
        <w:t xml:space="preserve"> </w:t>
      </w:r>
    </w:p>
    <w:p w:rsidR="00BC75A9" w:rsidRDefault="00805CF5" w:rsidP="00805CF5">
      <w:pPr>
        <w:pStyle w:val="ListParagraph"/>
        <w:numPr>
          <w:ilvl w:val="0"/>
          <w:numId w:val="8"/>
        </w:numPr>
      </w:pPr>
      <w:r>
        <w:t>In 2017, o</w:t>
      </w:r>
      <w:r w:rsidR="001D037F">
        <w:t>piates, mainly heroin</w:t>
      </w:r>
      <w:r w:rsidR="00E17486">
        <w:t>,</w:t>
      </w:r>
      <w:r w:rsidR="00BC75A9">
        <w:t xml:space="preserve"> remain the most common drug</w:t>
      </w:r>
      <w:r w:rsidR="007817B7">
        <w:t>s</w:t>
      </w:r>
      <w:r w:rsidR="00BC75A9">
        <w:t xml:space="preserve"> reported </w:t>
      </w:r>
      <w:r w:rsidR="00E17486">
        <w:t xml:space="preserve">among </w:t>
      </w:r>
      <w:r w:rsidR="00855B0A">
        <w:t>cases</w:t>
      </w:r>
      <w:r w:rsidR="007817B7">
        <w:t>.</w:t>
      </w:r>
      <w:r w:rsidR="00855B0A">
        <w:t xml:space="preserve"> treated for problem drug use</w:t>
      </w:r>
      <w:r w:rsidR="001E4885">
        <w:t>.</w:t>
      </w:r>
      <w:r w:rsidR="00BC75A9">
        <w:t xml:space="preserve"> </w:t>
      </w:r>
      <w:r w:rsidR="001E4885">
        <w:t xml:space="preserve">However, the </w:t>
      </w:r>
      <w:r w:rsidR="00BC75A9">
        <w:t xml:space="preserve">proportion of </w:t>
      </w:r>
      <w:r w:rsidR="00666397">
        <w:t>opiate</w:t>
      </w:r>
      <w:r w:rsidR="00BC75A9">
        <w:t xml:space="preserve"> cases </w:t>
      </w:r>
      <w:r w:rsidR="007D0AA3">
        <w:t>has fallen</w:t>
      </w:r>
      <w:r w:rsidR="00E17486">
        <w:t xml:space="preserve"> in recent years</w:t>
      </w:r>
      <w:r w:rsidR="00BC75A9">
        <w:t>.</w:t>
      </w:r>
    </w:p>
    <w:p w:rsidR="001E3F04" w:rsidRDefault="00BC75A9" w:rsidP="001E3F04">
      <w:pPr>
        <w:pStyle w:val="ListParagraph"/>
        <w:numPr>
          <w:ilvl w:val="0"/>
          <w:numId w:val="8"/>
        </w:numPr>
      </w:pPr>
      <w:r>
        <w:t xml:space="preserve">Cannabis, cocaine and benzodiazepines were the second, third and fourth most common drugs reported </w:t>
      </w:r>
      <w:r w:rsidR="00403F6F">
        <w:t xml:space="preserve">by cases </w:t>
      </w:r>
      <w:r>
        <w:t>in treatment</w:t>
      </w:r>
      <w:r w:rsidR="00805CF5">
        <w:t xml:space="preserve"> in 2017</w:t>
      </w:r>
      <w:r w:rsidR="001D037F">
        <w:t>.</w:t>
      </w:r>
      <w:r w:rsidR="001E3F04" w:rsidRPr="001E3F04">
        <w:t xml:space="preserve"> </w:t>
      </w:r>
    </w:p>
    <w:p w:rsidR="001E3F04" w:rsidRDefault="001E3F04" w:rsidP="001E3F04">
      <w:pPr>
        <w:pStyle w:val="ListParagraph"/>
        <w:numPr>
          <w:ilvl w:val="0"/>
          <w:numId w:val="8"/>
        </w:numPr>
      </w:pPr>
      <w:r>
        <w:t xml:space="preserve">There was a </w:t>
      </w:r>
      <w:r w:rsidRPr="00A27C26">
        <w:t>3</w:t>
      </w:r>
      <w:r w:rsidR="00A33DF9" w:rsidRPr="00A27C26">
        <w:t>2</w:t>
      </w:r>
      <w:r w:rsidRPr="00A27C26">
        <w:t>%</w:t>
      </w:r>
      <w:bookmarkStart w:id="0" w:name="_GoBack"/>
      <w:bookmarkEnd w:id="0"/>
      <w:r>
        <w:t xml:space="preserve"> increase in </w:t>
      </w:r>
      <w:r w:rsidR="00936197">
        <w:t xml:space="preserve">the </w:t>
      </w:r>
      <w:r>
        <w:t>number of cocaine cases between 2016 and 2017.</w:t>
      </w:r>
    </w:p>
    <w:p w:rsidR="00BC75A9" w:rsidRDefault="00BC75A9" w:rsidP="00332768">
      <w:pPr>
        <w:pStyle w:val="ListParagraph"/>
      </w:pPr>
    </w:p>
    <w:p w:rsidR="001E3F04" w:rsidRDefault="001E3F04" w:rsidP="00332768">
      <w:bookmarkStart w:id="1" w:name="_Hlk6225990"/>
      <w:r>
        <w:t>Darrin Morrissey, Chief Executive at the Health Research Board says,</w:t>
      </w:r>
    </w:p>
    <w:p w:rsidR="001E3F04" w:rsidRDefault="001E3F04" w:rsidP="00332768">
      <w:r>
        <w:t>‘Problem drug use continues to seriously impact people throughout Irish society.  This is evident in the drug treatment data presented today, as well as the HRB’s recent drug-related death</w:t>
      </w:r>
      <w:r w:rsidR="003607FB">
        <w:t>s</w:t>
      </w:r>
      <w:r>
        <w:t xml:space="preserve"> and alcohol treatment reports. </w:t>
      </w:r>
      <w:r w:rsidR="00B46D1F">
        <w:t xml:space="preserve">Over the recent period of economic recovery, drug treatment trends </w:t>
      </w:r>
      <w:r>
        <w:t>are changing and the data we analyse from the HRB information systems helps to inform health services provision and the health policy responses to problem drug use in Ireland’.</w:t>
      </w:r>
    </w:p>
    <w:bookmarkEnd w:id="1"/>
    <w:p w:rsidR="00BC75A9" w:rsidRDefault="00805CF5" w:rsidP="00F52FB3">
      <w:r>
        <w:t xml:space="preserve">Commenting on the latest figures from the National Drug Treatment Reporting System, </w:t>
      </w:r>
      <w:r w:rsidR="0088193F">
        <w:t xml:space="preserve">Dr </w:t>
      </w:r>
      <w:r w:rsidR="00403F6F">
        <w:t>Suzi Lyons</w:t>
      </w:r>
      <w:r w:rsidR="0088193F">
        <w:t>, Senior Researcher at the HRB</w:t>
      </w:r>
      <w:r>
        <w:t xml:space="preserve"> says,</w:t>
      </w:r>
    </w:p>
    <w:p w:rsidR="008B0B61" w:rsidRPr="00577E2D" w:rsidRDefault="00403F6F" w:rsidP="00F52FB3">
      <w:r w:rsidRPr="00FC3FA7">
        <w:t>‘</w:t>
      </w:r>
      <w:r w:rsidR="0088193F" w:rsidRPr="00FC3FA7">
        <w:t xml:space="preserve">There has </w:t>
      </w:r>
      <w:r w:rsidR="008B0B61" w:rsidRPr="00FC3FA7">
        <w:t>been a notable</w:t>
      </w:r>
      <w:r w:rsidR="0088193F" w:rsidRPr="00FC3FA7">
        <w:t xml:space="preserve"> increase in cases presenting with</w:t>
      </w:r>
      <w:r w:rsidR="009A621F" w:rsidRPr="00FC3FA7">
        <w:t xml:space="preserve"> cocaine as their main problem drug</w:t>
      </w:r>
      <w:r w:rsidRPr="00FC3FA7">
        <w:t xml:space="preserve"> since 2013</w:t>
      </w:r>
      <w:r w:rsidR="00332768" w:rsidRPr="00FC3FA7">
        <w:t xml:space="preserve">, with a </w:t>
      </w:r>
      <w:r w:rsidR="008B0B61" w:rsidRPr="00FC3FA7">
        <w:t>marked rise</w:t>
      </w:r>
      <w:r w:rsidR="00332768" w:rsidRPr="00FC3FA7">
        <w:t xml:space="preserve"> in the most recent figures</w:t>
      </w:r>
      <w:r w:rsidRPr="00FC3FA7">
        <w:t xml:space="preserve"> </w:t>
      </w:r>
      <w:r w:rsidR="00332768" w:rsidRPr="00FC3FA7">
        <w:t>from</w:t>
      </w:r>
      <w:r w:rsidRPr="00FC3FA7">
        <w:t xml:space="preserve"> </w:t>
      </w:r>
      <w:r w:rsidR="0088193F" w:rsidRPr="00FC3FA7">
        <w:t>1</w:t>
      </w:r>
      <w:r w:rsidR="00275008" w:rsidRPr="00FC3FA7">
        <w:t>,</w:t>
      </w:r>
      <w:r w:rsidR="0088193F" w:rsidRPr="00FC3FA7">
        <w:t xml:space="preserve">138 </w:t>
      </w:r>
      <w:r w:rsidR="00071ACF" w:rsidRPr="00FC3FA7">
        <w:t>cases</w:t>
      </w:r>
      <w:r w:rsidRPr="00FC3FA7">
        <w:t xml:space="preserve"> in 2016</w:t>
      </w:r>
      <w:r w:rsidR="00061B63" w:rsidRPr="00FC3FA7">
        <w:t>,</w:t>
      </w:r>
      <w:r w:rsidRPr="00FC3FA7">
        <w:t xml:space="preserve"> to </w:t>
      </w:r>
      <w:r w:rsidR="0088193F" w:rsidRPr="00FC3FA7">
        <w:t>1</w:t>
      </w:r>
      <w:r w:rsidR="00275008" w:rsidRPr="00FC3FA7">
        <w:t>,</w:t>
      </w:r>
      <w:r w:rsidR="0088193F" w:rsidRPr="00FC3FA7">
        <w:t>500</w:t>
      </w:r>
      <w:r w:rsidR="00071ACF" w:rsidRPr="00FC3FA7">
        <w:t xml:space="preserve"> cases </w:t>
      </w:r>
      <w:r w:rsidR="009A621F" w:rsidRPr="00FC3FA7">
        <w:t xml:space="preserve">in </w:t>
      </w:r>
      <w:r w:rsidRPr="00577E2D">
        <w:t>2017</w:t>
      </w:r>
      <w:r w:rsidR="00FC3FA7" w:rsidRPr="00577E2D">
        <w:t>’</w:t>
      </w:r>
      <w:r w:rsidR="001E3F04" w:rsidRPr="00577E2D">
        <w:t>.</w:t>
      </w:r>
    </w:p>
    <w:p w:rsidR="0043739D" w:rsidRDefault="00FC3FA7" w:rsidP="00F52FB3">
      <w:r w:rsidRPr="00577E2D">
        <w:t>‘</w:t>
      </w:r>
      <w:r w:rsidR="00EB72C6" w:rsidRPr="00577E2D">
        <w:t>Cannabis remains the most common drug among</w:t>
      </w:r>
      <w:r w:rsidR="00062CD8" w:rsidRPr="00577E2D">
        <w:t xml:space="preserve"> </w:t>
      </w:r>
      <w:r w:rsidR="0055664F" w:rsidRPr="00AD685E">
        <w:rPr>
          <w:b/>
        </w:rPr>
        <w:t>cases</w:t>
      </w:r>
      <w:r w:rsidR="00EB72C6" w:rsidRPr="00577E2D">
        <w:t xml:space="preserve"> entering </w:t>
      </w:r>
      <w:r w:rsidR="00EB72C6" w:rsidRPr="00577E2D">
        <w:rPr>
          <w:b/>
          <w:i/>
        </w:rPr>
        <w:t>treatment</w:t>
      </w:r>
      <w:r w:rsidR="00936197" w:rsidRPr="00577E2D">
        <w:rPr>
          <w:b/>
          <w:i/>
        </w:rPr>
        <w:t xml:space="preserve"> </w:t>
      </w:r>
      <w:r w:rsidR="0055664F" w:rsidRPr="00577E2D">
        <w:rPr>
          <w:b/>
          <w:i/>
        </w:rPr>
        <w:t>for the first time</w:t>
      </w:r>
      <w:r w:rsidR="00666397" w:rsidRPr="00577E2D">
        <w:t xml:space="preserve">.  </w:t>
      </w:r>
      <w:r w:rsidR="00217C33" w:rsidRPr="00577E2D">
        <w:t>Four in every 10</w:t>
      </w:r>
      <w:r w:rsidR="00666397" w:rsidRPr="00577E2D">
        <w:t xml:space="preserve"> new cases were treated for problem cannabis use, many at a young age</w:t>
      </w:r>
      <w:r w:rsidR="00AD685E">
        <w:t xml:space="preserve"> -</w:t>
      </w:r>
      <w:r w:rsidR="00577E2D">
        <w:t xml:space="preserve"> the</w:t>
      </w:r>
      <w:r w:rsidRPr="00577E2D">
        <w:t xml:space="preserve"> median age for </w:t>
      </w:r>
      <w:r w:rsidRPr="00577E2D">
        <w:rPr>
          <w:b/>
          <w:i/>
        </w:rPr>
        <w:t xml:space="preserve">new </w:t>
      </w:r>
      <w:r w:rsidR="00217C33" w:rsidRPr="00577E2D">
        <w:rPr>
          <w:b/>
          <w:i/>
        </w:rPr>
        <w:t xml:space="preserve">cannabis </w:t>
      </w:r>
      <w:r w:rsidRPr="00577E2D">
        <w:rPr>
          <w:b/>
          <w:i/>
        </w:rPr>
        <w:t>cases</w:t>
      </w:r>
      <w:r w:rsidRPr="00577E2D">
        <w:t xml:space="preserve"> </w:t>
      </w:r>
      <w:r w:rsidR="00217C33" w:rsidRPr="00577E2D">
        <w:t xml:space="preserve">was </w:t>
      </w:r>
      <w:r w:rsidRPr="00577E2D">
        <w:t>21 years, compared to 32 year</w:t>
      </w:r>
      <w:r w:rsidR="00062CD8" w:rsidRPr="00577E2D">
        <w:t>s</w:t>
      </w:r>
      <w:r w:rsidRPr="00577E2D">
        <w:t xml:space="preserve"> for opiates and 28 years for cocaine’.</w:t>
      </w:r>
    </w:p>
    <w:p w:rsidR="00582AA8" w:rsidRPr="00582AA8" w:rsidRDefault="00582AA8" w:rsidP="00582AA8"/>
    <w:p w:rsidR="006A3839" w:rsidRDefault="006A3839" w:rsidP="006A3839">
      <w:pPr>
        <w:keepNext/>
        <w:spacing w:before="200"/>
        <w:rPr>
          <w:rFonts w:ascii="Cambria" w:hAnsi="Cambria"/>
          <w:b/>
          <w:bCs/>
          <w:color w:val="4F81BD"/>
          <w:sz w:val="26"/>
          <w:szCs w:val="26"/>
        </w:rPr>
      </w:pPr>
      <w:r>
        <w:rPr>
          <w:rFonts w:ascii="Cambria" w:hAnsi="Cambria"/>
          <w:b/>
          <w:bCs/>
          <w:color w:val="4F81BD"/>
          <w:sz w:val="26"/>
          <w:szCs w:val="26"/>
        </w:rPr>
        <w:t xml:space="preserve">Key findings </w:t>
      </w:r>
    </w:p>
    <w:p w:rsidR="006A3839" w:rsidRDefault="006A3839" w:rsidP="006A3839">
      <w:pPr>
        <w:rPr>
          <w:rFonts w:ascii="Calibri" w:hAnsi="Calibri"/>
        </w:rPr>
      </w:pPr>
      <w:r>
        <w:t xml:space="preserve">In 2017, 8,922 cases were treated for problem drug use. The number of </w:t>
      </w:r>
      <w:r>
        <w:rPr>
          <w:i/>
          <w:iCs/>
        </w:rPr>
        <w:t xml:space="preserve">new </w:t>
      </w:r>
      <w:r>
        <w:t xml:space="preserve">cases decreased from </w:t>
      </w:r>
      <w:r w:rsidR="00666397">
        <w:t>3,316</w:t>
      </w:r>
      <w:r w:rsidR="00BB4183">
        <w:t xml:space="preserve"> </w:t>
      </w:r>
      <w:r>
        <w:t>in 2011 to 3,257 in 2017. New cases accounted for 37% of all cases treated in 2017, as compared to 40% of all cases in 2011.</w:t>
      </w:r>
    </w:p>
    <w:p w:rsidR="006A3839" w:rsidRDefault="006A3839" w:rsidP="006A3839">
      <w:pPr>
        <w:keepNext/>
        <w:spacing w:before="200"/>
        <w:rPr>
          <w:rFonts w:ascii="Cambria" w:hAnsi="Cambria"/>
          <w:b/>
          <w:bCs/>
          <w:color w:val="4F81BD"/>
        </w:rPr>
      </w:pPr>
      <w:r>
        <w:rPr>
          <w:rFonts w:ascii="Cambria" w:hAnsi="Cambria"/>
          <w:b/>
          <w:bCs/>
          <w:color w:val="4F81BD"/>
        </w:rPr>
        <w:t>Main problem drug (excluding alcohol)</w:t>
      </w:r>
    </w:p>
    <w:p w:rsidR="006A3839" w:rsidRDefault="006A3839" w:rsidP="006A3839">
      <w:pPr>
        <w:numPr>
          <w:ilvl w:val="0"/>
          <w:numId w:val="13"/>
        </w:numPr>
        <w:rPr>
          <w:rFonts w:ascii="Calibri" w:eastAsia="Times New Roman" w:hAnsi="Calibri"/>
        </w:rPr>
      </w:pPr>
      <w:r>
        <w:rPr>
          <w:rFonts w:eastAsia="Times New Roman"/>
          <w:b/>
          <w:bCs/>
        </w:rPr>
        <w:t>Opiates</w:t>
      </w:r>
      <w:r>
        <w:rPr>
          <w:rFonts w:eastAsia="Times New Roman"/>
        </w:rPr>
        <w:t xml:space="preserve"> (mainly heroin) were the most commonly reported main problem drug, accounting for 45% of cases treated in 2017.  The number of cases decreased from 4,549 in 2011 to 4,016 in 2017. </w:t>
      </w:r>
    </w:p>
    <w:p w:rsidR="006A3839" w:rsidRDefault="006A3839" w:rsidP="006A3839">
      <w:pPr>
        <w:numPr>
          <w:ilvl w:val="0"/>
          <w:numId w:val="13"/>
        </w:numPr>
        <w:rPr>
          <w:rFonts w:eastAsia="Times New Roman"/>
        </w:rPr>
      </w:pPr>
      <w:r>
        <w:rPr>
          <w:rFonts w:eastAsia="Times New Roman"/>
          <w:b/>
          <w:bCs/>
        </w:rPr>
        <w:lastRenderedPageBreak/>
        <w:t xml:space="preserve">Cannabis </w:t>
      </w:r>
      <w:r>
        <w:rPr>
          <w:rFonts w:eastAsia="Times New Roman"/>
        </w:rPr>
        <w:t xml:space="preserve">was the second most common main drug, accounting for 25% of cases treated in 2017. The number of cases increased from 2,161 in 2011 to 2,786 in 2015, and then decreased to 2,200 in 2017. Cannabis was the most common drug among </w:t>
      </w:r>
      <w:r>
        <w:rPr>
          <w:rFonts w:eastAsia="Times New Roman"/>
          <w:i/>
          <w:iCs/>
        </w:rPr>
        <w:t>new</w:t>
      </w:r>
      <w:r>
        <w:rPr>
          <w:rFonts w:eastAsia="Times New Roman"/>
        </w:rPr>
        <w:t xml:space="preserve"> cases in 2017 (39% of new cases).</w:t>
      </w:r>
    </w:p>
    <w:p w:rsidR="006A3839" w:rsidRDefault="006A3839" w:rsidP="006A3839">
      <w:pPr>
        <w:numPr>
          <w:ilvl w:val="0"/>
          <w:numId w:val="13"/>
        </w:numPr>
        <w:rPr>
          <w:rFonts w:eastAsia="Times New Roman"/>
        </w:rPr>
      </w:pPr>
      <w:r>
        <w:rPr>
          <w:rFonts w:eastAsia="Times New Roman"/>
          <w:b/>
          <w:bCs/>
        </w:rPr>
        <w:t>Cocaine</w:t>
      </w:r>
      <w:r>
        <w:rPr>
          <w:rFonts w:eastAsia="Times New Roman"/>
        </w:rPr>
        <w:t xml:space="preserve"> was the third most common main drug reported, accounting for 17% of cases treated in 2017. The number of cases treated for cocaine increased year-on-year from 2013 (708 cases) to 2017 (1,500 cases). The number of cases increased by </w:t>
      </w:r>
      <w:r w:rsidRPr="00A27C26">
        <w:rPr>
          <w:rFonts w:eastAsia="Times New Roman"/>
        </w:rPr>
        <w:t>3</w:t>
      </w:r>
      <w:r w:rsidR="00A33DF9" w:rsidRPr="00A27C26">
        <w:rPr>
          <w:rFonts w:eastAsia="Times New Roman"/>
        </w:rPr>
        <w:t>2</w:t>
      </w:r>
      <w:r w:rsidRPr="00A27C26">
        <w:rPr>
          <w:rFonts w:eastAsia="Times New Roman"/>
        </w:rPr>
        <w:t>%</w:t>
      </w:r>
      <w:r>
        <w:rPr>
          <w:rFonts w:eastAsia="Times New Roman"/>
        </w:rPr>
        <w:t xml:space="preserve"> between 2016 (1,138 cases) and 2017 (1,500 cases). The number of </w:t>
      </w:r>
      <w:r>
        <w:rPr>
          <w:rFonts w:eastAsia="Times New Roman"/>
          <w:i/>
          <w:iCs/>
        </w:rPr>
        <w:t>new</w:t>
      </w:r>
      <w:r>
        <w:rPr>
          <w:rFonts w:eastAsia="Times New Roman"/>
        </w:rPr>
        <w:t xml:space="preserve"> cases treated for cocaine increased yearly from 297 in 2012 to 748 in 2017. Cocaine represented 23% of new cases in 2017, as compared to 9% of new cases in 2012. </w:t>
      </w:r>
    </w:p>
    <w:p w:rsidR="006A3839" w:rsidRDefault="006A3839" w:rsidP="006A3839">
      <w:pPr>
        <w:numPr>
          <w:ilvl w:val="0"/>
          <w:numId w:val="13"/>
        </w:numPr>
        <w:rPr>
          <w:rFonts w:eastAsia="Times New Roman"/>
        </w:rPr>
      </w:pPr>
      <w:r>
        <w:rPr>
          <w:rFonts w:eastAsia="Times New Roman"/>
          <w:b/>
          <w:bCs/>
        </w:rPr>
        <w:t>Benzodiazepines</w:t>
      </w:r>
      <w:r>
        <w:rPr>
          <w:rFonts w:eastAsia="Times New Roman"/>
        </w:rPr>
        <w:t xml:space="preserve"> were the fourth most common main problem, accounting for 10% of cases in 2017 (868 cases). Since 2013, benzodiazepines have accounted for around 10% of all cases, and a similar proportion of </w:t>
      </w:r>
      <w:r>
        <w:rPr>
          <w:rFonts w:eastAsia="Times New Roman"/>
          <w:i/>
          <w:iCs/>
        </w:rPr>
        <w:t xml:space="preserve">new </w:t>
      </w:r>
      <w:r>
        <w:rPr>
          <w:rFonts w:eastAsia="Times New Roman"/>
        </w:rPr>
        <w:t>cases.</w:t>
      </w:r>
    </w:p>
    <w:p w:rsidR="00332768" w:rsidRPr="00332768" w:rsidRDefault="001823B7" w:rsidP="00332768">
      <w:pPr>
        <w:pStyle w:val="Heading3"/>
        <w:spacing w:after="200"/>
      </w:pPr>
      <w:r w:rsidRPr="00332768">
        <w:t>Cocaine in focus</w:t>
      </w:r>
    </w:p>
    <w:p w:rsidR="001823B7" w:rsidRDefault="001823B7" w:rsidP="00805CF5">
      <w:pPr>
        <w:pStyle w:val="ListParagraph"/>
        <w:numPr>
          <w:ilvl w:val="0"/>
          <w:numId w:val="9"/>
        </w:numPr>
      </w:pPr>
      <w:r>
        <w:t>A total of 1</w:t>
      </w:r>
      <w:r w:rsidR="001E3F04">
        <w:t>,</w:t>
      </w:r>
      <w:r>
        <w:t>500 cases were treated for cocaine use in 2017, almost double the number of cases in 2011 (770 cases).</w:t>
      </w:r>
    </w:p>
    <w:p w:rsidR="001823B7" w:rsidRDefault="001823B7" w:rsidP="00805CF5">
      <w:pPr>
        <w:pStyle w:val="ListParagraph"/>
        <w:numPr>
          <w:ilvl w:val="0"/>
          <w:numId w:val="9"/>
        </w:numPr>
      </w:pPr>
      <w:r>
        <w:t xml:space="preserve">The number of new cases </w:t>
      </w:r>
      <w:r w:rsidR="009F7EDB">
        <w:t xml:space="preserve">treated </w:t>
      </w:r>
      <w:r>
        <w:t xml:space="preserve">has risen from 396 in 2011 to </w:t>
      </w:r>
      <w:r w:rsidR="001E4885">
        <w:t>748</w:t>
      </w:r>
      <w:r>
        <w:t xml:space="preserve"> in 2017.</w:t>
      </w:r>
    </w:p>
    <w:p w:rsidR="001823B7" w:rsidRDefault="001823B7" w:rsidP="00805CF5">
      <w:pPr>
        <w:pStyle w:val="ListParagraph"/>
        <w:numPr>
          <w:ilvl w:val="0"/>
          <w:numId w:val="9"/>
        </w:numPr>
      </w:pPr>
      <w:r>
        <w:t xml:space="preserve">The median age for cases </w:t>
      </w:r>
      <w:r w:rsidR="009F7EDB">
        <w:t xml:space="preserve">treated </w:t>
      </w:r>
      <w:r>
        <w:t>has increased from 28 in 2011 to 30 in 2018.</w:t>
      </w:r>
    </w:p>
    <w:p w:rsidR="001823B7" w:rsidRDefault="001823B7" w:rsidP="00805CF5">
      <w:pPr>
        <w:pStyle w:val="ListParagraph"/>
        <w:numPr>
          <w:ilvl w:val="0"/>
          <w:numId w:val="9"/>
        </w:numPr>
      </w:pPr>
      <w:r>
        <w:t>Males accounted for 4 in every 5 cases (80%) over the reporting period.</w:t>
      </w:r>
    </w:p>
    <w:p w:rsidR="001823B7" w:rsidRDefault="001823B7" w:rsidP="00805CF5">
      <w:pPr>
        <w:pStyle w:val="ListParagraph"/>
        <w:numPr>
          <w:ilvl w:val="0"/>
          <w:numId w:val="9"/>
        </w:numPr>
      </w:pPr>
      <w:r>
        <w:t>The proportion of cases in paid employment increased from 20% in 2011 to 34% in 2017.</w:t>
      </w:r>
    </w:p>
    <w:p w:rsidR="001823B7" w:rsidRDefault="001823B7" w:rsidP="00805CF5">
      <w:pPr>
        <w:pStyle w:val="ListParagraph"/>
        <w:numPr>
          <w:ilvl w:val="0"/>
          <w:numId w:val="9"/>
        </w:numPr>
      </w:pPr>
      <w:r>
        <w:t>The proportion of cases that reported using more than one drug decreased over the period from 77% in 2011 to 63% in 2017.</w:t>
      </w:r>
    </w:p>
    <w:p w:rsidR="001823B7" w:rsidRPr="001823B7" w:rsidRDefault="001823B7" w:rsidP="00805CF5">
      <w:pPr>
        <w:pStyle w:val="ListParagraph"/>
        <w:numPr>
          <w:ilvl w:val="0"/>
          <w:numId w:val="9"/>
        </w:numPr>
      </w:pPr>
      <w:r>
        <w:t>The most common additional drugs reported among cocaine cases were alcohol (58%), cannabis (48%) and benzodiazepines (25%).</w:t>
      </w:r>
    </w:p>
    <w:p w:rsidR="00332768" w:rsidRDefault="006A3839" w:rsidP="006A3839">
      <w:pPr>
        <w:keepNext/>
        <w:spacing w:before="200"/>
        <w:rPr>
          <w:rFonts w:ascii="Cambria" w:hAnsi="Cambria"/>
          <w:b/>
          <w:bCs/>
          <w:color w:val="4F81BD"/>
        </w:rPr>
      </w:pPr>
      <w:r>
        <w:rPr>
          <w:rFonts w:ascii="Cambria" w:hAnsi="Cambria"/>
          <w:b/>
          <w:bCs/>
          <w:color w:val="4F81BD"/>
        </w:rPr>
        <w:t>Polydrug use</w:t>
      </w:r>
      <w:r w:rsidR="003607FB">
        <w:rPr>
          <w:rFonts w:ascii="Cambria" w:hAnsi="Cambria"/>
          <w:b/>
          <w:bCs/>
          <w:color w:val="4F81BD"/>
        </w:rPr>
        <w:t xml:space="preserve"> </w:t>
      </w:r>
      <w:r w:rsidR="003607FB" w:rsidRPr="003607FB">
        <w:rPr>
          <w:rFonts w:ascii="Cambria" w:hAnsi="Cambria"/>
          <w:b/>
          <w:bCs/>
          <w:color w:val="4F81BD"/>
        </w:rPr>
        <w:t>(problem use of more than one drug)</w:t>
      </w:r>
    </w:p>
    <w:p w:rsidR="006A3839" w:rsidRDefault="006A3839" w:rsidP="006A3839">
      <w:pPr>
        <w:numPr>
          <w:ilvl w:val="0"/>
          <w:numId w:val="10"/>
        </w:numPr>
        <w:spacing w:after="0"/>
        <w:rPr>
          <w:rFonts w:ascii="Calibri" w:eastAsia="Times New Roman" w:hAnsi="Calibri"/>
        </w:rPr>
      </w:pPr>
      <w:r>
        <w:rPr>
          <w:rFonts w:eastAsia="Times New Roman"/>
        </w:rPr>
        <w:t xml:space="preserve">Over the period, </w:t>
      </w:r>
      <w:proofErr w:type="gramStart"/>
      <w:r>
        <w:rPr>
          <w:rFonts w:eastAsia="Times New Roman"/>
        </w:rPr>
        <w:t>the majority of</w:t>
      </w:r>
      <w:proofErr w:type="gramEnd"/>
      <w:r>
        <w:rPr>
          <w:rFonts w:eastAsia="Times New Roman"/>
        </w:rPr>
        <w:t xml:space="preserve"> cases reported polydrug use (61%).</w:t>
      </w:r>
    </w:p>
    <w:p w:rsidR="006A3839" w:rsidRDefault="006A3839" w:rsidP="006A3839">
      <w:pPr>
        <w:numPr>
          <w:ilvl w:val="0"/>
          <w:numId w:val="10"/>
        </w:numPr>
        <w:spacing w:after="0"/>
        <w:rPr>
          <w:rFonts w:eastAsia="Times New Roman"/>
        </w:rPr>
      </w:pPr>
      <w:r>
        <w:rPr>
          <w:rFonts w:eastAsia="Times New Roman"/>
        </w:rPr>
        <w:t>The number of cases reporting polydrug decreased from 5,514 in 2011 (66% of cases) to 5,106 (57% of cases) but fluctuated in the intervening period.</w:t>
      </w:r>
    </w:p>
    <w:p w:rsidR="006A3839" w:rsidRDefault="006A3839" w:rsidP="006A3839">
      <w:pPr>
        <w:numPr>
          <w:ilvl w:val="0"/>
          <w:numId w:val="10"/>
        </w:numPr>
        <w:spacing w:after="0"/>
        <w:rPr>
          <w:rFonts w:eastAsia="Times New Roman"/>
        </w:rPr>
      </w:pPr>
      <w:r>
        <w:rPr>
          <w:rFonts w:eastAsia="Times New Roman"/>
        </w:rPr>
        <w:t xml:space="preserve">Alcohol (1,914 cases), benzodiazepines (1,846 cases), and cannabis (1,690 cases) were the most commonly reported additional drugs in </w:t>
      </w:r>
      <w:r w:rsidR="003607FB">
        <w:rPr>
          <w:rFonts w:eastAsia="Times New Roman"/>
        </w:rPr>
        <w:t>2017.</w:t>
      </w:r>
      <w:r>
        <w:rPr>
          <w:rFonts w:eastAsia="Times New Roman"/>
        </w:rPr>
        <w:t xml:space="preserve"> </w:t>
      </w:r>
    </w:p>
    <w:p w:rsidR="006A3839" w:rsidRDefault="006A3839" w:rsidP="006A3839">
      <w:pPr>
        <w:keepNext/>
        <w:spacing w:before="200"/>
        <w:rPr>
          <w:rFonts w:ascii="Cambria" w:hAnsi="Cambria"/>
          <w:b/>
          <w:bCs/>
          <w:color w:val="4F81BD"/>
        </w:rPr>
      </w:pPr>
      <w:r>
        <w:rPr>
          <w:rFonts w:ascii="Cambria" w:hAnsi="Cambria"/>
          <w:b/>
          <w:bCs/>
          <w:color w:val="4F81BD"/>
        </w:rPr>
        <w:t>Socio-demographic characteristics (all drugs)</w:t>
      </w:r>
    </w:p>
    <w:p w:rsidR="006A3839" w:rsidRDefault="006A3839" w:rsidP="006A3839">
      <w:pPr>
        <w:numPr>
          <w:ilvl w:val="0"/>
          <w:numId w:val="11"/>
        </w:numPr>
        <w:spacing w:after="0"/>
        <w:rPr>
          <w:rFonts w:eastAsia="Times New Roman"/>
        </w:rPr>
      </w:pPr>
      <w:r>
        <w:rPr>
          <w:rFonts w:eastAsia="Times New Roman"/>
        </w:rPr>
        <w:t xml:space="preserve">The median age of cases increased from 28 years in 2011 to 30 years in 2017.  For new cases, the median age increased from 24 years in 2011 to 26 years in 2017. </w:t>
      </w:r>
    </w:p>
    <w:p w:rsidR="006A3839" w:rsidRDefault="006A3839" w:rsidP="006A3839">
      <w:pPr>
        <w:numPr>
          <w:ilvl w:val="0"/>
          <w:numId w:val="11"/>
        </w:numPr>
        <w:spacing w:after="0"/>
        <w:rPr>
          <w:rFonts w:eastAsia="Times New Roman"/>
        </w:rPr>
      </w:pPr>
      <w:r>
        <w:rPr>
          <w:rFonts w:eastAsia="Times New Roman"/>
        </w:rPr>
        <w:t>Seven in every ten cases reported over the period were male.</w:t>
      </w:r>
    </w:p>
    <w:p w:rsidR="006A3839" w:rsidRDefault="006A3839" w:rsidP="006A3839">
      <w:pPr>
        <w:numPr>
          <w:ilvl w:val="0"/>
          <w:numId w:val="11"/>
        </w:numPr>
        <w:spacing w:after="0"/>
        <w:rPr>
          <w:rFonts w:eastAsia="Times New Roman"/>
        </w:rPr>
      </w:pPr>
      <w:r>
        <w:rPr>
          <w:rFonts w:eastAsia="Times New Roman"/>
        </w:rPr>
        <w:t xml:space="preserve">Young people under 18 years of age accounted for </w:t>
      </w:r>
      <w:r w:rsidR="00217C33">
        <w:rPr>
          <w:rFonts w:eastAsia="Times New Roman"/>
        </w:rPr>
        <w:t xml:space="preserve">just over </w:t>
      </w:r>
      <w:r>
        <w:rPr>
          <w:rFonts w:eastAsia="Times New Roman"/>
        </w:rPr>
        <w:t xml:space="preserve">one in every </w:t>
      </w:r>
      <w:r w:rsidR="00217C33">
        <w:rPr>
          <w:rFonts w:eastAsia="Times New Roman"/>
        </w:rPr>
        <w:t>ten</w:t>
      </w:r>
      <w:r>
        <w:rPr>
          <w:rFonts w:eastAsia="Times New Roman"/>
        </w:rPr>
        <w:t xml:space="preserve"> new cases (13%) treated in 2017 (413 cases).</w:t>
      </w:r>
    </w:p>
    <w:p w:rsidR="006A3839" w:rsidRDefault="006A3839" w:rsidP="006A3839">
      <w:pPr>
        <w:numPr>
          <w:ilvl w:val="0"/>
          <w:numId w:val="11"/>
        </w:numPr>
        <w:spacing w:after="0"/>
        <w:rPr>
          <w:rFonts w:eastAsia="Times New Roman"/>
        </w:rPr>
      </w:pPr>
      <w:r>
        <w:rPr>
          <w:rFonts w:eastAsia="Times New Roman"/>
        </w:rPr>
        <w:t xml:space="preserve">The number of cases recorded as homeless increased from 518 in 2011 (6% of cases) to 858 in 2017 (10% of cases). </w:t>
      </w:r>
    </w:p>
    <w:p w:rsidR="006A3839" w:rsidRDefault="006A3839" w:rsidP="006A3839">
      <w:pPr>
        <w:numPr>
          <w:ilvl w:val="0"/>
          <w:numId w:val="11"/>
        </w:numPr>
        <w:spacing w:after="0"/>
        <w:rPr>
          <w:rFonts w:eastAsia="Times New Roman"/>
        </w:rPr>
      </w:pPr>
      <w:r>
        <w:rPr>
          <w:rFonts w:eastAsia="Times New Roman"/>
        </w:rPr>
        <w:lastRenderedPageBreak/>
        <w:t>Cases w</w:t>
      </w:r>
      <w:r w:rsidR="00666397">
        <w:rPr>
          <w:rFonts w:eastAsia="Times New Roman"/>
        </w:rPr>
        <w:t xml:space="preserve">ho self-reported </w:t>
      </w:r>
      <w:r>
        <w:rPr>
          <w:rFonts w:eastAsia="Times New Roman"/>
        </w:rPr>
        <w:t>Irish Traveller</w:t>
      </w:r>
      <w:r w:rsidR="00666397">
        <w:rPr>
          <w:rFonts w:eastAsia="Times New Roman"/>
        </w:rPr>
        <w:t xml:space="preserve"> as their</w:t>
      </w:r>
      <w:r>
        <w:rPr>
          <w:rFonts w:eastAsia="Times New Roman"/>
        </w:rPr>
        <w:t xml:space="preserve"> ethnicity increased in number from 217 in 2011 (3% of cases) to 310 in 2017 (4% of cases).</w:t>
      </w:r>
    </w:p>
    <w:p w:rsidR="006A3839" w:rsidRDefault="006A3839" w:rsidP="006A3839">
      <w:pPr>
        <w:numPr>
          <w:ilvl w:val="0"/>
          <w:numId w:val="11"/>
        </w:numPr>
        <w:spacing w:after="0"/>
        <w:rPr>
          <w:rFonts w:eastAsia="Times New Roman"/>
        </w:rPr>
      </w:pPr>
      <w:r>
        <w:rPr>
          <w:rFonts w:eastAsia="Times New Roman"/>
        </w:rPr>
        <w:t>A high level of unemployment (64%, 5,702 cases) was found among cases treated in 2017, as in previous years.</w:t>
      </w:r>
    </w:p>
    <w:p w:rsidR="006A3839" w:rsidRDefault="006A3839" w:rsidP="006A3839">
      <w:pPr>
        <w:numPr>
          <w:ilvl w:val="0"/>
          <w:numId w:val="11"/>
        </w:numPr>
        <w:spacing w:after="0"/>
        <w:rPr>
          <w:rFonts w:eastAsia="Times New Roman"/>
        </w:rPr>
      </w:pPr>
      <w:r>
        <w:rPr>
          <w:rFonts w:eastAsia="Times New Roman"/>
        </w:rPr>
        <w:t xml:space="preserve">The number of cases in paid employment increased from 670 in 2011 (8% of cases) to 1,280 in 2017 (14% of cases). </w:t>
      </w:r>
    </w:p>
    <w:p w:rsidR="006A3839" w:rsidRDefault="006A3839" w:rsidP="006A3839">
      <w:pPr>
        <w:keepNext/>
        <w:spacing w:before="200"/>
        <w:rPr>
          <w:rFonts w:ascii="Cambria" w:hAnsi="Cambria"/>
          <w:b/>
          <w:bCs/>
          <w:color w:val="4F81BD"/>
        </w:rPr>
      </w:pPr>
      <w:r>
        <w:rPr>
          <w:rFonts w:ascii="Cambria" w:hAnsi="Cambria"/>
          <w:b/>
          <w:bCs/>
          <w:color w:val="4F81BD"/>
        </w:rPr>
        <w:t>Risk behaviour</w:t>
      </w:r>
    </w:p>
    <w:p w:rsidR="006A3839" w:rsidRDefault="006A3839" w:rsidP="006A3839">
      <w:pPr>
        <w:numPr>
          <w:ilvl w:val="0"/>
          <w:numId w:val="12"/>
        </w:numPr>
        <w:rPr>
          <w:rFonts w:ascii="Calibri" w:eastAsia="Times New Roman" w:hAnsi="Calibri"/>
        </w:rPr>
      </w:pPr>
      <w:r>
        <w:rPr>
          <w:rFonts w:eastAsia="Times New Roman"/>
        </w:rPr>
        <w:t xml:space="preserve">The number of treated cases that had ever injected decreased from 3,054 in 2011 (37% of cases) to 2,651 in 2017 (30% of cases). </w:t>
      </w:r>
    </w:p>
    <w:p w:rsidR="009A621F" w:rsidRPr="00F52FB3" w:rsidRDefault="009A621F" w:rsidP="00805CF5"/>
    <w:p w:rsidR="001823B7" w:rsidRDefault="001823B7" w:rsidP="001823B7">
      <w:pPr>
        <w:pStyle w:val="NoSpacing"/>
        <w:spacing w:line="312" w:lineRule="auto"/>
        <w:rPr>
          <w:rFonts w:asciiTheme="minorHAnsi" w:hAnsiTheme="minorHAnsi" w:cs="Tahoma"/>
          <w:sz w:val="22"/>
        </w:rPr>
      </w:pPr>
      <w:r>
        <w:t>*</w:t>
      </w:r>
      <w:r w:rsidRPr="00D02F01">
        <w:rPr>
          <w:rFonts w:asciiTheme="minorHAnsi" w:hAnsiTheme="minorHAnsi" w:cs="Tahoma"/>
          <w:sz w:val="22"/>
        </w:rPr>
        <w:t xml:space="preserve"> </w:t>
      </w:r>
      <w:r w:rsidRPr="00657CB9">
        <w:rPr>
          <w:rFonts w:asciiTheme="minorHAnsi" w:hAnsiTheme="minorHAnsi" w:cs="Tahoma"/>
          <w:sz w:val="22"/>
        </w:rPr>
        <w:t xml:space="preserve">It is important to note that each record in the NDTRS database relates to </w:t>
      </w:r>
      <w:r w:rsidRPr="00494AA2">
        <w:rPr>
          <w:rFonts w:asciiTheme="minorHAnsi" w:hAnsiTheme="minorHAnsi" w:cs="Tahoma"/>
          <w:b/>
          <w:sz w:val="22"/>
        </w:rPr>
        <w:t>a treatment episode (a case), and not to a person.</w:t>
      </w:r>
      <w:r w:rsidRPr="00657CB9">
        <w:rPr>
          <w:rFonts w:asciiTheme="minorHAnsi" w:hAnsiTheme="minorHAnsi" w:cs="Tahoma"/>
          <w:sz w:val="22"/>
        </w:rPr>
        <w:t xml:space="preserve"> This means that the same person could be counted more than once in the same calendar year if they had more than one treatment episode in that year.  </w:t>
      </w:r>
    </w:p>
    <w:p w:rsidR="001823B7" w:rsidRDefault="001823B7"/>
    <w:p w:rsidR="002A3FE7" w:rsidRDefault="002D5627">
      <w:r w:rsidRPr="002D5627">
        <w:t xml:space="preserve">The full report is available to download from the HRB website at www.hrb.ie/publications and </w:t>
      </w:r>
      <w:hyperlink r:id="rId5" w:history="1">
        <w:r w:rsidR="00805CF5">
          <w:rPr>
            <w:rStyle w:val="Hyperlink"/>
          </w:rPr>
          <w:t>www.drugsandalcohol.ie/30197</w:t>
        </w:r>
      </w:hyperlink>
      <w:r w:rsidRPr="002D5627">
        <w:t>. An infographic that outlines key data is also available for download.</w:t>
      </w:r>
    </w:p>
    <w:p w:rsidR="002A3FE7" w:rsidRPr="00805CF5" w:rsidRDefault="00582AA8" w:rsidP="002A3FE7">
      <w:pPr>
        <w:rPr>
          <w:b/>
        </w:rPr>
      </w:pPr>
      <w:r w:rsidRPr="00805CF5">
        <w:rPr>
          <w:b/>
        </w:rPr>
        <w:t>ENDS</w:t>
      </w:r>
    </w:p>
    <w:p w:rsidR="002A3FE7" w:rsidRDefault="002A3FE7" w:rsidP="00414404">
      <w:r>
        <w:t>For further information, or to organise interview</w:t>
      </w:r>
      <w:r w:rsidR="00414404">
        <w:t>s with experts, please contact:</w:t>
      </w:r>
    </w:p>
    <w:p w:rsidR="002A3FE7" w:rsidRDefault="002A3FE7" w:rsidP="00414404">
      <w:r>
        <w:t>Gillian Markey - Communications Manager, Health Research Board</w:t>
      </w:r>
    </w:p>
    <w:p w:rsidR="002A3FE7" w:rsidRDefault="002A3FE7" w:rsidP="00414404">
      <w:r w:rsidRPr="00582AA8">
        <w:rPr>
          <w:b/>
        </w:rPr>
        <w:t>m</w:t>
      </w:r>
      <w:r>
        <w:t xml:space="preserve"> 087 2288514 </w:t>
      </w:r>
      <w:r w:rsidR="00D41B5B">
        <w:tab/>
      </w:r>
      <w:r w:rsidRPr="00582AA8">
        <w:rPr>
          <w:b/>
        </w:rPr>
        <w:t>e</w:t>
      </w:r>
      <w:r>
        <w:t xml:space="preserve"> gmarkey@hrb.ie</w:t>
      </w:r>
    </w:p>
    <w:p w:rsidR="00582AA8" w:rsidRDefault="00582AA8" w:rsidP="00582AA8">
      <w:pPr>
        <w:pStyle w:val="Heading3"/>
      </w:pPr>
    </w:p>
    <w:p w:rsidR="00582AA8" w:rsidRDefault="00582AA8" w:rsidP="00582AA8">
      <w:pPr>
        <w:pStyle w:val="Heading3"/>
      </w:pPr>
      <w:r>
        <w:t>Notes to editors</w:t>
      </w:r>
    </w:p>
    <w:p w:rsidR="00582AA8" w:rsidRDefault="00582AA8" w:rsidP="00414404"/>
    <w:p w:rsidR="00582AA8" w:rsidRDefault="00582AA8" w:rsidP="00414404">
      <w:r>
        <w:t>This paper describes trends in treated problem drug use in Ireland over the seven-year period 2011 to 2017, as recorded by the National Drug Treatment Reporting System (NDTRS). This information will assist policy makers, service planners and public health practitioners to develop appropriate responses to problem drug use in the future.</w:t>
      </w:r>
    </w:p>
    <w:p w:rsidR="002A3FE7" w:rsidRDefault="002A3FE7" w:rsidP="00414404">
      <w:r>
        <w:t xml:space="preserve">The Health Research Board (HRB) is the lead agency supporting and funding health research in Ireland. We manage four health information systems in the areas of alcohol and drug </w:t>
      </w:r>
      <w:r w:rsidR="00BB4183">
        <w:t>treatment</w:t>
      </w:r>
      <w:r>
        <w:t>, drug deaths, disability and mental health</w:t>
      </w:r>
      <w:r w:rsidR="00BB4183">
        <w:t>,</w:t>
      </w:r>
      <w:r>
        <w:t xml:space="preserve"> and generate evidence to inform health policy. Our aim is to improve people's health, build health research capacity and underpin developments in health service delivery.</w:t>
      </w:r>
    </w:p>
    <w:sectPr w:rsidR="002A3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71816"/>
    <w:multiLevelType w:val="hybridMultilevel"/>
    <w:tmpl w:val="7E32E2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B6AAE"/>
    <w:multiLevelType w:val="hybridMultilevel"/>
    <w:tmpl w:val="2C42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7638A"/>
    <w:multiLevelType w:val="hybridMultilevel"/>
    <w:tmpl w:val="E7DEF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814DD8"/>
    <w:multiLevelType w:val="hybridMultilevel"/>
    <w:tmpl w:val="31FA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52151"/>
    <w:multiLevelType w:val="hybridMultilevel"/>
    <w:tmpl w:val="A5A06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FA52DE8"/>
    <w:multiLevelType w:val="hybridMultilevel"/>
    <w:tmpl w:val="BE820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9A0780"/>
    <w:multiLevelType w:val="hybridMultilevel"/>
    <w:tmpl w:val="565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6151F"/>
    <w:multiLevelType w:val="hybridMultilevel"/>
    <w:tmpl w:val="D2603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844273E"/>
    <w:multiLevelType w:val="hybridMultilevel"/>
    <w:tmpl w:val="5CE4F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8"/>
  </w:num>
  <w:num w:numId="6">
    <w:abstractNumId w:val="2"/>
  </w:num>
  <w:num w:numId="7">
    <w:abstractNumId w:val="7"/>
  </w:num>
  <w:num w:numId="8">
    <w:abstractNumId w:val="5"/>
  </w:num>
  <w:num w:numId="9">
    <w:abstractNumId w:val="4"/>
  </w:num>
  <w:num w:numId="10">
    <w:abstractNumId w:val="6"/>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B3"/>
    <w:rsid w:val="00014048"/>
    <w:rsid w:val="00061B63"/>
    <w:rsid w:val="00062CD8"/>
    <w:rsid w:val="00071ACF"/>
    <w:rsid w:val="0007258F"/>
    <w:rsid w:val="000B5284"/>
    <w:rsid w:val="001356A5"/>
    <w:rsid w:val="00171339"/>
    <w:rsid w:val="001823B7"/>
    <w:rsid w:val="00186EA9"/>
    <w:rsid w:val="001B4688"/>
    <w:rsid w:val="001D037F"/>
    <w:rsid w:val="001E3F04"/>
    <w:rsid w:val="001E4885"/>
    <w:rsid w:val="001F7286"/>
    <w:rsid w:val="00205FF5"/>
    <w:rsid w:val="00217C33"/>
    <w:rsid w:val="00237294"/>
    <w:rsid w:val="00275008"/>
    <w:rsid w:val="002A3FE7"/>
    <w:rsid w:val="002C4152"/>
    <w:rsid w:val="002D5627"/>
    <w:rsid w:val="002E7D0A"/>
    <w:rsid w:val="00332768"/>
    <w:rsid w:val="003607FB"/>
    <w:rsid w:val="00403F6F"/>
    <w:rsid w:val="00414404"/>
    <w:rsid w:val="00425DBE"/>
    <w:rsid w:val="0043739D"/>
    <w:rsid w:val="004501A9"/>
    <w:rsid w:val="0049228C"/>
    <w:rsid w:val="004C269B"/>
    <w:rsid w:val="00532320"/>
    <w:rsid w:val="00541714"/>
    <w:rsid w:val="00543095"/>
    <w:rsid w:val="0055664F"/>
    <w:rsid w:val="00577E2D"/>
    <w:rsid w:val="00582AA8"/>
    <w:rsid w:val="00600F48"/>
    <w:rsid w:val="00607AC1"/>
    <w:rsid w:val="00666397"/>
    <w:rsid w:val="00682460"/>
    <w:rsid w:val="006943FC"/>
    <w:rsid w:val="006A3839"/>
    <w:rsid w:val="006F3080"/>
    <w:rsid w:val="007817B7"/>
    <w:rsid w:val="00797D5A"/>
    <w:rsid w:val="007B448C"/>
    <w:rsid w:val="007B669A"/>
    <w:rsid w:val="007D0AA3"/>
    <w:rsid w:val="007D6225"/>
    <w:rsid w:val="00805CF5"/>
    <w:rsid w:val="00855B0A"/>
    <w:rsid w:val="00876010"/>
    <w:rsid w:val="0088193F"/>
    <w:rsid w:val="008B0B61"/>
    <w:rsid w:val="008F359E"/>
    <w:rsid w:val="00902005"/>
    <w:rsid w:val="00936197"/>
    <w:rsid w:val="00943283"/>
    <w:rsid w:val="0096190E"/>
    <w:rsid w:val="009A621F"/>
    <w:rsid w:val="009F7EDB"/>
    <w:rsid w:val="00A014DF"/>
    <w:rsid w:val="00A04F4A"/>
    <w:rsid w:val="00A07F1B"/>
    <w:rsid w:val="00A27C26"/>
    <w:rsid w:val="00A33DF9"/>
    <w:rsid w:val="00AA18AF"/>
    <w:rsid w:val="00AD685E"/>
    <w:rsid w:val="00B13F61"/>
    <w:rsid w:val="00B30AD8"/>
    <w:rsid w:val="00B46D1F"/>
    <w:rsid w:val="00B96CFA"/>
    <w:rsid w:val="00BB4183"/>
    <w:rsid w:val="00BC75A9"/>
    <w:rsid w:val="00BF7B6D"/>
    <w:rsid w:val="00C126EE"/>
    <w:rsid w:val="00C1691F"/>
    <w:rsid w:val="00CF556B"/>
    <w:rsid w:val="00CF561A"/>
    <w:rsid w:val="00D41B5B"/>
    <w:rsid w:val="00DA152C"/>
    <w:rsid w:val="00DD1CFB"/>
    <w:rsid w:val="00E15AF0"/>
    <w:rsid w:val="00E17486"/>
    <w:rsid w:val="00E74006"/>
    <w:rsid w:val="00EA1FC2"/>
    <w:rsid w:val="00EB72C6"/>
    <w:rsid w:val="00F41A39"/>
    <w:rsid w:val="00F41C25"/>
    <w:rsid w:val="00F52FB3"/>
    <w:rsid w:val="00FC3FA7"/>
    <w:rsid w:val="00FE61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74899-3E79-4FFB-9BD1-8493497D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56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56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6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562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D5627"/>
    <w:rPr>
      <w:sz w:val="16"/>
      <w:szCs w:val="16"/>
    </w:rPr>
  </w:style>
  <w:style w:type="paragraph" w:styleId="CommentText">
    <w:name w:val="annotation text"/>
    <w:basedOn w:val="Normal"/>
    <w:link w:val="CommentTextChar"/>
    <w:uiPriority w:val="99"/>
    <w:semiHidden/>
    <w:unhideWhenUsed/>
    <w:rsid w:val="002D5627"/>
    <w:pPr>
      <w:spacing w:line="240" w:lineRule="auto"/>
    </w:pPr>
    <w:rPr>
      <w:sz w:val="20"/>
      <w:szCs w:val="20"/>
    </w:rPr>
  </w:style>
  <w:style w:type="character" w:customStyle="1" w:styleId="CommentTextChar">
    <w:name w:val="Comment Text Char"/>
    <w:basedOn w:val="DefaultParagraphFont"/>
    <w:link w:val="CommentText"/>
    <w:uiPriority w:val="99"/>
    <w:semiHidden/>
    <w:rsid w:val="002D5627"/>
    <w:rPr>
      <w:sz w:val="20"/>
      <w:szCs w:val="20"/>
    </w:rPr>
  </w:style>
  <w:style w:type="paragraph" w:styleId="CommentSubject">
    <w:name w:val="annotation subject"/>
    <w:basedOn w:val="CommentText"/>
    <w:next w:val="CommentText"/>
    <w:link w:val="CommentSubjectChar"/>
    <w:uiPriority w:val="99"/>
    <w:semiHidden/>
    <w:unhideWhenUsed/>
    <w:rsid w:val="002D5627"/>
    <w:rPr>
      <w:b/>
      <w:bCs/>
    </w:rPr>
  </w:style>
  <w:style w:type="character" w:customStyle="1" w:styleId="CommentSubjectChar">
    <w:name w:val="Comment Subject Char"/>
    <w:basedOn w:val="CommentTextChar"/>
    <w:link w:val="CommentSubject"/>
    <w:uiPriority w:val="99"/>
    <w:semiHidden/>
    <w:rsid w:val="002D5627"/>
    <w:rPr>
      <w:b/>
      <w:bCs/>
      <w:sz w:val="20"/>
      <w:szCs w:val="20"/>
    </w:rPr>
  </w:style>
  <w:style w:type="paragraph" w:styleId="BalloonText">
    <w:name w:val="Balloon Text"/>
    <w:basedOn w:val="Normal"/>
    <w:link w:val="BalloonTextChar"/>
    <w:uiPriority w:val="99"/>
    <w:semiHidden/>
    <w:unhideWhenUsed/>
    <w:rsid w:val="002D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627"/>
    <w:rPr>
      <w:rFonts w:ascii="Tahoma" w:hAnsi="Tahoma" w:cs="Tahoma"/>
      <w:sz w:val="16"/>
      <w:szCs w:val="16"/>
    </w:rPr>
  </w:style>
  <w:style w:type="paragraph" w:styleId="ListParagraph">
    <w:name w:val="List Paragraph"/>
    <w:basedOn w:val="Normal"/>
    <w:uiPriority w:val="34"/>
    <w:qFormat/>
    <w:rsid w:val="002D5627"/>
    <w:pPr>
      <w:ind w:left="720"/>
      <w:contextualSpacing/>
    </w:pPr>
  </w:style>
  <w:style w:type="character" w:customStyle="1" w:styleId="Heading3Char">
    <w:name w:val="Heading 3 Char"/>
    <w:basedOn w:val="DefaultParagraphFont"/>
    <w:link w:val="Heading3"/>
    <w:uiPriority w:val="9"/>
    <w:rsid w:val="002D5627"/>
    <w:rPr>
      <w:rFonts w:asciiTheme="majorHAnsi" w:eastAsiaTheme="majorEastAsia" w:hAnsiTheme="majorHAnsi" w:cstheme="majorBidi"/>
      <w:b/>
      <w:bCs/>
      <w:color w:val="4F81BD" w:themeColor="accent1"/>
    </w:rPr>
  </w:style>
  <w:style w:type="paragraph" w:styleId="NoSpacing">
    <w:name w:val="No Spacing"/>
    <w:qFormat/>
    <w:rsid w:val="001823B7"/>
    <w:pPr>
      <w:spacing w:after="0" w:line="240" w:lineRule="auto"/>
    </w:pPr>
    <w:rPr>
      <w:rFonts w:ascii="Tahoma" w:hAnsi="Tahoma"/>
      <w:sz w:val="20"/>
      <w:lang w:val="en-US"/>
    </w:rPr>
  </w:style>
  <w:style w:type="character" w:styleId="Hyperlink">
    <w:name w:val="Hyperlink"/>
    <w:basedOn w:val="DefaultParagraphFont"/>
    <w:uiPriority w:val="99"/>
    <w:semiHidden/>
    <w:unhideWhenUsed/>
    <w:rsid w:val="00805C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07168">
      <w:bodyDiv w:val="1"/>
      <w:marLeft w:val="0"/>
      <w:marRight w:val="0"/>
      <w:marTop w:val="0"/>
      <w:marBottom w:val="0"/>
      <w:divBdr>
        <w:top w:val="none" w:sz="0" w:space="0" w:color="auto"/>
        <w:left w:val="none" w:sz="0" w:space="0" w:color="auto"/>
        <w:bottom w:val="none" w:sz="0" w:space="0" w:color="auto"/>
        <w:right w:val="none" w:sz="0" w:space="0" w:color="auto"/>
      </w:divBdr>
    </w:div>
    <w:div w:id="1368217262">
      <w:bodyDiv w:val="1"/>
      <w:marLeft w:val="0"/>
      <w:marRight w:val="0"/>
      <w:marTop w:val="0"/>
      <w:marBottom w:val="0"/>
      <w:divBdr>
        <w:top w:val="none" w:sz="0" w:space="0" w:color="auto"/>
        <w:left w:val="none" w:sz="0" w:space="0" w:color="auto"/>
        <w:bottom w:val="none" w:sz="0" w:space="0" w:color="auto"/>
        <w:right w:val="none" w:sz="0" w:space="0" w:color="auto"/>
      </w:divBdr>
    </w:div>
    <w:div w:id="17997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ugsandalcohol.ie/301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Cummins</dc:creator>
  <cp:lastModifiedBy>Mairea Nelson</cp:lastModifiedBy>
  <cp:revision>2</cp:revision>
  <cp:lastPrinted>2019-04-15T10:41:00Z</cp:lastPrinted>
  <dcterms:created xsi:type="dcterms:W3CDTF">2019-04-16T15:13:00Z</dcterms:created>
  <dcterms:modified xsi:type="dcterms:W3CDTF">2019-04-16T15:13:00Z</dcterms:modified>
</cp:coreProperties>
</file>