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935" w:rsidRPr="00EA746D" w:rsidRDefault="00BC10D5" w:rsidP="001E7E03">
      <w:pPr>
        <w:spacing w:line="276" w:lineRule="auto"/>
        <w:rPr>
          <w:rFonts w:asciiTheme="minorHAnsi" w:hAnsiTheme="minorHAnsi"/>
          <w:b/>
          <w:sz w:val="28"/>
        </w:rPr>
      </w:pPr>
      <w:r w:rsidRPr="00EA746D">
        <w:rPr>
          <w:rFonts w:asciiTheme="minorHAnsi" w:hAnsiTheme="minorHAnsi"/>
          <w:b/>
          <w:sz w:val="28"/>
        </w:rPr>
        <w:t>Health R</w:t>
      </w:r>
      <w:r w:rsidR="00F725B5" w:rsidRPr="00EA746D">
        <w:rPr>
          <w:rFonts w:asciiTheme="minorHAnsi" w:hAnsiTheme="minorHAnsi"/>
          <w:b/>
          <w:sz w:val="28"/>
        </w:rPr>
        <w:t xml:space="preserve">esearch </w:t>
      </w:r>
      <w:r w:rsidRPr="00EA746D">
        <w:rPr>
          <w:rFonts w:asciiTheme="minorHAnsi" w:hAnsiTheme="minorHAnsi"/>
          <w:b/>
          <w:sz w:val="28"/>
        </w:rPr>
        <w:t>B</w:t>
      </w:r>
      <w:r w:rsidR="00F725B5" w:rsidRPr="00EA746D">
        <w:rPr>
          <w:rFonts w:asciiTheme="minorHAnsi" w:hAnsiTheme="minorHAnsi"/>
          <w:b/>
          <w:sz w:val="28"/>
        </w:rPr>
        <w:t>oard</w:t>
      </w:r>
      <w:r w:rsidRPr="00EA746D">
        <w:rPr>
          <w:rFonts w:asciiTheme="minorHAnsi" w:hAnsiTheme="minorHAnsi"/>
          <w:b/>
          <w:sz w:val="28"/>
        </w:rPr>
        <w:t xml:space="preserve"> </w:t>
      </w:r>
      <w:r w:rsidR="00F420AD" w:rsidRPr="00EA746D">
        <w:rPr>
          <w:rFonts w:asciiTheme="minorHAnsi" w:hAnsiTheme="minorHAnsi"/>
          <w:b/>
          <w:sz w:val="28"/>
        </w:rPr>
        <w:t xml:space="preserve">publish </w:t>
      </w:r>
      <w:r w:rsidR="00453973" w:rsidRPr="00EA746D">
        <w:rPr>
          <w:rFonts w:asciiTheme="minorHAnsi" w:hAnsiTheme="minorHAnsi"/>
          <w:b/>
          <w:sz w:val="28"/>
        </w:rPr>
        <w:t xml:space="preserve">latest </w:t>
      </w:r>
      <w:r w:rsidRPr="00EA746D">
        <w:rPr>
          <w:rFonts w:asciiTheme="minorHAnsi" w:hAnsiTheme="minorHAnsi"/>
          <w:b/>
          <w:sz w:val="28"/>
        </w:rPr>
        <w:t xml:space="preserve">drug-related deaths </w:t>
      </w:r>
      <w:r w:rsidR="00453973" w:rsidRPr="00EA746D">
        <w:rPr>
          <w:rFonts w:asciiTheme="minorHAnsi" w:hAnsiTheme="minorHAnsi"/>
          <w:b/>
          <w:sz w:val="28"/>
        </w:rPr>
        <w:t>figures</w:t>
      </w:r>
    </w:p>
    <w:p w:rsidR="00661935" w:rsidRPr="0074754F" w:rsidRDefault="00661935" w:rsidP="001E7E03">
      <w:pPr>
        <w:spacing w:line="276" w:lineRule="auto"/>
        <w:rPr>
          <w:rFonts w:asciiTheme="minorHAnsi" w:hAnsiTheme="minorHAnsi"/>
          <w:sz w:val="16"/>
          <w:szCs w:val="16"/>
        </w:rPr>
      </w:pPr>
    </w:p>
    <w:p w:rsidR="00BC10D5" w:rsidRDefault="00DF57F4" w:rsidP="001E7E03">
      <w:pPr>
        <w:spacing w:line="276" w:lineRule="auto"/>
        <w:rPr>
          <w:rFonts w:asciiTheme="minorHAnsi" w:hAnsiTheme="minorHAnsi"/>
          <w:sz w:val="22"/>
        </w:rPr>
      </w:pPr>
      <w:r w:rsidRPr="003F780F">
        <w:rPr>
          <w:rFonts w:asciiTheme="minorHAnsi" w:hAnsiTheme="minorHAnsi"/>
          <w:b/>
          <w:color w:val="FF0000"/>
          <w:sz w:val="28"/>
        </w:rPr>
        <w:t>EMBARGO Tuesday 1</w:t>
      </w:r>
      <w:r w:rsidR="00A5317E">
        <w:rPr>
          <w:rFonts w:asciiTheme="minorHAnsi" w:hAnsiTheme="minorHAnsi"/>
          <w:b/>
          <w:color w:val="FF0000"/>
          <w:sz w:val="28"/>
        </w:rPr>
        <w:t>2</w:t>
      </w:r>
      <w:r w:rsidR="00D53C41">
        <w:rPr>
          <w:rFonts w:asciiTheme="minorHAnsi" w:hAnsiTheme="minorHAnsi"/>
          <w:b/>
          <w:color w:val="FF0000"/>
          <w:sz w:val="28"/>
        </w:rPr>
        <w:t xml:space="preserve"> December</w:t>
      </w:r>
      <w:r w:rsidRPr="003F780F">
        <w:rPr>
          <w:rFonts w:asciiTheme="minorHAnsi" w:hAnsiTheme="minorHAnsi"/>
          <w:b/>
          <w:color w:val="FF0000"/>
          <w:sz w:val="28"/>
        </w:rPr>
        <w:t xml:space="preserve"> 00.01</w:t>
      </w:r>
      <w:r w:rsidR="00BC10D5" w:rsidRPr="003F780F">
        <w:rPr>
          <w:rFonts w:asciiTheme="minorHAnsi" w:hAnsiTheme="minorHAnsi"/>
          <w:color w:val="FF0000"/>
          <w:sz w:val="28"/>
        </w:rPr>
        <w:t xml:space="preserve"> </w:t>
      </w:r>
      <w:r w:rsidR="00DC32BB">
        <w:rPr>
          <w:rFonts w:asciiTheme="minorHAnsi" w:hAnsiTheme="minorHAnsi"/>
          <w:sz w:val="22"/>
        </w:rPr>
        <w:t>A</w:t>
      </w:r>
      <w:r w:rsidR="00931A3D">
        <w:rPr>
          <w:rFonts w:asciiTheme="minorHAnsi" w:hAnsiTheme="minorHAnsi"/>
          <w:sz w:val="22"/>
        </w:rPr>
        <w:t xml:space="preserve">lmost two people died each day in Ireland </w:t>
      </w:r>
      <w:r w:rsidR="00156DFB">
        <w:rPr>
          <w:rFonts w:asciiTheme="minorHAnsi" w:hAnsiTheme="minorHAnsi"/>
          <w:sz w:val="22"/>
        </w:rPr>
        <w:t>during 201</w:t>
      </w:r>
      <w:r w:rsidR="00DC32BB">
        <w:rPr>
          <w:rFonts w:asciiTheme="minorHAnsi" w:hAnsiTheme="minorHAnsi"/>
          <w:sz w:val="22"/>
        </w:rPr>
        <w:t>5</w:t>
      </w:r>
      <w:r w:rsidR="00156DFB">
        <w:rPr>
          <w:rFonts w:asciiTheme="minorHAnsi" w:hAnsiTheme="minorHAnsi"/>
          <w:sz w:val="22"/>
        </w:rPr>
        <w:t xml:space="preserve"> </w:t>
      </w:r>
      <w:r w:rsidR="00931A3D">
        <w:rPr>
          <w:rFonts w:asciiTheme="minorHAnsi" w:hAnsiTheme="minorHAnsi"/>
          <w:sz w:val="22"/>
        </w:rPr>
        <w:t>as a result of poisoning, trauma or medical causes linked to drug use</w:t>
      </w:r>
      <w:r w:rsidR="00DC32BB">
        <w:rPr>
          <w:rFonts w:asciiTheme="minorHAnsi" w:hAnsiTheme="minorHAnsi"/>
          <w:sz w:val="22"/>
        </w:rPr>
        <w:t xml:space="preserve"> according to the latest figures from the Health Research Board (HRB)</w:t>
      </w:r>
      <w:r w:rsidR="00931A3D">
        <w:rPr>
          <w:rFonts w:asciiTheme="minorHAnsi" w:hAnsiTheme="minorHAnsi"/>
          <w:sz w:val="22"/>
        </w:rPr>
        <w:t xml:space="preserve">. </w:t>
      </w:r>
      <w:r w:rsidR="00DC32BB">
        <w:rPr>
          <w:rFonts w:asciiTheme="minorHAnsi" w:hAnsiTheme="minorHAnsi"/>
          <w:sz w:val="22"/>
        </w:rPr>
        <w:t xml:space="preserve">This represents </w:t>
      </w:r>
      <w:r w:rsidR="00F21673">
        <w:rPr>
          <w:rFonts w:asciiTheme="minorHAnsi" w:hAnsiTheme="minorHAnsi"/>
          <w:sz w:val="22"/>
        </w:rPr>
        <w:t>almost</w:t>
      </w:r>
      <w:r w:rsidR="00DC32BB">
        <w:rPr>
          <w:rFonts w:asciiTheme="minorHAnsi" w:hAnsiTheme="minorHAnsi"/>
          <w:sz w:val="22"/>
        </w:rPr>
        <w:t xml:space="preserve"> 20,000 </w:t>
      </w:r>
      <w:r w:rsidR="006658A3">
        <w:rPr>
          <w:rFonts w:asciiTheme="minorHAnsi" w:hAnsiTheme="minorHAnsi"/>
          <w:sz w:val="22"/>
        </w:rPr>
        <w:t xml:space="preserve">potential </w:t>
      </w:r>
      <w:r w:rsidR="00DC32BB">
        <w:rPr>
          <w:rFonts w:asciiTheme="minorHAnsi" w:hAnsiTheme="minorHAnsi"/>
          <w:sz w:val="22"/>
        </w:rPr>
        <w:t>life years lost</w:t>
      </w:r>
      <w:r w:rsidR="006658A3">
        <w:rPr>
          <w:rFonts w:asciiTheme="minorHAnsi" w:hAnsiTheme="minorHAnsi"/>
          <w:sz w:val="22"/>
        </w:rPr>
        <w:t>*</w:t>
      </w:r>
      <w:r w:rsidR="00DC32BB">
        <w:rPr>
          <w:rFonts w:asciiTheme="minorHAnsi" w:hAnsiTheme="minorHAnsi"/>
          <w:sz w:val="22"/>
        </w:rPr>
        <w:t xml:space="preserve"> in just one year. </w:t>
      </w:r>
      <w:r w:rsidR="00156DFB">
        <w:rPr>
          <w:rFonts w:asciiTheme="minorHAnsi" w:hAnsiTheme="minorHAnsi"/>
          <w:sz w:val="22"/>
        </w:rPr>
        <w:t>A total of</w:t>
      </w:r>
      <w:r w:rsidR="00931A3D" w:rsidRPr="008A7050">
        <w:rPr>
          <w:rFonts w:asciiTheme="minorHAnsi" w:hAnsiTheme="minorHAnsi"/>
          <w:sz w:val="22"/>
        </w:rPr>
        <w:t xml:space="preserve"> </w:t>
      </w:r>
      <w:r w:rsidR="00DC32BB">
        <w:rPr>
          <w:rFonts w:asciiTheme="minorHAnsi" w:hAnsiTheme="minorHAnsi"/>
          <w:sz w:val="22"/>
        </w:rPr>
        <w:t>695</w:t>
      </w:r>
      <w:r w:rsidR="00931A3D" w:rsidRPr="008A7050">
        <w:rPr>
          <w:rFonts w:asciiTheme="minorHAnsi" w:hAnsiTheme="minorHAnsi"/>
          <w:sz w:val="22"/>
        </w:rPr>
        <w:t xml:space="preserve"> </w:t>
      </w:r>
      <w:r w:rsidR="00156DFB">
        <w:rPr>
          <w:rFonts w:asciiTheme="minorHAnsi" w:hAnsiTheme="minorHAnsi"/>
          <w:sz w:val="22"/>
        </w:rPr>
        <w:t xml:space="preserve">people died </w:t>
      </w:r>
      <w:r w:rsidR="00931A3D" w:rsidRPr="008A7050">
        <w:rPr>
          <w:rFonts w:asciiTheme="minorHAnsi" w:hAnsiTheme="minorHAnsi"/>
          <w:sz w:val="22"/>
        </w:rPr>
        <w:t xml:space="preserve">in </w:t>
      </w:r>
      <w:r w:rsidR="009761A7" w:rsidRPr="008A7050">
        <w:rPr>
          <w:rFonts w:asciiTheme="minorHAnsi" w:hAnsiTheme="minorHAnsi"/>
          <w:sz w:val="22"/>
        </w:rPr>
        <w:t>201</w:t>
      </w:r>
      <w:r w:rsidR="009761A7">
        <w:rPr>
          <w:rFonts w:asciiTheme="minorHAnsi" w:hAnsiTheme="minorHAnsi"/>
          <w:sz w:val="22"/>
        </w:rPr>
        <w:t>5</w:t>
      </w:r>
      <w:r w:rsidR="002D609E">
        <w:rPr>
          <w:rFonts w:asciiTheme="minorHAnsi" w:hAnsiTheme="minorHAnsi"/>
          <w:sz w:val="22"/>
        </w:rPr>
        <w:t xml:space="preserve"> </w:t>
      </w:r>
      <w:r w:rsidR="00156DFB">
        <w:rPr>
          <w:rFonts w:asciiTheme="minorHAnsi" w:hAnsiTheme="minorHAnsi"/>
          <w:sz w:val="22"/>
        </w:rPr>
        <w:t>compared to 431 in 2004</w:t>
      </w:r>
      <w:r w:rsidR="0074754F">
        <w:rPr>
          <w:rFonts w:asciiTheme="minorHAnsi" w:hAnsiTheme="minorHAnsi"/>
          <w:sz w:val="22"/>
        </w:rPr>
        <w:t xml:space="preserve"> -</w:t>
      </w:r>
      <w:r w:rsidR="00E37A31">
        <w:rPr>
          <w:rFonts w:asciiTheme="minorHAnsi" w:hAnsiTheme="minorHAnsi"/>
          <w:sz w:val="22"/>
        </w:rPr>
        <w:t xml:space="preserve"> this </w:t>
      </w:r>
      <w:r w:rsidR="00156DFB">
        <w:rPr>
          <w:rFonts w:asciiTheme="minorHAnsi" w:hAnsiTheme="minorHAnsi"/>
          <w:sz w:val="22"/>
        </w:rPr>
        <w:t xml:space="preserve">represents an increase of </w:t>
      </w:r>
      <w:r w:rsidR="009761A7" w:rsidRPr="00770B60">
        <w:rPr>
          <w:rFonts w:asciiTheme="minorHAnsi" w:hAnsiTheme="minorHAnsi"/>
          <w:sz w:val="22"/>
        </w:rPr>
        <w:t>61</w:t>
      </w:r>
      <w:r w:rsidR="00156DFB" w:rsidRPr="00770B60">
        <w:rPr>
          <w:rFonts w:asciiTheme="minorHAnsi" w:hAnsiTheme="minorHAnsi"/>
          <w:sz w:val="22"/>
        </w:rPr>
        <w:t>%.</w:t>
      </w:r>
      <w:r w:rsidR="00156DFB">
        <w:rPr>
          <w:rFonts w:asciiTheme="minorHAnsi" w:hAnsiTheme="minorHAnsi"/>
          <w:sz w:val="22"/>
        </w:rPr>
        <w:t xml:space="preserve"> There have been </w:t>
      </w:r>
      <w:r w:rsidR="00DC32BB">
        <w:rPr>
          <w:rFonts w:asciiTheme="minorHAnsi" w:hAnsiTheme="minorHAnsi"/>
          <w:sz w:val="22"/>
        </w:rPr>
        <w:t>7,422</w:t>
      </w:r>
      <w:r w:rsidR="00156DFB">
        <w:rPr>
          <w:rFonts w:asciiTheme="minorHAnsi" w:hAnsiTheme="minorHAnsi"/>
          <w:sz w:val="22"/>
        </w:rPr>
        <w:t xml:space="preserve"> deaths among people who use drugs since</w:t>
      </w:r>
      <w:r w:rsidR="00931A3D" w:rsidRPr="008A7050">
        <w:rPr>
          <w:rFonts w:asciiTheme="minorHAnsi" w:hAnsiTheme="minorHAnsi"/>
          <w:sz w:val="22"/>
        </w:rPr>
        <w:t xml:space="preserve"> 2004</w:t>
      </w:r>
      <w:r w:rsidR="00156DFB">
        <w:rPr>
          <w:rFonts w:asciiTheme="minorHAnsi" w:hAnsiTheme="minorHAnsi"/>
          <w:sz w:val="22"/>
        </w:rPr>
        <w:t xml:space="preserve">. </w:t>
      </w:r>
    </w:p>
    <w:p w:rsidR="00BF62C8" w:rsidRPr="008A7050" w:rsidRDefault="00BF62C8" w:rsidP="001E7E03">
      <w:pPr>
        <w:spacing w:line="276" w:lineRule="auto"/>
        <w:rPr>
          <w:rFonts w:asciiTheme="minorHAnsi" w:hAnsiTheme="minorHAnsi"/>
          <w:sz w:val="22"/>
        </w:rPr>
      </w:pPr>
    </w:p>
    <w:p w:rsidR="00BF62C8" w:rsidRPr="008A7050" w:rsidRDefault="00BF62C8" w:rsidP="001E7E03">
      <w:pPr>
        <w:spacing w:line="276" w:lineRule="auto"/>
        <w:rPr>
          <w:rFonts w:asciiTheme="minorHAnsi" w:hAnsiTheme="minorHAnsi"/>
          <w:sz w:val="22"/>
        </w:rPr>
      </w:pPr>
      <w:r w:rsidRPr="008A7050">
        <w:rPr>
          <w:rFonts w:asciiTheme="minorHAnsi" w:hAnsiTheme="minorHAnsi"/>
          <w:sz w:val="22"/>
        </w:rPr>
        <w:t xml:space="preserve">According to </w:t>
      </w:r>
      <w:r w:rsidR="006A1E10">
        <w:rPr>
          <w:rFonts w:asciiTheme="minorHAnsi" w:hAnsiTheme="minorHAnsi"/>
          <w:sz w:val="22"/>
        </w:rPr>
        <w:t xml:space="preserve">Dr </w:t>
      </w:r>
      <w:r w:rsidR="00A5317E">
        <w:rPr>
          <w:rFonts w:asciiTheme="minorHAnsi" w:hAnsiTheme="minorHAnsi"/>
          <w:sz w:val="22"/>
        </w:rPr>
        <w:t>Mairead O Driscoll</w:t>
      </w:r>
      <w:r w:rsidRPr="008A7050">
        <w:rPr>
          <w:rFonts w:asciiTheme="minorHAnsi" w:hAnsiTheme="minorHAnsi"/>
          <w:sz w:val="22"/>
        </w:rPr>
        <w:t xml:space="preserve">, </w:t>
      </w:r>
      <w:r w:rsidR="000C20A9">
        <w:rPr>
          <w:rFonts w:asciiTheme="minorHAnsi" w:hAnsiTheme="minorHAnsi"/>
          <w:sz w:val="22"/>
        </w:rPr>
        <w:t xml:space="preserve">Interim </w:t>
      </w:r>
      <w:r w:rsidRPr="008A7050">
        <w:rPr>
          <w:rFonts w:asciiTheme="minorHAnsi" w:hAnsiTheme="minorHAnsi"/>
          <w:sz w:val="22"/>
        </w:rPr>
        <w:t xml:space="preserve">Chief Executive at the HRB, </w:t>
      </w:r>
    </w:p>
    <w:p w:rsidR="000C20A9" w:rsidRDefault="00E37A31" w:rsidP="001E7E03">
      <w:pPr>
        <w:spacing w:line="276" w:lineRule="auto"/>
        <w:rPr>
          <w:rFonts w:asciiTheme="minorHAnsi" w:hAnsiTheme="minorHAnsi"/>
          <w:sz w:val="22"/>
        </w:rPr>
      </w:pPr>
      <w:r w:rsidRPr="00E37A31">
        <w:rPr>
          <w:rFonts w:asciiTheme="minorHAnsi" w:hAnsiTheme="minorHAnsi"/>
          <w:sz w:val="22"/>
        </w:rPr>
        <w:t>‘</w:t>
      </w:r>
      <w:r w:rsidR="000C20A9">
        <w:rPr>
          <w:rFonts w:asciiTheme="minorHAnsi" w:hAnsiTheme="minorHAnsi"/>
          <w:sz w:val="22"/>
        </w:rPr>
        <w:t>T</w:t>
      </w:r>
      <w:r w:rsidR="00AA0B51">
        <w:rPr>
          <w:rFonts w:asciiTheme="minorHAnsi" w:hAnsiTheme="minorHAnsi"/>
          <w:sz w:val="22"/>
        </w:rPr>
        <w:t>he number of deaths involving prescription drugs or cocktails of different drugs</w:t>
      </w:r>
      <w:r w:rsidR="000C20A9">
        <w:rPr>
          <w:rFonts w:asciiTheme="minorHAnsi" w:hAnsiTheme="minorHAnsi"/>
          <w:sz w:val="22"/>
        </w:rPr>
        <w:t xml:space="preserve"> remains high</w:t>
      </w:r>
      <w:r w:rsidR="00AA0B51">
        <w:rPr>
          <w:rFonts w:asciiTheme="minorHAnsi" w:hAnsiTheme="minorHAnsi"/>
          <w:sz w:val="22"/>
        </w:rPr>
        <w:t xml:space="preserve">. </w:t>
      </w:r>
      <w:r w:rsidR="00AA0B51" w:rsidRPr="00E37A31">
        <w:rPr>
          <w:rFonts w:asciiTheme="minorHAnsi" w:hAnsiTheme="minorHAnsi"/>
          <w:sz w:val="22"/>
        </w:rPr>
        <w:t>Mixing drugs increases the risk of death, which is clearly reflected in these figures</w:t>
      </w:r>
      <w:r w:rsidR="00AA0B51">
        <w:rPr>
          <w:rFonts w:asciiTheme="minorHAnsi" w:hAnsiTheme="minorHAnsi"/>
          <w:sz w:val="22"/>
        </w:rPr>
        <w:t xml:space="preserve">. This year we </w:t>
      </w:r>
      <w:r w:rsidR="006658A3">
        <w:rPr>
          <w:rFonts w:asciiTheme="minorHAnsi" w:hAnsiTheme="minorHAnsi"/>
          <w:sz w:val="22"/>
        </w:rPr>
        <w:t>continue</w:t>
      </w:r>
      <w:r w:rsidR="00AA0B51">
        <w:rPr>
          <w:rFonts w:asciiTheme="minorHAnsi" w:hAnsiTheme="minorHAnsi"/>
          <w:sz w:val="22"/>
        </w:rPr>
        <w:t xml:space="preserve"> </w:t>
      </w:r>
      <w:r w:rsidR="00192058">
        <w:rPr>
          <w:rFonts w:asciiTheme="minorHAnsi" w:hAnsiTheme="minorHAnsi"/>
          <w:sz w:val="22"/>
        </w:rPr>
        <w:t xml:space="preserve">to see </w:t>
      </w:r>
      <w:r w:rsidR="00AA0B51">
        <w:rPr>
          <w:rFonts w:asciiTheme="minorHAnsi" w:hAnsiTheme="minorHAnsi"/>
          <w:sz w:val="22"/>
        </w:rPr>
        <w:t>an increase in the number of poisonings from cocaine</w:t>
      </w:r>
      <w:r w:rsidR="0074754F">
        <w:rPr>
          <w:rFonts w:asciiTheme="minorHAnsi" w:hAnsiTheme="minorHAnsi"/>
          <w:sz w:val="22"/>
        </w:rPr>
        <w:t>’</w:t>
      </w:r>
      <w:r w:rsidR="00AA0B51">
        <w:rPr>
          <w:rFonts w:asciiTheme="minorHAnsi" w:hAnsiTheme="minorHAnsi"/>
          <w:sz w:val="22"/>
        </w:rPr>
        <w:t xml:space="preserve">. </w:t>
      </w:r>
    </w:p>
    <w:p w:rsidR="0074754F" w:rsidRDefault="0074754F" w:rsidP="001E7E03">
      <w:pPr>
        <w:spacing w:line="276" w:lineRule="auto"/>
        <w:rPr>
          <w:rFonts w:asciiTheme="minorHAnsi" w:hAnsiTheme="minorHAnsi"/>
          <w:sz w:val="22"/>
        </w:rPr>
      </w:pPr>
    </w:p>
    <w:p w:rsidR="00931A3D" w:rsidRPr="00E37A31" w:rsidRDefault="0074754F" w:rsidP="001E7E03">
      <w:pPr>
        <w:spacing w:line="276" w:lineRule="auto"/>
        <w:rPr>
          <w:rFonts w:asciiTheme="minorHAnsi" w:hAnsiTheme="minorHAnsi"/>
          <w:sz w:val="22"/>
        </w:rPr>
      </w:pPr>
      <w:r>
        <w:rPr>
          <w:rFonts w:asciiTheme="minorHAnsi" w:hAnsiTheme="minorHAnsi"/>
          <w:sz w:val="22"/>
        </w:rPr>
        <w:t>‘While the number of deaths from alcohol decreased slightly this year, a</w:t>
      </w:r>
      <w:r w:rsidR="00D53C41">
        <w:rPr>
          <w:rFonts w:asciiTheme="minorHAnsi" w:hAnsiTheme="minorHAnsi"/>
          <w:sz w:val="22"/>
        </w:rPr>
        <w:t>lcohol remains the number one drug implicated in deaths, alone or with other drugs</w:t>
      </w:r>
      <w:r>
        <w:rPr>
          <w:rFonts w:asciiTheme="minorHAnsi" w:hAnsiTheme="minorHAnsi"/>
          <w:sz w:val="22"/>
        </w:rPr>
        <w:t>,</w:t>
      </w:r>
      <w:r w:rsidR="00D53C41">
        <w:rPr>
          <w:rFonts w:asciiTheme="minorHAnsi" w:hAnsiTheme="minorHAnsi"/>
          <w:sz w:val="22"/>
        </w:rPr>
        <w:t xml:space="preserve"> over the reporting period. A</w:t>
      </w:r>
      <w:r w:rsidR="00E37A31" w:rsidRPr="00E37A31">
        <w:rPr>
          <w:rFonts w:asciiTheme="minorHAnsi" w:hAnsiTheme="minorHAnsi"/>
          <w:sz w:val="22"/>
        </w:rPr>
        <w:t xml:space="preserve">lcohol </w:t>
      </w:r>
      <w:r w:rsidR="00D53C41">
        <w:rPr>
          <w:rFonts w:asciiTheme="minorHAnsi" w:hAnsiTheme="minorHAnsi"/>
          <w:sz w:val="22"/>
        </w:rPr>
        <w:t>was</w:t>
      </w:r>
      <w:r w:rsidR="00E37A31" w:rsidRPr="00E37A31">
        <w:rPr>
          <w:rFonts w:asciiTheme="minorHAnsi" w:hAnsiTheme="minorHAnsi"/>
          <w:sz w:val="22"/>
        </w:rPr>
        <w:t xml:space="preserve"> implicated in </w:t>
      </w:r>
      <w:r w:rsidR="00F21673">
        <w:rPr>
          <w:rFonts w:asciiTheme="minorHAnsi" w:hAnsiTheme="minorHAnsi"/>
          <w:sz w:val="22"/>
        </w:rPr>
        <w:t xml:space="preserve">almost </w:t>
      </w:r>
      <w:r w:rsidR="00E37A31" w:rsidRPr="00E37A31">
        <w:rPr>
          <w:rFonts w:asciiTheme="minorHAnsi" w:hAnsiTheme="minorHAnsi"/>
          <w:sz w:val="22"/>
        </w:rPr>
        <w:t>one</w:t>
      </w:r>
      <w:r>
        <w:rPr>
          <w:rFonts w:asciiTheme="minorHAnsi" w:hAnsiTheme="minorHAnsi"/>
          <w:sz w:val="22"/>
        </w:rPr>
        <w:t>-</w:t>
      </w:r>
      <w:r w:rsidR="00E37A31" w:rsidRPr="00E37A31">
        <w:rPr>
          <w:rFonts w:asciiTheme="minorHAnsi" w:hAnsiTheme="minorHAnsi"/>
          <w:sz w:val="22"/>
        </w:rPr>
        <w:t>in</w:t>
      </w:r>
      <w:r>
        <w:rPr>
          <w:rFonts w:asciiTheme="minorHAnsi" w:hAnsiTheme="minorHAnsi"/>
          <w:sz w:val="22"/>
        </w:rPr>
        <w:t>-</w:t>
      </w:r>
      <w:r w:rsidR="00E37A31" w:rsidRPr="00E37A31">
        <w:rPr>
          <w:rFonts w:asciiTheme="minorHAnsi" w:hAnsiTheme="minorHAnsi"/>
          <w:sz w:val="22"/>
        </w:rPr>
        <w:t xml:space="preserve">three </w:t>
      </w:r>
      <w:r w:rsidR="00110E15">
        <w:rPr>
          <w:rFonts w:asciiTheme="minorHAnsi" w:hAnsiTheme="minorHAnsi"/>
          <w:sz w:val="22"/>
        </w:rPr>
        <w:t>poisoning</w:t>
      </w:r>
      <w:r w:rsidR="001966B3">
        <w:rPr>
          <w:rFonts w:asciiTheme="minorHAnsi" w:hAnsiTheme="minorHAnsi"/>
          <w:sz w:val="22"/>
        </w:rPr>
        <w:t xml:space="preserve"> </w:t>
      </w:r>
      <w:r w:rsidR="00E37A31" w:rsidRPr="00E37A31">
        <w:rPr>
          <w:rFonts w:asciiTheme="minorHAnsi" w:hAnsiTheme="minorHAnsi"/>
          <w:sz w:val="22"/>
        </w:rPr>
        <w:t>deaths</w:t>
      </w:r>
      <w:r w:rsidR="00AA0B51">
        <w:rPr>
          <w:rFonts w:asciiTheme="minorHAnsi" w:hAnsiTheme="minorHAnsi"/>
          <w:sz w:val="22"/>
        </w:rPr>
        <w:t xml:space="preserve"> </w:t>
      </w:r>
      <w:r w:rsidR="00D53C41">
        <w:rPr>
          <w:rFonts w:asciiTheme="minorHAnsi" w:hAnsiTheme="minorHAnsi"/>
          <w:sz w:val="22"/>
        </w:rPr>
        <w:t>during 2015</w:t>
      </w:r>
      <w:r w:rsidR="00FF106F">
        <w:rPr>
          <w:rFonts w:asciiTheme="minorHAnsi" w:hAnsiTheme="minorHAnsi"/>
          <w:sz w:val="22"/>
        </w:rPr>
        <w:t>’.</w:t>
      </w:r>
    </w:p>
    <w:p w:rsidR="000C20A9" w:rsidRPr="0074754F" w:rsidRDefault="000C20A9" w:rsidP="0074754F">
      <w:pPr>
        <w:spacing w:line="276" w:lineRule="auto"/>
        <w:rPr>
          <w:rFonts w:asciiTheme="minorHAnsi" w:hAnsiTheme="minorHAnsi"/>
          <w:sz w:val="22"/>
        </w:rPr>
      </w:pPr>
    </w:p>
    <w:p w:rsidR="000C20A9" w:rsidRPr="007B5AAF" w:rsidRDefault="000C20A9" w:rsidP="0074754F">
      <w:pPr>
        <w:pStyle w:val="CommentText"/>
        <w:spacing w:line="276" w:lineRule="auto"/>
      </w:pPr>
      <w:r w:rsidRPr="0074754F">
        <w:rPr>
          <w:rFonts w:asciiTheme="minorHAnsi" w:hAnsiTheme="minorHAnsi"/>
          <w:sz w:val="22"/>
          <w:szCs w:val="22"/>
        </w:rPr>
        <w:t xml:space="preserve">The Health Research Board reports on </w:t>
      </w:r>
      <w:r w:rsidRPr="0074754F">
        <w:rPr>
          <w:rFonts w:asciiTheme="minorHAnsi" w:hAnsiTheme="minorHAnsi"/>
          <w:b/>
          <w:i/>
          <w:sz w:val="22"/>
          <w:szCs w:val="22"/>
        </w:rPr>
        <w:t xml:space="preserve">poisonings deaths </w:t>
      </w:r>
      <w:r w:rsidRPr="0074754F">
        <w:rPr>
          <w:rFonts w:asciiTheme="minorHAnsi" w:hAnsiTheme="minorHAnsi"/>
          <w:i/>
          <w:sz w:val="22"/>
          <w:szCs w:val="22"/>
        </w:rPr>
        <w:t>(also known as overdose )</w:t>
      </w:r>
      <w:r w:rsidRPr="0074754F">
        <w:rPr>
          <w:rFonts w:asciiTheme="minorHAnsi" w:hAnsiTheme="minorHAnsi"/>
          <w:sz w:val="22"/>
          <w:szCs w:val="22"/>
        </w:rPr>
        <w:t xml:space="preserve"> which are due to the toxic effect of a drug, or combination of drugs, and on </w:t>
      </w:r>
      <w:r w:rsidRPr="0074754F">
        <w:rPr>
          <w:rFonts w:asciiTheme="minorHAnsi" w:hAnsiTheme="minorHAnsi"/>
          <w:b/>
          <w:i/>
          <w:sz w:val="22"/>
          <w:szCs w:val="22"/>
        </w:rPr>
        <w:t>non-poisonings</w:t>
      </w:r>
      <w:r w:rsidRPr="0074754F">
        <w:rPr>
          <w:rFonts w:asciiTheme="minorHAnsi" w:hAnsiTheme="minorHAnsi"/>
          <w:sz w:val="22"/>
          <w:szCs w:val="22"/>
        </w:rPr>
        <w:t xml:space="preserve"> which are deaths </w:t>
      </w:r>
      <w:r w:rsidR="008A0CB6" w:rsidRPr="0074754F">
        <w:rPr>
          <w:rFonts w:asciiTheme="minorHAnsi" w:hAnsiTheme="minorHAnsi"/>
          <w:sz w:val="22"/>
          <w:szCs w:val="22"/>
        </w:rPr>
        <w:t>as a result of trauma, such as hanging, or medical reasons, such as cardiac events, among people who use drugs.</w:t>
      </w:r>
    </w:p>
    <w:p w:rsidR="00BF62C8" w:rsidRPr="0074754F" w:rsidRDefault="00BF62C8" w:rsidP="001E7E03">
      <w:pPr>
        <w:spacing w:line="276" w:lineRule="auto"/>
        <w:rPr>
          <w:rFonts w:asciiTheme="minorHAnsi" w:hAnsiTheme="minorHAnsi"/>
          <w:sz w:val="16"/>
          <w:szCs w:val="16"/>
        </w:rPr>
      </w:pPr>
    </w:p>
    <w:p w:rsidR="008A7050" w:rsidRPr="007B5AAF" w:rsidRDefault="00F44FB0" w:rsidP="001E7E03">
      <w:pPr>
        <w:spacing w:line="276" w:lineRule="auto"/>
        <w:rPr>
          <w:rFonts w:asciiTheme="minorHAnsi" w:hAnsiTheme="minorHAnsi"/>
          <w:b/>
          <w:sz w:val="22"/>
        </w:rPr>
      </w:pPr>
      <w:r w:rsidRPr="007B5AAF">
        <w:rPr>
          <w:rFonts w:asciiTheme="minorHAnsi" w:hAnsiTheme="minorHAnsi"/>
          <w:b/>
          <w:sz w:val="22"/>
        </w:rPr>
        <w:t xml:space="preserve">Key findings </w:t>
      </w:r>
      <w:r w:rsidR="00D53C41">
        <w:rPr>
          <w:rFonts w:asciiTheme="minorHAnsi" w:hAnsiTheme="minorHAnsi"/>
          <w:b/>
          <w:sz w:val="22"/>
        </w:rPr>
        <w:t>– all deaths 2015</w:t>
      </w:r>
    </w:p>
    <w:p w:rsidR="00661935" w:rsidRPr="007B4612" w:rsidRDefault="007B4612" w:rsidP="001E7E03">
      <w:pPr>
        <w:pStyle w:val="ListParagraph"/>
        <w:numPr>
          <w:ilvl w:val="0"/>
          <w:numId w:val="4"/>
        </w:numPr>
        <w:spacing w:line="276" w:lineRule="auto"/>
        <w:rPr>
          <w:rFonts w:asciiTheme="minorHAnsi" w:hAnsiTheme="minorHAnsi"/>
          <w:sz w:val="22"/>
        </w:rPr>
      </w:pPr>
      <w:r w:rsidRPr="007B4612">
        <w:rPr>
          <w:rFonts w:asciiTheme="minorHAnsi" w:hAnsiTheme="minorHAnsi"/>
          <w:sz w:val="22"/>
        </w:rPr>
        <w:t>T</w:t>
      </w:r>
      <w:r w:rsidR="000C20A9">
        <w:rPr>
          <w:rFonts w:asciiTheme="minorHAnsi" w:hAnsiTheme="minorHAnsi"/>
          <w:sz w:val="22"/>
        </w:rPr>
        <w:t>here were 695</w:t>
      </w:r>
      <w:r w:rsidR="00661935" w:rsidRPr="007B4612">
        <w:rPr>
          <w:rFonts w:asciiTheme="minorHAnsi" w:hAnsiTheme="minorHAnsi"/>
          <w:sz w:val="22"/>
        </w:rPr>
        <w:t xml:space="preserve"> deaths</w:t>
      </w:r>
      <w:r w:rsidR="003F780F">
        <w:rPr>
          <w:rFonts w:asciiTheme="minorHAnsi" w:hAnsiTheme="minorHAnsi"/>
          <w:sz w:val="22"/>
        </w:rPr>
        <w:t xml:space="preserve"> in 201</w:t>
      </w:r>
      <w:r w:rsidR="000C20A9">
        <w:rPr>
          <w:rFonts w:asciiTheme="minorHAnsi" w:hAnsiTheme="minorHAnsi"/>
          <w:sz w:val="22"/>
        </w:rPr>
        <w:t>5</w:t>
      </w:r>
      <w:r w:rsidR="00D53C41">
        <w:rPr>
          <w:rFonts w:asciiTheme="minorHAnsi" w:hAnsiTheme="minorHAnsi"/>
          <w:sz w:val="22"/>
        </w:rPr>
        <w:t>, slightly lower than</w:t>
      </w:r>
      <w:r w:rsidR="00661935" w:rsidRPr="007B4612">
        <w:rPr>
          <w:rFonts w:asciiTheme="minorHAnsi" w:hAnsiTheme="minorHAnsi"/>
          <w:sz w:val="22"/>
        </w:rPr>
        <w:t xml:space="preserve"> the </w:t>
      </w:r>
      <w:r>
        <w:rPr>
          <w:rFonts w:asciiTheme="minorHAnsi" w:hAnsiTheme="minorHAnsi"/>
          <w:sz w:val="22"/>
        </w:rPr>
        <w:t>number</w:t>
      </w:r>
      <w:r w:rsidR="00D53C41">
        <w:rPr>
          <w:rFonts w:asciiTheme="minorHAnsi" w:hAnsiTheme="minorHAnsi"/>
          <w:sz w:val="22"/>
        </w:rPr>
        <w:t xml:space="preserve"> reported in 2014 (719</w:t>
      </w:r>
      <w:r>
        <w:rPr>
          <w:rFonts w:asciiTheme="minorHAnsi" w:hAnsiTheme="minorHAnsi"/>
          <w:sz w:val="22"/>
        </w:rPr>
        <w:t>)</w:t>
      </w:r>
      <w:r w:rsidR="00BB76BF">
        <w:rPr>
          <w:rFonts w:asciiTheme="minorHAnsi" w:hAnsiTheme="minorHAnsi"/>
          <w:sz w:val="22"/>
        </w:rPr>
        <w:t>.</w:t>
      </w:r>
      <w:r w:rsidR="00661935" w:rsidRPr="007B4612">
        <w:rPr>
          <w:rFonts w:asciiTheme="minorHAnsi" w:hAnsiTheme="minorHAnsi"/>
          <w:sz w:val="22"/>
        </w:rPr>
        <w:t xml:space="preserve"> </w:t>
      </w:r>
    </w:p>
    <w:p w:rsidR="008A0CB6" w:rsidRDefault="005A711A" w:rsidP="001E7E03">
      <w:pPr>
        <w:pStyle w:val="ListParagraph"/>
        <w:numPr>
          <w:ilvl w:val="0"/>
          <w:numId w:val="4"/>
        </w:numPr>
        <w:spacing w:line="276" w:lineRule="auto"/>
        <w:rPr>
          <w:rFonts w:asciiTheme="minorHAnsi" w:hAnsiTheme="minorHAnsi"/>
          <w:sz w:val="22"/>
        </w:rPr>
      </w:pPr>
      <w:r>
        <w:rPr>
          <w:rFonts w:asciiTheme="minorHAnsi" w:hAnsiTheme="minorHAnsi"/>
          <w:sz w:val="22"/>
        </w:rPr>
        <w:t xml:space="preserve">Many of these deaths were premature – </w:t>
      </w:r>
      <w:r w:rsidR="004C68B3">
        <w:rPr>
          <w:rFonts w:asciiTheme="minorHAnsi" w:hAnsiTheme="minorHAnsi"/>
          <w:sz w:val="22"/>
        </w:rPr>
        <w:t xml:space="preserve">half </w:t>
      </w:r>
      <w:r w:rsidR="000C20A9">
        <w:rPr>
          <w:rFonts w:asciiTheme="minorHAnsi" w:hAnsiTheme="minorHAnsi"/>
          <w:sz w:val="22"/>
        </w:rPr>
        <w:t>of all deaths in 2015</w:t>
      </w:r>
      <w:r w:rsidR="00661935" w:rsidRPr="007B4612">
        <w:rPr>
          <w:rFonts w:asciiTheme="minorHAnsi" w:hAnsiTheme="minorHAnsi"/>
          <w:sz w:val="22"/>
        </w:rPr>
        <w:t xml:space="preserve"> w</w:t>
      </w:r>
      <w:r w:rsidR="004C68B3">
        <w:rPr>
          <w:rFonts w:asciiTheme="minorHAnsi" w:hAnsiTheme="minorHAnsi"/>
          <w:sz w:val="22"/>
        </w:rPr>
        <w:t>ere aged</w:t>
      </w:r>
      <w:r w:rsidR="00661935" w:rsidRPr="007B4612">
        <w:rPr>
          <w:rFonts w:asciiTheme="minorHAnsi" w:hAnsiTheme="minorHAnsi"/>
          <w:sz w:val="22"/>
        </w:rPr>
        <w:t xml:space="preserve"> </w:t>
      </w:r>
      <w:r w:rsidR="00D53C41">
        <w:rPr>
          <w:rFonts w:asciiTheme="minorHAnsi" w:hAnsiTheme="minorHAnsi"/>
          <w:sz w:val="22"/>
        </w:rPr>
        <w:t>41</w:t>
      </w:r>
      <w:r w:rsidR="00661935" w:rsidRPr="00EA746D">
        <w:rPr>
          <w:rFonts w:asciiTheme="minorHAnsi" w:hAnsiTheme="minorHAnsi"/>
          <w:sz w:val="22"/>
        </w:rPr>
        <w:t xml:space="preserve"> years</w:t>
      </w:r>
      <w:r w:rsidR="004C68B3">
        <w:rPr>
          <w:rFonts w:asciiTheme="minorHAnsi" w:hAnsiTheme="minorHAnsi"/>
          <w:sz w:val="22"/>
        </w:rPr>
        <w:t xml:space="preserve"> or younger</w:t>
      </w:r>
      <w:r w:rsidR="0074754F">
        <w:rPr>
          <w:rFonts w:asciiTheme="minorHAnsi" w:hAnsiTheme="minorHAnsi"/>
          <w:sz w:val="22"/>
        </w:rPr>
        <w:t>.</w:t>
      </w:r>
    </w:p>
    <w:p w:rsidR="007B4612" w:rsidRDefault="00D53C41" w:rsidP="001E7E03">
      <w:pPr>
        <w:pStyle w:val="ListParagraph"/>
        <w:numPr>
          <w:ilvl w:val="0"/>
          <w:numId w:val="4"/>
        </w:numPr>
        <w:spacing w:line="276" w:lineRule="auto"/>
        <w:rPr>
          <w:rFonts w:asciiTheme="minorHAnsi" w:hAnsiTheme="minorHAnsi"/>
          <w:sz w:val="22"/>
        </w:rPr>
      </w:pPr>
      <w:r>
        <w:rPr>
          <w:rFonts w:asciiTheme="minorHAnsi" w:hAnsiTheme="minorHAnsi"/>
          <w:sz w:val="22"/>
        </w:rPr>
        <w:t>20,000 potential life years were lost</w:t>
      </w:r>
      <w:r w:rsidR="006658A3">
        <w:rPr>
          <w:rFonts w:asciiTheme="minorHAnsi" w:hAnsiTheme="minorHAnsi"/>
          <w:sz w:val="22"/>
        </w:rPr>
        <w:t>*</w:t>
      </w:r>
      <w:r>
        <w:rPr>
          <w:rFonts w:asciiTheme="minorHAnsi" w:hAnsiTheme="minorHAnsi"/>
          <w:sz w:val="22"/>
        </w:rPr>
        <w:t xml:space="preserve"> because of drug-related deaths.</w:t>
      </w:r>
    </w:p>
    <w:p w:rsidR="00661935" w:rsidRDefault="00D53C41" w:rsidP="001E7E03">
      <w:pPr>
        <w:pStyle w:val="ListParagraph"/>
        <w:numPr>
          <w:ilvl w:val="0"/>
          <w:numId w:val="4"/>
        </w:numPr>
        <w:spacing w:line="276" w:lineRule="auto"/>
        <w:rPr>
          <w:rFonts w:asciiTheme="minorHAnsi" w:hAnsiTheme="minorHAnsi"/>
          <w:sz w:val="22"/>
        </w:rPr>
      </w:pPr>
      <w:r>
        <w:rPr>
          <w:rFonts w:asciiTheme="minorHAnsi" w:hAnsiTheme="minorHAnsi"/>
          <w:sz w:val="22"/>
        </w:rPr>
        <w:t>Almost t</w:t>
      </w:r>
      <w:r w:rsidR="003679BA">
        <w:rPr>
          <w:rFonts w:asciiTheme="minorHAnsi" w:hAnsiTheme="minorHAnsi"/>
          <w:sz w:val="22"/>
        </w:rPr>
        <w:t>hree</w:t>
      </w:r>
      <w:r w:rsidR="0074754F">
        <w:rPr>
          <w:rFonts w:asciiTheme="minorHAnsi" w:hAnsiTheme="minorHAnsi"/>
          <w:sz w:val="22"/>
        </w:rPr>
        <w:t>-</w:t>
      </w:r>
      <w:r w:rsidR="003679BA">
        <w:rPr>
          <w:rFonts w:asciiTheme="minorHAnsi" w:hAnsiTheme="minorHAnsi"/>
          <w:sz w:val="22"/>
        </w:rPr>
        <w:t>in</w:t>
      </w:r>
      <w:r w:rsidR="0074754F">
        <w:rPr>
          <w:rFonts w:asciiTheme="minorHAnsi" w:hAnsiTheme="minorHAnsi"/>
          <w:sz w:val="22"/>
        </w:rPr>
        <w:t>-</w:t>
      </w:r>
      <w:r w:rsidR="003679BA">
        <w:rPr>
          <w:rFonts w:asciiTheme="minorHAnsi" w:hAnsiTheme="minorHAnsi"/>
          <w:sz w:val="22"/>
        </w:rPr>
        <w:t>four</w:t>
      </w:r>
      <w:r w:rsidR="007B5AAF">
        <w:rPr>
          <w:rFonts w:asciiTheme="minorHAnsi" w:hAnsiTheme="minorHAnsi"/>
          <w:sz w:val="22"/>
        </w:rPr>
        <w:t xml:space="preserve"> (</w:t>
      </w:r>
      <w:r>
        <w:rPr>
          <w:rFonts w:asciiTheme="minorHAnsi" w:hAnsiTheme="minorHAnsi"/>
          <w:sz w:val="22"/>
        </w:rPr>
        <w:t>50</w:t>
      </w:r>
      <w:r w:rsidR="00661935" w:rsidRPr="007B4612">
        <w:rPr>
          <w:rFonts w:asciiTheme="minorHAnsi" w:hAnsiTheme="minorHAnsi"/>
          <w:sz w:val="22"/>
        </w:rPr>
        <w:t>3</w:t>
      </w:r>
      <w:r w:rsidR="007B5AAF">
        <w:rPr>
          <w:rFonts w:asciiTheme="minorHAnsi" w:hAnsiTheme="minorHAnsi"/>
          <w:sz w:val="22"/>
        </w:rPr>
        <w:t>)</w:t>
      </w:r>
      <w:r w:rsidR="00661935" w:rsidRPr="007B4612">
        <w:rPr>
          <w:rFonts w:asciiTheme="minorHAnsi" w:hAnsiTheme="minorHAnsi"/>
          <w:sz w:val="22"/>
        </w:rPr>
        <w:t xml:space="preserve"> of all deaths were male</w:t>
      </w:r>
      <w:r w:rsidR="00BB76BF">
        <w:rPr>
          <w:rFonts w:asciiTheme="minorHAnsi" w:hAnsiTheme="minorHAnsi"/>
          <w:sz w:val="22"/>
        </w:rPr>
        <w:t>.</w:t>
      </w:r>
    </w:p>
    <w:p w:rsidR="005E7572" w:rsidRPr="007B4612" w:rsidRDefault="005E7572" w:rsidP="001E7E03">
      <w:pPr>
        <w:pStyle w:val="ListParagraph"/>
        <w:numPr>
          <w:ilvl w:val="0"/>
          <w:numId w:val="4"/>
        </w:numPr>
        <w:spacing w:line="276" w:lineRule="auto"/>
        <w:rPr>
          <w:rFonts w:asciiTheme="minorHAnsi" w:hAnsiTheme="minorHAnsi"/>
          <w:sz w:val="22"/>
        </w:rPr>
      </w:pPr>
      <w:r>
        <w:rPr>
          <w:rFonts w:asciiTheme="minorHAnsi" w:hAnsiTheme="minorHAnsi"/>
          <w:sz w:val="22"/>
        </w:rPr>
        <w:t>A total of 8% (</w:t>
      </w:r>
      <w:r w:rsidR="009761A7">
        <w:rPr>
          <w:rFonts w:asciiTheme="minorHAnsi" w:hAnsiTheme="minorHAnsi"/>
          <w:sz w:val="22"/>
        </w:rPr>
        <w:t xml:space="preserve">54) </w:t>
      </w:r>
      <w:r>
        <w:rPr>
          <w:rFonts w:asciiTheme="minorHAnsi" w:hAnsiTheme="minorHAnsi"/>
          <w:sz w:val="22"/>
        </w:rPr>
        <w:t xml:space="preserve">of all </w:t>
      </w:r>
      <w:r w:rsidR="001F5AF6">
        <w:rPr>
          <w:rFonts w:asciiTheme="minorHAnsi" w:hAnsiTheme="minorHAnsi"/>
          <w:sz w:val="22"/>
        </w:rPr>
        <w:t xml:space="preserve">NDRDI </w:t>
      </w:r>
      <w:r>
        <w:rPr>
          <w:rFonts w:asciiTheme="minorHAnsi" w:hAnsiTheme="minorHAnsi"/>
          <w:sz w:val="22"/>
        </w:rPr>
        <w:t xml:space="preserve">deaths were among injectors and 52% </w:t>
      </w:r>
      <w:r w:rsidR="009761A7">
        <w:rPr>
          <w:rFonts w:asciiTheme="minorHAnsi" w:hAnsiTheme="minorHAnsi"/>
          <w:sz w:val="22"/>
        </w:rPr>
        <w:t xml:space="preserve">(28) </w:t>
      </w:r>
      <w:r>
        <w:rPr>
          <w:rFonts w:asciiTheme="minorHAnsi" w:hAnsiTheme="minorHAnsi"/>
          <w:sz w:val="22"/>
        </w:rPr>
        <w:t>of injectors died in Dublin City.</w:t>
      </w:r>
    </w:p>
    <w:p w:rsidR="00661935" w:rsidRPr="0074754F" w:rsidRDefault="00661935" w:rsidP="001E7E03">
      <w:pPr>
        <w:spacing w:line="276" w:lineRule="auto"/>
        <w:rPr>
          <w:rFonts w:asciiTheme="minorHAnsi" w:hAnsiTheme="minorHAnsi"/>
          <w:sz w:val="16"/>
          <w:szCs w:val="16"/>
        </w:rPr>
      </w:pPr>
      <w:bookmarkStart w:id="0" w:name="_GoBack"/>
      <w:bookmarkEnd w:id="0"/>
    </w:p>
    <w:p w:rsidR="007B4612" w:rsidRPr="003679BA" w:rsidRDefault="00D53C41" w:rsidP="001E7E03">
      <w:pPr>
        <w:spacing w:line="276" w:lineRule="auto"/>
        <w:rPr>
          <w:rFonts w:asciiTheme="minorHAnsi" w:hAnsiTheme="minorHAnsi"/>
          <w:b/>
          <w:i/>
          <w:sz w:val="22"/>
        </w:rPr>
      </w:pPr>
      <w:r>
        <w:rPr>
          <w:rFonts w:asciiTheme="minorHAnsi" w:hAnsiTheme="minorHAnsi"/>
          <w:b/>
          <w:i/>
          <w:sz w:val="22"/>
        </w:rPr>
        <w:t>Poisoning deaths in 2015</w:t>
      </w:r>
    </w:p>
    <w:p w:rsidR="00D53C41" w:rsidRPr="0077443A" w:rsidRDefault="005A711A" w:rsidP="0074754F">
      <w:pPr>
        <w:pStyle w:val="ListParagraph"/>
        <w:numPr>
          <w:ilvl w:val="0"/>
          <w:numId w:val="9"/>
        </w:numPr>
        <w:spacing w:line="276" w:lineRule="auto"/>
        <w:rPr>
          <w:rFonts w:asciiTheme="minorHAnsi" w:hAnsiTheme="minorHAnsi"/>
          <w:sz w:val="22"/>
        </w:rPr>
      </w:pPr>
      <w:r w:rsidRPr="0074754F">
        <w:rPr>
          <w:rFonts w:asciiTheme="minorHAnsi" w:hAnsiTheme="minorHAnsi"/>
          <w:sz w:val="22"/>
        </w:rPr>
        <w:t xml:space="preserve">The </w:t>
      </w:r>
      <w:r w:rsidR="00661935" w:rsidRPr="0074754F">
        <w:rPr>
          <w:rFonts w:asciiTheme="minorHAnsi" w:hAnsiTheme="minorHAnsi"/>
          <w:sz w:val="22"/>
        </w:rPr>
        <w:t>number of poisoning deaths decreased fro</w:t>
      </w:r>
      <w:r w:rsidR="00D53C41" w:rsidRPr="0074754F">
        <w:rPr>
          <w:rFonts w:asciiTheme="minorHAnsi" w:hAnsiTheme="minorHAnsi"/>
          <w:sz w:val="22"/>
        </w:rPr>
        <w:t>m 364</w:t>
      </w:r>
      <w:r w:rsidR="007B4612" w:rsidRPr="0074754F">
        <w:rPr>
          <w:rFonts w:asciiTheme="minorHAnsi" w:hAnsiTheme="minorHAnsi"/>
          <w:sz w:val="22"/>
        </w:rPr>
        <w:t xml:space="preserve"> in 201</w:t>
      </w:r>
      <w:r w:rsidR="009761A7" w:rsidRPr="006937C1">
        <w:rPr>
          <w:rFonts w:asciiTheme="minorHAnsi" w:hAnsiTheme="minorHAnsi"/>
          <w:sz w:val="22"/>
        </w:rPr>
        <w:t>4</w:t>
      </w:r>
      <w:r w:rsidR="00031791" w:rsidRPr="0077443A">
        <w:rPr>
          <w:rFonts w:asciiTheme="minorHAnsi" w:hAnsiTheme="minorHAnsi"/>
          <w:sz w:val="22"/>
        </w:rPr>
        <w:t>,</w:t>
      </w:r>
      <w:r w:rsidR="00D53C41" w:rsidRPr="0077443A">
        <w:rPr>
          <w:rFonts w:asciiTheme="minorHAnsi" w:hAnsiTheme="minorHAnsi"/>
          <w:sz w:val="22"/>
        </w:rPr>
        <w:t xml:space="preserve"> to 348</w:t>
      </w:r>
      <w:r w:rsidR="007B4612" w:rsidRPr="0077443A">
        <w:rPr>
          <w:rFonts w:asciiTheme="minorHAnsi" w:hAnsiTheme="minorHAnsi"/>
          <w:sz w:val="22"/>
        </w:rPr>
        <w:t xml:space="preserve"> in 201</w:t>
      </w:r>
      <w:r w:rsidR="009761A7" w:rsidRPr="0077443A">
        <w:rPr>
          <w:rFonts w:asciiTheme="minorHAnsi" w:hAnsiTheme="minorHAnsi"/>
          <w:sz w:val="22"/>
        </w:rPr>
        <w:t>5</w:t>
      </w:r>
      <w:r w:rsidR="007B4612" w:rsidRPr="0077443A">
        <w:rPr>
          <w:rFonts w:asciiTheme="minorHAnsi" w:hAnsiTheme="minorHAnsi"/>
          <w:sz w:val="22"/>
        </w:rPr>
        <w:t xml:space="preserve">. </w:t>
      </w:r>
      <w:r w:rsidR="00661935" w:rsidRPr="0074754F">
        <w:rPr>
          <w:rFonts w:asciiTheme="minorHAnsi" w:hAnsiTheme="minorHAnsi"/>
          <w:b/>
          <w:sz w:val="22"/>
        </w:rPr>
        <w:t>Prescription drugs</w:t>
      </w:r>
      <w:r w:rsidR="00661935" w:rsidRPr="0074754F">
        <w:rPr>
          <w:rFonts w:asciiTheme="minorHAnsi" w:hAnsiTheme="minorHAnsi"/>
          <w:sz w:val="22"/>
        </w:rPr>
        <w:t xml:space="preserve"> were implicated in </w:t>
      </w:r>
      <w:r w:rsidR="00D53C41" w:rsidRPr="0074754F">
        <w:rPr>
          <w:rFonts w:asciiTheme="minorHAnsi" w:hAnsiTheme="minorHAnsi"/>
          <w:sz w:val="22"/>
        </w:rPr>
        <w:t>232</w:t>
      </w:r>
      <w:r w:rsidRPr="006937C1">
        <w:rPr>
          <w:rFonts w:asciiTheme="minorHAnsi" w:hAnsiTheme="minorHAnsi"/>
          <w:sz w:val="22"/>
        </w:rPr>
        <w:t>,</w:t>
      </w:r>
      <w:r w:rsidR="0000266D" w:rsidRPr="0077443A">
        <w:rPr>
          <w:rFonts w:asciiTheme="minorHAnsi" w:hAnsiTheme="minorHAnsi"/>
          <w:sz w:val="22"/>
        </w:rPr>
        <w:t xml:space="preserve"> or </w:t>
      </w:r>
      <w:r w:rsidR="009761A7" w:rsidRPr="0077443A">
        <w:rPr>
          <w:rFonts w:asciiTheme="minorHAnsi" w:hAnsiTheme="minorHAnsi"/>
          <w:sz w:val="22"/>
        </w:rPr>
        <w:t>two in every three</w:t>
      </w:r>
      <w:r w:rsidRPr="0077443A">
        <w:rPr>
          <w:rFonts w:asciiTheme="minorHAnsi" w:hAnsiTheme="minorHAnsi"/>
          <w:sz w:val="22"/>
        </w:rPr>
        <w:t>,</w:t>
      </w:r>
      <w:r w:rsidR="007B4612" w:rsidRPr="0077443A">
        <w:rPr>
          <w:rFonts w:asciiTheme="minorHAnsi" w:hAnsiTheme="minorHAnsi"/>
          <w:sz w:val="22"/>
        </w:rPr>
        <w:t xml:space="preserve"> poisoning deaths. </w:t>
      </w:r>
    </w:p>
    <w:p w:rsidR="00D53C41" w:rsidRDefault="00D53C41" w:rsidP="00D53C41">
      <w:pPr>
        <w:pStyle w:val="NBIMainBodyText"/>
        <w:numPr>
          <w:ilvl w:val="1"/>
          <w:numId w:val="9"/>
        </w:numPr>
        <w:spacing w:line="276" w:lineRule="auto"/>
        <w:rPr>
          <w:rFonts w:cs="Tahoma"/>
          <w:color w:val="000000"/>
          <w:szCs w:val="20"/>
        </w:rPr>
      </w:pPr>
      <w:r>
        <w:rPr>
          <w:rFonts w:cs="Tahoma"/>
          <w:color w:val="000000"/>
          <w:szCs w:val="20"/>
        </w:rPr>
        <w:t xml:space="preserve">Benzodiazepines were the most common prescription drug group implicated. </w:t>
      </w:r>
    </w:p>
    <w:p w:rsidR="00D53C41" w:rsidRDefault="00D53C41" w:rsidP="00D53C41">
      <w:pPr>
        <w:pStyle w:val="NBIMainBodyText"/>
        <w:numPr>
          <w:ilvl w:val="1"/>
          <w:numId w:val="9"/>
        </w:numPr>
        <w:spacing w:line="276" w:lineRule="auto"/>
        <w:rPr>
          <w:rFonts w:cs="Tahoma"/>
          <w:color w:val="000000"/>
          <w:szCs w:val="20"/>
        </w:rPr>
      </w:pPr>
      <w:r>
        <w:rPr>
          <w:rFonts w:cs="Tahoma"/>
          <w:color w:val="000000"/>
          <w:szCs w:val="20"/>
        </w:rPr>
        <w:t>Diazepam (a benzodiazepine) was the most common single prescription drug implicated in 101 (29%) of all poisonings.</w:t>
      </w:r>
    </w:p>
    <w:p w:rsidR="0002544E" w:rsidRDefault="0002544E" w:rsidP="00D53C41">
      <w:pPr>
        <w:pStyle w:val="NBIMainBodyText"/>
        <w:numPr>
          <w:ilvl w:val="1"/>
          <w:numId w:val="9"/>
        </w:numPr>
        <w:spacing w:line="276" w:lineRule="auto"/>
        <w:rPr>
          <w:rFonts w:cs="Tahoma"/>
          <w:color w:val="000000"/>
          <w:szCs w:val="20"/>
        </w:rPr>
      </w:pPr>
      <w:r>
        <w:rPr>
          <w:rFonts w:cs="Tahoma"/>
          <w:color w:val="000000"/>
          <w:szCs w:val="20"/>
        </w:rPr>
        <w:t>Pregabalin related deaths (an anti-epileptic drug which is also prescribed for chronic pain and some anxiety conditions</w:t>
      </w:r>
      <w:r w:rsidR="006B4AD8">
        <w:rPr>
          <w:rFonts w:cs="Tahoma"/>
          <w:color w:val="000000"/>
          <w:szCs w:val="20"/>
        </w:rPr>
        <w:t>)</w:t>
      </w:r>
      <w:r>
        <w:rPr>
          <w:rFonts w:cs="Tahoma"/>
          <w:color w:val="000000"/>
          <w:szCs w:val="20"/>
        </w:rPr>
        <w:t xml:space="preserve"> increased by 69%, from 26 deaths in 2014, to 44 in 2015</w:t>
      </w:r>
      <w:r w:rsidR="006937C1">
        <w:rPr>
          <w:rFonts w:cs="Tahoma"/>
          <w:color w:val="000000"/>
          <w:szCs w:val="20"/>
        </w:rPr>
        <w:t>.</w:t>
      </w:r>
    </w:p>
    <w:p w:rsidR="005A711A" w:rsidRPr="00D53C41" w:rsidRDefault="00D53C41" w:rsidP="00D53C41">
      <w:pPr>
        <w:pStyle w:val="ListParagraph"/>
        <w:numPr>
          <w:ilvl w:val="0"/>
          <w:numId w:val="5"/>
        </w:numPr>
        <w:spacing w:line="276" w:lineRule="auto"/>
        <w:rPr>
          <w:rFonts w:asciiTheme="minorHAnsi" w:hAnsiTheme="minorHAnsi"/>
          <w:sz w:val="22"/>
        </w:rPr>
      </w:pPr>
      <w:r w:rsidRPr="00D53C41">
        <w:rPr>
          <w:rFonts w:asciiTheme="minorHAnsi" w:hAnsiTheme="minorHAnsi"/>
          <w:b/>
          <w:sz w:val="22"/>
        </w:rPr>
        <w:t>Alcohol</w:t>
      </w:r>
      <w:r w:rsidR="005A711A" w:rsidRPr="00D53C41">
        <w:rPr>
          <w:rFonts w:asciiTheme="minorHAnsi" w:hAnsiTheme="minorHAnsi"/>
          <w:sz w:val="22"/>
        </w:rPr>
        <w:t xml:space="preserve"> was implicated </w:t>
      </w:r>
      <w:r w:rsidRPr="00D53C41">
        <w:rPr>
          <w:rFonts w:asciiTheme="minorHAnsi" w:hAnsiTheme="minorHAnsi"/>
          <w:sz w:val="22"/>
        </w:rPr>
        <w:t>in 107</w:t>
      </w:r>
      <w:r w:rsidR="001E7E03" w:rsidRPr="00D53C41">
        <w:rPr>
          <w:rFonts w:asciiTheme="minorHAnsi" w:hAnsiTheme="minorHAnsi"/>
          <w:sz w:val="22"/>
        </w:rPr>
        <w:t xml:space="preserve"> </w:t>
      </w:r>
      <w:r w:rsidRPr="00D53C41">
        <w:rPr>
          <w:rFonts w:asciiTheme="minorHAnsi" w:hAnsiTheme="minorHAnsi"/>
          <w:sz w:val="22"/>
        </w:rPr>
        <w:t xml:space="preserve">deaths </w:t>
      </w:r>
      <w:r w:rsidR="001E7E03" w:rsidRPr="00D53C41">
        <w:rPr>
          <w:rFonts w:asciiTheme="minorHAnsi" w:hAnsiTheme="minorHAnsi"/>
          <w:sz w:val="22"/>
        </w:rPr>
        <w:t>in 201</w:t>
      </w:r>
      <w:r w:rsidR="009761A7">
        <w:rPr>
          <w:rFonts w:asciiTheme="minorHAnsi" w:hAnsiTheme="minorHAnsi"/>
          <w:sz w:val="22"/>
        </w:rPr>
        <w:t>5</w:t>
      </w:r>
      <w:r w:rsidR="001E7E03" w:rsidRPr="00D53C41">
        <w:rPr>
          <w:rFonts w:asciiTheme="minorHAnsi" w:hAnsiTheme="minorHAnsi"/>
          <w:sz w:val="22"/>
        </w:rPr>
        <w:t xml:space="preserve">, </w:t>
      </w:r>
      <w:r w:rsidRPr="00D53C41">
        <w:rPr>
          <w:rFonts w:asciiTheme="minorHAnsi" w:hAnsiTheme="minorHAnsi"/>
          <w:sz w:val="22"/>
        </w:rPr>
        <w:t xml:space="preserve">compared </w:t>
      </w:r>
      <w:r w:rsidR="001E7E03" w:rsidRPr="00D53C41">
        <w:rPr>
          <w:rFonts w:asciiTheme="minorHAnsi" w:hAnsiTheme="minorHAnsi"/>
          <w:sz w:val="22"/>
        </w:rPr>
        <w:t>to</w:t>
      </w:r>
      <w:r w:rsidR="005A711A" w:rsidRPr="00D53C41">
        <w:rPr>
          <w:rFonts w:asciiTheme="minorHAnsi" w:hAnsiTheme="minorHAnsi"/>
          <w:sz w:val="22"/>
        </w:rPr>
        <w:t xml:space="preserve"> </w:t>
      </w:r>
      <w:r w:rsidRPr="00D53C41">
        <w:rPr>
          <w:rFonts w:asciiTheme="minorHAnsi" w:hAnsiTheme="minorHAnsi"/>
          <w:sz w:val="22"/>
        </w:rPr>
        <w:t>117</w:t>
      </w:r>
      <w:r w:rsidR="005A711A" w:rsidRPr="00D53C41">
        <w:rPr>
          <w:rFonts w:asciiTheme="minorHAnsi" w:hAnsiTheme="minorHAnsi"/>
          <w:sz w:val="22"/>
        </w:rPr>
        <w:t xml:space="preserve"> deaths </w:t>
      </w:r>
      <w:r w:rsidR="001E7E03" w:rsidRPr="00D53C41">
        <w:rPr>
          <w:rFonts w:asciiTheme="minorHAnsi" w:hAnsiTheme="minorHAnsi"/>
          <w:sz w:val="22"/>
        </w:rPr>
        <w:t xml:space="preserve">in 2014. Alcohol was implicated in </w:t>
      </w:r>
      <w:r w:rsidR="005A711A" w:rsidRPr="00D53C41">
        <w:rPr>
          <w:rFonts w:asciiTheme="minorHAnsi" w:hAnsiTheme="minorHAnsi"/>
          <w:sz w:val="22"/>
        </w:rPr>
        <w:t>on</w:t>
      </w:r>
      <w:r w:rsidR="00031791" w:rsidRPr="00D53C41">
        <w:rPr>
          <w:rFonts w:asciiTheme="minorHAnsi" w:hAnsiTheme="minorHAnsi"/>
          <w:sz w:val="22"/>
        </w:rPr>
        <w:t>e-in-</w:t>
      </w:r>
      <w:r w:rsidR="005A711A" w:rsidRPr="00D53C41">
        <w:rPr>
          <w:rFonts w:asciiTheme="minorHAnsi" w:hAnsiTheme="minorHAnsi"/>
          <w:sz w:val="22"/>
        </w:rPr>
        <w:t>three</w:t>
      </w:r>
      <w:r w:rsidR="001E7E03" w:rsidRPr="00D53C41">
        <w:rPr>
          <w:rFonts w:asciiTheme="minorHAnsi" w:hAnsiTheme="minorHAnsi"/>
          <w:sz w:val="22"/>
        </w:rPr>
        <w:t xml:space="preserve"> of all poisonings</w:t>
      </w:r>
      <w:r w:rsidR="005A711A" w:rsidRPr="00D53C41">
        <w:rPr>
          <w:rFonts w:asciiTheme="minorHAnsi" w:hAnsiTheme="minorHAnsi"/>
          <w:sz w:val="22"/>
        </w:rPr>
        <w:t xml:space="preserve"> and alcohol alone was responsible for 1</w:t>
      </w:r>
      <w:r w:rsidR="009761A7">
        <w:rPr>
          <w:rFonts w:asciiTheme="minorHAnsi" w:hAnsiTheme="minorHAnsi"/>
          <w:sz w:val="22"/>
        </w:rPr>
        <w:t>4</w:t>
      </w:r>
      <w:r w:rsidR="005A711A" w:rsidRPr="00D53C41">
        <w:rPr>
          <w:rFonts w:asciiTheme="minorHAnsi" w:hAnsiTheme="minorHAnsi"/>
          <w:sz w:val="22"/>
        </w:rPr>
        <w:t>% of all poisoning deaths</w:t>
      </w:r>
      <w:r w:rsidR="00DF57F4" w:rsidRPr="00D53C41">
        <w:rPr>
          <w:rFonts w:asciiTheme="minorHAnsi" w:hAnsiTheme="minorHAnsi"/>
          <w:sz w:val="22"/>
        </w:rPr>
        <w:t>.</w:t>
      </w:r>
    </w:p>
    <w:p w:rsidR="00D53C41" w:rsidRPr="007B4612" w:rsidRDefault="00D53C41" w:rsidP="00D53C41">
      <w:pPr>
        <w:pStyle w:val="ListParagraph"/>
        <w:numPr>
          <w:ilvl w:val="0"/>
          <w:numId w:val="5"/>
        </w:numPr>
        <w:spacing w:line="276" w:lineRule="auto"/>
        <w:rPr>
          <w:rFonts w:asciiTheme="minorHAnsi" w:hAnsiTheme="minorHAnsi"/>
          <w:sz w:val="22"/>
        </w:rPr>
      </w:pPr>
      <w:r w:rsidRPr="0002544E">
        <w:rPr>
          <w:rFonts w:asciiTheme="minorHAnsi" w:hAnsiTheme="minorHAnsi"/>
          <w:b/>
          <w:sz w:val="22"/>
        </w:rPr>
        <w:t>Cocaine</w:t>
      </w:r>
      <w:r w:rsidRPr="007B4612">
        <w:rPr>
          <w:rFonts w:asciiTheme="minorHAnsi" w:hAnsiTheme="minorHAnsi"/>
          <w:sz w:val="22"/>
        </w:rPr>
        <w:t>-related deaths</w:t>
      </w:r>
      <w:r>
        <w:rPr>
          <w:rFonts w:asciiTheme="minorHAnsi" w:hAnsiTheme="minorHAnsi"/>
          <w:sz w:val="22"/>
        </w:rPr>
        <w:t xml:space="preserve"> </w:t>
      </w:r>
      <w:r w:rsidR="0002544E">
        <w:rPr>
          <w:rFonts w:asciiTheme="minorHAnsi" w:hAnsiTheme="minorHAnsi"/>
          <w:sz w:val="22"/>
        </w:rPr>
        <w:t xml:space="preserve">have </w:t>
      </w:r>
      <w:r w:rsidR="00770B60">
        <w:rPr>
          <w:rFonts w:asciiTheme="minorHAnsi" w:hAnsiTheme="minorHAnsi"/>
          <w:sz w:val="22"/>
        </w:rPr>
        <w:t>increased 110%</w:t>
      </w:r>
      <w:r w:rsidRPr="007B4612">
        <w:rPr>
          <w:rFonts w:asciiTheme="minorHAnsi" w:hAnsiTheme="minorHAnsi"/>
          <w:sz w:val="22"/>
        </w:rPr>
        <w:t xml:space="preserve"> </w:t>
      </w:r>
      <w:r w:rsidR="0002544E">
        <w:rPr>
          <w:rFonts w:asciiTheme="minorHAnsi" w:hAnsiTheme="minorHAnsi"/>
          <w:sz w:val="22"/>
        </w:rPr>
        <w:t>since 2010 from 21 in 2010</w:t>
      </w:r>
      <w:r>
        <w:rPr>
          <w:rFonts w:asciiTheme="minorHAnsi" w:hAnsiTheme="minorHAnsi"/>
          <w:sz w:val="22"/>
        </w:rPr>
        <w:t>,</w:t>
      </w:r>
      <w:r w:rsidR="0002544E">
        <w:rPr>
          <w:rFonts w:asciiTheme="minorHAnsi" w:hAnsiTheme="minorHAnsi"/>
          <w:sz w:val="22"/>
        </w:rPr>
        <w:t xml:space="preserve"> to 44</w:t>
      </w:r>
      <w:r w:rsidRPr="007B4612">
        <w:rPr>
          <w:rFonts w:asciiTheme="minorHAnsi" w:hAnsiTheme="minorHAnsi"/>
          <w:sz w:val="22"/>
        </w:rPr>
        <w:t xml:space="preserve"> in 201</w:t>
      </w:r>
      <w:r w:rsidR="0002544E">
        <w:rPr>
          <w:rFonts w:asciiTheme="minorHAnsi" w:hAnsiTheme="minorHAnsi"/>
          <w:sz w:val="22"/>
        </w:rPr>
        <w:t>5</w:t>
      </w:r>
      <w:r>
        <w:rPr>
          <w:rFonts w:asciiTheme="minorHAnsi" w:hAnsiTheme="minorHAnsi"/>
          <w:sz w:val="22"/>
        </w:rPr>
        <w:t>.</w:t>
      </w:r>
    </w:p>
    <w:p w:rsidR="005A711A" w:rsidRDefault="005A711A" w:rsidP="00D53C41">
      <w:pPr>
        <w:pStyle w:val="ListParagraph"/>
        <w:numPr>
          <w:ilvl w:val="0"/>
          <w:numId w:val="5"/>
        </w:numPr>
        <w:spacing w:line="276" w:lineRule="auto"/>
        <w:rPr>
          <w:rFonts w:asciiTheme="minorHAnsi" w:hAnsiTheme="minorHAnsi"/>
          <w:sz w:val="22"/>
        </w:rPr>
      </w:pPr>
      <w:r w:rsidRPr="0002544E">
        <w:rPr>
          <w:rFonts w:asciiTheme="minorHAnsi" w:hAnsiTheme="minorHAnsi"/>
          <w:b/>
          <w:sz w:val="22"/>
        </w:rPr>
        <w:t>Opiates</w:t>
      </w:r>
      <w:r w:rsidRPr="00AA5769">
        <w:rPr>
          <w:rFonts w:asciiTheme="minorHAnsi" w:hAnsiTheme="minorHAnsi"/>
          <w:sz w:val="22"/>
        </w:rPr>
        <w:t xml:space="preserve"> were th</w:t>
      </w:r>
      <w:r>
        <w:rPr>
          <w:rFonts w:asciiTheme="minorHAnsi" w:hAnsiTheme="minorHAnsi"/>
          <w:sz w:val="22"/>
        </w:rPr>
        <w:t>e main drug group implicated in pois</w:t>
      </w:r>
      <w:r w:rsidRPr="00AA5769">
        <w:rPr>
          <w:rFonts w:asciiTheme="minorHAnsi" w:hAnsiTheme="minorHAnsi"/>
          <w:sz w:val="22"/>
        </w:rPr>
        <w:t>onings</w:t>
      </w:r>
      <w:r>
        <w:rPr>
          <w:rFonts w:asciiTheme="minorHAnsi" w:hAnsiTheme="minorHAnsi"/>
          <w:sz w:val="22"/>
        </w:rPr>
        <w:t>.</w:t>
      </w:r>
      <w:r w:rsidRPr="00AA5769">
        <w:rPr>
          <w:rFonts w:asciiTheme="minorHAnsi" w:hAnsiTheme="minorHAnsi"/>
          <w:sz w:val="22"/>
        </w:rPr>
        <w:t xml:space="preserve"> </w:t>
      </w:r>
    </w:p>
    <w:p w:rsidR="005A711A" w:rsidRDefault="00D53C41" w:rsidP="00D53C41">
      <w:pPr>
        <w:pStyle w:val="ListParagraph"/>
        <w:numPr>
          <w:ilvl w:val="1"/>
          <w:numId w:val="5"/>
        </w:numPr>
        <w:spacing w:line="276" w:lineRule="auto"/>
        <w:rPr>
          <w:rFonts w:asciiTheme="minorHAnsi" w:hAnsiTheme="minorHAnsi"/>
          <w:sz w:val="22"/>
        </w:rPr>
      </w:pPr>
      <w:r>
        <w:rPr>
          <w:rFonts w:asciiTheme="minorHAnsi" w:hAnsiTheme="minorHAnsi"/>
          <w:sz w:val="22"/>
        </w:rPr>
        <w:t>Heroin was implicated in 82</w:t>
      </w:r>
      <w:r w:rsidR="005A711A">
        <w:rPr>
          <w:rFonts w:asciiTheme="minorHAnsi" w:hAnsiTheme="minorHAnsi"/>
          <w:sz w:val="22"/>
        </w:rPr>
        <w:t xml:space="preserve"> deaths</w:t>
      </w:r>
      <w:r>
        <w:rPr>
          <w:rFonts w:asciiTheme="minorHAnsi" w:hAnsiTheme="minorHAnsi"/>
          <w:sz w:val="22"/>
        </w:rPr>
        <w:t xml:space="preserve"> in 2015 compared to 94 in 2014</w:t>
      </w:r>
      <w:r w:rsidR="00265799">
        <w:rPr>
          <w:rFonts w:asciiTheme="minorHAnsi" w:hAnsiTheme="minorHAnsi"/>
          <w:sz w:val="22"/>
        </w:rPr>
        <w:t>.</w:t>
      </w:r>
    </w:p>
    <w:p w:rsidR="005A711A" w:rsidRDefault="005A711A" w:rsidP="00D53C41">
      <w:pPr>
        <w:pStyle w:val="ListParagraph"/>
        <w:numPr>
          <w:ilvl w:val="1"/>
          <w:numId w:val="5"/>
        </w:numPr>
        <w:spacing w:line="276" w:lineRule="auto"/>
        <w:rPr>
          <w:rFonts w:asciiTheme="minorHAnsi" w:hAnsiTheme="minorHAnsi"/>
          <w:sz w:val="22"/>
        </w:rPr>
      </w:pPr>
      <w:r w:rsidRPr="007B4612">
        <w:rPr>
          <w:rFonts w:asciiTheme="minorHAnsi" w:hAnsiTheme="minorHAnsi"/>
          <w:sz w:val="22"/>
        </w:rPr>
        <w:t xml:space="preserve">Methadone was implicated in </w:t>
      </w:r>
      <w:r w:rsidR="0002544E">
        <w:rPr>
          <w:rFonts w:asciiTheme="minorHAnsi" w:hAnsiTheme="minorHAnsi"/>
          <w:sz w:val="22"/>
        </w:rPr>
        <w:t>a quarter of poisonings (86, 25%</w:t>
      </w:r>
      <w:r>
        <w:rPr>
          <w:rFonts w:asciiTheme="minorHAnsi" w:hAnsiTheme="minorHAnsi"/>
          <w:sz w:val="22"/>
        </w:rPr>
        <w:t>)</w:t>
      </w:r>
      <w:r w:rsidR="00265799">
        <w:rPr>
          <w:rFonts w:asciiTheme="minorHAnsi" w:hAnsiTheme="minorHAnsi"/>
          <w:sz w:val="22"/>
        </w:rPr>
        <w:t>.</w:t>
      </w:r>
      <w:r w:rsidRPr="007B4612">
        <w:rPr>
          <w:rFonts w:asciiTheme="minorHAnsi" w:hAnsiTheme="minorHAnsi"/>
          <w:sz w:val="22"/>
        </w:rPr>
        <w:t xml:space="preserve"> </w:t>
      </w:r>
    </w:p>
    <w:p w:rsidR="0002544E" w:rsidRDefault="0002544E" w:rsidP="00770B60">
      <w:pPr>
        <w:pStyle w:val="ListParagraph"/>
        <w:spacing w:line="276" w:lineRule="auto"/>
        <w:rPr>
          <w:rFonts w:asciiTheme="minorHAnsi" w:hAnsiTheme="minorHAnsi"/>
          <w:sz w:val="22"/>
        </w:rPr>
      </w:pPr>
    </w:p>
    <w:p w:rsidR="00661935" w:rsidRPr="003679BA" w:rsidRDefault="005A711A" w:rsidP="001E7E03">
      <w:pPr>
        <w:spacing w:line="276" w:lineRule="auto"/>
        <w:rPr>
          <w:rFonts w:asciiTheme="minorHAnsi" w:hAnsiTheme="minorHAnsi"/>
          <w:b/>
          <w:i/>
          <w:sz w:val="22"/>
        </w:rPr>
      </w:pPr>
      <w:r w:rsidRPr="003679BA">
        <w:rPr>
          <w:rFonts w:asciiTheme="minorHAnsi" w:hAnsiTheme="minorHAnsi"/>
          <w:b/>
          <w:i/>
          <w:sz w:val="22"/>
        </w:rPr>
        <w:lastRenderedPageBreak/>
        <w:t xml:space="preserve">Focus on </w:t>
      </w:r>
      <w:r w:rsidR="00EC0D79">
        <w:rPr>
          <w:rFonts w:asciiTheme="minorHAnsi" w:hAnsiTheme="minorHAnsi"/>
          <w:b/>
          <w:i/>
          <w:sz w:val="22"/>
        </w:rPr>
        <w:t>polydrug</w:t>
      </w:r>
      <w:r w:rsidRPr="003679BA">
        <w:rPr>
          <w:rFonts w:asciiTheme="minorHAnsi" w:hAnsiTheme="minorHAnsi"/>
          <w:b/>
          <w:i/>
          <w:sz w:val="22"/>
        </w:rPr>
        <w:t xml:space="preserve"> use </w:t>
      </w:r>
      <w:r w:rsidR="004C68B3" w:rsidRPr="003679BA">
        <w:rPr>
          <w:rFonts w:asciiTheme="minorHAnsi" w:hAnsiTheme="minorHAnsi"/>
          <w:b/>
          <w:i/>
          <w:sz w:val="22"/>
        </w:rPr>
        <w:t>“drug</w:t>
      </w:r>
      <w:r w:rsidR="00DF57F4" w:rsidRPr="003679BA">
        <w:rPr>
          <w:rFonts w:asciiTheme="minorHAnsi" w:hAnsiTheme="minorHAnsi"/>
          <w:b/>
          <w:i/>
          <w:sz w:val="22"/>
        </w:rPr>
        <w:t xml:space="preserve"> </w:t>
      </w:r>
      <w:r w:rsidRPr="003679BA">
        <w:rPr>
          <w:rFonts w:asciiTheme="minorHAnsi" w:hAnsiTheme="minorHAnsi"/>
          <w:b/>
          <w:i/>
          <w:sz w:val="22"/>
        </w:rPr>
        <w:t>cocktails</w:t>
      </w:r>
      <w:r w:rsidR="004C68B3" w:rsidRPr="003679BA">
        <w:rPr>
          <w:rFonts w:asciiTheme="minorHAnsi" w:hAnsiTheme="minorHAnsi"/>
          <w:b/>
          <w:i/>
          <w:sz w:val="22"/>
        </w:rPr>
        <w:t>”</w:t>
      </w:r>
    </w:p>
    <w:p w:rsidR="007B5AAF" w:rsidRPr="007B5AAF" w:rsidRDefault="00EC0D79" w:rsidP="001E7E03">
      <w:pPr>
        <w:pStyle w:val="ListParagraph"/>
        <w:numPr>
          <w:ilvl w:val="0"/>
          <w:numId w:val="13"/>
        </w:numPr>
        <w:spacing w:line="276" w:lineRule="auto"/>
        <w:rPr>
          <w:rFonts w:asciiTheme="minorHAnsi" w:hAnsiTheme="minorHAnsi"/>
          <w:sz w:val="22"/>
        </w:rPr>
      </w:pPr>
      <w:r>
        <w:rPr>
          <w:rFonts w:asciiTheme="minorHAnsi" w:hAnsiTheme="minorHAnsi"/>
          <w:sz w:val="22"/>
        </w:rPr>
        <w:t>Polydrug</w:t>
      </w:r>
      <w:r w:rsidR="003F607F">
        <w:rPr>
          <w:rFonts w:asciiTheme="minorHAnsi" w:hAnsiTheme="minorHAnsi"/>
          <w:sz w:val="22"/>
        </w:rPr>
        <w:t xml:space="preserve"> </w:t>
      </w:r>
      <w:r w:rsidR="007B5AAF" w:rsidRPr="007B5AAF">
        <w:rPr>
          <w:rFonts w:asciiTheme="minorHAnsi" w:hAnsiTheme="minorHAnsi"/>
          <w:sz w:val="22"/>
        </w:rPr>
        <w:t>use is a significant risk factor for fatal overdose</w:t>
      </w:r>
      <w:r w:rsidR="00EA746D">
        <w:rPr>
          <w:rFonts w:asciiTheme="minorHAnsi" w:hAnsiTheme="minorHAnsi"/>
          <w:sz w:val="22"/>
        </w:rPr>
        <w:t>.</w:t>
      </w:r>
    </w:p>
    <w:p w:rsidR="005A711A" w:rsidRDefault="005A711A" w:rsidP="001E7E03">
      <w:pPr>
        <w:pStyle w:val="ListParagraph"/>
        <w:numPr>
          <w:ilvl w:val="0"/>
          <w:numId w:val="13"/>
        </w:numPr>
        <w:spacing w:line="276" w:lineRule="auto"/>
        <w:rPr>
          <w:rFonts w:asciiTheme="minorHAnsi" w:hAnsiTheme="minorHAnsi"/>
          <w:sz w:val="22"/>
        </w:rPr>
      </w:pPr>
      <w:r w:rsidRPr="005A711A">
        <w:rPr>
          <w:rFonts w:asciiTheme="minorHAnsi" w:hAnsiTheme="minorHAnsi"/>
          <w:sz w:val="22"/>
        </w:rPr>
        <w:t>In 2004, 44%</w:t>
      </w:r>
      <w:r w:rsidR="00EA746D">
        <w:rPr>
          <w:rFonts w:asciiTheme="minorHAnsi" w:hAnsiTheme="minorHAnsi"/>
          <w:sz w:val="22"/>
        </w:rPr>
        <w:t xml:space="preserve"> or</w:t>
      </w:r>
      <w:r w:rsidR="00031791">
        <w:rPr>
          <w:rFonts w:asciiTheme="minorHAnsi" w:hAnsiTheme="minorHAnsi"/>
          <w:sz w:val="22"/>
        </w:rPr>
        <w:t xml:space="preserve"> </w:t>
      </w:r>
      <w:r w:rsidR="00EA746D">
        <w:rPr>
          <w:rFonts w:asciiTheme="minorHAnsi" w:hAnsiTheme="minorHAnsi"/>
          <w:sz w:val="22"/>
        </w:rPr>
        <w:t>118</w:t>
      </w:r>
      <w:r w:rsidRPr="005A711A">
        <w:rPr>
          <w:rFonts w:asciiTheme="minorHAnsi" w:hAnsiTheme="minorHAnsi"/>
          <w:sz w:val="22"/>
        </w:rPr>
        <w:t xml:space="preserve"> deaths were due to a cocktail of drugs, with an average of two drugs take</w:t>
      </w:r>
      <w:r w:rsidR="0002544E">
        <w:rPr>
          <w:rFonts w:asciiTheme="minorHAnsi" w:hAnsiTheme="minorHAnsi"/>
          <w:sz w:val="22"/>
        </w:rPr>
        <w:t>n. In 201</w:t>
      </w:r>
      <w:r w:rsidR="009761A7">
        <w:rPr>
          <w:rFonts w:asciiTheme="minorHAnsi" w:hAnsiTheme="minorHAnsi"/>
          <w:sz w:val="22"/>
        </w:rPr>
        <w:t>5</w:t>
      </w:r>
      <w:r w:rsidR="0002544E">
        <w:rPr>
          <w:rFonts w:asciiTheme="minorHAnsi" w:hAnsiTheme="minorHAnsi"/>
          <w:sz w:val="22"/>
        </w:rPr>
        <w:t xml:space="preserve"> this had risen to 64</w:t>
      </w:r>
      <w:r w:rsidRPr="005A711A">
        <w:rPr>
          <w:rFonts w:asciiTheme="minorHAnsi" w:hAnsiTheme="minorHAnsi"/>
          <w:sz w:val="22"/>
        </w:rPr>
        <w:t xml:space="preserve">% </w:t>
      </w:r>
      <w:r w:rsidR="0002544E">
        <w:rPr>
          <w:rFonts w:asciiTheme="minorHAnsi" w:hAnsiTheme="minorHAnsi"/>
          <w:sz w:val="22"/>
        </w:rPr>
        <w:t>or 222</w:t>
      </w:r>
      <w:r w:rsidR="00EA746D" w:rsidRPr="005A711A">
        <w:rPr>
          <w:rFonts w:asciiTheme="minorHAnsi" w:hAnsiTheme="minorHAnsi"/>
          <w:sz w:val="22"/>
        </w:rPr>
        <w:t xml:space="preserve"> </w:t>
      </w:r>
      <w:r w:rsidRPr="005A711A">
        <w:rPr>
          <w:rFonts w:asciiTheme="minorHAnsi" w:hAnsiTheme="minorHAnsi"/>
          <w:sz w:val="22"/>
        </w:rPr>
        <w:t>deaths</w:t>
      </w:r>
      <w:r w:rsidR="006937C1">
        <w:rPr>
          <w:rFonts w:asciiTheme="minorHAnsi" w:hAnsiTheme="minorHAnsi"/>
          <w:sz w:val="22"/>
        </w:rPr>
        <w:t>,</w:t>
      </w:r>
      <w:r w:rsidRPr="005A711A">
        <w:rPr>
          <w:rFonts w:asciiTheme="minorHAnsi" w:hAnsiTheme="minorHAnsi"/>
          <w:sz w:val="22"/>
        </w:rPr>
        <w:t xml:space="preserve"> with an average of four different drugs taken. </w:t>
      </w:r>
    </w:p>
    <w:p w:rsidR="001E7E03" w:rsidRDefault="0002544E" w:rsidP="001E7E03">
      <w:pPr>
        <w:pStyle w:val="NBIMainBodyText"/>
        <w:numPr>
          <w:ilvl w:val="0"/>
          <w:numId w:val="13"/>
        </w:numPr>
        <w:spacing w:line="276" w:lineRule="auto"/>
        <w:rPr>
          <w:lang w:eastAsia="en-US"/>
        </w:rPr>
      </w:pPr>
      <w:r>
        <w:rPr>
          <w:lang w:eastAsia="en-US"/>
        </w:rPr>
        <w:t>56</w:t>
      </w:r>
      <w:r w:rsidR="001E7E03">
        <w:rPr>
          <w:lang w:eastAsia="en-US"/>
        </w:rPr>
        <w:t xml:space="preserve">% of deaths where alcohol was implicated involved other drugs, mainly </w:t>
      </w:r>
      <w:r w:rsidR="009761A7">
        <w:rPr>
          <w:lang w:eastAsia="en-US"/>
        </w:rPr>
        <w:t>benzodiazepines</w:t>
      </w:r>
      <w:r w:rsidR="00265799">
        <w:rPr>
          <w:lang w:eastAsia="en-US"/>
        </w:rPr>
        <w:t>.</w:t>
      </w:r>
    </w:p>
    <w:p w:rsidR="001E7E03" w:rsidRDefault="0002544E" w:rsidP="001E7E03">
      <w:pPr>
        <w:pStyle w:val="NBIMainBodyText"/>
        <w:numPr>
          <w:ilvl w:val="0"/>
          <w:numId w:val="13"/>
        </w:numPr>
        <w:spacing w:line="276" w:lineRule="auto"/>
        <w:rPr>
          <w:lang w:eastAsia="en-US"/>
        </w:rPr>
      </w:pPr>
      <w:r>
        <w:rPr>
          <w:lang w:eastAsia="en-US"/>
        </w:rPr>
        <w:t>91</w:t>
      </w:r>
      <w:r w:rsidR="001E7E03">
        <w:rPr>
          <w:lang w:eastAsia="en-US"/>
        </w:rPr>
        <w:t>% of deaths where methadone was implicated involved other drugs, mainly benzodiazepines</w:t>
      </w:r>
      <w:r w:rsidR="00265799">
        <w:rPr>
          <w:lang w:eastAsia="en-US"/>
        </w:rPr>
        <w:t>.</w:t>
      </w:r>
    </w:p>
    <w:p w:rsidR="001E7E03" w:rsidRDefault="0017779F" w:rsidP="001E7E03">
      <w:pPr>
        <w:pStyle w:val="NBIMainBodyText"/>
        <w:numPr>
          <w:ilvl w:val="0"/>
          <w:numId w:val="13"/>
        </w:numPr>
        <w:spacing w:line="276" w:lineRule="auto"/>
        <w:rPr>
          <w:lang w:eastAsia="en-US"/>
        </w:rPr>
      </w:pPr>
      <w:r>
        <w:rPr>
          <w:lang w:eastAsia="en-US"/>
        </w:rPr>
        <w:t>71</w:t>
      </w:r>
      <w:r w:rsidR="001E7E03">
        <w:rPr>
          <w:lang w:eastAsia="en-US"/>
        </w:rPr>
        <w:t>% of deaths where heroin was implicated involved other drugs, mainly benzodiazepines.</w:t>
      </w:r>
    </w:p>
    <w:p w:rsidR="001E7E03" w:rsidRPr="005A711A" w:rsidRDefault="0002544E" w:rsidP="001E7E03">
      <w:pPr>
        <w:pStyle w:val="ListParagraph"/>
        <w:numPr>
          <w:ilvl w:val="0"/>
          <w:numId w:val="13"/>
        </w:numPr>
        <w:spacing w:line="276" w:lineRule="auto"/>
        <w:rPr>
          <w:rFonts w:asciiTheme="minorHAnsi" w:hAnsiTheme="minorHAnsi"/>
          <w:sz w:val="22"/>
        </w:rPr>
      </w:pPr>
      <w:r>
        <w:rPr>
          <w:rFonts w:asciiTheme="minorHAnsi" w:hAnsiTheme="minorHAnsi"/>
          <w:sz w:val="22"/>
        </w:rPr>
        <w:t>Almost all deaths (93</w:t>
      </w:r>
      <w:r w:rsidR="001E7E03">
        <w:rPr>
          <w:rFonts w:asciiTheme="minorHAnsi" w:hAnsiTheme="minorHAnsi"/>
          <w:sz w:val="22"/>
        </w:rPr>
        <w:t>%) where cocaine was implicated involved other drugs</w:t>
      </w:r>
      <w:r w:rsidR="00265799">
        <w:rPr>
          <w:rFonts w:asciiTheme="minorHAnsi" w:hAnsiTheme="minorHAnsi"/>
          <w:sz w:val="22"/>
        </w:rPr>
        <w:t>.</w:t>
      </w:r>
    </w:p>
    <w:p w:rsidR="005A711A" w:rsidRPr="008A7050" w:rsidRDefault="005A711A" w:rsidP="001E7E03">
      <w:pPr>
        <w:spacing w:line="276" w:lineRule="auto"/>
        <w:rPr>
          <w:rFonts w:asciiTheme="minorHAnsi" w:hAnsiTheme="minorHAnsi"/>
          <w:sz w:val="22"/>
        </w:rPr>
      </w:pPr>
    </w:p>
    <w:p w:rsidR="007B4612" w:rsidRPr="003679BA" w:rsidRDefault="00661935" w:rsidP="001E7E03">
      <w:pPr>
        <w:spacing w:line="276" w:lineRule="auto"/>
        <w:rPr>
          <w:rFonts w:asciiTheme="minorHAnsi" w:hAnsiTheme="minorHAnsi"/>
          <w:b/>
          <w:i/>
          <w:sz w:val="22"/>
        </w:rPr>
      </w:pPr>
      <w:r w:rsidRPr="003679BA">
        <w:rPr>
          <w:rFonts w:asciiTheme="minorHAnsi" w:hAnsiTheme="minorHAnsi"/>
          <w:b/>
          <w:i/>
          <w:sz w:val="22"/>
        </w:rPr>
        <w:t>Non-poisoning deaths in 201</w:t>
      </w:r>
      <w:r w:rsidR="0017779F">
        <w:rPr>
          <w:rFonts w:asciiTheme="minorHAnsi" w:hAnsiTheme="minorHAnsi"/>
          <w:b/>
          <w:i/>
          <w:sz w:val="22"/>
        </w:rPr>
        <w:t>5</w:t>
      </w:r>
    </w:p>
    <w:p w:rsidR="00032F8D" w:rsidRDefault="00661935" w:rsidP="001E7E03">
      <w:pPr>
        <w:spacing w:line="276" w:lineRule="auto"/>
        <w:rPr>
          <w:rFonts w:asciiTheme="minorHAnsi" w:hAnsiTheme="minorHAnsi"/>
          <w:sz w:val="22"/>
        </w:rPr>
      </w:pPr>
      <w:r w:rsidRPr="008A7050">
        <w:rPr>
          <w:rFonts w:asciiTheme="minorHAnsi" w:hAnsiTheme="minorHAnsi"/>
          <w:sz w:val="22"/>
        </w:rPr>
        <w:t>The number of non-po</w:t>
      </w:r>
      <w:r w:rsidR="00D93E98">
        <w:rPr>
          <w:rFonts w:asciiTheme="minorHAnsi" w:hAnsiTheme="minorHAnsi"/>
          <w:sz w:val="22"/>
        </w:rPr>
        <w:t xml:space="preserve">isoning deaths </w:t>
      </w:r>
      <w:r w:rsidR="005E7572">
        <w:rPr>
          <w:rFonts w:asciiTheme="minorHAnsi" w:hAnsiTheme="minorHAnsi"/>
          <w:sz w:val="22"/>
        </w:rPr>
        <w:t>fell slightly with 347 deaths in 2015 compared to 355</w:t>
      </w:r>
      <w:r w:rsidRPr="008A7050">
        <w:rPr>
          <w:rFonts w:asciiTheme="minorHAnsi" w:hAnsiTheme="minorHAnsi"/>
          <w:sz w:val="22"/>
        </w:rPr>
        <w:t xml:space="preserve"> in 2014. </w:t>
      </w:r>
      <w:r w:rsidR="00032F8D">
        <w:rPr>
          <w:rFonts w:asciiTheme="minorHAnsi" w:hAnsiTheme="minorHAnsi"/>
          <w:sz w:val="22"/>
        </w:rPr>
        <w:t xml:space="preserve"> Non-poisoning deaths are categorised as being due to either trauma (</w:t>
      </w:r>
      <w:r w:rsidR="005E7572">
        <w:rPr>
          <w:rFonts w:asciiTheme="minorHAnsi" w:hAnsiTheme="minorHAnsi"/>
          <w:sz w:val="22"/>
        </w:rPr>
        <w:t>156 deaths) or medical causes (191</w:t>
      </w:r>
      <w:r w:rsidR="00032F8D">
        <w:rPr>
          <w:rFonts w:asciiTheme="minorHAnsi" w:hAnsiTheme="minorHAnsi"/>
          <w:sz w:val="22"/>
        </w:rPr>
        <w:t xml:space="preserve"> deaths).</w:t>
      </w:r>
    </w:p>
    <w:p w:rsidR="00032F8D" w:rsidRPr="00032F8D" w:rsidRDefault="00661935" w:rsidP="001E7E03">
      <w:pPr>
        <w:pStyle w:val="ListParagraph"/>
        <w:numPr>
          <w:ilvl w:val="0"/>
          <w:numId w:val="8"/>
        </w:numPr>
        <w:spacing w:line="276" w:lineRule="auto"/>
        <w:rPr>
          <w:rFonts w:asciiTheme="minorHAnsi" w:hAnsiTheme="minorHAnsi"/>
          <w:sz w:val="22"/>
        </w:rPr>
      </w:pPr>
      <w:r w:rsidRPr="00032F8D">
        <w:rPr>
          <w:rFonts w:asciiTheme="minorHAnsi" w:hAnsiTheme="minorHAnsi"/>
          <w:sz w:val="22"/>
        </w:rPr>
        <w:t xml:space="preserve">The main causes of non-poisoning deaths </w:t>
      </w:r>
      <w:r w:rsidR="005E7572">
        <w:rPr>
          <w:rFonts w:asciiTheme="minorHAnsi" w:hAnsiTheme="minorHAnsi"/>
          <w:sz w:val="22"/>
        </w:rPr>
        <w:t>categorised as trauma were hanging (83, 24</w:t>
      </w:r>
      <w:r w:rsidRPr="00032F8D">
        <w:rPr>
          <w:rFonts w:asciiTheme="minorHAnsi" w:hAnsiTheme="minorHAnsi"/>
          <w:sz w:val="22"/>
        </w:rPr>
        <w:t xml:space="preserve">%) and </w:t>
      </w:r>
      <w:r w:rsidR="005E7572">
        <w:rPr>
          <w:rFonts w:asciiTheme="minorHAnsi" w:hAnsiTheme="minorHAnsi"/>
          <w:sz w:val="22"/>
        </w:rPr>
        <w:t xml:space="preserve">categorised as medical were </w:t>
      </w:r>
      <w:r w:rsidRPr="00032F8D">
        <w:rPr>
          <w:rFonts w:asciiTheme="minorHAnsi" w:hAnsiTheme="minorHAnsi"/>
          <w:sz w:val="22"/>
        </w:rPr>
        <w:t>cardiac</w:t>
      </w:r>
      <w:r w:rsidR="002B512F">
        <w:rPr>
          <w:rFonts w:asciiTheme="minorHAnsi" w:hAnsiTheme="minorHAnsi"/>
          <w:sz w:val="22"/>
        </w:rPr>
        <w:t xml:space="preserve"> </w:t>
      </w:r>
      <w:r w:rsidR="00D93E98">
        <w:rPr>
          <w:rFonts w:asciiTheme="minorHAnsi" w:hAnsiTheme="minorHAnsi"/>
          <w:sz w:val="22"/>
        </w:rPr>
        <w:t>events</w:t>
      </w:r>
      <w:r w:rsidR="004C68B3">
        <w:rPr>
          <w:rFonts w:asciiTheme="minorHAnsi" w:hAnsiTheme="minorHAnsi"/>
          <w:sz w:val="22"/>
        </w:rPr>
        <w:t xml:space="preserve"> </w:t>
      </w:r>
      <w:r w:rsidR="005E7572">
        <w:rPr>
          <w:rFonts w:asciiTheme="minorHAnsi" w:hAnsiTheme="minorHAnsi"/>
          <w:sz w:val="22"/>
        </w:rPr>
        <w:t>(55, 16%</w:t>
      </w:r>
      <w:r w:rsidR="002B512F">
        <w:rPr>
          <w:rFonts w:asciiTheme="minorHAnsi" w:hAnsiTheme="minorHAnsi"/>
          <w:sz w:val="22"/>
        </w:rPr>
        <w:t>)</w:t>
      </w:r>
      <w:r w:rsidR="00265799">
        <w:rPr>
          <w:rFonts w:asciiTheme="minorHAnsi" w:hAnsiTheme="minorHAnsi"/>
          <w:sz w:val="22"/>
        </w:rPr>
        <w:t>.</w:t>
      </w:r>
    </w:p>
    <w:p w:rsidR="002F0158" w:rsidRDefault="0017779F" w:rsidP="001E7E03">
      <w:pPr>
        <w:pStyle w:val="ListParagraph"/>
        <w:numPr>
          <w:ilvl w:val="0"/>
          <w:numId w:val="8"/>
        </w:numPr>
        <w:spacing w:line="276" w:lineRule="auto"/>
        <w:rPr>
          <w:rFonts w:asciiTheme="minorHAnsi" w:hAnsiTheme="minorHAnsi"/>
          <w:sz w:val="22"/>
        </w:rPr>
      </w:pPr>
      <w:r>
        <w:rPr>
          <w:rFonts w:asciiTheme="minorHAnsi" w:hAnsiTheme="minorHAnsi"/>
          <w:sz w:val="22"/>
        </w:rPr>
        <w:t>Three</w:t>
      </w:r>
      <w:r w:rsidR="0077443A">
        <w:rPr>
          <w:rFonts w:asciiTheme="minorHAnsi" w:hAnsiTheme="minorHAnsi"/>
          <w:sz w:val="22"/>
        </w:rPr>
        <w:t>-</w:t>
      </w:r>
      <w:r>
        <w:rPr>
          <w:rFonts w:asciiTheme="minorHAnsi" w:hAnsiTheme="minorHAnsi"/>
          <w:sz w:val="22"/>
        </w:rPr>
        <w:t xml:space="preserve"> in</w:t>
      </w:r>
      <w:r w:rsidR="0077443A">
        <w:rPr>
          <w:rFonts w:asciiTheme="minorHAnsi" w:hAnsiTheme="minorHAnsi"/>
          <w:sz w:val="22"/>
        </w:rPr>
        <w:t>-</w:t>
      </w:r>
      <w:r>
        <w:rPr>
          <w:rFonts w:asciiTheme="minorHAnsi" w:hAnsiTheme="minorHAnsi"/>
          <w:sz w:val="22"/>
        </w:rPr>
        <w:t>five</w:t>
      </w:r>
      <w:r w:rsidR="00661935" w:rsidRPr="00032F8D">
        <w:rPr>
          <w:rFonts w:asciiTheme="minorHAnsi" w:hAnsiTheme="minorHAnsi"/>
          <w:sz w:val="22"/>
        </w:rPr>
        <w:t xml:space="preserve"> (</w:t>
      </w:r>
      <w:r>
        <w:rPr>
          <w:rFonts w:asciiTheme="minorHAnsi" w:hAnsiTheme="minorHAnsi"/>
          <w:sz w:val="22"/>
        </w:rPr>
        <w:t>59</w:t>
      </w:r>
      <w:r w:rsidR="00661935" w:rsidRPr="00032F8D">
        <w:rPr>
          <w:rFonts w:asciiTheme="minorHAnsi" w:hAnsiTheme="minorHAnsi"/>
          <w:sz w:val="22"/>
        </w:rPr>
        <w:t xml:space="preserve">%) people who died as a result of hanging had a history of mental health </w:t>
      </w:r>
      <w:r>
        <w:rPr>
          <w:rFonts w:asciiTheme="minorHAnsi" w:hAnsiTheme="minorHAnsi"/>
          <w:sz w:val="22"/>
        </w:rPr>
        <w:t>problems</w:t>
      </w:r>
      <w:r w:rsidR="00032F8D" w:rsidRPr="00032F8D">
        <w:rPr>
          <w:rFonts w:asciiTheme="minorHAnsi" w:hAnsiTheme="minorHAnsi"/>
          <w:sz w:val="22"/>
        </w:rPr>
        <w:t>.</w:t>
      </w:r>
    </w:p>
    <w:p w:rsidR="00885DA3" w:rsidRDefault="00885DA3" w:rsidP="00885DA3">
      <w:pPr>
        <w:pStyle w:val="NBIMainBodyText"/>
        <w:numPr>
          <w:ilvl w:val="0"/>
          <w:numId w:val="8"/>
        </w:numPr>
        <w:rPr>
          <w:rFonts w:cs="Tahoma"/>
        </w:rPr>
      </w:pPr>
      <w:r>
        <w:rPr>
          <w:rFonts w:cs="Tahoma"/>
        </w:rPr>
        <w:t>The median age for deaths due to medical causes has increased from 38 years in 2004</w:t>
      </w:r>
      <w:r w:rsidR="0077443A">
        <w:rPr>
          <w:rFonts w:cs="Tahoma"/>
        </w:rPr>
        <w:t>,</w:t>
      </w:r>
      <w:r>
        <w:rPr>
          <w:rFonts w:cs="Tahoma"/>
        </w:rPr>
        <w:t xml:space="preserve"> to 49 years in 2015</w:t>
      </w:r>
      <w:r w:rsidR="0077443A">
        <w:rPr>
          <w:rFonts w:cs="Tahoma"/>
        </w:rPr>
        <w:t>,</w:t>
      </w:r>
      <w:r>
        <w:rPr>
          <w:rFonts w:cs="Tahoma"/>
        </w:rPr>
        <w:t xml:space="preserve"> </w:t>
      </w:r>
      <w:r w:rsidR="005C5F33">
        <w:rPr>
          <w:rFonts w:cs="Tahoma"/>
        </w:rPr>
        <w:t xml:space="preserve">which may </w:t>
      </w:r>
      <w:r>
        <w:rPr>
          <w:rFonts w:cs="Tahoma"/>
        </w:rPr>
        <w:t>indicat</w:t>
      </w:r>
      <w:r w:rsidR="005C5F33">
        <w:rPr>
          <w:rFonts w:cs="Tahoma"/>
        </w:rPr>
        <w:t>e</w:t>
      </w:r>
      <w:r>
        <w:rPr>
          <w:rFonts w:cs="Tahoma"/>
        </w:rPr>
        <w:t xml:space="preserve"> an ag</w:t>
      </w:r>
      <w:r w:rsidR="005C5F33">
        <w:rPr>
          <w:rFonts w:cs="Tahoma"/>
        </w:rPr>
        <w:t>e</w:t>
      </w:r>
      <w:r>
        <w:rPr>
          <w:rFonts w:cs="Tahoma"/>
        </w:rPr>
        <w:t>ing cohort of drug users in Ireland.</w:t>
      </w:r>
    </w:p>
    <w:p w:rsidR="00032F8D" w:rsidRDefault="00032F8D" w:rsidP="001E7E03">
      <w:pPr>
        <w:spacing w:line="276" w:lineRule="auto"/>
        <w:rPr>
          <w:rFonts w:asciiTheme="minorHAnsi" w:hAnsiTheme="minorHAnsi"/>
          <w:sz w:val="22"/>
        </w:rPr>
      </w:pPr>
    </w:p>
    <w:p w:rsidR="00032F8D" w:rsidRDefault="00032F8D" w:rsidP="001E7E03">
      <w:pPr>
        <w:spacing w:line="276" w:lineRule="auto"/>
        <w:rPr>
          <w:rFonts w:asciiTheme="minorHAnsi" w:hAnsiTheme="minorHAnsi"/>
          <w:sz w:val="22"/>
        </w:rPr>
      </w:pPr>
      <w:r>
        <w:rPr>
          <w:rFonts w:asciiTheme="minorHAnsi" w:hAnsiTheme="minorHAnsi"/>
          <w:sz w:val="22"/>
        </w:rPr>
        <w:t>Commenting on the da</w:t>
      </w:r>
      <w:r w:rsidR="00316211">
        <w:rPr>
          <w:rFonts w:asciiTheme="minorHAnsi" w:hAnsiTheme="minorHAnsi"/>
          <w:sz w:val="22"/>
        </w:rPr>
        <w:t>ta, Ms Ena Lynn</w:t>
      </w:r>
      <w:r w:rsidR="003F780F">
        <w:rPr>
          <w:rFonts w:asciiTheme="minorHAnsi" w:hAnsiTheme="minorHAnsi"/>
          <w:sz w:val="22"/>
        </w:rPr>
        <w:t>,</w:t>
      </w:r>
      <w:r>
        <w:rPr>
          <w:rFonts w:asciiTheme="minorHAnsi" w:hAnsiTheme="minorHAnsi"/>
          <w:sz w:val="22"/>
        </w:rPr>
        <w:t xml:space="preserve"> </w:t>
      </w:r>
      <w:r w:rsidR="005E7572">
        <w:rPr>
          <w:rFonts w:asciiTheme="minorHAnsi" w:hAnsiTheme="minorHAnsi"/>
          <w:sz w:val="22"/>
        </w:rPr>
        <w:t>Research Officer</w:t>
      </w:r>
      <w:r w:rsidR="00D93E98">
        <w:rPr>
          <w:rFonts w:asciiTheme="minorHAnsi" w:hAnsiTheme="minorHAnsi"/>
          <w:sz w:val="22"/>
        </w:rPr>
        <w:t xml:space="preserve"> </w:t>
      </w:r>
      <w:r w:rsidR="005E7572">
        <w:rPr>
          <w:rFonts w:asciiTheme="minorHAnsi" w:hAnsiTheme="minorHAnsi"/>
          <w:sz w:val="22"/>
        </w:rPr>
        <w:t>at</w:t>
      </w:r>
      <w:r>
        <w:rPr>
          <w:rFonts w:asciiTheme="minorHAnsi" w:hAnsiTheme="minorHAnsi"/>
          <w:sz w:val="22"/>
        </w:rPr>
        <w:t xml:space="preserve"> the H</w:t>
      </w:r>
      <w:r w:rsidR="00D93E98">
        <w:rPr>
          <w:rFonts w:asciiTheme="minorHAnsi" w:hAnsiTheme="minorHAnsi"/>
          <w:sz w:val="22"/>
        </w:rPr>
        <w:t xml:space="preserve">ealth </w:t>
      </w:r>
      <w:r>
        <w:rPr>
          <w:rFonts w:asciiTheme="minorHAnsi" w:hAnsiTheme="minorHAnsi"/>
          <w:sz w:val="22"/>
        </w:rPr>
        <w:t>R</w:t>
      </w:r>
      <w:r w:rsidR="00D93E98">
        <w:rPr>
          <w:rFonts w:asciiTheme="minorHAnsi" w:hAnsiTheme="minorHAnsi"/>
          <w:sz w:val="22"/>
        </w:rPr>
        <w:t xml:space="preserve">esearch </w:t>
      </w:r>
      <w:r>
        <w:rPr>
          <w:rFonts w:asciiTheme="minorHAnsi" w:hAnsiTheme="minorHAnsi"/>
          <w:sz w:val="22"/>
        </w:rPr>
        <w:t>B</w:t>
      </w:r>
      <w:r w:rsidR="00D93E98">
        <w:rPr>
          <w:rFonts w:asciiTheme="minorHAnsi" w:hAnsiTheme="minorHAnsi"/>
          <w:sz w:val="22"/>
        </w:rPr>
        <w:t>oard</w:t>
      </w:r>
      <w:r>
        <w:rPr>
          <w:rFonts w:asciiTheme="minorHAnsi" w:hAnsiTheme="minorHAnsi"/>
          <w:sz w:val="22"/>
        </w:rPr>
        <w:t xml:space="preserve"> said,</w:t>
      </w:r>
    </w:p>
    <w:p w:rsidR="00032F8D" w:rsidRDefault="005E7572" w:rsidP="001E7E03">
      <w:pPr>
        <w:spacing w:line="276" w:lineRule="auto"/>
        <w:rPr>
          <w:rFonts w:asciiTheme="minorHAnsi" w:hAnsiTheme="minorHAnsi"/>
          <w:sz w:val="22"/>
        </w:rPr>
      </w:pPr>
      <w:r>
        <w:rPr>
          <w:rFonts w:asciiTheme="minorHAnsi" w:hAnsiTheme="minorHAnsi"/>
          <w:sz w:val="22"/>
        </w:rPr>
        <w:t>‘</w:t>
      </w:r>
      <w:r w:rsidR="00032F8D">
        <w:rPr>
          <w:rFonts w:asciiTheme="minorHAnsi" w:hAnsiTheme="minorHAnsi"/>
          <w:sz w:val="22"/>
        </w:rPr>
        <w:t xml:space="preserve">These statistics </w:t>
      </w:r>
      <w:r w:rsidR="00B01932">
        <w:rPr>
          <w:rFonts w:asciiTheme="minorHAnsi" w:hAnsiTheme="minorHAnsi"/>
          <w:sz w:val="22"/>
        </w:rPr>
        <w:t xml:space="preserve">give us </w:t>
      </w:r>
      <w:r w:rsidR="006658A3">
        <w:rPr>
          <w:rFonts w:asciiTheme="minorHAnsi" w:hAnsiTheme="minorHAnsi"/>
          <w:sz w:val="22"/>
        </w:rPr>
        <w:t xml:space="preserve">just </w:t>
      </w:r>
      <w:r w:rsidR="00265799">
        <w:rPr>
          <w:rFonts w:asciiTheme="minorHAnsi" w:hAnsiTheme="minorHAnsi"/>
          <w:sz w:val="22"/>
        </w:rPr>
        <w:t>some</w:t>
      </w:r>
      <w:r w:rsidR="00B01932">
        <w:rPr>
          <w:rFonts w:asciiTheme="minorHAnsi" w:hAnsiTheme="minorHAnsi"/>
          <w:sz w:val="22"/>
        </w:rPr>
        <w:t xml:space="preserve"> insight into the impact that drug use</w:t>
      </w:r>
      <w:r w:rsidR="005372FC">
        <w:rPr>
          <w:rFonts w:asciiTheme="minorHAnsi" w:hAnsiTheme="minorHAnsi"/>
          <w:sz w:val="22"/>
        </w:rPr>
        <w:t xml:space="preserve"> has on people and society</w:t>
      </w:r>
      <w:r w:rsidR="006658A3">
        <w:rPr>
          <w:rFonts w:asciiTheme="minorHAnsi" w:hAnsiTheme="minorHAnsi"/>
          <w:sz w:val="22"/>
        </w:rPr>
        <w:t>. We should not lose sight of the fact that each one of these stats is a life lost and a life cut short.’</w:t>
      </w:r>
    </w:p>
    <w:p w:rsidR="00B01932" w:rsidRDefault="00B01932" w:rsidP="001E7E03">
      <w:pPr>
        <w:spacing w:line="276" w:lineRule="auto"/>
        <w:rPr>
          <w:rFonts w:asciiTheme="minorHAnsi" w:hAnsiTheme="minorHAnsi"/>
          <w:sz w:val="22"/>
        </w:rPr>
      </w:pPr>
    </w:p>
    <w:p w:rsidR="00B01932" w:rsidRDefault="00B01932" w:rsidP="001E7E03">
      <w:pPr>
        <w:spacing w:line="276" w:lineRule="auto"/>
        <w:rPr>
          <w:rFonts w:asciiTheme="minorHAnsi" w:hAnsiTheme="minorHAnsi"/>
          <w:sz w:val="22"/>
        </w:rPr>
      </w:pPr>
      <w:r>
        <w:rPr>
          <w:rFonts w:asciiTheme="minorHAnsi" w:hAnsiTheme="minorHAnsi"/>
          <w:sz w:val="22"/>
        </w:rPr>
        <w:t xml:space="preserve">The full report is available to download from the HRB website at </w:t>
      </w:r>
      <w:hyperlink r:id="rId8" w:history="1">
        <w:r w:rsidR="00706671" w:rsidRPr="00784C1E">
          <w:rPr>
            <w:rStyle w:val="Hyperlink"/>
            <w:rFonts w:asciiTheme="minorHAnsi" w:hAnsiTheme="minorHAnsi"/>
            <w:sz w:val="22"/>
          </w:rPr>
          <w:t>www.hrb.ie/publications</w:t>
        </w:r>
      </w:hyperlink>
      <w:r w:rsidR="00706671">
        <w:rPr>
          <w:rFonts w:asciiTheme="minorHAnsi" w:hAnsiTheme="minorHAnsi"/>
          <w:sz w:val="22"/>
        </w:rPr>
        <w:t xml:space="preserve"> and www.drugsandalcohol.ie /28086</w:t>
      </w:r>
      <w:r>
        <w:rPr>
          <w:rFonts w:asciiTheme="minorHAnsi" w:hAnsiTheme="minorHAnsi"/>
          <w:sz w:val="22"/>
        </w:rPr>
        <w:t>. A</w:t>
      </w:r>
      <w:r w:rsidR="0077443A">
        <w:rPr>
          <w:rFonts w:asciiTheme="minorHAnsi" w:hAnsiTheme="minorHAnsi"/>
          <w:sz w:val="22"/>
        </w:rPr>
        <w:t>n</w:t>
      </w:r>
      <w:r>
        <w:rPr>
          <w:rFonts w:asciiTheme="minorHAnsi" w:hAnsiTheme="minorHAnsi"/>
          <w:sz w:val="22"/>
        </w:rPr>
        <w:t xml:space="preserve"> infographic </w:t>
      </w:r>
      <w:r w:rsidR="0077443A">
        <w:rPr>
          <w:rFonts w:asciiTheme="minorHAnsi" w:hAnsiTheme="minorHAnsi"/>
          <w:sz w:val="22"/>
        </w:rPr>
        <w:t xml:space="preserve">that </w:t>
      </w:r>
      <w:r>
        <w:rPr>
          <w:rFonts w:asciiTheme="minorHAnsi" w:hAnsiTheme="minorHAnsi"/>
          <w:sz w:val="22"/>
        </w:rPr>
        <w:t>outline</w:t>
      </w:r>
      <w:r w:rsidR="0077443A">
        <w:rPr>
          <w:rFonts w:asciiTheme="minorHAnsi" w:hAnsiTheme="minorHAnsi"/>
          <w:sz w:val="22"/>
        </w:rPr>
        <w:t>s</w:t>
      </w:r>
      <w:r>
        <w:rPr>
          <w:rFonts w:asciiTheme="minorHAnsi" w:hAnsiTheme="minorHAnsi"/>
          <w:sz w:val="22"/>
        </w:rPr>
        <w:t xml:space="preserve"> key data </w:t>
      </w:r>
      <w:r w:rsidR="00706671">
        <w:rPr>
          <w:rFonts w:asciiTheme="minorHAnsi" w:hAnsiTheme="minorHAnsi"/>
          <w:sz w:val="22"/>
        </w:rPr>
        <w:t>is</w:t>
      </w:r>
      <w:r>
        <w:rPr>
          <w:rFonts w:asciiTheme="minorHAnsi" w:hAnsiTheme="minorHAnsi"/>
          <w:sz w:val="22"/>
        </w:rPr>
        <w:t xml:space="preserve"> also available for download.</w:t>
      </w:r>
    </w:p>
    <w:p w:rsidR="00B01932" w:rsidRDefault="00B01932" w:rsidP="001E7E03">
      <w:pPr>
        <w:spacing w:line="276" w:lineRule="auto"/>
        <w:rPr>
          <w:rFonts w:asciiTheme="minorHAnsi" w:hAnsiTheme="minorHAnsi"/>
          <w:sz w:val="22"/>
        </w:rPr>
      </w:pPr>
    </w:p>
    <w:p w:rsidR="005E7572" w:rsidRPr="005E7572" w:rsidRDefault="005E7572" w:rsidP="005E7572">
      <w:pPr>
        <w:spacing w:line="276" w:lineRule="auto"/>
        <w:rPr>
          <w:rFonts w:asciiTheme="minorHAnsi" w:hAnsiTheme="minorHAnsi"/>
          <w:sz w:val="22"/>
        </w:rPr>
      </w:pPr>
      <w:r w:rsidRPr="005E7572">
        <w:rPr>
          <w:rFonts w:asciiTheme="minorHAnsi" w:hAnsiTheme="minorHAnsi"/>
          <w:sz w:val="22"/>
        </w:rPr>
        <w:t>*</w:t>
      </w:r>
      <w:r>
        <w:rPr>
          <w:rFonts w:asciiTheme="minorHAnsi" w:hAnsiTheme="minorHAnsi"/>
          <w:sz w:val="22"/>
        </w:rPr>
        <w:t xml:space="preserve"> Potential life years lost was calculated </w:t>
      </w:r>
      <w:r w:rsidR="006658A3">
        <w:rPr>
          <w:rFonts w:asciiTheme="minorHAnsi" w:hAnsiTheme="minorHAnsi"/>
          <w:sz w:val="22"/>
        </w:rPr>
        <w:t xml:space="preserve">by looking at the age of individuals who died in 2015 and what their life expectancy would have been based on their year of birth. </w:t>
      </w:r>
    </w:p>
    <w:p w:rsidR="006658A3" w:rsidRDefault="006658A3" w:rsidP="001E7E03">
      <w:pPr>
        <w:spacing w:line="276" w:lineRule="auto"/>
        <w:rPr>
          <w:rFonts w:asciiTheme="minorHAnsi" w:hAnsiTheme="minorHAnsi"/>
          <w:sz w:val="22"/>
        </w:rPr>
      </w:pPr>
    </w:p>
    <w:p w:rsidR="00D64968" w:rsidRDefault="005E7572" w:rsidP="001E7E03">
      <w:pPr>
        <w:spacing w:line="276" w:lineRule="auto"/>
        <w:rPr>
          <w:rFonts w:asciiTheme="minorHAnsi" w:hAnsiTheme="minorHAnsi"/>
          <w:sz w:val="22"/>
        </w:rPr>
      </w:pPr>
      <w:r>
        <w:rPr>
          <w:rFonts w:asciiTheme="minorHAnsi" w:hAnsiTheme="minorHAnsi"/>
          <w:sz w:val="22"/>
        </w:rPr>
        <w:t xml:space="preserve">Note: </w:t>
      </w:r>
      <w:r w:rsidR="00D64968">
        <w:rPr>
          <w:rFonts w:asciiTheme="minorHAnsi" w:hAnsiTheme="minorHAnsi"/>
          <w:sz w:val="22"/>
        </w:rPr>
        <w:t>The</w:t>
      </w:r>
      <w:r>
        <w:rPr>
          <w:rFonts w:asciiTheme="minorHAnsi" w:hAnsiTheme="minorHAnsi"/>
          <w:sz w:val="22"/>
        </w:rPr>
        <w:t xml:space="preserve"> 2015</w:t>
      </w:r>
      <w:r w:rsidR="00D64968">
        <w:rPr>
          <w:rFonts w:asciiTheme="minorHAnsi" w:hAnsiTheme="minorHAnsi"/>
          <w:sz w:val="22"/>
        </w:rPr>
        <w:t xml:space="preserve"> figure</w:t>
      </w:r>
      <w:r w:rsidR="00790959">
        <w:rPr>
          <w:rFonts w:asciiTheme="minorHAnsi" w:hAnsiTheme="minorHAnsi"/>
          <w:sz w:val="22"/>
        </w:rPr>
        <w:t>s</w:t>
      </w:r>
      <w:r w:rsidR="00D64968">
        <w:rPr>
          <w:rFonts w:asciiTheme="minorHAnsi" w:hAnsiTheme="minorHAnsi"/>
          <w:sz w:val="22"/>
        </w:rPr>
        <w:t xml:space="preserve"> </w:t>
      </w:r>
      <w:r w:rsidR="00790959">
        <w:rPr>
          <w:rFonts w:asciiTheme="minorHAnsi" w:hAnsiTheme="minorHAnsi"/>
          <w:sz w:val="22"/>
        </w:rPr>
        <w:t>are</w:t>
      </w:r>
      <w:r w:rsidR="00D64968">
        <w:rPr>
          <w:rFonts w:asciiTheme="minorHAnsi" w:hAnsiTheme="minorHAnsi"/>
          <w:sz w:val="22"/>
        </w:rPr>
        <w:t xml:space="preserve"> likely to be revised upwards when new data become available from closed inquest files.</w:t>
      </w:r>
    </w:p>
    <w:p w:rsidR="00D64968" w:rsidRDefault="00D64968" w:rsidP="001E7E03">
      <w:pPr>
        <w:spacing w:line="276" w:lineRule="auto"/>
        <w:rPr>
          <w:rFonts w:asciiTheme="minorHAnsi" w:hAnsiTheme="minorHAnsi"/>
          <w:sz w:val="22"/>
        </w:rPr>
      </w:pPr>
    </w:p>
    <w:p w:rsidR="00B01932" w:rsidRDefault="001E7E03" w:rsidP="001E7E03">
      <w:pPr>
        <w:spacing w:line="276" w:lineRule="auto"/>
        <w:rPr>
          <w:rFonts w:asciiTheme="minorHAnsi" w:hAnsiTheme="minorHAnsi"/>
          <w:sz w:val="22"/>
        </w:rPr>
      </w:pPr>
      <w:r>
        <w:rPr>
          <w:rFonts w:asciiTheme="minorHAnsi" w:hAnsiTheme="minorHAnsi"/>
          <w:b/>
          <w:sz w:val="22"/>
        </w:rPr>
        <w:t>ENDS</w:t>
      </w:r>
    </w:p>
    <w:p w:rsidR="00B01932" w:rsidRDefault="00B01932" w:rsidP="001E7E03">
      <w:pPr>
        <w:spacing w:line="276" w:lineRule="auto"/>
        <w:rPr>
          <w:rFonts w:asciiTheme="minorHAnsi" w:hAnsiTheme="minorHAnsi"/>
          <w:sz w:val="22"/>
        </w:rPr>
      </w:pPr>
    </w:p>
    <w:p w:rsidR="005A711A" w:rsidRPr="001E7E03" w:rsidRDefault="00B01932" w:rsidP="001E7E03">
      <w:pPr>
        <w:spacing w:line="276" w:lineRule="auto"/>
        <w:rPr>
          <w:rFonts w:asciiTheme="minorHAnsi" w:hAnsiTheme="minorHAnsi"/>
          <w:b/>
          <w:sz w:val="22"/>
        </w:rPr>
      </w:pPr>
      <w:r w:rsidRPr="001E7E03">
        <w:rPr>
          <w:rFonts w:asciiTheme="minorHAnsi" w:hAnsiTheme="minorHAnsi"/>
          <w:b/>
          <w:sz w:val="22"/>
        </w:rPr>
        <w:t>For further information</w:t>
      </w:r>
      <w:r w:rsidR="00031791">
        <w:rPr>
          <w:rFonts w:asciiTheme="minorHAnsi" w:hAnsiTheme="minorHAnsi"/>
          <w:b/>
          <w:sz w:val="22"/>
        </w:rPr>
        <w:t>,</w:t>
      </w:r>
      <w:r w:rsidR="001E7E03">
        <w:rPr>
          <w:rFonts w:asciiTheme="minorHAnsi" w:hAnsiTheme="minorHAnsi"/>
          <w:b/>
          <w:sz w:val="22"/>
        </w:rPr>
        <w:t xml:space="preserve"> or to organise interviews</w:t>
      </w:r>
      <w:r w:rsidR="00D93E98">
        <w:rPr>
          <w:rFonts w:asciiTheme="minorHAnsi" w:hAnsiTheme="minorHAnsi"/>
          <w:b/>
          <w:sz w:val="22"/>
        </w:rPr>
        <w:t xml:space="preserve"> with experts</w:t>
      </w:r>
      <w:r w:rsidRPr="001E7E03">
        <w:rPr>
          <w:rFonts w:asciiTheme="minorHAnsi" w:hAnsiTheme="minorHAnsi"/>
          <w:b/>
          <w:sz w:val="22"/>
        </w:rPr>
        <w:t>, please contact</w:t>
      </w:r>
      <w:r w:rsidR="005A711A" w:rsidRPr="001E7E03">
        <w:rPr>
          <w:rFonts w:asciiTheme="minorHAnsi" w:hAnsiTheme="minorHAnsi"/>
          <w:b/>
          <w:sz w:val="22"/>
        </w:rPr>
        <w:t xml:space="preserve">: </w:t>
      </w:r>
    </w:p>
    <w:p w:rsidR="001E7E03" w:rsidRDefault="001E7E03" w:rsidP="001E7E03">
      <w:pPr>
        <w:spacing w:line="276" w:lineRule="auto"/>
        <w:rPr>
          <w:rFonts w:asciiTheme="minorHAnsi" w:hAnsiTheme="minorHAnsi"/>
          <w:sz w:val="22"/>
        </w:rPr>
      </w:pPr>
      <w:r>
        <w:rPr>
          <w:rFonts w:asciiTheme="minorHAnsi" w:hAnsiTheme="minorHAnsi"/>
          <w:sz w:val="22"/>
        </w:rPr>
        <w:t>Gillian Markey -</w:t>
      </w:r>
      <w:r w:rsidR="00B01932">
        <w:rPr>
          <w:rFonts w:asciiTheme="minorHAnsi" w:hAnsiTheme="minorHAnsi"/>
          <w:sz w:val="22"/>
        </w:rPr>
        <w:t xml:space="preserve"> </w:t>
      </w:r>
      <w:r>
        <w:rPr>
          <w:rFonts w:asciiTheme="minorHAnsi" w:hAnsiTheme="minorHAnsi"/>
          <w:sz w:val="22"/>
        </w:rPr>
        <w:t>Communications Manager</w:t>
      </w:r>
      <w:r w:rsidR="00763A6D">
        <w:rPr>
          <w:rFonts w:asciiTheme="minorHAnsi" w:hAnsiTheme="minorHAnsi"/>
          <w:sz w:val="22"/>
        </w:rPr>
        <w:t>,</w:t>
      </w:r>
      <w:r w:rsidR="00763A6D" w:rsidRPr="00763A6D">
        <w:rPr>
          <w:rFonts w:asciiTheme="minorHAnsi" w:hAnsiTheme="minorHAnsi"/>
          <w:sz w:val="22"/>
        </w:rPr>
        <w:t xml:space="preserve"> </w:t>
      </w:r>
      <w:r w:rsidR="00763A6D">
        <w:rPr>
          <w:rFonts w:asciiTheme="minorHAnsi" w:hAnsiTheme="minorHAnsi"/>
          <w:sz w:val="22"/>
        </w:rPr>
        <w:t>Health Research Board</w:t>
      </w:r>
    </w:p>
    <w:p w:rsidR="00B01932" w:rsidRDefault="00B01932" w:rsidP="001E7E03">
      <w:pPr>
        <w:spacing w:line="276" w:lineRule="auto"/>
        <w:rPr>
          <w:rFonts w:asciiTheme="minorHAnsi" w:hAnsiTheme="minorHAnsi"/>
          <w:sz w:val="22"/>
        </w:rPr>
      </w:pPr>
      <w:r w:rsidRPr="00B01932">
        <w:rPr>
          <w:rFonts w:asciiTheme="minorHAnsi" w:hAnsiTheme="minorHAnsi"/>
          <w:b/>
          <w:sz w:val="22"/>
        </w:rPr>
        <w:t>m</w:t>
      </w:r>
      <w:r>
        <w:rPr>
          <w:rFonts w:asciiTheme="minorHAnsi" w:hAnsiTheme="minorHAnsi"/>
          <w:sz w:val="22"/>
        </w:rPr>
        <w:t xml:space="preserve"> 087 2288514 </w:t>
      </w:r>
      <w:r w:rsidRPr="00B01932">
        <w:rPr>
          <w:rFonts w:asciiTheme="minorHAnsi" w:hAnsiTheme="minorHAnsi"/>
          <w:b/>
          <w:sz w:val="22"/>
        </w:rPr>
        <w:t>e</w:t>
      </w:r>
      <w:r>
        <w:rPr>
          <w:rFonts w:asciiTheme="minorHAnsi" w:hAnsiTheme="minorHAnsi"/>
          <w:sz w:val="22"/>
        </w:rPr>
        <w:t xml:space="preserve"> </w:t>
      </w:r>
      <w:hyperlink r:id="rId9" w:history="1">
        <w:r w:rsidRPr="00D67FD6">
          <w:rPr>
            <w:rStyle w:val="Hyperlink"/>
            <w:rFonts w:asciiTheme="minorHAnsi" w:hAnsiTheme="minorHAnsi"/>
            <w:sz w:val="22"/>
          </w:rPr>
          <w:t>gmarkey@hrb.ie</w:t>
        </w:r>
      </w:hyperlink>
      <w:r>
        <w:rPr>
          <w:rFonts w:asciiTheme="minorHAnsi" w:hAnsiTheme="minorHAnsi"/>
          <w:sz w:val="22"/>
        </w:rPr>
        <w:t xml:space="preserve"> </w:t>
      </w:r>
    </w:p>
    <w:p w:rsidR="00B01932" w:rsidRDefault="00B01932" w:rsidP="001E7E03">
      <w:pPr>
        <w:spacing w:line="276" w:lineRule="auto"/>
        <w:rPr>
          <w:rFonts w:asciiTheme="minorHAnsi" w:hAnsiTheme="minorHAnsi"/>
          <w:sz w:val="22"/>
        </w:rPr>
      </w:pPr>
    </w:p>
    <w:p w:rsidR="00B01932" w:rsidRPr="008A7050" w:rsidRDefault="00B01932" w:rsidP="001E7E03">
      <w:pPr>
        <w:spacing w:line="276" w:lineRule="auto"/>
        <w:rPr>
          <w:rFonts w:asciiTheme="minorHAnsi" w:hAnsiTheme="minorHAnsi"/>
          <w:sz w:val="22"/>
        </w:rPr>
      </w:pPr>
      <w:r w:rsidRPr="00B01932">
        <w:rPr>
          <w:rFonts w:asciiTheme="minorHAnsi" w:hAnsiTheme="minorHAnsi"/>
          <w:sz w:val="22"/>
        </w:rPr>
        <w:t xml:space="preserve">The Health Research Board (HRB) is the lead agency supporting and funding health research in Ireland. We manage five health information systems in the areas of alcohol and drug use, disability and mental health and generate evidence for health policy. Our aim is to improve people's health, build health research capacity and underpin developments in </w:t>
      </w:r>
      <w:r w:rsidR="00F420AD">
        <w:rPr>
          <w:rFonts w:asciiTheme="minorHAnsi" w:hAnsiTheme="minorHAnsi"/>
          <w:sz w:val="22"/>
        </w:rPr>
        <w:t xml:space="preserve">health </w:t>
      </w:r>
      <w:r w:rsidRPr="00B01932">
        <w:rPr>
          <w:rFonts w:asciiTheme="minorHAnsi" w:hAnsiTheme="minorHAnsi"/>
          <w:sz w:val="22"/>
        </w:rPr>
        <w:t>service delivery.</w:t>
      </w:r>
    </w:p>
    <w:sectPr w:rsidR="00B01932" w:rsidRPr="008A7050" w:rsidSect="001A67E3">
      <w:footerReference w:type="default" r:id="rId10"/>
      <w:pgSz w:w="11907" w:h="16840" w:code="9"/>
      <w:pgMar w:top="1440" w:right="1077" w:bottom="1440" w:left="1077" w:header="709" w:footer="709" w:gutter="0"/>
      <w:paperSrc w:first="259"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F32" w:rsidRDefault="00D93F32" w:rsidP="00D64968">
      <w:r>
        <w:separator/>
      </w:r>
    </w:p>
  </w:endnote>
  <w:endnote w:type="continuationSeparator" w:id="0">
    <w:p w:rsidR="00D93F32" w:rsidRDefault="00D93F32" w:rsidP="00D6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736233"/>
      <w:docPartObj>
        <w:docPartGallery w:val="Page Numbers (Bottom of Page)"/>
        <w:docPartUnique/>
      </w:docPartObj>
    </w:sdtPr>
    <w:sdtEndPr/>
    <w:sdtContent>
      <w:sdt>
        <w:sdtPr>
          <w:id w:val="860082579"/>
          <w:docPartObj>
            <w:docPartGallery w:val="Page Numbers (Top of Page)"/>
            <w:docPartUnique/>
          </w:docPartObj>
        </w:sdtPr>
        <w:sdtEndPr/>
        <w:sdtContent>
          <w:p w:rsidR="001E7E03" w:rsidRDefault="001E7E0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44D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44DC">
              <w:rPr>
                <w:b/>
                <w:bCs/>
                <w:noProof/>
              </w:rPr>
              <w:t>2</w:t>
            </w:r>
            <w:r>
              <w:rPr>
                <w:b/>
                <w:bCs/>
                <w:sz w:val="24"/>
                <w:szCs w:val="24"/>
              </w:rPr>
              <w:fldChar w:fldCharType="end"/>
            </w:r>
          </w:p>
        </w:sdtContent>
      </w:sdt>
    </w:sdtContent>
  </w:sdt>
  <w:p w:rsidR="001E7E03" w:rsidRDefault="001E7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F32" w:rsidRDefault="00D93F32" w:rsidP="00D64968">
      <w:r>
        <w:separator/>
      </w:r>
    </w:p>
  </w:footnote>
  <w:footnote w:type="continuationSeparator" w:id="0">
    <w:p w:rsidR="00D93F32" w:rsidRDefault="00D93F32" w:rsidP="00D64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22AA"/>
    <w:multiLevelType w:val="hybridMultilevel"/>
    <w:tmpl w:val="17E28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F51BB9"/>
    <w:multiLevelType w:val="hybridMultilevel"/>
    <w:tmpl w:val="8930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984DB7"/>
    <w:multiLevelType w:val="hybridMultilevel"/>
    <w:tmpl w:val="4E56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814DD8"/>
    <w:multiLevelType w:val="hybridMultilevel"/>
    <w:tmpl w:val="1C1A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641C66"/>
    <w:multiLevelType w:val="hybridMultilevel"/>
    <w:tmpl w:val="4628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513E92"/>
    <w:multiLevelType w:val="hybridMultilevel"/>
    <w:tmpl w:val="4C70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B812CE"/>
    <w:multiLevelType w:val="hybridMultilevel"/>
    <w:tmpl w:val="57A8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53048B"/>
    <w:multiLevelType w:val="hybridMultilevel"/>
    <w:tmpl w:val="FA3E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E90050"/>
    <w:multiLevelType w:val="hybridMultilevel"/>
    <w:tmpl w:val="54CC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9B05F4"/>
    <w:multiLevelType w:val="hybridMultilevel"/>
    <w:tmpl w:val="B3B6F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9A67E3"/>
    <w:multiLevelType w:val="hybridMultilevel"/>
    <w:tmpl w:val="98884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525D12"/>
    <w:multiLevelType w:val="hybridMultilevel"/>
    <w:tmpl w:val="2D7EB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217639"/>
    <w:multiLevelType w:val="hybridMultilevel"/>
    <w:tmpl w:val="7436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260A40"/>
    <w:multiLevelType w:val="hybridMultilevel"/>
    <w:tmpl w:val="F9C2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6"/>
  </w:num>
  <w:num w:numId="4">
    <w:abstractNumId w:val="5"/>
  </w:num>
  <w:num w:numId="5">
    <w:abstractNumId w:val="9"/>
  </w:num>
  <w:num w:numId="6">
    <w:abstractNumId w:val="1"/>
  </w:num>
  <w:num w:numId="7">
    <w:abstractNumId w:val="10"/>
  </w:num>
  <w:num w:numId="8">
    <w:abstractNumId w:val="7"/>
  </w:num>
  <w:num w:numId="9">
    <w:abstractNumId w:val="0"/>
  </w:num>
  <w:num w:numId="10">
    <w:abstractNumId w:val="2"/>
  </w:num>
  <w:num w:numId="11">
    <w:abstractNumId w:val="4"/>
  </w:num>
  <w:num w:numId="12">
    <w:abstractNumId w:val="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35"/>
    <w:rsid w:val="0000266D"/>
    <w:rsid w:val="00014764"/>
    <w:rsid w:val="0002544E"/>
    <w:rsid w:val="00031791"/>
    <w:rsid w:val="00032F8D"/>
    <w:rsid w:val="000C20A9"/>
    <w:rsid w:val="000E3FD5"/>
    <w:rsid w:val="00110E15"/>
    <w:rsid w:val="00142AC8"/>
    <w:rsid w:val="00147A63"/>
    <w:rsid w:val="00152A3B"/>
    <w:rsid w:val="00156DFB"/>
    <w:rsid w:val="001646A2"/>
    <w:rsid w:val="0017779F"/>
    <w:rsid w:val="00192058"/>
    <w:rsid w:val="001966B3"/>
    <w:rsid w:val="001A67E3"/>
    <w:rsid w:val="001E7E03"/>
    <w:rsid w:val="001F5AF6"/>
    <w:rsid w:val="00265799"/>
    <w:rsid w:val="002B4663"/>
    <w:rsid w:val="002B512F"/>
    <w:rsid w:val="002D609E"/>
    <w:rsid w:val="002E3794"/>
    <w:rsid w:val="002F0158"/>
    <w:rsid w:val="00306A87"/>
    <w:rsid w:val="00316211"/>
    <w:rsid w:val="003679BA"/>
    <w:rsid w:val="003C333E"/>
    <w:rsid w:val="003F607F"/>
    <w:rsid w:val="003F780F"/>
    <w:rsid w:val="00453973"/>
    <w:rsid w:val="00472AFA"/>
    <w:rsid w:val="004C46E4"/>
    <w:rsid w:val="004C68B3"/>
    <w:rsid w:val="004E79D3"/>
    <w:rsid w:val="005372FC"/>
    <w:rsid w:val="00586D98"/>
    <w:rsid w:val="005A711A"/>
    <w:rsid w:val="005C5F33"/>
    <w:rsid w:val="005E7572"/>
    <w:rsid w:val="00604F78"/>
    <w:rsid w:val="00661935"/>
    <w:rsid w:val="006658A3"/>
    <w:rsid w:val="006937C1"/>
    <w:rsid w:val="006A1E10"/>
    <w:rsid w:val="006B4AD8"/>
    <w:rsid w:val="006D02F6"/>
    <w:rsid w:val="006E4739"/>
    <w:rsid w:val="00706671"/>
    <w:rsid w:val="0074754F"/>
    <w:rsid w:val="00751DDC"/>
    <w:rsid w:val="00752816"/>
    <w:rsid w:val="00763A6D"/>
    <w:rsid w:val="00770B60"/>
    <w:rsid w:val="0077443A"/>
    <w:rsid w:val="00790959"/>
    <w:rsid w:val="007923C9"/>
    <w:rsid w:val="007B4612"/>
    <w:rsid w:val="007B5AAF"/>
    <w:rsid w:val="008179E6"/>
    <w:rsid w:val="00885DA3"/>
    <w:rsid w:val="008A0CB6"/>
    <w:rsid w:val="008A7050"/>
    <w:rsid w:val="009043ED"/>
    <w:rsid w:val="00913E1A"/>
    <w:rsid w:val="00931A3D"/>
    <w:rsid w:val="00941942"/>
    <w:rsid w:val="009761A7"/>
    <w:rsid w:val="009935B1"/>
    <w:rsid w:val="00A21D5B"/>
    <w:rsid w:val="00A40E28"/>
    <w:rsid w:val="00A5317E"/>
    <w:rsid w:val="00AA0B51"/>
    <w:rsid w:val="00AA5769"/>
    <w:rsid w:val="00B01932"/>
    <w:rsid w:val="00B5690F"/>
    <w:rsid w:val="00BB76BF"/>
    <w:rsid w:val="00BC10D5"/>
    <w:rsid w:val="00BF62C8"/>
    <w:rsid w:val="00CD1D07"/>
    <w:rsid w:val="00CF44DC"/>
    <w:rsid w:val="00D53C41"/>
    <w:rsid w:val="00D64968"/>
    <w:rsid w:val="00D80725"/>
    <w:rsid w:val="00D82C7C"/>
    <w:rsid w:val="00D93E98"/>
    <w:rsid w:val="00D93F32"/>
    <w:rsid w:val="00DC32BB"/>
    <w:rsid w:val="00DF57F4"/>
    <w:rsid w:val="00E37A31"/>
    <w:rsid w:val="00EA746D"/>
    <w:rsid w:val="00EC0D79"/>
    <w:rsid w:val="00EC6AC8"/>
    <w:rsid w:val="00ED3FB4"/>
    <w:rsid w:val="00F11884"/>
    <w:rsid w:val="00F21673"/>
    <w:rsid w:val="00F420AD"/>
    <w:rsid w:val="00F44FB0"/>
    <w:rsid w:val="00F725B5"/>
    <w:rsid w:val="00F81F50"/>
    <w:rsid w:val="00FA5CB7"/>
    <w:rsid w:val="00FB768C"/>
    <w:rsid w:val="00FF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E6"/>
    <w:rPr>
      <w:rFonts w:ascii="Tahoma" w:hAnsi="Tahoma"/>
      <w:sz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ListParagraph">
    <w:name w:val="List Paragraph"/>
    <w:basedOn w:val="Normal"/>
    <w:uiPriority w:val="34"/>
    <w:qFormat/>
    <w:rsid w:val="00BF62C8"/>
    <w:pPr>
      <w:ind w:left="720"/>
      <w:contextualSpacing/>
    </w:pPr>
  </w:style>
  <w:style w:type="character" w:styleId="Hyperlink">
    <w:name w:val="Hyperlink"/>
    <w:basedOn w:val="DefaultParagraphFont"/>
    <w:uiPriority w:val="99"/>
    <w:unhideWhenUsed/>
    <w:rsid w:val="00B01932"/>
    <w:rPr>
      <w:color w:val="0000FF" w:themeColor="hyperlink"/>
      <w:u w:val="single"/>
    </w:rPr>
  </w:style>
  <w:style w:type="paragraph" w:styleId="Header">
    <w:name w:val="header"/>
    <w:basedOn w:val="Normal"/>
    <w:link w:val="HeaderChar"/>
    <w:uiPriority w:val="99"/>
    <w:unhideWhenUsed/>
    <w:rsid w:val="00D64968"/>
    <w:pPr>
      <w:tabs>
        <w:tab w:val="center" w:pos="4513"/>
        <w:tab w:val="right" w:pos="9026"/>
      </w:tabs>
    </w:pPr>
  </w:style>
  <w:style w:type="character" w:customStyle="1" w:styleId="HeaderChar">
    <w:name w:val="Header Char"/>
    <w:basedOn w:val="DefaultParagraphFont"/>
    <w:link w:val="Header"/>
    <w:uiPriority w:val="99"/>
    <w:rsid w:val="00D64968"/>
    <w:rPr>
      <w:rFonts w:ascii="Tahoma" w:hAnsi="Tahoma"/>
      <w:sz w:val="20"/>
      <w:lang w:val="en-IE"/>
    </w:rPr>
  </w:style>
  <w:style w:type="paragraph" w:styleId="Footer">
    <w:name w:val="footer"/>
    <w:basedOn w:val="Normal"/>
    <w:link w:val="FooterChar"/>
    <w:uiPriority w:val="99"/>
    <w:unhideWhenUsed/>
    <w:rsid w:val="00D64968"/>
    <w:pPr>
      <w:tabs>
        <w:tab w:val="center" w:pos="4513"/>
        <w:tab w:val="right" w:pos="9026"/>
      </w:tabs>
    </w:pPr>
  </w:style>
  <w:style w:type="character" w:customStyle="1" w:styleId="FooterChar">
    <w:name w:val="Footer Char"/>
    <w:basedOn w:val="DefaultParagraphFont"/>
    <w:link w:val="Footer"/>
    <w:uiPriority w:val="99"/>
    <w:rsid w:val="00D64968"/>
    <w:rPr>
      <w:rFonts w:ascii="Tahoma" w:hAnsi="Tahoma"/>
      <w:sz w:val="20"/>
      <w:lang w:val="en-IE"/>
    </w:rPr>
  </w:style>
  <w:style w:type="character" w:styleId="CommentReference">
    <w:name w:val="annotation reference"/>
    <w:basedOn w:val="DefaultParagraphFont"/>
    <w:uiPriority w:val="99"/>
    <w:semiHidden/>
    <w:unhideWhenUsed/>
    <w:rsid w:val="00F420AD"/>
    <w:rPr>
      <w:sz w:val="16"/>
      <w:szCs w:val="16"/>
    </w:rPr>
  </w:style>
  <w:style w:type="paragraph" w:styleId="CommentText">
    <w:name w:val="annotation text"/>
    <w:basedOn w:val="Normal"/>
    <w:link w:val="CommentTextChar"/>
    <w:uiPriority w:val="99"/>
    <w:unhideWhenUsed/>
    <w:rsid w:val="00F420AD"/>
    <w:rPr>
      <w:szCs w:val="20"/>
    </w:rPr>
  </w:style>
  <w:style w:type="character" w:customStyle="1" w:styleId="CommentTextChar">
    <w:name w:val="Comment Text Char"/>
    <w:basedOn w:val="DefaultParagraphFont"/>
    <w:link w:val="CommentText"/>
    <w:uiPriority w:val="99"/>
    <w:rsid w:val="00F420AD"/>
    <w:rPr>
      <w:rFonts w:ascii="Tahoma" w:hAnsi="Tahoma"/>
      <w:sz w:val="20"/>
      <w:szCs w:val="20"/>
      <w:lang w:val="en-IE"/>
    </w:rPr>
  </w:style>
  <w:style w:type="paragraph" w:styleId="CommentSubject">
    <w:name w:val="annotation subject"/>
    <w:basedOn w:val="CommentText"/>
    <w:next w:val="CommentText"/>
    <w:link w:val="CommentSubjectChar"/>
    <w:uiPriority w:val="99"/>
    <w:semiHidden/>
    <w:unhideWhenUsed/>
    <w:rsid w:val="00F420AD"/>
    <w:rPr>
      <w:b/>
      <w:bCs/>
    </w:rPr>
  </w:style>
  <w:style w:type="character" w:customStyle="1" w:styleId="CommentSubjectChar">
    <w:name w:val="Comment Subject Char"/>
    <w:basedOn w:val="CommentTextChar"/>
    <w:link w:val="CommentSubject"/>
    <w:uiPriority w:val="99"/>
    <w:semiHidden/>
    <w:rsid w:val="00F420AD"/>
    <w:rPr>
      <w:rFonts w:ascii="Tahoma" w:hAnsi="Tahoma"/>
      <w:b/>
      <w:bCs/>
      <w:sz w:val="20"/>
      <w:szCs w:val="20"/>
      <w:lang w:val="en-IE"/>
    </w:rPr>
  </w:style>
  <w:style w:type="paragraph" w:styleId="BalloonText">
    <w:name w:val="Balloon Text"/>
    <w:basedOn w:val="Normal"/>
    <w:link w:val="BalloonTextChar"/>
    <w:uiPriority w:val="99"/>
    <w:semiHidden/>
    <w:unhideWhenUsed/>
    <w:rsid w:val="00F420AD"/>
    <w:rPr>
      <w:rFonts w:cs="Tahoma"/>
      <w:sz w:val="16"/>
      <w:szCs w:val="16"/>
    </w:rPr>
  </w:style>
  <w:style w:type="character" w:customStyle="1" w:styleId="BalloonTextChar">
    <w:name w:val="Balloon Text Char"/>
    <w:basedOn w:val="DefaultParagraphFont"/>
    <w:link w:val="BalloonText"/>
    <w:uiPriority w:val="99"/>
    <w:semiHidden/>
    <w:rsid w:val="00F420AD"/>
    <w:rPr>
      <w:rFonts w:ascii="Tahoma" w:hAnsi="Tahoma" w:cs="Tahoma"/>
      <w:sz w:val="16"/>
      <w:szCs w:val="16"/>
      <w:lang w:val="en-IE"/>
    </w:rPr>
  </w:style>
  <w:style w:type="paragraph" w:customStyle="1" w:styleId="NBIMainBodyText">
    <w:name w:val="NBI_MainBodyText"/>
    <w:basedOn w:val="Normal"/>
    <w:qFormat/>
    <w:rsid w:val="005A711A"/>
    <w:pPr>
      <w:spacing w:line="260" w:lineRule="exact"/>
    </w:pPr>
    <w:rPr>
      <w:rFonts w:asciiTheme="minorHAnsi" w:hAnsiTheme="minorHAnsi" w:cs="Times New Roman"/>
      <w:sz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E6"/>
    <w:rPr>
      <w:rFonts w:ascii="Tahoma" w:hAnsi="Tahoma"/>
      <w:sz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ListParagraph">
    <w:name w:val="List Paragraph"/>
    <w:basedOn w:val="Normal"/>
    <w:uiPriority w:val="34"/>
    <w:qFormat/>
    <w:rsid w:val="00BF62C8"/>
    <w:pPr>
      <w:ind w:left="720"/>
      <w:contextualSpacing/>
    </w:pPr>
  </w:style>
  <w:style w:type="character" w:styleId="Hyperlink">
    <w:name w:val="Hyperlink"/>
    <w:basedOn w:val="DefaultParagraphFont"/>
    <w:uiPriority w:val="99"/>
    <w:unhideWhenUsed/>
    <w:rsid w:val="00B01932"/>
    <w:rPr>
      <w:color w:val="0000FF" w:themeColor="hyperlink"/>
      <w:u w:val="single"/>
    </w:rPr>
  </w:style>
  <w:style w:type="paragraph" w:styleId="Header">
    <w:name w:val="header"/>
    <w:basedOn w:val="Normal"/>
    <w:link w:val="HeaderChar"/>
    <w:uiPriority w:val="99"/>
    <w:unhideWhenUsed/>
    <w:rsid w:val="00D64968"/>
    <w:pPr>
      <w:tabs>
        <w:tab w:val="center" w:pos="4513"/>
        <w:tab w:val="right" w:pos="9026"/>
      </w:tabs>
    </w:pPr>
  </w:style>
  <w:style w:type="character" w:customStyle="1" w:styleId="HeaderChar">
    <w:name w:val="Header Char"/>
    <w:basedOn w:val="DefaultParagraphFont"/>
    <w:link w:val="Header"/>
    <w:uiPriority w:val="99"/>
    <w:rsid w:val="00D64968"/>
    <w:rPr>
      <w:rFonts w:ascii="Tahoma" w:hAnsi="Tahoma"/>
      <w:sz w:val="20"/>
      <w:lang w:val="en-IE"/>
    </w:rPr>
  </w:style>
  <w:style w:type="paragraph" w:styleId="Footer">
    <w:name w:val="footer"/>
    <w:basedOn w:val="Normal"/>
    <w:link w:val="FooterChar"/>
    <w:uiPriority w:val="99"/>
    <w:unhideWhenUsed/>
    <w:rsid w:val="00D64968"/>
    <w:pPr>
      <w:tabs>
        <w:tab w:val="center" w:pos="4513"/>
        <w:tab w:val="right" w:pos="9026"/>
      </w:tabs>
    </w:pPr>
  </w:style>
  <w:style w:type="character" w:customStyle="1" w:styleId="FooterChar">
    <w:name w:val="Footer Char"/>
    <w:basedOn w:val="DefaultParagraphFont"/>
    <w:link w:val="Footer"/>
    <w:uiPriority w:val="99"/>
    <w:rsid w:val="00D64968"/>
    <w:rPr>
      <w:rFonts w:ascii="Tahoma" w:hAnsi="Tahoma"/>
      <w:sz w:val="20"/>
      <w:lang w:val="en-IE"/>
    </w:rPr>
  </w:style>
  <w:style w:type="character" w:styleId="CommentReference">
    <w:name w:val="annotation reference"/>
    <w:basedOn w:val="DefaultParagraphFont"/>
    <w:uiPriority w:val="99"/>
    <w:semiHidden/>
    <w:unhideWhenUsed/>
    <w:rsid w:val="00F420AD"/>
    <w:rPr>
      <w:sz w:val="16"/>
      <w:szCs w:val="16"/>
    </w:rPr>
  </w:style>
  <w:style w:type="paragraph" w:styleId="CommentText">
    <w:name w:val="annotation text"/>
    <w:basedOn w:val="Normal"/>
    <w:link w:val="CommentTextChar"/>
    <w:uiPriority w:val="99"/>
    <w:unhideWhenUsed/>
    <w:rsid w:val="00F420AD"/>
    <w:rPr>
      <w:szCs w:val="20"/>
    </w:rPr>
  </w:style>
  <w:style w:type="character" w:customStyle="1" w:styleId="CommentTextChar">
    <w:name w:val="Comment Text Char"/>
    <w:basedOn w:val="DefaultParagraphFont"/>
    <w:link w:val="CommentText"/>
    <w:uiPriority w:val="99"/>
    <w:rsid w:val="00F420AD"/>
    <w:rPr>
      <w:rFonts w:ascii="Tahoma" w:hAnsi="Tahoma"/>
      <w:sz w:val="20"/>
      <w:szCs w:val="20"/>
      <w:lang w:val="en-IE"/>
    </w:rPr>
  </w:style>
  <w:style w:type="paragraph" w:styleId="CommentSubject">
    <w:name w:val="annotation subject"/>
    <w:basedOn w:val="CommentText"/>
    <w:next w:val="CommentText"/>
    <w:link w:val="CommentSubjectChar"/>
    <w:uiPriority w:val="99"/>
    <w:semiHidden/>
    <w:unhideWhenUsed/>
    <w:rsid w:val="00F420AD"/>
    <w:rPr>
      <w:b/>
      <w:bCs/>
    </w:rPr>
  </w:style>
  <w:style w:type="character" w:customStyle="1" w:styleId="CommentSubjectChar">
    <w:name w:val="Comment Subject Char"/>
    <w:basedOn w:val="CommentTextChar"/>
    <w:link w:val="CommentSubject"/>
    <w:uiPriority w:val="99"/>
    <w:semiHidden/>
    <w:rsid w:val="00F420AD"/>
    <w:rPr>
      <w:rFonts w:ascii="Tahoma" w:hAnsi="Tahoma"/>
      <w:b/>
      <w:bCs/>
      <w:sz w:val="20"/>
      <w:szCs w:val="20"/>
      <w:lang w:val="en-IE"/>
    </w:rPr>
  </w:style>
  <w:style w:type="paragraph" w:styleId="BalloonText">
    <w:name w:val="Balloon Text"/>
    <w:basedOn w:val="Normal"/>
    <w:link w:val="BalloonTextChar"/>
    <w:uiPriority w:val="99"/>
    <w:semiHidden/>
    <w:unhideWhenUsed/>
    <w:rsid w:val="00F420AD"/>
    <w:rPr>
      <w:rFonts w:cs="Tahoma"/>
      <w:sz w:val="16"/>
      <w:szCs w:val="16"/>
    </w:rPr>
  </w:style>
  <w:style w:type="character" w:customStyle="1" w:styleId="BalloonTextChar">
    <w:name w:val="Balloon Text Char"/>
    <w:basedOn w:val="DefaultParagraphFont"/>
    <w:link w:val="BalloonText"/>
    <w:uiPriority w:val="99"/>
    <w:semiHidden/>
    <w:rsid w:val="00F420AD"/>
    <w:rPr>
      <w:rFonts w:ascii="Tahoma" w:hAnsi="Tahoma" w:cs="Tahoma"/>
      <w:sz w:val="16"/>
      <w:szCs w:val="16"/>
      <w:lang w:val="en-IE"/>
    </w:rPr>
  </w:style>
  <w:style w:type="paragraph" w:customStyle="1" w:styleId="NBIMainBodyText">
    <w:name w:val="NBI_MainBodyText"/>
    <w:basedOn w:val="Normal"/>
    <w:qFormat/>
    <w:rsid w:val="005A711A"/>
    <w:pPr>
      <w:spacing w:line="260" w:lineRule="exact"/>
    </w:pPr>
    <w:rPr>
      <w:rFonts w:asciiTheme="minorHAnsi" w:hAnsiTheme="minorHAnsi" w:cs="Times New Roman"/>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b.ie/publicat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markey@hr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1B340BAB</Template>
  <TotalTime>0</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Cummins</dc:creator>
  <cp:lastModifiedBy>Mairea Nelson</cp:lastModifiedBy>
  <cp:revision>2</cp:revision>
  <cp:lastPrinted>2017-12-08T09:46:00Z</cp:lastPrinted>
  <dcterms:created xsi:type="dcterms:W3CDTF">2017-12-11T15:07:00Z</dcterms:created>
  <dcterms:modified xsi:type="dcterms:W3CDTF">2017-12-11T15:07:00Z</dcterms:modified>
</cp:coreProperties>
</file>