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E85" w:rsidRPr="00F65CFE" w:rsidRDefault="00354545" w:rsidP="001B0E85">
      <w:pPr>
        <w:spacing w:line="312" w:lineRule="auto"/>
        <w:rPr>
          <w:rFonts w:asciiTheme="minorHAnsi" w:hAnsiTheme="minorHAnsi" w:cs="Tahoma"/>
          <w:b/>
          <w:sz w:val="28"/>
        </w:rPr>
      </w:pPr>
      <w:bookmarkStart w:id="0" w:name="_GoBack"/>
      <w:bookmarkEnd w:id="0"/>
      <w:r w:rsidRPr="00F65CFE">
        <w:rPr>
          <w:rFonts w:asciiTheme="minorHAnsi" w:hAnsiTheme="minorHAnsi" w:cs="Tahoma"/>
          <w:b/>
          <w:sz w:val="28"/>
        </w:rPr>
        <w:t>Press Release</w:t>
      </w:r>
    </w:p>
    <w:p w:rsidR="001B0E85" w:rsidRPr="00C07BD6" w:rsidRDefault="001B0E85" w:rsidP="001B0E85">
      <w:pPr>
        <w:spacing w:line="312" w:lineRule="auto"/>
        <w:rPr>
          <w:rFonts w:asciiTheme="minorHAnsi" w:hAnsiTheme="minorHAnsi" w:cs="Tahoma"/>
          <w:b/>
          <w:sz w:val="22"/>
          <w:u w:val="single"/>
        </w:rPr>
      </w:pPr>
    </w:p>
    <w:p w:rsidR="001B0E85" w:rsidRPr="00F65CFE" w:rsidRDefault="000E1043" w:rsidP="001B0E85">
      <w:pPr>
        <w:pStyle w:val="Title"/>
        <w:pBdr>
          <w:bottom w:val="single" w:sz="12" w:space="1" w:color="auto"/>
        </w:pBdr>
        <w:tabs>
          <w:tab w:val="left" w:pos="720"/>
          <w:tab w:val="left" w:pos="1440"/>
          <w:tab w:val="left" w:pos="2160"/>
          <w:tab w:val="left" w:pos="2880"/>
          <w:tab w:val="center" w:pos="4153"/>
        </w:tabs>
        <w:spacing w:line="312" w:lineRule="auto"/>
        <w:jc w:val="left"/>
        <w:rPr>
          <w:rFonts w:asciiTheme="minorHAnsi" w:hAnsiTheme="minorHAnsi" w:cs="Tahoma"/>
          <w:szCs w:val="22"/>
        </w:rPr>
      </w:pPr>
      <w:r w:rsidRPr="00F65CFE">
        <w:rPr>
          <w:rFonts w:asciiTheme="minorHAnsi" w:hAnsiTheme="minorHAnsi" w:cs="Tahoma"/>
          <w:szCs w:val="22"/>
        </w:rPr>
        <w:t>HRB publish latest drug treatment figures</w:t>
      </w:r>
      <w:r w:rsidR="001B0E85" w:rsidRPr="00F65CFE">
        <w:rPr>
          <w:rFonts w:asciiTheme="minorHAnsi" w:hAnsiTheme="minorHAnsi" w:cs="Tahoma"/>
          <w:szCs w:val="22"/>
        </w:rPr>
        <w:t xml:space="preserve"> </w:t>
      </w:r>
    </w:p>
    <w:p w:rsidR="001B0E85" w:rsidRPr="00F65CFE" w:rsidRDefault="001B0E85" w:rsidP="00F65CFE">
      <w:pPr>
        <w:pStyle w:val="Title"/>
        <w:pBdr>
          <w:bottom w:val="single" w:sz="12" w:space="1" w:color="auto"/>
        </w:pBdr>
        <w:tabs>
          <w:tab w:val="left" w:pos="720"/>
          <w:tab w:val="left" w:pos="1440"/>
          <w:tab w:val="left" w:pos="2160"/>
          <w:tab w:val="left" w:pos="2880"/>
          <w:tab w:val="center" w:pos="4153"/>
        </w:tabs>
        <w:jc w:val="left"/>
        <w:rPr>
          <w:rFonts w:asciiTheme="minorHAnsi" w:hAnsiTheme="minorHAnsi" w:cs="Tahoma"/>
          <w:szCs w:val="22"/>
        </w:rPr>
      </w:pPr>
    </w:p>
    <w:p w:rsidR="001B0E85" w:rsidRPr="00F65CFE" w:rsidRDefault="001B0E85" w:rsidP="001B0E85">
      <w:pPr>
        <w:pStyle w:val="Title"/>
        <w:pBdr>
          <w:bottom w:val="single" w:sz="12" w:space="1" w:color="auto"/>
        </w:pBdr>
        <w:tabs>
          <w:tab w:val="left" w:pos="720"/>
          <w:tab w:val="left" w:pos="1440"/>
          <w:tab w:val="left" w:pos="2160"/>
          <w:tab w:val="left" w:pos="2880"/>
          <w:tab w:val="center" w:pos="4153"/>
        </w:tabs>
        <w:spacing w:line="312" w:lineRule="auto"/>
        <w:jc w:val="left"/>
        <w:rPr>
          <w:rFonts w:asciiTheme="minorHAnsi" w:hAnsiTheme="minorHAnsi" w:cs="Tahoma"/>
          <w:szCs w:val="22"/>
        </w:rPr>
      </w:pPr>
      <w:r w:rsidRPr="00F65CFE">
        <w:rPr>
          <w:rFonts w:asciiTheme="minorHAnsi" w:hAnsiTheme="minorHAnsi" w:cs="Tahoma"/>
          <w:szCs w:val="22"/>
        </w:rPr>
        <w:t xml:space="preserve">HRB compares </w:t>
      </w:r>
      <w:r w:rsidR="000E1043" w:rsidRPr="00F65CFE">
        <w:rPr>
          <w:rFonts w:asciiTheme="minorHAnsi" w:hAnsiTheme="minorHAnsi" w:cs="Tahoma"/>
          <w:szCs w:val="22"/>
        </w:rPr>
        <w:t xml:space="preserve">the Irish drug </w:t>
      </w:r>
      <w:r w:rsidRPr="00F65CFE">
        <w:rPr>
          <w:rFonts w:asciiTheme="minorHAnsi" w:hAnsiTheme="minorHAnsi" w:cs="Tahoma"/>
          <w:szCs w:val="22"/>
        </w:rPr>
        <w:t xml:space="preserve">situation </w:t>
      </w:r>
      <w:r w:rsidR="000E1043" w:rsidRPr="00F65CFE">
        <w:rPr>
          <w:rFonts w:asciiTheme="minorHAnsi" w:hAnsiTheme="minorHAnsi" w:cs="Tahoma"/>
          <w:szCs w:val="22"/>
        </w:rPr>
        <w:t>with the rest of</w:t>
      </w:r>
      <w:r w:rsidRPr="00F65CFE">
        <w:rPr>
          <w:rFonts w:asciiTheme="minorHAnsi" w:hAnsiTheme="minorHAnsi" w:cs="Tahoma"/>
          <w:szCs w:val="22"/>
        </w:rPr>
        <w:t xml:space="preserve"> Europe</w:t>
      </w:r>
    </w:p>
    <w:p w:rsidR="00251942" w:rsidRDefault="00F65CFE" w:rsidP="00354545">
      <w:pPr>
        <w:pStyle w:val="NormalWeb"/>
        <w:spacing w:line="312" w:lineRule="auto"/>
        <w:rPr>
          <w:rFonts w:asciiTheme="minorHAnsi" w:hAnsiTheme="minorHAnsi" w:cs="Tahoma"/>
          <w:bCs/>
          <w:sz w:val="22"/>
        </w:rPr>
      </w:pPr>
      <w:r w:rsidRPr="00F65CFE">
        <w:rPr>
          <w:rFonts w:asciiTheme="minorHAnsi" w:hAnsiTheme="minorHAnsi" w:cs="Tahoma"/>
          <w:color w:val="FF0000"/>
          <w:sz w:val="22"/>
          <w:szCs w:val="22"/>
        </w:rPr>
        <w:t xml:space="preserve">EMBARGO: </w:t>
      </w:r>
      <w:r w:rsidR="00943930" w:rsidRPr="00F65CFE">
        <w:rPr>
          <w:rFonts w:asciiTheme="minorHAnsi" w:hAnsiTheme="minorHAnsi" w:cs="Tahoma"/>
          <w:color w:val="FF0000"/>
          <w:sz w:val="22"/>
          <w:szCs w:val="22"/>
        </w:rPr>
        <w:t>31 May</w:t>
      </w:r>
      <w:r w:rsidR="001B0E85" w:rsidRPr="00F65CFE">
        <w:rPr>
          <w:rFonts w:asciiTheme="minorHAnsi" w:hAnsiTheme="minorHAnsi" w:cs="Tahoma"/>
          <w:color w:val="FF0000"/>
          <w:sz w:val="22"/>
          <w:szCs w:val="22"/>
        </w:rPr>
        <w:t xml:space="preserve"> 201</w:t>
      </w:r>
      <w:r w:rsidR="001A2F08" w:rsidRPr="00F65CFE">
        <w:rPr>
          <w:rFonts w:asciiTheme="minorHAnsi" w:hAnsiTheme="minorHAnsi" w:cs="Tahoma"/>
          <w:color w:val="FF0000"/>
          <w:sz w:val="22"/>
          <w:szCs w:val="22"/>
        </w:rPr>
        <w:t>6</w:t>
      </w:r>
      <w:r w:rsidR="001B0E85" w:rsidRPr="00F65CFE">
        <w:rPr>
          <w:rFonts w:asciiTheme="minorHAnsi" w:hAnsiTheme="minorHAnsi" w:cs="Tahoma"/>
          <w:color w:val="FF0000"/>
          <w:sz w:val="22"/>
          <w:szCs w:val="22"/>
        </w:rPr>
        <w:t>, 10.00 am</w:t>
      </w:r>
      <w:r w:rsidR="000E1043" w:rsidRPr="00F65CFE">
        <w:rPr>
          <w:rFonts w:asciiTheme="minorHAnsi" w:hAnsiTheme="minorHAnsi" w:cs="Tahoma"/>
          <w:color w:val="FF0000"/>
          <w:sz w:val="22"/>
          <w:szCs w:val="22"/>
        </w:rPr>
        <w:t xml:space="preserve">: </w:t>
      </w:r>
      <w:r w:rsidR="00251942">
        <w:rPr>
          <w:rFonts w:asciiTheme="minorHAnsi" w:hAnsiTheme="minorHAnsi" w:cs="Tahoma"/>
          <w:bCs/>
          <w:sz w:val="22"/>
        </w:rPr>
        <w:t>Latest drug treatment figures</w:t>
      </w:r>
      <w:r w:rsidR="00487C5B">
        <w:rPr>
          <w:rFonts w:asciiTheme="minorHAnsi" w:hAnsiTheme="minorHAnsi" w:cs="Tahoma"/>
          <w:bCs/>
          <w:sz w:val="22"/>
        </w:rPr>
        <w:t xml:space="preserve"> from the H</w:t>
      </w:r>
      <w:r w:rsidR="0065709F">
        <w:rPr>
          <w:rFonts w:asciiTheme="minorHAnsi" w:hAnsiTheme="minorHAnsi" w:cs="Tahoma"/>
          <w:bCs/>
          <w:sz w:val="22"/>
        </w:rPr>
        <w:t xml:space="preserve">ealth </w:t>
      </w:r>
      <w:r w:rsidR="00487C5B">
        <w:rPr>
          <w:rFonts w:asciiTheme="minorHAnsi" w:hAnsiTheme="minorHAnsi" w:cs="Tahoma"/>
          <w:bCs/>
          <w:sz w:val="22"/>
        </w:rPr>
        <w:t>R</w:t>
      </w:r>
      <w:r w:rsidR="0065709F">
        <w:rPr>
          <w:rFonts w:asciiTheme="minorHAnsi" w:hAnsiTheme="minorHAnsi" w:cs="Tahoma"/>
          <w:bCs/>
          <w:sz w:val="22"/>
        </w:rPr>
        <w:t xml:space="preserve">esearch </w:t>
      </w:r>
      <w:r w:rsidR="00487C5B">
        <w:rPr>
          <w:rFonts w:asciiTheme="minorHAnsi" w:hAnsiTheme="minorHAnsi" w:cs="Tahoma"/>
          <w:bCs/>
          <w:sz w:val="22"/>
        </w:rPr>
        <w:t>B</w:t>
      </w:r>
      <w:r w:rsidR="0065709F">
        <w:rPr>
          <w:rFonts w:asciiTheme="minorHAnsi" w:hAnsiTheme="minorHAnsi" w:cs="Tahoma"/>
          <w:bCs/>
          <w:sz w:val="22"/>
        </w:rPr>
        <w:t>oard</w:t>
      </w:r>
      <w:r w:rsidR="00487C5B">
        <w:rPr>
          <w:rFonts w:asciiTheme="minorHAnsi" w:hAnsiTheme="minorHAnsi" w:cs="Tahoma"/>
          <w:bCs/>
          <w:sz w:val="22"/>
        </w:rPr>
        <w:t xml:space="preserve"> </w:t>
      </w:r>
      <w:r w:rsidR="00251942">
        <w:rPr>
          <w:rFonts w:asciiTheme="minorHAnsi" w:hAnsiTheme="minorHAnsi" w:cs="Tahoma"/>
          <w:bCs/>
          <w:sz w:val="22"/>
        </w:rPr>
        <w:t xml:space="preserve">show that </w:t>
      </w:r>
      <w:r w:rsidR="00DA198F" w:rsidRPr="00354545">
        <w:rPr>
          <w:rFonts w:asciiTheme="minorHAnsi" w:hAnsiTheme="minorHAnsi" w:cs="Tahoma"/>
          <w:bCs/>
          <w:sz w:val="22"/>
        </w:rPr>
        <w:t>9,523</w:t>
      </w:r>
      <w:r w:rsidR="00251942">
        <w:rPr>
          <w:rFonts w:asciiTheme="minorHAnsi" w:hAnsiTheme="minorHAnsi" w:cs="Tahoma"/>
          <w:bCs/>
          <w:sz w:val="22"/>
        </w:rPr>
        <w:t xml:space="preserve"> cases were treated for</w:t>
      </w:r>
      <w:r w:rsidR="00DA198F">
        <w:rPr>
          <w:rFonts w:asciiTheme="minorHAnsi" w:hAnsiTheme="minorHAnsi" w:cs="Tahoma"/>
          <w:bCs/>
          <w:sz w:val="22"/>
        </w:rPr>
        <w:t xml:space="preserve"> problem </w:t>
      </w:r>
      <w:r w:rsidR="00E02DF1">
        <w:rPr>
          <w:rFonts w:asciiTheme="minorHAnsi" w:hAnsiTheme="minorHAnsi" w:cs="Tahoma"/>
          <w:bCs/>
          <w:sz w:val="22"/>
        </w:rPr>
        <w:t xml:space="preserve">drug use </w:t>
      </w:r>
      <w:r w:rsidR="00487C5B">
        <w:rPr>
          <w:rFonts w:asciiTheme="minorHAnsi" w:hAnsiTheme="minorHAnsi" w:cs="Tahoma"/>
          <w:bCs/>
          <w:sz w:val="22"/>
        </w:rPr>
        <w:t xml:space="preserve">in Ireland </w:t>
      </w:r>
      <w:r w:rsidR="007810FC">
        <w:rPr>
          <w:rFonts w:asciiTheme="minorHAnsi" w:hAnsiTheme="minorHAnsi" w:cs="Tahoma"/>
          <w:bCs/>
          <w:sz w:val="22"/>
        </w:rPr>
        <w:t>in 2014</w:t>
      </w:r>
      <w:r w:rsidR="00487C5B">
        <w:rPr>
          <w:rFonts w:asciiTheme="minorHAnsi" w:hAnsiTheme="minorHAnsi" w:cs="Tahoma"/>
          <w:bCs/>
          <w:sz w:val="22"/>
        </w:rPr>
        <w:t xml:space="preserve">, </w:t>
      </w:r>
      <w:r w:rsidR="00487C5B" w:rsidRPr="00354545">
        <w:rPr>
          <w:rFonts w:asciiTheme="minorHAnsi" w:hAnsiTheme="minorHAnsi" w:cs="Tahoma"/>
          <w:bCs/>
          <w:sz w:val="22"/>
        </w:rPr>
        <w:t>increasing</w:t>
      </w:r>
      <w:r w:rsidR="00354545" w:rsidRPr="00354545">
        <w:rPr>
          <w:rFonts w:asciiTheme="minorHAnsi" w:hAnsiTheme="minorHAnsi" w:cs="Tahoma"/>
          <w:bCs/>
          <w:sz w:val="22"/>
        </w:rPr>
        <w:t xml:space="preserve"> </w:t>
      </w:r>
      <w:r w:rsidR="00487C5B" w:rsidRPr="00354545">
        <w:rPr>
          <w:rFonts w:asciiTheme="minorHAnsi" w:hAnsiTheme="minorHAnsi" w:cs="Tahoma"/>
          <w:bCs/>
          <w:sz w:val="22"/>
        </w:rPr>
        <w:t xml:space="preserve">from </w:t>
      </w:r>
      <w:r w:rsidR="00DA198F">
        <w:rPr>
          <w:rFonts w:asciiTheme="minorHAnsi" w:hAnsiTheme="minorHAnsi" w:cs="Tahoma"/>
          <w:bCs/>
          <w:sz w:val="22"/>
        </w:rPr>
        <w:t>8,684</w:t>
      </w:r>
      <w:r w:rsidR="00487C5B">
        <w:rPr>
          <w:rFonts w:asciiTheme="minorHAnsi" w:hAnsiTheme="minorHAnsi" w:cs="Tahoma"/>
          <w:bCs/>
          <w:sz w:val="22"/>
        </w:rPr>
        <w:t xml:space="preserve"> in </w:t>
      </w:r>
      <w:r w:rsidR="007810FC">
        <w:rPr>
          <w:rFonts w:asciiTheme="minorHAnsi" w:hAnsiTheme="minorHAnsi" w:cs="Tahoma"/>
          <w:bCs/>
          <w:sz w:val="22"/>
        </w:rPr>
        <w:t>2013</w:t>
      </w:r>
      <w:r w:rsidR="00E02DF1">
        <w:rPr>
          <w:rFonts w:asciiTheme="minorHAnsi" w:hAnsiTheme="minorHAnsi" w:cs="Tahoma"/>
          <w:bCs/>
          <w:sz w:val="22"/>
        </w:rPr>
        <w:t xml:space="preserve">. Opiates continue to be the main problem drug </w:t>
      </w:r>
      <w:r w:rsidR="00487C5B">
        <w:rPr>
          <w:rFonts w:asciiTheme="minorHAnsi" w:hAnsiTheme="minorHAnsi" w:cs="Tahoma"/>
          <w:bCs/>
          <w:sz w:val="22"/>
        </w:rPr>
        <w:t xml:space="preserve">with </w:t>
      </w:r>
      <w:r w:rsidR="00DA198F">
        <w:rPr>
          <w:rFonts w:asciiTheme="minorHAnsi" w:hAnsiTheme="minorHAnsi" w:cs="Tahoma"/>
          <w:bCs/>
          <w:sz w:val="22"/>
        </w:rPr>
        <w:t>4,745</w:t>
      </w:r>
      <w:r w:rsidR="00487C5B">
        <w:rPr>
          <w:rFonts w:asciiTheme="minorHAnsi" w:hAnsiTheme="minorHAnsi" w:cs="Tahoma"/>
          <w:bCs/>
          <w:sz w:val="22"/>
        </w:rPr>
        <w:t xml:space="preserve"> cases presenting for treatment. </w:t>
      </w:r>
      <w:r w:rsidR="0065709F">
        <w:rPr>
          <w:rFonts w:asciiTheme="minorHAnsi" w:hAnsiTheme="minorHAnsi" w:cs="Tahoma"/>
          <w:sz w:val="22"/>
          <w:lang w:val="en-IE" w:eastAsia="en-IE"/>
        </w:rPr>
        <w:t xml:space="preserve">Cannabis was </w:t>
      </w:r>
      <w:r w:rsidR="0065709F" w:rsidRPr="00C07BD6">
        <w:rPr>
          <w:rFonts w:asciiTheme="minorHAnsi" w:hAnsiTheme="minorHAnsi" w:cs="Tahoma"/>
          <w:sz w:val="22"/>
          <w:lang w:val="en-IE" w:eastAsia="en-IE"/>
        </w:rPr>
        <w:t xml:space="preserve">the most common main problem drug for </w:t>
      </w:r>
      <w:r w:rsidR="0065709F">
        <w:rPr>
          <w:rFonts w:asciiTheme="minorHAnsi" w:hAnsiTheme="minorHAnsi" w:cs="Tahoma"/>
          <w:sz w:val="22"/>
          <w:lang w:val="en-IE" w:eastAsia="en-IE"/>
        </w:rPr>
        <w:t>new entrants to treatment.</w:t>
      </w:r>
      <w:r w:rsidR="00434A4A">
        <w:rPr>
          <w:rFonts w:asciiTheme="minorHAnsi" w:hAnsiTheme="minorHAnsi" w:cs="Tahoma"/>
          <w:sz w:val="22"/>
          <w:lang w:val="en-IE" w:eastAsia="en-IE"/>
        </w:rPr>
        <w:t xml:space="preserve"> </w:t>
      </w:r>
      <w:r w:rsidR="00487C5B">
        <w:rPr>
          <w:rFonts w:asciiTheme="minorHAnsi" w:hAnsiTheme="minorHAnsi" w:cs="Tahoma"/>
          <w:bCs/>
          <w:sz w:val="22"/>
        </w:rPr>
        <w:t xml:space="preserve">A total of </w:t>
      </w:r>
      <w:r w:rsidR="00487C5B" w:rsidRPr="00C07BD6">
        <w:rPr>
          <w:rFonts w:asciiTheme="minorHAnsi" w:hAnsiTheme="minorHAnsi"/>
          <w:lang w:val="en-IE" w:eastAsia="en-IE"/>
        </w:rPr>
        <w:t>1,696</w:t>
      </w:r>
      <w:r w:rsidR="00487C5B" w:rsidRPr="00C07BD6">
        <w:rPr>
          <w:rFonts w:asciiTheme="minorHAnsi" w:hAnsiTheme="minorHAnsi" w:cs="Tahoma"/>
          <w:sz w:val="22"/>
          <w:lang w:val="en-IE" w:eastAsia="en-IE"/>
        </w:rPr>
        <w:t xml:space="preserve"> (45.0%) </w:t>
      </w:r>
      <w:r w:rsidR="00487C5B">
        <w:rPr>
          <w:rFonts w:asciiTheme="minorHAnsi" w:hAnsiTheme="minorHAnsi" w:cs="Tahoma"/>
          <w:sz w:val="22"/>
          <w:lang w:val="en-IE" w:eastAsia="en-IE"/>
        </w:rPr>
        <w:t>new cases</w:t>
      </w:r>
      <w:r w:rsidR="00487C5B" w:rsidRPr="00C07BD6">
        <w:rPr>
          <w:rFonts w:asciiTheme="minorHAnsi" w:hAnsiTheme="minorHAnsi" w:cs="Tahoma"/>
          <w:sz w:val="22"/>
          <w:lang w:val="en-IE" w:eastAsia="en-IE"/>
        </w:rPr>
        <w:t xml:space="preserve"> identified cannabis as their main problem drug. </w:t>
      </w:r>
      <w:r w:rsidR="00487C5B">
        <w:rPr>
          <w:rFonts w:asciiTheme="minorHAnsi" w:hAnsiTheme="minorHAnsi" w:cs="Tahoma"/>
          <w:sz w:val="22"/>
          <w:lang w:val="en-IE" w:eastAsia="en-IE"/>
        </w:rPr>
        <w:t xml:space="preserve"> </w:t>
      </w:r>
      <w:r w:rsidR="007810FC">
        <w:rPr>
          <w:rFonts w:asciiTheme="minorHAnsi" w:hAnsiTheme="minorHAnsi" w:cs="Tahoma"/>
          <w:sz w:val="22"/>
          <w:lang w:val="en-IE" w:eastAsia="en-IE"/>
        </w:rPr>
        <w:t xml:space="preserve"> </w:t>
      </w:r>
      <w:r w:rsidR="007810FC" w:rsidRPr="00E664E7">
        <w:rPr>
          <w:rFonts w:asciiTheme="minorHAnsi" w:hAnsiTheme="minorHAnsi" w:cs="Tahoma"/>
          <w:color w:val="000000" w:themeColor="text1"/>
          <w:sz w:val="22"/>
          <w:lang w:val="en-IE" w:eastAsia="en-IE"/>
        </w:rPr>
        <w:t xml:space="preserve">The number </w:t>
      </w:r>
      <w:r w:rsidR="007810FC" w:rsidRPr="004D47B4">
        <w:rPr>
          <w:rFonts w:asciiTheme="minorHAnsi" w:hAnsiTheme="minorHAnsi" w:cs="Tahoma"/>
          <w:color w:val="000000" w:themeColor="text1"/>
          <w:sz w:val="22"/>
          <w:lang w:val="en-IE" w:eastAsia="en-IE"/>
        </w:rPr>
        <w:t>of cases</w:t>
      </w:r>
      <w:r w:rsidR="007810FC" w:rsidRPr="00E664E7">
        <w:rPr>
          <w:rFonts w:asciiTheme="minorHAnsi" w:hAnsiTheme="minorHAnsi" w:cs="Tahoma"/>
          <w:color w:val="000000" w:themeColor="text1"/>
          <w:sz w:val="22"/>
          <w:lang w:val="en-IE" w:eastAsia="en-IE"/>
        </w:rPr>
        <w:t xml:space="preserve"> reporting a benzodiazepine as their main problem drug was </w:t>
      </w:r>
      <w:r w:rsidR="007810FC">
        <w:rPr>
          <w:rFonts w:asciiTheme="minorHAnsi" w:hAnsiTheme="minorHAnsi" w:cs="Tahoma"/>
          <w:color w:val="000000" w:themeColor="text1"/>
          <w:sz w:val="22"/>
          <w:lang w:val="en-IE" w:eastAsia="en-IE"/>
        </w:rPr>
        <w:t>914</w:t>
      </w:r>
      <w:r w:rsidR="007810FC" w:rsidRPr="00E664E7">
        <w:rPr>
          <w:rFonts w:asciiTheme="minorHAnsi" w:hAnsiTheme="minorHAnsi" w:cs="Tahoma"/>
          <w:color w:val="000000" w:themeColor="text1"/>
          <w:sz w:val="22"/>
          <w:lang w:val="en-IE" w:eastAsia="en-IE"/>
        </w:rPr>
        <w:t xml:space="preserve"> in 201</w:t>
      </w:r>
      <w:r w:rsidR="007810FC">
        <w:rPr>
          <w:rFonts w:asciiTheme="minorHAnsi" w:hAnsiTheme="minorHAnsi" w:cs="Tahoma"/>
          <w:color w:val="000000" w:themeColor="text1"/>
          <w:sz w:val="22"/>
          <w:lang w:val="en-IE" w:eastAsia="en-IE"/>
        </w:rPr>
        <w:t>4, increasing from 773 in 2013.</w:t>
      </w:r>
      <w:r w:rsidR="00487C5B">
        <w:rPr>
          <w:rFonts w:asciiTheme="minorHAnsi" w:hAnsiTheme="minorHAnsi" w:cs="Tahoma"/>
          <w:sz w:val="22"/>
          <w:lang w:val="en-IE" w:eastAsia="en-IE"/>
        </w:rPr>
        <w:t xml:space="preserve"> </w:t>
      </w:r>
    </w:p>
    <w:p w:rsidR="008F7F0D" w:rsidRDefault="001B0E85" w:rsidP="00354545">
      <w:pPr>
        <w:pStyle w:val="NormalWeb"/>
        <w:spacing w:line="312" w:lineRule="auto"/>
        <w:rPr>
          <w:rFonts w:asciiTheme="minorHAnsi" w:hAnsiTheme="minorHAnsi" w:cs="Tahoma"/>
          <w:bCs/>
          <w:sz w:val="22"/>
          <w:lang w:val="en"/>
        </w:rPr>
      </w:pPr>
      <w:r w:rsidRPr="00C07BD6">
        <w:rPr>
          <w:rFonts w:asciiTheme="minorHAnsi" w:hAnsiTheme="minorHAnsi" w:cs="Tahoma"/>
          <w:bCs/>
          <w:sz w:val="22"/>
        </w:rPr>
        <w:t>The</w:t>
      </w:r>
      <w:r w:rsidR="00251942">
        <w:rPr>
          <w:rFonts w:asciiTheme="minorHAnsi" w:hAnsiTheme="minorHAnsi" w:cs="Tahoma"/>
          <w:bCs/>
          <w:sz w:val="22"/>
        </w:rPr>
        <w:t>se figures are included in the</w:t>
      </w:r>
      <w:r w:rsidRPr="00C07BD6">
        <w:rPr>
          <w:rFonts w:asciiTheme="minorHAnsi" w:hAnsiTheme="minorHAnsi" w:cs="Tahoma"/>
          <w:bCs/>
          <w:sz w:val="22"/>
        </w:rPr>
        <w:t xml:space="preserve"> European Monitoring Centre for Drugs and Drug Addiction (EMCDDA) </w:t>
      </w:r>
      <w:r w:rsidRPr="00C07BD6">
        <w:rPr>
          <w:rFonts w:asciiTheme="minorHAnsi" w:hAnsiTheme="minorHAnsi" w:cs="Tahoma"/>
          <w:b/>
          <w:bCs/>
          <w:i/>
          <w:sz w:val="22"/>
        </w:rPr>
        <w:t>European drug report 201</w:t>
      </w:r>
      <w:r w:rsidR="001A2F08" w:rsidRPr="00C07BD6">
        <w:rPr>
          <w:rFonts w:asciiTheme="minorHAnsi" w:hAnsiTheme="minorHAnsi" w:cs="Tahoma"/>
          <w:b/>
          <w:bCs/>
          <w:i/>
          <w:sz w:val="22"/>
        </w:rPr>
        <w:t>6</w:t>
      </w:r>
      <w:r w:rsidRPr="00C07BD6">
        <w:rPr>
          <w:rFonts w:asciiTheme="minorHAnsi" w:hAnsiTheme="minorHAnsi" w:cs="Tahoma"/>
          <w:b/>
          <w:bCs/>
          <w:i/>
          <w:sz w:val="22"/>
        </w:rPr>
        <w:t xml:space="preserve">: trends and developments </w:t>
      </w:r>
      <w:r w:rsidR="00487C5B" w:rsidRPr="00354545">
        <w:rPr>
          <w:rFonts w:asciiTheme="minorHAnsi" w:hAnsiTheme="minorHAnsi" w:cs="Tahoma"/>
          <w:b/>
          <w:bCs/>
          <w:sz w:val="22"/>
        </w:rPr>
        <w:t xml:space="preserve">published </w:t>
      </w:r>
      <w:r w:rsidRPr="00487C5B">
        <w:rPr>
          <w:rFonts w:asciiTheme="minorHAnsi" w:hAnsiTheme="minorHAnsi" w:cs="Tahoma"/>
          <w:bCs/>
          <w:sz w:val="22"/>
        </w:rPr>
        <w:t>today</w:t>
      </w:r>
      <w:r w:rsidRPr="00C07BD6">
        <w:rPr>
          <w:rFonts w:asciiTheme="minorHAnsi" w:hAnsiTheme="minorHAnsi" w:cs="Tahoma"/>
          <w:bCs/>
          <w:sz w:val="22"/>
        </w:rPr>
        <w:t xml:space="preserve">.  </w:t>
      </w:r>
      <w:r w:rsidR="007810FC">
        <w:rPr>
          <w:rFonts w:asciiTheme="minorHAnsi" w:hAnsiTheme="minorHAnsi" w:cs="Tahoma"/>
          <w:bCs/>
          <w:sz w:val="22"/>
          <w:lang w:val="en"/>
        </w:rPr>
        <w:t xml:space="preserve">The European </w:t>
      </w:r>
      <w:r w:rsidRPr="00C07BD6">
        <w:rPr>
          <w:rFonts w:asciiTheme="minorHAnsi" w:hAnsiTheme="minorHAnsi" w:cs="Tahoma"/>
          <w:bCs/>
          <w:sz w:val="22"/>
          <w:lang w:val="en"/>
        </w:rPr>
        <w:t xml:space="preserve">report </w:t>
      </w:r>
      <w:proofErr w:type="spellStart"/>
      <w:r w:rsidRPr="00C07BD6">
        <w:rPr>
          <w:rFonts w:asciiTheme="minorHAnsi" w:hAnsiTheme="minorHAnsi" w:cs="Tahoma"/>
          <w:bCs/>
          <w:sz w:val="22"/>
          <w:lang w:val="en"/>
        </w:rPr>
        <w:t>summarises</w:t>
      </w:r>
      <w:proofErr w:type="spellEnd"/>
      <w:r w:rsidRPr="00C07BD6">
        <w:rPr>
          <w:rFonts w:asciiTheme="minorHAnsi" w:hAnsiTheme="minorHAnsi" w:cs="Tahoma"/>
          <w:bCs/>
          <w:sz w:val="22"/>
          <w:lang w:val="en"/>
        </w:rPr>
        <w:t xml:space="preserve"> the latest trends across the 28 EU member states, and Norway and Turkey.  </w:t>
      </w:r>
      <w:r w:rsidR="000E1043">
        <w:rPr>
          <w:rFonts w:asciiTheme="minorHAnsi" w:hAnsiTheme="minorHAnsi" w:cs="Tahoma"/>
          <w:bCs/>
          <w:sz w:val="22"/>
          <w:lang w:val="en"/>
        </w:rPr>
        <w:t xml:space="preserve">The HRB provides the Irish figures for the EMCDDA </w:t>
      </w:r>
      <w:r w:rsidR="009B1468">
        <w:rPr>
          <w:rFonts w:asciiTheme="minorHAnsi" w:hAnsiTheme="minorHAnsi" w:cs="Tahoma"/>
          <w:bCs/>
          <w:sz w:val="22"/>
          <w:lang w:val="en"/>
        </w:rPr>
        <w:t xml:space="preserve">report. </w:t>
      </w:r>
    </w:p>
    <w:p w:rsidR="00171B4B" w:rsidRPr="00171B4B" w:rsidRDefault="006678B4" w:rsidP="00171B4B">
      <w:pPr>
        <w:pStyle w:val="BodyText2"/>
        <w:tabs>
          <w:tab w:val="left" w:pos="1800"/>
        </w:tabs>
        <w:spacing w:line="312" w:lineRule="auto"/>
        <w:jc w:val="left"/>
        <w:rPr>
          <w:rFonts w:asciiTheme="minorHAnsi" w:hAnsiTheme="minorHAnsi" w:cs="Tahoma"/>
          <w:bCs/>
          <w:sz w:val="22"/>
          <w:szCs w:val="22"/>
        </w:rPr>
      </w:pPr>
      <w:r>
        <w:rPr>
          <w:rFonts w:asciiTheme="minorHAnsi" w:hAnsiTheme="minorHAnsi" w:cs="Tahoma"/>
          <w:bCs/>
          <w:sz w:val="22"/>
          <w:lang w:val="en"/>
        </w:rPr>
        <w:t>Graham Love, Chief Executive of the Health Research Board (HRB)</w:t>
      </w:r>
      <w:r w:rsidR="00487C5B">
        <w:rPr>
          <w:rFonts w:asciiTheme="minorHAnsi" w:hAnsiTheme="minorHAnsi" w:cs="Tahoma"/>
          <w:bCs/>
          <w:sz w:val="22"/>
          <w:lang w:val="en"/>
        </w:rPr>
        <w:t xml:space="preserve"> said, </w:t>
      </w:r>
      <w:r w:rsidR="00354545">
        <w:rPr>
          <w:rFonts w:asciiTheme="minorHAnsi" w:hAnsiTheme="minorHAnsi" w:cs="Tahoma"/>
          <w:bCs/>
          <w:sz w:val="22"/>
          <w:lang w:val="en"/>
        </w:rPr>
        <w:t>‘</w:t>
      </w:r>
      <w:r w:rsidR="00DE7222">
        <w:rPr>
          <w:rFonts w:asciiTheme="minorHAnsi" w:hAnsiTheme="minorHAnsi" w:cs="Tahoma"/>
          <w:bCs/>
          <w:sz w:val="22"/>
          <w:lang w:val="en"/>
        </w:rPr>
        <w:t xml:space="preserve">Demand for drug treatment </w:t>
      </w:r>
      <w:r w:rsidR="0065709F">
        <w:rPr>
          <w:rFonts w:asciiTheme="minorHAnsi" w:hAnsiTheme="minorHAnsi" w:cs="Tahoma"/>
          <w:bCs/>
          <w:sz w:val="22"/>
          <w:lang w:val="en"/>
        </w:rPr>
        <w:t>continu</w:t>
      </w:r>
      <w:r w:rsidR="00F02132">
        <w:rPr>
          <w:rFonts w:asciiTheme="minorHAnsi" w:hAnsiTheme="minorHAnsi" w:cs="Tahoma"/>
          <w:bCs/>
          <w:sz w:val="22"/>
          <w:lang w:val="en"/>
        </w:rPr>
        <w:t>es</w:t>
      </w:r>
      <w:r w:rsidR="0065709F">
        <w:rPr>
          <w:rFonts w:asciiTheme="minorHAnsi" w:hAnsiTheme="minorHAnsi" w:cs="Tahoma"/>
          <w:bCs/>
          <w:sz w:val="22"/>
          <w:lang w:val="en"/>
        </w:rPr>
        <w:t xml:space="preserve"> to rise</w:t>
      </w:r>
      <w:r w:rsidR="00DE7222">
        <w:rPr>
          <w:rFonts w:asciiTheme="minorHAnsi" w:hAnsiTheme="minorHAnsi" w:cs="Tahoma"/>
          <w:bCs/>
          <w:sz w:val="22"/>
          <w:lang w:val="en"/>
        </w:rPr>
        <w:t xml:space="preserve">. By </w:t>
      </w:r>
      <w:r w:rsidR="0065709F">
        <w:rPr>
          <w:rFonts w:asciiTheme="minorHAnsi" w:hAnsiTheme="minorHAnsi" w:cs="Tahoma"/>
          <w:bCs/>
          <w:sz w:val="22"/>
          <w:lang w:val="en"/>
        </w:rPr>
        <w:t>monitoring</w:t>
      </w:r>
      <w:r w:rsidR="00DE7222">
        <w:rPr>
          <w:rFonts w:asciiTheme="minorHAnsi" w:hAnsiTheme="minorHAnsi" w:cs="Tahoma"/>
          <w:bCs/>
          <w:sz w:val="22"/>
          <w:lang w:val="en"/>
        </w:rPr>
        <w:t xml:space="preserve"> </w:t>
      </w:r>
      <w:r w:rsidR="00487C5B">
        <w:rPr>
          <w:rFonts w:asciiTheme="minorHAnsi" w:hAnsiTheme="minorHAnsi" w:cs="Tahoma"/>
          <w:bCs/>
          <w:sz w:val="22"/>
          <w:lang w:val="en"/>
        </w:rPr>
        <w:t>demand for drug treatment</w:t>
      </w:r>
      <w:r w:rsidR="00DE7222">
        <w:rPr>
          <w:rFonts w:asciiTheme="minorHAnsi" w:hAnsiTheme="minorHAnsi" w:cs="Tahoma"/>
          <w:bCs/>
          <w:sz w:val="22"/>
          <w:lang w:val="en"/>
        </w:rPr>
        <w:t xml:space="preserve"> and the types of drugs people are taking, we can provide essential input for service planning. </w:t>
      </w:r>
      <w:r w:rsidR="007810FC">
        <w:rPr>
          <w:rFonts w:asciiTheme="minorHAnsi" w:hAnsiTheme="minorHAnsi" w:cs="Tahoma"/>
          <w:bCs/>
          <w:sz w:val="22"/>
          <w:lang w:val="en"/>
        </w:rPr>
        <w:t xml:space="preserve">Cooperation at a European level </w:t>
      </w:r>
      <w:r w:rsidR="00DE7222">
        <w:rPr>
          <w:rFonts w:asciiTheme="minorHAnsi" w:hAnsiTheme="minorHAnsi" w:cs="Tahoma"/>
          <w:bCs/>
          <w:sz w:val="22"/>
          <w:lang w:val="en"/>
        </w:rPr>
        <w:t>also allows us to identify emerging trends</w:t>
      </w:r>
      <w:r w:rsidR="009B1468">
        <w:rPr>
          <w:rFonts w:asciiTheme="minorHAnsi" w:hAnsiTheme="minorHAnsi" w:cs="Tahoma"/>
          <w:bCs/>
          <w:sz w:val="22"/>
          <w:lang w:val="en"/>
        </w:rPr>
        <w:t>, understand drug markets better</w:t>
      </w:r>
      <w:r w:rsidR="00DE7222">
        <w:rPr>
          <w:rFonts w:asciiTheme="minorHAnsi" w:hAnsiTheme="minorHAnsi" w:cs="Tahoma"/>
          <w:bCs/>
          <w:sz w:val="22"/>
          <w:lang w:val="en"/>
        </w:rPr>
        <w:t xml:space="preserve"> and inform decision-making. </w:t>
      </w:r>
      <w:r w:rsidR="00171B4B">
        <w:rPr>
          <w:rFonts w:asciiTheme="minorHAnsi" w:hAnsiTheme="minorHAnsi" w:cs="Tahoma"/>
          <w:bCs/>
          <w:sz w:val="22"/>
          <w:lang w:val="en"/>
        </w:rPr>
        <w:t xml:space="preserve">  </w:t>
      </w:r>
      <w:r w:rsidR="00DE7222">
        <w:rPr>
          <w:rFonts w:asciiTheme="minorHAnsi" w:hAnsiTheme="minorHAnsi" w:cs="Tahoma"/>
          <w:bCs/>
          <w:sz w:val="22"/>
          <w:szCs w:val="22"/>
        </w:rPr>
        <w:t>It is encouraging to see Government commitment to</w:t>
      </w:r>
      <w:r w:rsidR="00171B4B" w:rsidRPr="00171B4B">
        <w:rPr>
          <w:rFonts w:asciiTheme="minorHAnsi" w:hAnsiTheme="minorHAnsi" w:cs="Tahoma"/>
          <w:bCs/>
          <w:sz w:val="22"/>
          <w:szCs w:val="22"/>
        </w:rPr>
        <w:t xml:space="preserve"> complete a new National Drugs Strategy within </w:t>
      </w:r>
      <w:r w:rsidR="00171B4B">
        <w:rPr>
          <w:rFonts w:asciiTheme="minorHAnsi" w:hAnsiTheme="minorHAnsi" w:cs="Tahoma"/>
          <w:bCs/>
          <w:sz w:val="22"/>
          <w:szCs w:val="22"/>
        </w:rPr>
        <w:t xml:space="preserve">a </w:t>
      </w:r>
      <w:r w:rsidR="00171B4B" w:rsidRPr="00171B4B">
        <w:rPr>
          <w:rFonts w:asciiTheme="minorHAnsi" w:hAnsiTheme="minorHAnsi" w:cs="Tahoma"/>
          <w:bCs/>
          <w:sz w:val="22"/>
          <w:szCs w:val="22"/>
        </w:rPr>
        <w:t>year</w:t>
      </w:r>
      <w:r w:rsidR="00DE7222">
        <w:rPr>
          <w:rFonts w:asciiTheme="minorHAnsi" w:hAnsiTheme="minorHAnsi" w:cs="Tahoma"/>
          <w:bCs/>
          <w:sz w:val="22"/>
          <w:szCs w:val="22"/>
        </w:rPr>
        <w:t xml:space="preserve">. </w:t>
      </w:r>
      <w:r w:rsidR="00171B4B" w:rsidRPr="00171B4B">
        <w:rPr>
          <w:rFonts w:asciiTheme="minorHAnsi" w:hAnsiTheme="minorHAnsi" w:cs="Tahoma"/>
          <w:bCs/>
          <w:sz w:val="22"/>
          <w:szCs w:val="22"/>
        </w:rPr>
        <w:t xml:space="preserve"> The Health Research Board will continue to work with </w:t>
      </w:r>
      <w:proofErr w:type="gramStart"/>
      <w:r w:rsidR="00171B4B" w:rsidRPr="00171B4B">
        <w:rPr>
          <w:rFonts w:asciiTheme="minorHAnsi" w:hAnsiTheme="minorHAnsi" w:cs="Tahoma"/>
          <w:bCs/>
          <w:sz w:val="22"/>
          <w:szCs w:val="22"/>
        </w:rPr>
        <w:t>the</w:t>
      </w:r>
      <w:proofErr w:type="gramEnd"/>
      <w:r w:rsidR="00171B4B" w:rsidRPr="00171B4B">
        <w:rPr>
          <w:rFonts w:asciiTheme="minorHAnsi" w:hAnsiTheme="minorHAnsi" w:cs="Tahoma"/>
          <w:bCs/>
          <w:sz w:val="22"/>
          <w:szCs w:val="22"/>
        </w:rPr>
        <w:t xml:space="preserve"> Department of Health and other agencies in developing a strategy that is informed by </w:t>
      </w:r>
      <w:r w:rsidR="00F02132">
        <w:rPr>
          <w:rFonts w:asciiTheme="minorHAnsi" w:hAnsiTheme="minorHAnsi" w:cs="Tahoma"/>
          <w:bCs/>
          <w:sz w:val="22"/>
          <w:szCs w:val="22"/>
        </w:rPr>
        <w:t>solid</w:t>
      </w:r>
      <w:r w:rsidR="00F02132" w:rsidRPr="00171B4B">
        <w:rPr>
          <w:rFonts w:asciiTheme="minorHAnsi" w:hAnsiTheme="minorHAnsi" w:cs="Tahoma"/>
          <w:bCs/>
          <w:sz w:val="22"/>
          <w:szCs w:val="22"/>
        </w:rPr>
        <w:t xml:space="preserve"> </w:t>
      </w:r>
      <w:r w:rsidR="00171B4B" w:rsidRPr="00171B4B">
        <w:rPr>
          <w:rFonts w:asciiTheme="minorHAnsi" w:hAnsiTheme="minorHAnsi" w:cs="Tahoma"/>
          <w:bCs/>
          <w:sz w:val="22"/>
          <w:szCs w:val="22"/>
        </w:rPr>
        <w:t>evidence</w:t>
      </w:r>
      <w:r w:rsidR="00DE7222">
        <w:rPr>
          <w:rFonts w:asciiTheme="minorHAnsi" w:hAnsiTheme="minorHAnsi" w:cs="Tahoma"/>
          <w:bCs/>
          <w:sz w:val="22"/>
          <w:szCs w:val="22"/>
        </w:rPr>
        <w:t>’.</w:t>
      </w:r>
    </w:p>
    <w:p w:rsidR="008F7F0D" w:rsidRPr="00C07BD6" w:rsidRDefault="008F7F0D" w:rsidP="001B0E85">
      <w:pPr>
        <w:pStyle w:val="BodyText2"/>
        <w:tabs>
          <w:tab w:val="left" w:pos="1800"/>
        </w:tabs>
        <w:spacing w:line="312" w:lineRule="auto"/>
        <w:jc w:val="left"/>
        <w:rPr>
          <w:rFonts w:asciiTheme="minorHAnsi" w:eastAsia="Calibri" w:hAnsiTheme="minorHAnsi" w:cs="Tahoma"/>
          <w:bCs/>
          <w:color w:val="FF0000"/>
          <w:sz w:val="22"/>
          <w:szCs w:val="22"/>
          <w:lang w:val="en"/>
        </w:rPr>
      </w:pPr>
    </w:p>
    <w:p w:rsidR="001B0E85" w:rsidRPr="00354545" w:rsidRDefault="00354545" w:rsidP="001B0E85">
      <w:pPr>
        <w:pStyle w:val="BodyText2"/>
        <w:tabs>
          <w:tab w:val="left" w:pos="1800"/>
        </w:tabs>
        <w:spacing w:line="312" w:lineRule="auto"/>
        <w:jc w:val="left"/>
        <w:rPr>
          <w:rFonts w:asciiTheme="minorHAnsi" w:hAnsiTheme="minorHAnsi" w:cs="Tahoma"/>
          <w:b/>
          <w:bCs/>
          <w:i/>
          <w:sz w:val="22"/>
          <w:szCs w:val="22"/>
        </w:rPr>
      </w:pPr>
      <w:r w:rsidRPr="00354545">
        <w:rPr>
          <w:rFonts w:asciiTheme="minorHAnsi" w:hAnsiTheme="minorHAnsi" w:cs="Tahoma"/>
          <w:b/>
          <w:bCs/>
          <w:i/>
          <w:sz w:val="22"/>
          <w:szCs w:val="22"/>
        </w:rPr>
        <w:t xml:space="preserve">The </w:t>
      </w:r>
      <w:r>
        <w:rPr>
          <w:rFonts w:asciiTheme="minorHAnsi" w:hAnsiTheme="minorHAnsi" w:cs="Tahoma"/>
          <w:b/>
          <w:bCs/>
          <w:i/>
          <w:sz w:val="22"/>
          <w:szCs w:val="22"/>
        </w:rPr>
        <w:t>content</w:t>
      </w:r>
      <w:r w:rsidRPr="00354545">
        <w:rPr>
          <w:rFonts w:asciiTheme="minorHAnsi" w:hAnsiTheme="minorHAnsi" w:cs="Tahoma"/>
          <w:b/>
          <w:bCs/>
          <w:i/>
          <w:sz w:val="22"/>
          <w:szCs w:val="22"/>
        </w:rPr>
        <w:t xml:space="preserve"> </w:t>
      </w:r>
      <w:r w:rsidR="009B1468" w:rsidRPr="00354545">
        <w:rPr>
          <w:rFonts w:asciiTheme="minorHAnsi" w:hAnsiTheme="minorHAnsi" w:cs="Tahoma"/>
          <w:b/>
          <w:bCs/>
          <w:i/>
          <w:sz w:val="22"/>
          <w:szCs w:val="22"/>
        </w:rPr>
        <w:t>below</w:t>
      </w:r>
      <w:r w:rsidR="001B0E85" w:rsidRPr="00354545">
        <w:rPr>
          <w:rFonts w:asciiTheme="minorHAnsi" w:hAnsiTheme="minorHAnsi" w:cs="Tahoma"/>
          <w:b/>
          <w:bCs/>
          <w:i/>
          <w:sz w:val="22"/>
          <w:szCs w:val="22"/>
        </w:rPr>
        <w:t xml:space="preserve"> </w:t>
      </w:r>
      <w:r>
        <w:rPr>
          <w:rFonts w:asciiTheme="minorHAnsi" w:hAnsiTheme="minorHAnsi" w:cs="Tahoma"/>
          <w:b/>
          <w:bCs/>
          <w:i/>
          <w:sz w:val="22"/>
          <w:szCs w:val="22"/>
        </w:rPr>
        <w:t xml:space="preserve">outlines the </w:t>
      </w:r>
      <w:r w:rsidR="009B1468" w:rsidRPr="00354545">
        <w:rPr>
          <w:rFonts w:asciiTheme="minorHAnsi" w:hAnsiTheme="minorHAnsi" w:cs="Tahoma"/>
          <w:b/>
          <w:bCs/>
          <w:i/>
          <w:sz w:val="22"/>
          <w:szCs w:val="22"/>
        </w:rPr>
        <w:t xml:space="preserve">drug </w:t>
      </w:r>
      <w:r w:rsidR="001B0E85" w:rsidRPr="00354545">
        <w:rPr>
          <w:rFonts w:asciiTheme="minorHAnsi" w:hAnsiTheme="minorHAnsi" w:cs="Tahoma"/>
          <w:b/>
          <w:bCs/>
          <w:i/>
          <w:sz w:val="22"/>
          <w:szCs w:val="22"/>
        </w:rPr>
        <w:t>situation in Europe</w:t>
      </w:r>
      <w:r>
        <w:rPr>
          <w:rFonts w:asciiTheme="minorHAnsi" w:hAnsiTheme="minorHAnsi" w:cs="Tahoma"/>
          <w:b/>
          <w:bCs/>
          <w:i/>
          <w:sz w:val="22"/>
          <w:szCs w:val="22"/>
        </w:rPr>
        <w:t xml:space="preserve"> and where possible, provides comparisons with the situation in </w:t>
      </w:r>
      <w:r w:rsidRPr="00354545">
        <w:rPr>
          <w:rFonts w:asciiTheme="minorHAnsi" w:hAnsiTheme="minorHAnsi" w:cs="Tahoma"/>
          <w:b/>
          <w:bCs/>
          <w:i/>
          <w:sz w:val="22"/>
          <w:szCs w:val="22"/>
        </w:rPr>
        <w:t>Ireland</w:t>
      </w:r>
      <w:r w:rsidR="001B0E85" w:rsidRPr="00354545">
        <w:rPr>
          <w:rFonts w:asciiTheme="minorHAnsi" w:hAnsiTheme="minorHAnsi" w:cs="Tahoma"/>
          <w:b/>
          <w:bCs/>
          <w:i/>
          <w:sz w:val="22"/>
          <w:szCs w:val="22"/>
        </w:rPr>
        <w:t>.</w:t>
      </w:r>
    </w:p>
    <w:p w:rsidR="00255959" w:rsidRPr="00C07BD6" w:rsidRDefault="00E06486" w:rsidP="001B0E85">
      <w:pPr>
        <w:pStyle w:val="NormalWeb"/>
        <w:spacing w:line="312" w:lineRule="auto"/>
        <w:rPr>
          <w:rFonts w:asciiTheme="minorHAnsi" w:hAnsiTheme="minorHAnsi" w:cs="Tahoma"/>
          <w:bCs/>
          <w:sz w:val="22"/>
          <w:lang w:val="en-GB"/>
        </w:rPr>
      </w:pPr>
      <w:r w:rsidRPr="00C07BD6">
        <w:rPr>
          <w:rFonts w:asciiTheme="minorHAnsi" w:hAnsiTheme="minorHAnsi" w:cs="Tahoma"/>
          <w:bCs/>
          <w:sz w:val="22"/>
          <w:lang w:val="en-GB"/>
        </w:rPr>
        <w:t>The EMCDDA reports highlights the increasing use of MDMA following a period of decline in recent years</w:t>
      </w:r>
      <w:r w:rsidR="00753B39" w:rsidRPr="00C07BD6">
        <w:rPr>
          <w:rFonts w:asciiTheme="minorHAnsi" w:hAnsiTheme="minorHAnsi" w:cs="Tahoma"/>
          <w:bCs/>
          <w:sz w:val="22"/>
          <w:lang w:val="en-GB"/>
        </w:rPr>
        <w:t xml:space="preserve"> and greater levels of production have been helped by new sources of precursors and production techniques</w:t>
      </w:r>
      <w:r w:rsidRPr="00C07BD6">
        <w:rPr>
          <w:rFonts w:asciiTheme="minorHAnsi" w:hAnsiTheme="minorHAnsi" w:cs="Tahoma"/>
          <w:bCs/>
          <w:sz w:val="22"/>
          <w:lang w:val="en-GB"/>
        </w:rPr>
        <w:t>.  The drug</w:t>
      </w:r>
      <w:r w:rsidR="00983B0C">
        <w:rPr>
          <w:rFonts w:asciiTheme="minorHAnsi" w:hAnsiTheme="minorHAnsi" w:cs="Tahoma"/>
          <w:bCs/>
          <w:sz w:val="22"/>
          <w:lang w:val="en-GB"/>
        </w:rPr>
        <w:t>’</w:t>
      </w:r>
      <w:r w:rsidRPr="00C07BD6">
        <w:rPr>
          <w:rFonts w:asciiTheme="minorHAnsi" w:hAnsiTheme="minorHAnsi" w:cs="Tahoma"/>
          <w:bCs/>
          <w:sz w:val="22"/>
          <w:lang w:val="en-GB"/>
        </w:rPr>
        <w:t xml:space="preserve">s popularity with existing stimulant </w:t>
      </w:r>
      <w:r w:rsidR="00753B39" w:rsidRPr="00C07BD6">
        <w:rPr>
          <w:rFonts w:asciiTheme="minorHAnsi" w:hAnsiTheme="minorHAnsi" w:cs="Tahoma"/>
          <w:bCs/>
          <w:sz w:val="22"/>
          <w:lang w:val="en-GB"/>
        </w:rPr>
        <w:t xml:space="preserve">users </w:t>
      </w:r>
      <w:r w:rsidRPr="00C07BD6">
        <w:rPr>
          <w:rFonts w:asciiTheme="minorHAnsi" w:hAnsiTheme="minorHAnsi" w:cs="Tahoma"/>
          <w:bCs/>
          <w:sz w:val="22"/>
          <w:lang w:val="en-GB"/>
        </w:rPr>
        <w:t>has grown and a new generation of users is emerging</w:t>
      </w:r>
      <w:r w:rsidR="00753B39" w:rsidRPr="00C07BD6">
        <w:rPr>
          <w:rFonts w:asciiTheme="minorHAnsi" w:hAnsiTheme="minorHAnsi" w:cs="Tahoma"/>
          <w:bCs/>
          <w:sz w:val="22"/>
          <w:lang w:val="en-GB"/>
        </w:rPr>
        <w:t xml:space="preserve">.  MDMA is no longer confined to the dance scene but is used </w:t>
      </w:r>
      <w:r w:rsidR="00FF6EAF">
        <w:rPr>
          <w:rFonts w:asciiTheme="minorHAnsi" w:hAnsiTheme="minorHAnsi" w:cs="Tahoma"/>
          <w:bCs/>
          <w:sz w:val="22"/>
          <w:lang w:val="en-GB"/>
        </w:rPr>
        <w:t xml:space="preserve">in </w:t>
      </w:r>
      <w:r w:rsidR="00753B39" w:rsidRPr="00C07BD6">
        <w:rPr>
          <w:rFonts w:asciiTheme="minorHAnsi" w:hAnsiTheme="minorHAnsi" w:cs="Tahoma"/>
          <w:bCs/>
          <w:sz w:val="22"/>
          <w:lang w:val="en-GB"/>
        </w:rPr>
        <w:t xml:space="preserve">a wide range of nightlife settings.   </w:t>
      </w:r>
      <w:r w:rsidR="00ED39A2" w:rsidRPr="00C07BD6">
        <w:rPr>
          <w:rFonts w:asciiTheme="minorHAnsi" w:hAnsiTheme="minorHAnsi" w:cs="Tahoma"/>
          <w:bCs/>
          <w:sz w:val="22"/>
          <w:lang w:val="en-GB"/>
        </w:rPr>
        <w:t xml:space="preserve">Powders, crystals and tablets with high doses of MDMA are among the high-potency products presenting greater health risks and new problems for those developing prevention and harm reduction responses.  </w:t>
      </w:r>
    </w:p>
    <w:p w:rsidR="009933C8" w:rsidRPr="00C07BD6" w:rsidRDefault="00ED39A2" w:rsidP="001B0E85">
      <w:pPr>
        <w:pStyle w:val="NormalWeb"/>
        <w:spacing w:line="312" w:lineRule="auto"/>
        <w:rPr>
          <w:rFonts w:asciiTheme="minorHAnsi" w:hAnsiTheme="minorHAnsi" w:cs="Tahoma"/>
          <w:bCs/>
          <w:sz w:val="22"/>
          <w:lang w:val="en-GB"/>
        </w:rPr>
      </w:pPr>
      <w:r w:rsidRPr="00C07BD6">
        <w:rPr>
          <w:rFonts w:asciiTheme="minorHAnsi" w:hAnsiTheme="minorHAnsi" w:cs="Tahoma"/>
          <w:bCs/>
          <w:sz w:val="22"/>
          <w:lang w:val="en-GB"/>
        </w:rPr>
        <w:t>Harms related to new psychoactive substances (NPS) are monitored via the EU Early Warning System (EWS)</w:t>
      </w:r>
      <w:proofErr w:type="gramStart"/>
      <w:r w:rsidRPr="00C07BD6">
        <w:rPr>
          <w:rFonts w:asciiTheme="minorHAnsi" w:hAnsiTheme="minorHAnsi" w:cs="Tahoma"/>
          <w:bCs/>
          <w:sz w:val="22"/>
          <w:lang w:val="en-GB"/>
        </w:rPr>
        <w:t>,which</w:t>
      </w:r>
      <w:proofErr w:type="gramEnd"/>
      <w:r w:rsidRPr="00C07BD6">
        <w:rPr>
          <w:rFonts w:asciiTheme="minorHAnsi" w:hAnsiTheme="minorHAnsi" w:cs="Tahoma"/>
          <w:bCs/>
          <w:sz w:val="22"/>
          <w:lang w:val="en-GB"/>
        </w:rPr>
        <w:t xml:space="preserve"> has issued 34 public health </w:t>
      </w:r>
      <w:r w:rsidR="008E07DD">
        <w:rPr>
          <w:rFonts w:asciiTheme="minorHAnsi" w:hAnsiTheme="minorHAnsi" w:cs="Tahoma"/>
          <w:bCs/>
          <w:sz w:val="22"/>
          <w:lang w:val="en-GB"/>
        </w:rPr>
        <w:t>alerts</w:t>
      </w:r>
      <w:r w:rsidR="008E07DD" w:rsidRPr="00C07BD6">
        <w:rPr>
          <w:rFonts w:asciiTheme="minorHAnsi" w:hAnsiTheme="minorHAnsi" w:cs="Tahoma"/>
          <w:bCs/>
          <w:sz w:val="22"/>
          <w:lang w:val="en-GB"/>
        </w:rPr>
        <w:t xml:space="preserve"> </w:t>
      </w:r>
      <w:r w:rsidRPr="00C07BD6">
        <w:rPr>
          <w:rFonts w:asciiTheme="minorHAnsi" w:hAnsiTheme="minorHAnsi" w:cs="Tahoma"/>
          <w:bCs/>
          <w:sz w:val="22"/>
          <w:lang w:val="en-GB"/>
        </w:rPr>
        <w:t>to EU Member States since 2014.</w:t>
      </w:r>
      <w:r w:rsidR="008C4488" w:rsidRPr="00C07BD6">
        <w:rPr>
          <w:rFonts w:asciiTheme="minorHAnsi" w:hAnsiTheme="minorHAnsi" w:cs="Tahoma"/>
          <w:bCs/>
          <w:sz w:val="22"/>
          <w:lang w:val="en-GB"/>
        </w:rPr>
        <w:t xml:space="preserve"> </w:t>
      </w:r>
      <w:r w:rsidRPr="00C07BD6">
        <w:rPr>
          <w:rFonts w:asciiTheme="minorHAnsi" w:hAnsiTheme="minorHAnsi" w:cs="Tahoma"/>
          <w:bCs/>
          <w:sz w:val="22"/>
          <w:lang w:val="en-GB"/>
        </w:rPr>
        <w:t xml:space="preserve">The EWS currently monitors over 560 NPS and in 2015, 98 new substances were reported, including 24 synthetic cannabinoids and 26 synthetic cathinones.  </w:t>
      </w:r>
      <w:r w:rsidR="008C4488" w:rsidRPr="00C07BD6">
        <w:rPr>
          <w:rFonts w:asciiTheme="minorHAnsi" w:hAnsiTheme="minorHAnsi" w:cs="Tahoma"/>
          <w:bCs/>
          <w:sz w:val="22"/>
          <w:lang w:val="en-GB"/>
        </w:rPr>
        <w:t>The growing number of new synthetic opioids is a cause f</w:t>
      </w:r>
      <w:r w:rsidR="00FF6EAF">
        <w:rPr>
          <w:rFonts w:asciiTheme="minorHAnsi" w:hAnsiTheme="minorHAnsi" w:cs="Tahoma"/>
          <w:bCs/>
          <w:sz w:val="22"/>
          <w:lang w:val="en-GB"/>
        </w:rPr>
        <w:t>or concern</w:t>
      </w:r>
      <w:r w:rsidR="00255959" w:rsidRPr="00C07BD6">
        <w:rPr>
          <w:rFonts w:asciiTheme="minorHAnsi" w:hAnsiTheme="minorHAnsi" w:cs="Tahoma"/>
          <w:bCs/>
          <w:sz w:val="22"/>
          <w:lang w:val="en-GB"/>
        </w:rPr>
        <w:t xml:space="preserve"> and may indicate</w:t>
      </w:r>
      <w:r w:rsidR="008C4488" w:rsidRPr="00C07BD6">
        <w:rPr>
          <w:rFonts w:asciiTheme="minorHAnsi" w:hAnsiTheme="minorHAnsi" w:cs="Tahoma"/>
          <w:bCs/>
          <w:sz w:val="22"/>
          <w:lang w:val="en-GB"/>
        </w:rPr>
        <w:t xml:space="preserve"> that </w:t>
      </w:r>
      <w:r w:rsidR="008C4488" w:rsidRPr="00C07BD6">
        <w:rPr>
          <w:rFonts w:asciiTheme="minorHAnsi" w:hAnsiTheme="minorHAnsi" w:cs="Tahoma"/>
          <w:bCs/>
          <w:sz w:val="22"/>
          <w:lang w:val="en-GB"/>
        </w:rPr>
        <w:lastRenderedPageBreak/>
        <w:t xml:space="preserve">producers are </w:t>
      </w:r>
      <w:r w:rsidR="00255959" w:rsidRPr="00C07BD6">
        <w:rPr>
          <w:rFonts w:asciiTheme="minorHAnsi" w:hAnsiTheme="minorHAnsi" w:cs="Tahoma"/>
          <w:bCs/>
          <w:sz w:val="22"/>
          <w:lang w:val="en-GB"/>
        </w:rPr>
        <w:t>targeting existing opioid users. Several deaths associated with NSP and stimulants have been reported in Europe but most of the 6,800 overdose deaths in 2014 were related to heroin and other opioids, a slight increase from 2013.  Increased heroin availability, higher purity, ageing users and changing consumption patterns may be factors in this increase. Just over half of the 1.2 million people who received treatment for illicit drug use in the EU in 2014 received substitution treatment for opioid use.</w:t>
      </w:r>
    </w:p>
    <w:p w:rsidR="009933C8" w:rsidRPr="00C07BD6" w:rsidRDefault="009933C8" w:rsidP="001B0E85">
      <w:pPr>
        <w:pStyle w:val="NormalWeb"/>
        <w:spacing w:line="312" w:lineRule="auto"/>
        <w:rPr>
          <w:rFonts w:asciiTheme="minorHAnsi" w:hAnsiTheme="minorHAnsi" w:cs="Tahoma"/>
          <w:bCs/>
          <w:sz w:val="22"/>
          <w:lang w:val="en-GB"/>
        </w:rPr>
      </w:pPr>
      <w:r w:rsidRPr="00C07BD6">
        <w:rPr>
          <w:rFonts w:asciiTheme="minorHAnsi" w:hAnsiTheme="minorHAnsi" w:cs="Tahoma"/>
          <w:bCs/>
          <w:sz w:val="22"/>
          <w:lang w:val="en-GB"/>
        </w:rPr>
        <w:t>Use of cannabis among young Europeans (15-34) do</w:t>
      </w:r>
      <w:r w:rsidR="00FF6EAF">
        <w:rPr>
          <w:rFonts w:asciiTheme="minorHAnsi" w:hAnsiTheme="minorHAnsi" w:cs="Tahoma"/>
          <w:bCs/>
          <w:sz w:val="22"/>
          <w:lang w:val="en-GB"/>
        </w:rPr>
        <w:t>es</w:t>
      </w:r>
      <w:r w:rsidRPr="00C07BD6">
        <w:rPr>
          <w:rFonts w:asciiTheme="minorHAnsi" w:hAnsiTheme="minorHAnsi" w:cs="Tahoma"/>
          <w:bCs/>
          <w:sz w:val="22"/>
          <w:lang w:val="en-GB"/>
        </w:rPr>
        <w:t xml:space="preserve"> not appear to have fallen and there have</w:t>
      </w:r>
      <w:r w:rsidR="00FF6EAF">
        <w:rPr>
          <w:rFonts w:asciiTheme="minorHAnsi" w:hAnsiTheme="minorHAnsi" w:cs="Tahoma"/>
          <w:bCs/>
          <w:sz w:val="22"/>
          <w:lang w:val="en-GB"/>
        </w:rPr>
        <w:t xml:space="preserve"> been</w:t>
      </w:r>
      <w:r w:rsidRPr="00C07BD6">
        <w:rPr>
          <w:rFonts w:asciiTheme="minorHAnsi" w:hAnsiTheme="minorHAnsi" w:cs="Tahoma"/>
          <w:bCs/>
          <w:sz w:val="22"/>
          <w:lang w:val="en-GB"/>
        </w:rPr>
        <w:t xml:space="preserve"> increases in use in some European countries.  Potency levels of herbal cannabis</w:t>
      </w:r>
      <w:r w:rsidR="00FF6EAF">
        <w:rPr>
          <w:rFonts w:asciiTheme="minorHAnsi" w:hAnsiTheme="minorHAnsi" w:cs="Tahoma"/>
          <w:bCs/>
          <w:sz w:val="22"/>
          <w:lang w:val="en-GB"/>
        </w:rPr>
        <w:t xml:space="preserve"> are historically high presenting</w:t>
      </w:r>
      <w:r w:rsidRPr="00C07BD6">
        <w:rPr>
          <w:rFonts w:asciiTheme="minorHAnsi" w:hAnsiTheme="minorHAnsi" w:cs="Tahoma"/>
          <w:bCs/>
          <w:sz w:val="22"/>
          <w:lang w:val="en-GB"/>
        </w:rPr>
        <w:t xml:space="preserve"> health and social risks particularly to the 1% of European adults who are estimated to be daily or almost daily users.   The numbers of those entering treatment for the first time for whom cannabis is their main problem drug has increased steadily since 2006, indicating greater levels of use, higher potency products and greater availability of treatment services.</w:t>
      </w:r>
    </w:p>
    <w:p w:rsidR="00943930" w:rsidRPr="00C07BD6" w:rsidRDefault="00943930" w:rsidP="00943930">
      <w:pPr>
        <w:pStyle w:val="NormalWeb"/>
        <w:spacing w:line="312" w:lineRule="auto"/>
        <w:rPr>
          <w:rFonts w:asciiTheme="minorHAnsi" w:hAnsiTheme="minorHAnsi" w:cs="Tahoma"/>
          <w:bCs/>
          <w:sz w:val="22"/>
          <w:lang w:val="en-GB"/>
        </w:rPr>
      </w:pPr>
      <w:r w:rsidRPr="00C07BD6">
        <w:rPr>
          <w:rFonts w:asciiTheme="minorHAnsi" w:hAnsiTheme="minorHAnsi" w:cs="Tahoma"/>
          <w:bCs/>
          <w:sz w:val="22"/>
          <w:lang w:val="en-GB"/>
        </w:rPr>
        <w:t xml:space="preserve">Dimitris Avramopoulos, European Commissioner for Migration, Home Affairs and Citizenship, says: ‘Europe faces a growing problem with drugs. New psychoactive substances, stimulants, heroin and other opioids continue to be in high demand and supply, with major impacts on public health. That is why the 2016 European Drug Report is an important addition to our evidence base on the drugs problem and a helpful tool for European policymakers to shape policies and actions to address it. With this knowledge in hand, we will continue to call on EU Member State authorities, third countries, internet companies and civil society to redouble cooperation in fighting this global challenge’. </w:t>
      </w:r>
    </w:p>
    <w:p w:rsidR="0099368C" w:rsidRDefault="001B0E85" w:rsidP="001B0E85">
      <w:pPr>
        <w:pStyle w:val="NormalWeb"/>
        <w:spacing w:line="312" w:lineRule="auto"/>
        <w:rPr>
          <w:rFonts w:asciiTheme="minorHAnsi" w:hAnsiTheme="minorHAnsi" w:cs="Tahoma"/>
          <w:sz w:val="22"/>
          <w:szCs w:val="22"/>
          <w:lang w:val="en-IE"/>
        </w:rPr>
      </w:pPr>
      <w:r w:rsidRPr="00C07BD6">
        <w:rPr>
          <w:rFonts w:asciiTheme="minorHAnsi" w:hAnsiTheme="minorHAnsi" w:cs="Tahoma"/>
          <w:sz w:val="22"/>
          <w:szCs w:val="22"/>
        </w:rPr>
        <w:t>The situation with respect to Europe and Ireland is presented below under a series of headings.</w:t>
      </w:r>
      <w:r w:rsidR="004234BC" w:rsidRPr="00C07BD6">
        <w:rPr>
          <w:rFonts w:asciiTheme="minorHAnsi" w:hAnsiTheme="minorHAnsi" w:cs="Tahoma"/>
          <w:sz w:val="22"/>
          <w:szCs w:val="22"/>
        </w:rPr>
        <w:t xml:space="preserve">  The information regarding drug prevalence in Ireland is taken from the </w:t>
      </w:r>
      <w:r w:rsidR="004234BC" w:rsidRPr="00C07BD6">
        <w:rPr>
          <w:rFonts w:asciiTheme="minorHAnsi" w:hAnsiTheme="minorHAnsi" w:cs="Tahoma"/>
          <w:sz w:val="22"/>
          <w:szCs w:val="22"/>
          <w:lang w:val="en-IE"/>
        </w:rPr>
        <w:t xml:space="preserve">2010/11 general population survey.  </w:t>
      </w:r>
    </w:p>
    <w:p w:rsidR="001B0E85" w:rsidRPr="00C07BD6" w:rsidRDefault="004234BC" w:rsidP="001B0E85">
      <w:pPr>
        <w:pStyle w:val="NormalWeb"/>
        <w:spacing w:line="312" w:lineRule="auto"/>
        <w:rPr>
          <w:rFonts w:asciiTheme="minorHAnsi" w:hAnsiTheme="minorHAnsi" w:cs="Tahoma"/>
          <w:sz w:val="22"/>
          <w:szCs w:val="22"/>
        </w:rPr>
      </w:pPr>
      <w:r w:rsidRPr="00C07BD6">
        <w:rPr>
          <w:rFonts w:asciiTheme="minorHAnsi" w:hAnsiTheme="minorHAnsi" w:cs="Tahoma"/>
          <w:sz w:val="22"/>
          <w:szCs w:val="22"/>
          <w:lang w:val="en-IE"/>
        </w:rPr>
        <w:t xml:space="preserve">A new general population survey was completed in 2015.  </w:t>
      </w:r>
      <w:r w:rsidR="00FF6EAF">
        <w:rPr>
          <w:rFonts w:asciiTheme="minorHAnsi" w:hAnsiTheme="minorHAnsi" w:cs="Tahoma"/>
          <w:sz w:val="22"/>
          <w:szCs w:val="22"/>
          <w:lang w:val="en-IE"/>
        </w:rPr>
        <w:t>Findings</w:t>
      </w:r>
      <w:r w:rsidRPr="00C07BD6">
        <w:rPr>
          <w:rFonts w:asciiTheme="minorHAnsi" w:hAnsiTheme="minorHAnsi" w:cs="Tahoma"/>
          <w:sz w:val="22"/>
          <w:szCs w:val="22"/>
          <w:lang w:val="en-IE"/>
        </w:rPr>
        <w:t xml:space="preserve"> </w:t>
      </w:r>
      <w:r w:rsidR="008E07DD">
        <w:rPr>
          <w:rFonts w:asciiTheme="minorHAnsi" w:hAnsiTheme="minorHAnsi" w:cs="Tahoma"/>
          <w:sz w:val="22"/>
          <w:szCs w:val="22"/>
          <w:lang w:val="en-IE"/>
        </w:rPr>
        <w:t xml:space="preserve">from </w:t>
      </w:r>
      <w:r w:rsidRPr="00C07BD6">
        <w:rPr>
          <w:rFonts w:asciiTheme="minorHAnsi" w:hAnsiTheme="minorHAnsi" w:cs="Tahoma"/>
          <w:sz w:val="22"/>
          <w:szCs w:val="22"/>
          <w:lang w:val="en-IE"/>
        </w:rPr>
        <w:t xml:space="preserve">this survey will be published by the National Advisory Committee on Drugs and Alcohol (NACDA) </w:t>
      </w:r>
      <w:r w:rsidR="0099368C">
        <w:rPr>
          <w:rFonts w:asciiTheme="minorHAnsi" w:hAnsiTheme="minorHAnsi" w:cs="Tahoma"/>
          <w:sz w:val="22"/>
          <w:szCs w:val="22"/>
          <w:lang w:val="en-IE"/>
        </w:rPr>
        <w:t>at the end of June</w:t>
      </w:r>
      <w:r w:rsidRPr="00C07BD6">
        <w:rPr>
          <w:rFonts w:asciiTheme="minorHAnsi" w:hAnsiTheme="minorHAnsi" w:cs="Tahoma"/>
          <w:sz w:val="22"/>
          <w:szCs w:val="22"/>
          <w:lang w:val="en-IE"/>
        </w:rPr>
        <w:t>.</w:t>
      </w:r>
    </w:p>
    <w:p w:rsidR="001B0E85" w:rsidRPr="00C07BD6" w:rsidRDefault="001B0E85" w:rsidP="001B0E85">
      <w:pPr>
        <w:spacing w:line="312" w:lineRule="auto"/>
        <w:rPr>
          <w:rFonts w:asciiTheme="minorHAnsi" w:hAnsiTheme="minorHAnsi" w:cs="Tahoma"/>
          <w:b/>
          <w:sz w:val="22"/>
        </w:rPr>
      </w:pPr>
      <w:r w:rsidRPr="00C07BD6">
        <w:rPr>
          <w:rFonts w:asciiTheme="minorHAnsi" w:hAnsiTheme="minorHAnsi" w:cs="Tahoma"/>
          <w:b/>
          <w:sz w:val="28"/>
          <w:szCs w:val="28"/>
        </w:rPr>
        <w:t>Cannabis</w:t>
      </w:r>
    </w:p>
    <w:p w:rsidR="001B0E85" w:rsidRPr="00C07BD6" w:rsidRDefault="001B0E85" w:rsidP="001B0E85">
      <w:pPr>
        <w:pStyle w:val="NormalWeb"/>
        <w:spacing w:before="0" w:beforeAutospacing="0" w:after="0" w:afterAutospacing="0" w:line="312" w:lineRule="auto"/>
        <w:rPr>
          <w:rFonts w:asciiTheme="minorHAnsi" w:hAnsiTheme="minorHAnsi" w:cs="Tahoma"/>
          <w:b/>
          <w:i/>
          <w:sz w:val="22"/>
          <w:szCs w:val="22"/>
        </w:rPr>
      </w:pPr>
      <w:r w:rsidRPr="00C07BD6">
        <w:rPr>
          <w:rFonts w:asciiTheme="minorHAnsi" w:hAnsiTheme="minorHAnsi" w:cs="Tahoma"/>
          <w:b/>
          <w:i/>
          <w:sz w:val="22"/>
          <w:szCs w:val="22"/>
        </w:rPr>
        <w:t>European situation</w:t>
      </w:r>
    </w:p>
    <w:p w:rsidR="001B0E85" w:rsidRPr="00C07BD6" w:rsidRDefault="001B0E85" w:rsidP="001B0E85">
      <w:pPr>
        <w:numPr>
          <w:ilvl w:val="0"/>
          <w:numId w:val="4"/>
        </w:numPr>
        <w:spacing w:line="312" w:lineRule="auto"/>
        <w:rPr>
          <w:rFonts w:asciiTheme="minorHAnsi" w:hAnsiTheme="minorHAnsi" w:cs="Tahoma"/>
          <w:sz w:val="22"/>
        </w:rPr>
      </w:pPr>
      <w:r w:rsidRPr="00C07BD6">
        <w:rPr>
          <w:rFonts w:asciiTheme="minorHAnsi" w:hAnsiTheme="minorHAnsi" w:cs="Tahoma"/>
          <w:sz w:val="22"/>
        </w:rPr>
        <w:t>The EMCDDA estimate</w:t>
      </w:r>
      <w:r w:rsidR="008E07DD">
        <w:rPr>
          <w:rFonts w:asciiTheme="minorHAnsi" w:hAnsiTheme="minorHAnsi" w:cs="Tahoma"/>
          <w:sz w:val="22"/>
        </w:rPr>
        <w:t>s</w:t>
      </w:r>
      <w:r w:rsidRPr="00C07BD6">
        <w:rPr>
          <w:rFonts w:asciiTheme="minorHAnsi" w:hAnsiTheme="minorHAnsi" w:cs="Tahoma"/>
          <w:sz w:val="22"/>
        </w:rPr>
        <w:t xml:space="preserve"> that around </w:t>
      </w:r>
      <w:r w:rsidR="001A2F08" w:rsidRPr="00C07BD6">
        <w:rPr>
          <w:rFonts w:asciiTheme="minorHAnsi" w:hAnsiTheme="minorHAnsi" w:cs="Tahoma"/>
          <w:sz w:val="22"/>
        </w:rPr>
        <w:t>16</w:t>
      </w:r>
      <w:r w:rsidRPr="00C07BD6">
        <w:rPr>
          <w:rFonts w:asciiTheme="minorHAnsi" w:hAnsiTheme="minorHAnsi" w:cs="Tahoma"/>
          <w:sz w:val="22"/>
        </w:rPr>
        <w:t>.6 million</w:t>
      </w:r>
      <w:r w:rsidR="000F441C" w:rsidRPr="00C07BD6">
        <w:rPr>
          <w:rFonts w:asciiTheme="minorHAnsi" w:hAnsiTheme="minorHAnsi" w:cs="Tahoma"/>
          <w:sz w:val="22"/>
        </w:rPr>
        <w:t xml:space="preserve"> (</w:t>
      </w:r>
      <w:r w:rsidR="001A2F08" w:rsidRPr="00C07BD6">
        <w:rPr>
          <w:rFonts w:asciiTheme="minorHAnsi" w:hAnsiTheme="minorHAnsi" w:cs="Tahoma"/>
          <w:sz w:val="22"/>
        </w:rPr>
        <w:t>13.3</w:t>
      </w:r>
      <w:r w:rsidR="000F441C" w:rsidRPr="00C07BD6">
        <w:rPr>
          <w:rFonts w:asciiTheme="minorHAnsi" w:hAnsiTheme="minorHAnsi" w:cs="Tahoma"/>
          <w:sz w:val="22"/>
        </w:rPr>
        <w:t>%)</w:t>
      </w:r>
      <w:r w:rsidR="001A2F08" w:rsidRPr="00C07BD6">
        <w:rPr>
          <w:rFonts w:asciiTheme="minorHAnsi" w:hAnsiTheme="minorHAnsi" w:cs="Tahoma"/>
          <w:sz w:val="22"/>
        </w:rPr>
        <w:t xml:space="preserve"> of</w:t>
      </w:r>
      <w:r w:rsidRPr="00C07BD6">
        <w:rPr>
          <w:rFonts w:asciiTheme="minorHAnsi" w:hAnsiTheme="minorHAnsi" w:cs="Tahoma"/>
          <w:sz w:val="22"/>
        </w:rPr>
        <w:t xml:space="preserve"> young Europeans (15–34) used cannabis in the last year, </w:t>
      </w:r>
      <w:r w:rsidR="001A2F08" w:rsidRPr="00C07BD6">
        <w:rPr>
          <w:rFonts w:asciiTheme="minorHAnsi" w:hAnsiTheme="minorHAnsi" w:cs="Tahoma"/>
          <w:sz w:val="22"/>
        </w:rPr>
        <w:t>9.6</w:t>
      </w:r>
      <w:r w:rsidRPr="00C07BD6">
        <w:rPr>
          <w:rFonts w:asciiTheme="minorHAnsi" w:hAnsiTheme="minorHAnsi" w:cs="Tahoma"/>
          <w:sz w:val="22"/>
        </w:rPr>
        <w:t xml:space="preserve"> million of whom (</w:t>
      </w:r>
      <w:r w:rsidR="001A2F08" w:rsidRPr="00C07BD6">
        <w:rPr>
          <w:rFonts w:asciiTheme="minorHAnsi" w:hAnsiTheme="minorHAnsi" w:cs="Tahoma"/>
          <w:sz w:val="22"/>
        </w:rPr>
        <w:t>16.4</w:t>
      </w:r>
      <w:r w:rsidRPr="00C07BD6">
        <w:rPr>
          <w:rFonts w:asciiTheme="minorHAnsi" w:hAnsiTheme="minorHAnsi" w:cs="Tahoma"/>
          <w:sz w:val="22"/>
        </w:rPr>
        <w:t xml:space="preserve">% of this age group) are aged 15-24 years.  </w:t>
      </w:r>
    </w:p>
    <w:p w:rsidR="001B0E85" w:rsidRPr="00C07BD6" w:rsidRDefault="001A2F08" w:rsidP="001B0E85">
      <w:pPr>
        <w:pStyle w:val="ListParagraph"/>
        <w:numPr>
          <w:ilvl w:val="0"/>
          <w:numId w:val="4"/>
        </w:numPr>
        <w:spacing w:line="312" w:lineRule="auto"/>
        <w:rPr>
          <w:rFonts w:asciiTheme="minorHAnsi" w:hAnsiTheme="minorHAnsi" w:cs="Tahoma"/>
        </w:rPr>
      </w:pPr>
      <w:r w:rsidRPr="00C07BD6">
        <w:rPr>
          <w:rFonts w:asciiTheme="minorHAnsi" w:hAnsiTheme="minorHAnsi"/>
        </w:rPr>
        <w:t xml:space="preserve">The most recent survey results show different trends in last year cannabis use. Surveys for relatively high-prevalence countries, such as Germany, Spain and the United Kingdom, all show decreasing or stable cannabis prevalence over the past decade, while France shows increases in prevalence after 2010.  </w:t>
      </w:r>
      <w:r w:rsidR="00BB381E" w:rsidRPr="00C07BD6">
        <w:rPr>
          <w:rFonts w:asciiTheme="minorHAnsi" w:hAnsiTheme="minorHAnsi"/>
        </w:rPr>
        <w:t xml:space="preserve">Countries which have historically reported lower cannabis use have seen a range of increases in recent surveys. </w:t>
      </w:r>
    </w:p>
    <w:p w:rsidR="00AB56F9" w:rsidRPr="00C07BD6" w:rsidRDefault="00AB56F9" w:rsidP="00AB56F9">
      <w:pPr>
        <w:pStyle w:val="ListParagraph"/>
        <w:numPr>
          <w:ilvl w:val="0"/>
          <w:numId w:val="4"/>
        </w:numPr>
        <w:spacing w:line="312" w:lineRule="auto"/>
        <w:rPr>
          <w:rFonts w:asciiTheme="minorHAnsi" w:hAnsiTheme="minorHAnsi" w:cs="Tahoma"/>
        </w:rPr>
      </w:pPr>
      <w:r w:rsidRPr="00C07BD6">
        <w:rPr>
          <w:rFonts w:asciiTheme="minorHAnsi" w:hAnsiTheme="minorHAnsi" w:cs="Tahoma"/>
        </w:rPr>
        <w:t>Levels of lifetime cannabis use in 2013/14 among school-aged children ranged from 5 % among girls and 7 % among boys in Sweden to 26 % among girls and 30 % among boys in France.</w:t>
      </w:r>
    </w:p>
    <w:p w:rsidR="003E69AE" w:rsidRPr="00F65CFE" w:rsidRDefault="00AB56F9" w:rsidP="00D14BBF">
      <w:pPr>
        <w:pStyle w:val="ListParagraph"/>
        <w:numPr>
          <w:ilvl w:val="0"/>
          <w:numId w:val="4"/>
        </w:numPr>
        <w:rPr>
          <w:rFonts w:asciiTheme="minorHAnsi" w:hAnsiTheme="minorHAnsi"/>
        </w:rPr>
      </w:pPr>
      <w:r w:rsidRPr="00F65CFE">
        <w:rPr>
          <w:rFonts w:asciiTheme="minorHAnsi" w:hAnsiTheme="minorHAnsi"/>
        </w:rPr>
        <w:lastRenderedPageBreak/>
        <w:t>The number of first-time treatment entrants for cannabis as their main problem drug increased from 45</w:t>
      </w:r>
      <w:r w:rsidR="009D75D2" w:rsidRPr="00F65CFE">
        <w:rPr>
          <w:rFonts w:asciiTheme="minorHAnsi" w:hAnsiTheme="minorHAnsi"/>
        </w:rPr>
        <w:t>,</w:t>
      </w:r>
      <w:r w:rsidRPr="00F65CFE">
        <w:rPr>
          <w:rFonts w:asciiTheme="minorHAnsi" w:hAnsiTheme="minorHAnsi"/>
        </w:rPr>
        <w:t>000 in 2006 to 69</w:t>
      </w:r>
      <w:r w:rsidR="009D75D2" w:rsidRPr="00F65CFE">
        <w:rPr>
          <w:rFonts w:asciiTheme="minorHAnsi" w:hAnsiTheme="minorHAnsi"/>
        </w:rPr>
        <w:t>,</w:t>
      </w:r>
      <w:r w:rsidRPr="00F65CFE">
        <w:rPr>
          <w:rFonts w:asciiTheme="minorHAnsi" w:hAnsiTheme="minorHAnsi"/>
        </w:rPr>
        <w:t xml:space="preserve">000 in 2014, 55% of whom reported daily use. </w:t>
      </w:r>
    </w:p>
    <w:p w:rsidR="001B0E85" w:rsidRPr="00F65CFE" w:rsidRDefault="00D14BBF" w:rsidP="00F65CFE">
      <w:pPr>
        <w:pStyle w:val="ListParagraph"/>
        <w:numPr>
          <w:ilvl w:val="0"/>
          <w:numId w:val="4"/>
        </w:numPr>
        <w:rPr>
          <w:rFonts w:asciiTheme="minorHAnsi" w:hAnsiTheme="minorHAnsi" w:cs="Tahoma"/>
          <w:color w:val="FF0000"/>
        </w:rPr>
      </w:pPr>
      <w:r w:rsidRPr="00F65CFE">
        <w:rPr>
          <w:rFonts w:asciiTheme="minorHAnsi" w:hAnsiTheme="minorHAnsi"/>
        </w:rPr>
        <w:t>In 2014, 682</w:t>
      </w:r>
      <w:r w:rsidR="009D75D2" w:rsidRPr="00F65CFE">
        <w:rPr>
          <w:rFonts w:asciiTheme="minorHAnsi" w:hAnsiTheme="minorHAnsi"/>
        </w:rPr>
        <w:t>,</w:t>
      </w:r>
      <w:r w:rsidRPr="00F65CFE">
        <w:rPr>
          <w:rFonts w:asciiTheme="minorHAnsi" w:hAnsiTheme="minorHAnsi"/>
        </w:rPr>
        <w:t>000 seizures of cannabis were reported in the European Union (453</w:t>
      </w:r>
      <w:r w:rsidR="009D75D2" w:rsidRPr="00F65CFE">
        <w:rPr>
          <w:rFonts w:asciiTheme="minorHAnsi" w:hAnsiTheme="minorHAnsi"/>
        </w:rPr>
        <w:t>,</w:t>
      </w:r>
      <w:r w:rsidRPr="00F65CFE">
        <w:rPr>
          <w:rFonts w:asciiTheme="minorHAnsi" w:hAnsiTheme="minorHAnsi"/>
        </w:rPr>
        <w:t>000 of herbal cannabis, 229</w:t>
      </w:r>
      <w:r w:rsidR="009D75D2" w:rsidRPr="00F65CFE">
        <w:rPr>
          <w:rFonts w:asciiTheme="minorHAnsi" w:hAnsiTheme="minorHAnsi"/>
        </w:rPr>
        <w:t>,</w:t>
      </w:r>
      <w:r w:rsidRPr="00F65CFE">
        <w:rPr>
          <w:rFonts w:asciiTheme="minorHAnsi" w:hAnsiTheme="minorHAnsi"/>
        </w:rPr>
        <w:t>000 of cannabis resin). There were a further 33</w:t>
      </w:r>
      <w:r w:rsidR="009D75D2" w:rsidRPr="00F65CFE">
        <w:rPr>
          <w:rFonts w:asciiTheme="minorHAnsi" w:hAnsiTheme="minorHAnsi"/>
        </w:rPr>
        <w:t>,</w:t>
      </w:r>
      <w:r w:rsidRPr="00F65CFE">
        <w:rPr>
          <w:rFonts w:asciiTheme="minorHAnsi" w:hAnsiTheme="minorHAnsi"/>
        </w:rPr>
        <w:t xml:space="preserve">000 seizures of cannabis plants. The quantity of </w:t>
      </w:r>
      <w:r w:rsidR="00FF6EAF" w:rsidRPr="003E69AE">
        <w:rPr>
          <w:rFonts w:asciiTheme="minorHAnsi" w:hAnsiTheme="minorHAnsi"/>
        </w:rPr>
        <w:t xml:space="preserve">cannabis resin, </w:t>
      </w:r>
      <w:r w:rsidRPr="003E69AE">
        <w:rPr>
          <w:rFonts w:asciiTheme="minorHAnsi" w:hAnsiTheme="minorHAnsi"/>
        </w:rPr>
        <w:t xml:space="preserve">transported in large quantities and over long distances, seized in the European Union is much higher than that of herbal cannabis (574 tonnes versus 139 tonnes). </w:t>
      </w:r>
    </w:p>
    <w:p w:rsidR="001B0E85" w:rsidRPr="00C07BD6" w:rsidRDefault="001B0E85" w:rsidP="001B0E85">
      <w:pPr>
        <w:pStyle w:val="NormalWeb"/>
        <w:spacing w:before="0" w:beforeAutospacing="0" w:after="0" w:afterAutospacing="0" w:line="312" w:lineRule="auto"/>
        <w:rPr>
          <w:rFonts w:asciiTheme="minorHAnsi" w:hAnsiTheme="minorHAnsi" w:cs="Tahoma"/>
          <w:b/>
          <w:i/>
          <w:sz w:val="22"/>
          <w:szCs w:val="22"/>
        </w:rPr>
      </w:pPr>
      <w:r w:rsidRPr="00C07BD6">
        <w:rPr>
          <w:rFonts w:asciiTheme="minorHAnsi" w:hAnsiTheme="minorHAnsi" w:cs="Tahoma"/>
          <w:b/>
          <w:i/>
          <w:sz w:val="22"/>
          <w:szCs w:val="22"/>
        </w:rPr>
        <w:t xml:space="preserve">Irish comparison </w:t>
      </w:r>
    </w:p>
    <w:p w:rsidR="001B0E85" w:rsidRPr="00C07BD6" w:rsidRDefault="001B0E85" w:rsidP="001B0E85">
      <w:pPr>
        <w:numPr>
          <w:ilvl w:val="0"/>
          <w:numId w:val="7"/>
        </w:numPr>
        <w:spacing w:line="312" w:lineRule="auto"/>
        <w:rPr>
          <w:rFonts w:asciiTheme="minorHAnsi" w:hAnsiTheme="minorHAnsi" w:cs="Tahoma"/>
          <w:sz w:val="22"/>
          <w:lang w:val="en-IE" w:eastAsia="en-IE"/>
        </w:rPr>
      </w:pPr>
      <w:r w:rsidRPr="00C07BD6">
        <w:rPr>
          <w:rFonts w:asciiTheme="minorHAnsi" w:hAnsiTheme="minorHAnsi" w:cs="Tahoma"/>
          <w:sz w:val="22"/>
          <w:lang w:val="en-IE" w:eastAsia="en-IE"/>
        </w:rPr>
        <w:t xml:space="preserve">The NACD 2010/11 general population survey reported that </w:t>
      </w:r>
      <w:r w:rsidR="000F441C" w:rsidRPr="00C07BD6">
        <w:rPr>
          <w:rFonts w:asciiTheme="minorHAnsi" w:hAnsiTheme="minorHAnsi" w:cs="Tahoma"/>
          <w:sz w:val="22"/>
          <w:lang w:val="en-IE" w:eastAsia="en-IE"/>
        </w:rPr>
        <w:t>10.3</w:t>
      </w:r>
      <w:r w:rsidRPr="00C07BD6">
        <w:rPr>
          <w:rFonts w:asciiTheme="minorHAnsi" w:hAnsiTheme="minorHAnsi" w:cs="Tahoma"/>
          <w:sz w:val="22"/>
          <w:lang w:val="en-IE" w:eastAsia="en-IE"/>
        </w:rPr>
        <w:t xml:space="preserve">% of </w:t>
      </w:r>
      <w:r w:rsidR="00D14A6F">
        <w:rPr>
          <w:rFonts w:asciiTheme="minorHAnsi" w:hAnsiTheme="minorHAnsi" w:cs="Tahoma"/>
          <w:sz w:val="22"/>
          <w:lang w:val="en-IE" w:eastAsia="en-IE"/>
        </w:rPr>
        <w:t>you</w:t>
      </w:r>
      <w:r w:rsidR="008E07DD">
        <w:rPr>
          <w:rFonts w:asciiTheme="minorHAnsi" w:hAnsiTheme="minorHAnsi" w:cs="Tahoma"/>
          <w:sz w:val="22"/>
          <w:lang w:val="en-IE" w:eastAsia="en-IE"/>
        </w:rPr>
        <w:t>ng</w:t>
      </w:r>
      <w:r w:rsidR="00D14A6F">
        <w:rPr>
          <w:rFonts w:asciiTheme="minorHAnsi" w:hAnsiTheme="minorHAnsi" w:cs="Tahoma"/>
          <w:sz w:val="22"/>
          <w:lang w:val="en-IE" w:eastAsia="en-IE"/>
        </w:rPr>
        <w:t xml:space="preserve"> adults</w:t>
      </w:r>
      <w:r w:rsidRPr="00C07BD6">
        <w:rPr>
          <w:rFonts w:asciiTheme="minorHAnsi" w:hAnsiTheme="minorHAnsi" w:cs="Tahoma"/>
          <w:sz w:val="22"/>
          <w:lang w:val="en-IE" w:eastAsia="en-IE"/>
        </w:rPr>
        <w:t xml:space="preserve"> (15-</w:t>
      </w:r>
      <w:r w:rsidR="000F441C" w:rsidRPr="00C07BD6">
        <w:rPr>
          <w:rFonts w:asciiTheme="minorHAnsi" w:hAnsiTheme="minorHAnsi" w:cs="Tahoma"/>
          <w:sz w:val="22"/>
          <w:lang w:val="en-IE" w:eastAsia="en-IE"/>
        </w:rPr>
        <w:t>34</w:t>
      </w:r>
      <w:r w:rsidRPr="00C07BD6">
        <w:rPr>
          <w:rFonts w:asciiTheme="minorHAnsi" w:hAnsiTheme="minorHAnsi" w:cs="Tahoma"/>
          <w:sz w:val="22"/>
          <w:lang w:val="en-IE" w:eastAsia="en-IE"/>
        </w:rPr>
        <w:t xml:space="preserve">) used cannabis in the year prior to the survey (recent use).  </w:t>
      </w:r>
    </w:p>
    <w:p w:rsidR="004234BC" w:rsidRPr="00C07BD6" w:rsidRDefault="001B0E85" w:rsidP="004234BC">
      <w:pPr>
        <w:numPr>
          <w:ilvl w:val="0"/>
          <w:numId w:val="7"/>
        </w:numPr>
        <w:spacing w:line="312" w:lineRule="auto"/>
        <w:rPr>
          <w:rFonts w:asciiTheme="minorHAnsi" w:hAnsiTheme="minorHAnsi" w:cs="Tahoma"/>
          <w:sz w:val="22"/>
          <w:lang w:val="en-IE" w:eastAsia="en-IE"/>
        </w:rPr>
      </w:pPr>
      <w:r w:rsidRPr="00C07BD6">
        <w:rPr>
          <w:rFonts w:asciiTheme="minorHAnsi" w:hAnsiTheme="minorHAnsi" w:cs="Tahoma"/>
          <w:sz w:val="22"/>
          <w:lang w:val="en-IE" w:eastAsia="en-IE"/>
        </w:rPr>
        <w:t xml:space="preserve">The survey used two instruments to determine cannabis abuse and dependence.  Of recent users 9% were classified as cannabis dependent. Dependence was higher among men (11%) and   among young adults (15–34 years) (10%). </w:t>
      </w:r>
    </w:p>
    <w:p w:rsidR="001B0E85" w:rsidRPr="00C36ADE" w:rsidRDefault="00D46419" w:rsidP="004234BC">
      <w:pPr>
        <w:numPr>
          <w:ilvl w:val="0"/>
          <w:numId w:val="7"/>
        </w:numPr>
        <w:spacing w:line="312" w:lineRule="auto"/>
        <w:rPr>
          <w:rFonts w:asciiTheme="minorHAnsi" w:hAnsiTheme="minorHAnsi" w:cs="Tahoma"/>
          <w:sz w:val="22"/>
          <w:lang w:val="en-IE" w:eastAsia="en-IE"/>
        </w:rPr>
      </w:pPr>
      <w:r w:rsidRPr="00083465">
        <w:rPr>
          <w:rFonts w:asciiTheme="minorHAnsi" w:hAnsiTheme="minorHAnsi" w:cs="Tahoma"/>
          <w:sz w:val="22"/>
          <w:lang w:val="en-GB" w:eastAsia="en-IE"/>
        </w:rPr>
        <w:t>Since</w:t>
      </w:r>
      <w:r w:rsidR="00C248CA" w:rsidRPr="00083465">
        <w:rPr>
          <w:rFonts w:asciiTheme="minorHAnsi" w:hAnsiTheme="minorHAnsi" w:cs="Tahoma"/>
          <w:sz w:val="22"/>
          <w:lang w:val="en-GB" w:eastAsia="en-IE"/>
        </w:rPr>
        <w:t xml:space="preserve"> 2004 cannabis has consistently</w:t>
      </w:r>
      <w:r w:rsidRPr="00083465">
        <w:rPr>
          <w:rFonts w:asciiTheme="minorHAnsi" w:hAnsiTheme="minorHAnsi" w:cs="Tahoma"/>
          <w:sz w:val="22"/>
          <w:lang w:val="en-GB" w:eastAsia="en-IE"/>
        </w:rPr>
        <w:t xml:space="preserve"> been reported as the second most common problem drug</w:t>
      </w:r>
      <w:r w:rsidR="00C36ADE">
        <w:rPr>
          <w:rFonts w:asciiTheme="minorHAnsi" w:hAnsiTheme="minorHAnsi" w:cs="Tahoma"/>
          <w:sz w:val="22"/>
          <w:lang w:val="en-GB" w:eastAsia="en-IE"/>
        </w:rPr>
        <w:t xml:space="preserve"> for those entering treatment.</w:t>
      </w:r>
      <w:r w:rsidRPr="00083465">
        <w:rPr>
          <w:rFonts w:asciiTheme="minorHAnsi" w:hAnsiTheme="minorHAnsi" w:cs="Tahoma"/>
          <w:sz w:val="22"/>
          <w:lang w:val="en-GB" w:eastAsia="en-IE"/>
        </w:rPr>
        <w:t xml:space="preserve"> </w:t>
      </w:r>
      <w:r w:rsidR="001B0E85" w:rsidRPr="00083465">
        <w:rPr>
          <w:rFonts w:asciiTheme="minorHAnsi" w:hAnsiTheme="minorHAnsi" w:cs="Tahoma"/>
          <w:sz w:val="22"/>
          <w:lang w:eastAsia="en-IE"/>
        </w:rPr>
        <w:t xml:space="preserve">The number of </w:t>
      </w:r>
      <w:r w:rsidR="00C36ADE" w:rsidRPr="00083465">
        <w:rPr>
          <w:rFonts w:asciiTheme="minorHAnsi" w:hAnsiTheme="minorHAnsi" w:cs="Tahoma"/>
          <w:sz w:val="22"/>
          <w:lang w:eastAsia="en-IE"/>
        </w:rPr>
        <w:t>c</w:t>
      </w:r>
      <w:r w:rsidR="00C36ADE">
        <w:rPr>
          <w:rFonts w:asciiTheme="minorHAnsi" w:hAnsiTheme="minorHAnsi" w:cs="Tahoma"/>
          <w:sz w:val="22"/>
          <w:lang w:eastAsia="en-IE"/>
        </w:rPr>
        <w:t xml:space="preserve">ases </w:t>
      </w:r>
      <w:r w:rsidR="001B0E85" w:rsidRPr="00083465">
        <w:rPr>
          <w:rFonts w:asciiTheme="minorHAnsi" w:hAnsiTheme="minorHAnsi" w:cs="Tahoma"/>
          <w:sz w:val="22"/>
          <w:lang w:eastAsia="en-IE"/>
        </w:rPr>
        <w:t>entering treatment with cannabis as their main problem drug in 201</w:t>
      </w:r>
      <w:r w:rsidR="006956E6" w:rsidRPr="00083465">
        <w:rPr>
          <w:rFonts w:asciiTheme="minorHAnsi" w:hAnsiTheme="minorHAnsi" w:cs="Tahoma"/>
          <w:sz w:val="22"/>
          <w:lang w:eastAsia="en-IE"/>
        </w:rPr>
        <w:t>4</w:t>
      </w:r>
      <w:r w:rsidR="001B0E85" w:rsidRPr="00083465">
        <w:rPr>
          <w:rFonts w:asciiTheme="minorHAnsi" w:hAnsiTheme="minorHAnsi" w:cs="Tahoma"/>
          <w:sz w:val="22"/>
          <w:lang w:eastAsia="en-IE"/>
        </w:rPr>
        <w:t xml:space="preserve"> was </w:t>
      </w:r>
      <w:r w:rsidR="006956E6" w:rsidRPr="00083465">
        <w:rPr>
          <w:rFonts w:asciiTheme="minorHAnsi" w:eastAsia="Arial" w:hAnsiTheme="minorHAnsi" w:cs="Arial"/>
          <w:sz w:val="22"/>
        </w:rPr>
        <w:t>2,645</w:t>
      </w:r>
      <w:r w:rsidR="006956E6" w:rsidRPr="00083465">
        <w:rPr>
          <w:rFonts w:asciiTheme="minorHAnsi" w:hAnsiTheme="minorHAnsi" w:cs="Tahoma"/>
          <w:sz w:val="22"/>
          <w:lang w:eastAsia="en-IE"/>
        </w:rPr>
        <w:t xml:space="preserve"> </w:t>
      </w:r>
      <w:r w:rsidR="001B0E85" w:rsidRPr="00083465">
        <w:rPr>
          <w:rFonts w:asciiTheme="minorHAnsi" w:hAnsiTheme="minorHAnsi" w:cs="Tahoma"/>
          <w:sz w:val="22"/>
          <w:lang w:eastAsia="en-IE"/>
        </w:rPr>
        <w:t>(</w:t>
      </w:r>
      <w:r w:rsidR="006956E6" w:rsidRPr="00083465">
        <w:rPr>
          <w:rFonts w:asciiTheme="minorHAnsi" w:hAnsiTheme="minorHAnsi" w:cs="Tahoma"/>
          <w:sz w:val="22"/>
          <w:lang w:eastAsia="en-IE"/>
        </w:rPr>
        <w:t>2</w:t>
      </w:r>
      <w:r w:rsidRPr="00083465">
        <w:rPr>
          <w:rFonts w:asciiTheme="minorHAnsi" w:hAnsiTheme="minorHAnsi" w:cs="Tahoma"/>
          <w:sz w:val="22"/>
          <w:lang w:eastAsia="en-IE"/>
        </w:rPr>
        <w:t>7</w:t>
      </w:r>
      <w:r w:rsidR="006956E6" w:rsidRPr="00083465">
        <w:rPr>
          <w:rFonts w:asciiTheme="minorHAnsi" w:hAnsiTheme="minorHAnsi" w:cs="Tahoma"/>
          <w:sz w:val="22"/>
          <w:lang w:eastAsia="en-IE"/>
        </w:rPr>
        <w:t>.8</w:t>
      </w:r>
      <w:r w:rsidR="00E2534F" w:rsidRPr="00083465">
        <w:rPr>
          <w:rFonts w:asciiTheme="minorHAnsi" w:hAnsiTheme="minorHAnsi" w:cs="Tahoma"/>
          <w:sz w:val="22"/>
          <w:lang w:eastAsia="en-IE"/>
        </w:rPr>
        <w:t xml:space="preserve">%).  </w:t>
      </w:r>
      <w:r w:rsidR="001F5DCA" w:rsidRPr="00083465">
        <w:rPr>
          <w:rFonts w:asciiTheme="minorHAnsi" w:hAnsiTheme="minorHAnsi" w:cs="Tahoma"/>
          <w:sz w:val="22"/>
          <w:lang w:eastAsia="en-IE"/>
        </w:rPr>
        <w:t>The corresponding figure for 201</w:t>
      </w:r>
      <w:r w:rsidRPr="00083465">
        <w:rPr>
          <w:rFonts w:asciiTheme="minorHAnsi" w:hAnsiTheme="minorHAnsi" w:cs="Tahoma"/>
          <w:sz w:val="22"/>
          <w:lang w:eastAsia="en-IE"/>
        </w:rPr>
        <w:t>3</w:t>
      </w:r>
      <w:r w:rsidR="001F5DCA" w:rsidRPr="00083465">
        <w:rPr>
          <w:rFonts w:asciiTheme="minorHAnsi" w:hAnsiTheme="minorHAnsi" w:cs="Tahoma"/>
          <w:sz w:val="22"/>
          <w:lang w:eastAsia="en-IE"/>
        </w:rPr>
        <w:t xml:space="preserve"> was</w:t>
      </w:r>
      <w:r w:rsidR="00E2534F" w:rsidRPr="00083465">
        <w:rPr>
          <w:rFonts w:asciiTheme="minorHAnsi" w:hAnsiTheme="minorHAnsi" w:cs="Tahoma"/>
          <w:sz w:val="22"/>
          <w:lang w:eastAsia="en-IE"/>
        </w:rPr>
        <w:t xml:space="preserve"> 2,</w:t>
      </w:r>
      <w:r w:rsidR="006956E6" w:rsidRPr="00083465">
        <w:rPr>
          <w:rFonts w:asciiTheme="minorHAnsi" w:hAnsiTheme="minorHAnsi" w:cs="Tahoma"/>
          <w:sz w:val="22"/>
          <w:lang w:eastAsia="en-IE"/>
        </w:rPr>
        <w:t>511</w:t>
      </w:r>
      <w:r w:rsidR="00E2534F" w:rsidRPr="00083465">
        <w:rPr>
          <w:rFonts w:asciiTheme="minorHAnsi" w:hAnsiTheme="minorHAnsi" w:cs="Tahoma"/>
          <w:sz w:val="22"/>
          <w:lang w:eastAsia="en-IE"/>
        </w:rPr>
        <w:t xml:space="preserve"> </w:t>
      </w:r>
      <w:r w:rsidR="001F5DCA" w:rsidRPr="00083465">
        <w:rPr>
          <w:rFonts w:asciiTheme="minorHAnsi" w:hAnsiTheme="minorHAnsi" w:cs="Tahoma"/>
          <w:sz w:val="22"/>
          <w:lang w:eastAsia="en-IE"/>
        </w:rPr>
        <w:t>(28.</w:t>
      </w:r>
      <w:r w:rsidR="006956E6" w:rsidRPr="00083465">
        <w:rPr>
          <w:rFonts w:asciiTheme="minorHAnsi" w:hAnsiTheme="minorHAnsi" w:cs="Tahoma"/>
          <w:sz w:val="22"/>
          <w:lang w:eastAsia="en-IE"/>
        </w:rPr>
        <w:t>9</w:t>
      </w:r>
      <w:r w:rsidR="001F5DCA" w:rsidRPr="00083465">
        <w:rPr>
          <w:rFonts w:asciiTheme="minorHAnsi" w:hAnsiTheme="minorHAnsi" w:cs="Tahoma"/>
          <w:sz w:val="22"/>
          <w:lang w:eastAsia="en-IE"/>
        </w:rPr>
        <w:t xml:space="preserve">%).  </w:t>
      </w:r>
    </w:p>
    <w:p w:rsidR="007A274C" w:rsidRPr="00C07BD6" w:rsidRDefault="001F5DCA" w:rsidP="00C248CA">
      <w:pPr>
        <w:numPr>
          <w:ilvl w:val="0"/>
          <w:numId w:val="8"/>
        </w:numPr>
        <w:spacing w:line="312" w:lineRule="auto"/>
        <w:rPr>
          <w:rFonts w:asciiTheme="minorHAnsi" w:hAnsiTheme="minorHAnsi" w:cs="Tahoma"/>
          <w:sz w:val="22"/>
          <w:lang w:val="en-IE" w:eastAsia="en-IE"/>
        </w:rPr>
      </w:pPr>
      <w:r w:rsidRPr="00C07BD6">
        <w:rPr>
          <w:rFonts w:asciiTheme="minorHAnsi" w:hAnsiTheme="minorHAnsi" w:cs="Tahoma"/>
          <w:sz w:val="22"/>
          <w:lang w:val="en-IE" w:eastAsia="en-IE"/>
        </w:rPr>
        <w:t>In 201</w:t>
      </w:r>
      <w:r w:rsidR="001A689E" w:rsidRPr="00C07BD6">
        <w:rPr>
          <w:rFonts w:asciiTheme="minorHAnsi" w:hAnsiTheme="minorHAnsi" w:cs="Tahoma"/>
          <w:sz w:val="22"/>
          <w:lang w:val="en-IE" w:eastAsia="en-IE"/>
        </w:rPr>
        <w:t>4</w:t>
      </w:r>
      <w:r w:rsidRPr="00C07BD6">
        <w:rPr>
          <w:rFonts w:asciiTheme="minorHAnsi" w:hAnsiTheme="minorHAnsi" w:cs="Tahoma"/>
          <w:sz w:val="22"/>
          <w:lang w:val="en-IE" w:eastAsia="en-IE"/>
        </w:rPr>
        <w:t>,</w:t>
      </w:r>
      <w:r w:rsidR="00FB419A" w:rsidRPr="00C07BD6">
        <w:rPr>
          <w:rFonts w:asciiTheme="minorHAnsi" w:hAnsiTheme="minorHAnsi" w:cs="Tahoma"/>
          <w:sz w:val="22"/>
          <w:lang w:val="en-IE" w:eastAsia="en-IE"/>
        </w:rPr>
        <w:t xml:space="preserve"> </w:t>
      </w:r>
      <w:r w:rsidR="001A689E" w:rsidRPr="00C07BD6">
        <w:rPr>
          <w:rFonts w:asciiTheme="minorHAnsi" w:hAnsiTheme="minorHAnsi"/>
          <w:lang w:val="en-IE" w:eastAsia="en-IE"/>
        </w:rPr>
        <w:t>1,696</w:t>
      </w:r>
      <w:r w:rsidR="001A689E" w:rsidRPr="00C07BD6">
        <w:rPr>
          <w:rFonts w:asciiTheme="minorHAnsi" w:hAnsiTheme="minorHAnsi" w:cs="Tahoma"/>
          <w:sz w:val="22"/>
          <w:lang w:val="en-IE" w:eastAsia="en-IE"/>
        </w:rPr>
        <w:t xml:space="preserve"> </w:t>
      </w:r>
      <w:r w:rsidR="00FB419A" w:rsidRPr="00C07BD6">
        <w:rPr>
          <w:rFonts w:asciiTheme="minorHAnsi" w:hAnsiTheme="minorHAnsi" w:cs="Tahoma"/>
          <w:sz w:val="22"/>
          <w:lang w:val="en-IE" w:eastAsia="en-IE"/>
        </w:rPr>
        <w:t>(</w:t>
      </w:r>
      <w:r w:rsidR="001A689E" w:rsidRPr="00C07BD6">
        <w:rPr>
          <w:rFonts w:asciiTheme="minorHAnsi" w:hAnsiTheme="minorHAnsi" w:cs="Tahoma"/>
          <w:sz w:val="22"/>
          <w:lang w:val="en-IE" w:eastAsia="en-IE"/>
        </w:rPr>
        <w:t>45</w:t>
      </w:r>
      <w:r w:rsidRPr="00C07BD6">
        <w:rPr>
          <w:rFonts w:asciiTheme="minorHAnsi" w:hAnsiTheme="minorHAnsi" w:cs="Tahoma"/>
          <w:sz w:val="22"/>
          <w:lang w:val="en-IE" w:eastAsia="en-IE"/>
        </w:rPr>
        <w:t>.0%</w:t>
      </w:r>
      <w:r w:rsidR="00FB419A" w:rsidRPr="00C07BD6">
        <w:rPr>
          <w:rFonts w:asciiTheme="minorHAnsi" w:hAnsiTheme="minorHAnsi" w:cs="Tahoma"/>
          <w:sz w:val="22"/>
          <w:lang w:val="en-IE" w:eastAsia="en-IE"/>
        </w:rPr>
        <w:t>)</w:t>
      </w:r>
      <w:r w:rsidRPr="00C07BD6">
        <w:rPr>
          <w:rFonts w:asciiTheme="minorHAnsi" w:hAnsiTheme="minorHAnsi" w:cs="Tahoma"/>
          <w:sz w:val="22"/>
          <w:lang w:val="en-IE" w:eastAsia="en-IE"/>
        </w:rPr>
        <w:t xml:space="preserve"> </w:t>
      </w:r>
      <w:r w:rsidR="00C36ADE">
        <w:rPr>
          <w:rFonts w:asciiTheme="minorHAnsi" w:hAnsiTheme="minorHAnsi" w:cs="Tahoma"/>
          <w:sz w:val="22"/>
          <w:lang w:val="en-IE" w:eastAsia="en-IE"/>
        </w:rPr>
        <w:t>cases</w:t>
      </w:r>
      <w:r w:rsidR="00C36ADE" w:rsidRPr="00C07BD6">
        <w:rPr>
          <w:rFonts w:asciiTheme="minorHAnsi" w:hAnsiTheme="minorHAnsi" w:cs="Tahoma"/>
          <w:sz w:val="22"/>
          <w:lang w:val="en-IE" w:eastAsia="en-IE"/>
        </w:rPr>
        <w:t xml:space="preserve"> </w:t>
      </w:r>
      <w:r w:rsidRPr="00C07BD6">
        <w:rPr>
          <w:rFonts w:asciiTheme="minorHAnsi" w:hAnsiTheme="minorHAnsi" w:cs="Tahoma"/>
          <w:sz w:val="22"/>
          <w:lang w:val="en-IE" w:eastAsia="en-IE"/>
        </w:rPr>
        <w:t>entering treatment for the first time identified cannabis as their main problem drug.</w:t>
      </w:r>
      <w:r w:rsidR="00D6474B" w:rsidRPr="00C07BD6">
        <w:rPr>
          <w:rFonts w:asciiTheme="minorHAnsi" w:hAnsiTheme="minorHAnsi" w:cs="Tahoma"/>
          <w:sz w:val="22"/>
          <w:lang w:val="en-IE" w:eastAsia="en-IE"/>
        </w:rPr>
        <w:t xml:space="preserve"> </w:t>
      </w:r>
      <w:r w:rsidR="00C36ADE">
        <w:rPr>
          <w:rFonts w:asciiTheme="minorHAnsi" w:hAnsiTheme="minorHAnsi" w:cs="Tahoma"/>
          <w:sz w:val="22"/>
          <w:lang w:val="en-IE" w:eastAsia="en-IE"/>
        </w:rPr>
        <w:t xml:space="preserve"> Cannabis</w:t>
      </w:r>
      <w:r w:rsidR="001171E7">
        <w:rPr>
          <w:rFonts w:asciiTheme="minorHAnsi" w:hAnsiTheme="minorHAnsi" w:cs="Tahoma"/>
          <w:sz w:val="22"/>
          <w:lang w:val="en-IE" w:eastAsia="en-IE"/>
        </w:rPr>
        <w:t xml:space="preserve"> was</w:t>
      </w:r>
      <w:r w:rsidR="00083465">
        <w:rPr>
          <w:rFonts w:asciiTheme="minorHAnsi" w:hAnsiTheme="minorHAnsi" w:cs="Tahoma"/>
          <w:sz w:val="22"/>
          <w:lang w:val="en-IE" w:eastAsia="en-IE"/>
        </w:rPr>
        <w:t xml:space="preserve"> </w:t>
      </w:r>
      <w:r w:rsidR="00D6474B" w:rsidRPr="00C07BD6">
        <w:rPr>
          <w:rFonts w:asciiTheme="minorHAnsi" w:hAnsiTheme="minorHAnsi" w:cs="Tahoma"/>
          <w:sz w:val="22"/>
          <w:lang w:val="en-IE" w:eastAsia="en-IE"/>
        </w:rPr>
        <w:t>the most common main problem drug for first time entrants into treatment.</w:t>
      </w:r>
      <w:r w:rsidR="000752A1">
        <w:rPr>
          <w:rFonts w:asciiTheme="minorHAnsi" w:hAnsiTheme="minorHAnsi" w:cs="Tahoma"/>
          <w:sz w:val="22"/>
          <w:lang w:val="en-IE" w:eastAsia="en-IE"/>
        </w:rPr>
        <w:t xml:space="preserve"> </w:t>
      </w:r>
      <w:r w:rsidR="000752A1" w:rsidRPr="000752A1">
        <w:rPr>
          <w:rFonts w:asciiTheme="minorHAnsi" w:hAnsiTheme="minorHAnsi" w:cs="Tahoma"/>
          <w:sz w:val="22"/>
          <w:lang w:val="en-IE" w:eastAsia="en-IE"/>
        </w:rPr>
        <w:t xml:space="preserve">Since 2009 only a very small number of cases (n=113) have reported synthetic cannabinoids as their main problem drug.  </w:t>
      </w:r>
    </w:p>
    <w:p w:rsidR="00C248CA" w:rsidRPr="00C07BD6" w:rsidRDefault="00C248CA" w:rsidP="00C248CA">
      <w:pPr>
        <w:pStyle w:val="ListParagraph"/>
        <w:numPr>
          <w:ilvl w:val="0"/>
          <w:numId w:val="2"/>
        </w:numPr>
        <w:rPr>
          <w:rFonts w:asciiTheme="minorHAnsi" w:hAnsiTheme="minorHAnsi"/>
        </w:rPr>
      </w:pPr>
      <w:r w:rsidRPr="00C07BD6">
        <w:rPr>
          <w:rFonts w:asciiTheme="minorHAnsi" w:hAnsiTheme="minorHAnsi"/>
        </w:rPr>
        <w:t xml:space="preserve">Just less than 10% of 13-17 year olds report having used cannabis in the last 12 months. </w:t>
      </w:r>
      <w:r w:rsidRPr="00C07BD6">
        <w:rPr>
          <w:rFonts w:asciiTheme="minorHAnsi" w:hAnsiTheme="minorHAnsi" w:cs="Tahoma"/>
          <w:lang w:eastAsia="en-IE"/>
        </w:rPr>
        <w:t xml:space="preserve">The </w:t>
      </w:r>
      <w:r w:rsidRPr="00C07BD6">
        <w:rPr>
          <w:rFonts w:asciiTheme="minorHAnsi" w:hAnsiTheme="minorHAnsi" w:cs="Tahoma"/>
          <w:lang w:val="en" w:eastAsia="en-IE"/>
        </w:rPr>
        <w:t xml:space="preserve">Health Behaviour in School-aged Children (HBSC) survey of 2014 also reported that </w:t>
      </w:r>
      <w:r w:rsidRPr="00C07BD6">
        <w:rPr>
          <w:rFonts w:asciiTheme="minorHAnsi" w:hAnsiTheme="minorHAnsi"/>
        </w:rPr>
        <w:t>cannabis use increased with each year of age and was more common among boys.  On</w:t>
      </w:r>
      <w:r w:rsidR="0071695C" w:rsidRPr="00C07BD6">
        <w:rPr>
          <w:rFonts w:asciiTheme="minorHAnsi" w:hAnsiTheme="minorHAnsi"/>
        </w:rPr>
        <w:t>e in twenty (5.5%)  of this coh</w:t>
      </w:r>
      <w:r w:rsidRPr="00C07BD6">
        <w:rPr>
          <w:rFonts w:asciiTheme="minorHAnsi" w:hAnsiTheme="minorHAnsi"/>
        </w:rPr>
        <w:t>ort</w:t>
      </w:r>
      <w:r w:rsidR="0071695C" w:rsidRPr="00C07BD6">
        <w:rPr>
          <w:rFonts w:asciiTheme="minorHAnsi" w:hAnsiTheme="minorHAnsi"/>
        </w:rPr>
        <w:t xml:space="preserve"> </w:t>
      </w:r>
      <w:r w:rsidRPr="00C07BD6">
        <w:rPr>
          <w:rFonts w:asciiTheme="minorHAnsi" w:hAnsiTheme="minorHAnsi"/>
        </w:rPr>
        <w:t>reported cannabis use in the previous 30 days</w:t>
      </w:r>
    </w:p>
    <w:p w:rsidR="00F1637D" w:rsidRPr="00F65CFE" w:rsidRDefault="00E71B19" w:rsidP="00F65CFE">
      <w:pPr>
        <w:pStyle w:val="ListParagraph"/>
        <w:numPr>
          <w:ilvl w:val="0"/>
          <w:numId w:val="2"/>
        </w:numPr>
        <w:spacing w:line="312" w:lineRule="auto"/>
        <w:rPr>
          <w:rFonts w:asciiTheme="minorHAnsi" w:hAnsiTheme="minorHAnsi" w:cs="Tahoma"/>
          <w:color w:val="FF0000"/>
          <w:sz w:val="28"/>
          <w:szCs w:val="28"/>
        </w:rPr>
      </w:pPr>
      <w:r w:rsidRPr="00C07BD6">
        <w:rPr>
          <w:rFonts w:asciiTheme="minorHAnsi" w:hAnsiTheme="minorHAnsi" w:cs="Tahoma"/>
          <w:lang w:eastAsia="en-IE"/>
        </w:rPr>
        <w:t xml:space="preserve">Garda and Revenue Customs officers  reported that 15,463 cannabis plants were seized </w:t>
      </w:r>
      <w:r w:rsidR="0071695C" w:rsidRPr="00C07BD6">
        <w:rPr>
          <w:rFonts w:asciiTheme="minorHAnsi" w:hAnsiTheme="minorHAnsi" w:cs="Tahoma"/>
          <w:lang w:eastAsia="en-IE"/>
        </w:rPr>
        <w:t>in 2014</w:t>
      </w:r>
      <w:r w:rsidR="00C36ADE">
        <w:rPr>
          <w:rFonts w:asciiTheme="minorHAnsi" w:hAnsiTheme="minorHAnsi" w:cs="Tahoma"/>
          <w:lang w:eastAsia="en-IE"/>
        </w:rPr>
        <w:t xml:space="preserve"> </w:t>
      </w:r>
      <w:r w:rsidRPr="00C07BD6">
        <w:rPr>
          <w:rFonts w:asciiTheme="minorHAnsi" w:hAnsiTheme="minorHAnsi" w:cs="Tahoma"/>
          <w:lang w:eastAsia="en-IE"/>
        </w:rPr>
        <w:t>from a total of  394 cultivation sites</w:t>
      </w:r>
      <w:r w:rsidR="001721A4" w:rsidRPr="00C07BD6">
        <w:rPr>
          <w:rFonts w:asciiTheme="minorHAnsi" w:hAnsiTheme="minorHAnsi" w:cs="Tahoma"/>
          <w:lang w:eastAsia="en-IE"/>
        </w:rPr>
        <w:t xml:space="preserve">, </w:t>
      </w:r>
      <w:r w:rsidRPr="00C07BD6">
        <w:rPr>
          <w:rFonts w:asciiTheme="minorHAnsi" w:hAnsiTheme="minorHAnsi" w:cs="Tahoma"/>
          <w:lang w:val="en-US" w:eastAsia="en-IE"/>
        </w:rPr>
        <w:t xml:space="preserve">a much reduced number from the 2013 figure but still indicative of significant domestic cultivation activity. </w:t>
      </w:r>
      <w:r w:rsidR="001721A4" w:rsidRPr="00C07BD6">
        <w:rPr>
          <w:rFonts w:asciiTheme="minorHAnsi" w:hAnsiTheme="minorHAnsi" w:cs="Tahoma"/>
          <w:lang w:val="en-US" w:eastAsia="en-IE"/>
        </w:rPr>
        <w:t xml:space="preserve">The Garda reported </w:t>
      </w:r>
      <w:r w:rsidR="00D14A6F">
        <w:rPr>
          <w:rFonts w:asciiTheme="minorHAnsi" w:hAnsiTheme="minorHAnsi" w:cs="Tahoma"/>
          <w:lang w:val="en-US" w:eastAsia="en-IE"/>
        </w:rPr>
        <w:t>that</w:t>
      </w:r>
      <w:r w:rsidR="009D75D2">
        <w:rPr>
          <w:rFonts w:asciiTheme="minorHAnsi" w:hAnsiTheme="minorHAnsi" w:cs="Tahoma"/>
          <w:lang w:val="en-US" w:eastAsia="en-IE"/>
        </w:rPr>
        <w:t xml:space="preserve"> </w:t>
      </w:r>
      <w:r w:rsidR="001721A4" w:rsidRPr="00C07BD6">
        <w:rPr>
          <w:rFonts w:asciiTheme="minorHAnsi" w:hAnsiTheme="minorHAnsi" w:cs="Tahoma"/>
          <w:lang w:val="en-US" w:eastAsia="en-IE"/>
        </w:rPr>
        <w:t xml:space="preserve">157 grow houses were detected during 2013. </w:t>
      </w:r>
      <w:r w:rsidRPr="00C07BD6">
        <w:rPr>
          <w:rFonts w:asciiTheme="minorHAnsi" w:hAnsiTheme="minorHAnsi" w:cs="Tahoma"/>
          <w:lang w:eastAsia="en-IE"/>
        </w:rPr>
        <w:t xml:space="preserve"> </w:t>
      </w:r>
    </w:p>
    <w:p w:rsidR="001B0E85" w:rsidRPr="00C07BD6" w:rsidRDefault="001B0E85" w:rsidP="00F1637D">
      <w:pPr>
        <w:spacing w:line="312" w:lineRule="auto"/>
        <w:rPr>
          <w:rFonts w:asciiTheme="minorHAnsi" w:hAnsiTheme="minorHAnsi" w:cs="Tahoma"/>
          <w:sz w:val="28"/>
          <w:szCs w:val="28"/>
        </w:rPr>
      </w:pPr>
      <w:r w:rsidRPr="00C07BD6">
        <w:rPr>
          <w:rFonts w:asciiTheme="minorHAnsi" w:hAnsiTheme="minorHAnsi" w:cs="Tahoma"/>
          <w:b/>
          <w:sz w:val="28"/>
          <w:szCs w:val="28"/>
        </w:rPr>
        <w:t>Opioids (mainly heroin)</w:t>
      </w:r>
    </w:p>
    <w:p w:rsidR="001B0E85" w:rsidRPr="00C07BD6" w:rsidRDefault="001B0E85" w:rsidP="001B0E85">
      <w:pPr>
        <w:pStyle w:val="NormalWeb"/>
        <w:spacing w:before="0" w:beforeAutospacing="0" w:after="0" w:afterAutospacing="0" w:line="312" w:lineRule="auto"/>
        <w:rPr>
          <w:rFonts w:asciiTheme="minorHAnsi" w:hAnsiTheme="minorHAnsi" w:cs="Tahoma"/>
          <w:b/>
          <w:i/>
          <w:color w:val="FF0000"/>
          <w:sz w:val="22"/>
          <w:szCs w:val="22"/>
        </w:rPr>
      </w:pPr>
      <w:r w:rsidRPr="00C07BD6">
        <w:rPr>
          <w:rFonts w:asciiTheme="minorHAnsi" w:hAnsiTheme="minorHAnsi" w:cs="Tahoma"/>
          <w:b/>
          <w:i/>
          <w:sz w:val="22"/>
          <w:szCs w:val="22"/>
        </w:rPr>
        <w:t>European situation</w:t>
      </w:r>
    </w:p>
    <w:p w:rsidR="00176094" w:rsidRPr="00C07BD6" w:rsidRDefault="00176094" w:rsidP="00176094">
      <w:pPr>
        <w:pStyle w:val="ListParagraph"/>
        <w:numPr>
          <w:ilvl w:val="0"/>
          <w:numId w:val="9"/>
        </w:numPr>
        <w:rPr>
          <w:rFonts w:asciiTheme="minorHAnsi" w:hAnsiTheme="minorHAnsi"/>
        </w:rPr>
      </w:pPr>
      <w:r w:rsidRPr="00C07BD6">
        <w:rPr>
          <w:rFonts w:asciiTheme="minorHAnsi" w:hAnsiTheme="minorHAnsi"/>
        </w:rPr>
        <w:t xml:space="preserve">The number </w:t>
      </w:r>
      <w:r w:rsidR="00562001" w:rsidRPr="00C07BD6">
        <w:rPr>
          <w:rFonts w:asciiTheme="minorHAnsi" w:hAnsiTheme="minorHAnsi"/>
        </w:rPr>
        <w:t xml:space="preserve">reporting opioids as their primary drug who entered specialised treatment </w:t>
      </w:r>
      <w:r w:rsidR="00562001">
        <w:rPr>
          <w:rFonts w:asciiTheme="minorHAnsi" w:hAnsiTheme="minorHAnsi"/>
        </w:rPr>
        <w:t>for the first time dropped from</w:t>
      </w:r>
      <w:r w:rsidRPr="00C07BD6">
        <w:rPr>
          <w:rFonts w:asciiTheme="minorHAnsi" w:hAnsiTheme="minorHAnsi"/>
        </w:rPr>
        <w:t xml:space="preserve"> 59 000 in 2007, when they accounted for 36 % of all new clients, to </w:t>
      </w:r>
      <w:r w:rsidR="00562001">
        <w:rPr>
          <w:rFonts w:asciiTheme="minorHAnsi" w:hAnsiTheme="minorHAnsi"/>
        </w:rPr>
        <w:t>23,00</w:t>
      </w:r>
      <w:r w:rsidRPr="00C07BD6">
        <w:rPr>
          <w:rFonts w:asciiTheme="minorHAnsi" w:hAnsiTheme="minorHAnsi"/>
        </w:rPr>
        <w:t xml:space="preserve"> in </w:t>
      </w:r>
      <w:r w:rsidR="00562001" w:rsidRPr="00C07BD6">
        <w:rPr>
          <w:rFonts w:asciiTheme="minorHAnsi" w:hAnsiTheme="minorHAnsi"/>
        </w:rPr>
        <w:t>201</w:t>
      </w:r>
      <w:r w:rsidR="00562001">
        <w:rPr>
          <w:rFonts w:asciiTheme="minorHAnsi" w:hAnsiTheme="minorHAnsi"/>
        </w:rPr>
        <w:t>3</w:t>
      </w:r>
      <w:r w:rsidR="00562001" w:rsidRPr="00C07BD6">
        <w:rPr>
          <w:rFonts w:asciiTheme="minorHAnsi" w:hAnsiTheme="minorHAnsi"/>
        </w:rPr>
        <w:t xml:space="preserve"> </w:t>
      </w:r>
      <w:r w:rsidRPr="00C07BD6">
        <w:rPr>
          <w:rFonts w:asciiTheme="minorHAnsi" w:hAnsiTheme="minorHAnsi"/>
        </w:rPr>
        <w:t>(</w:t>
      </w:r>
      <w:r w:rsidR="00562001" w:rsidRPr="00C07BD6">
        <w:rPr>
          <w:rFonts w:asciiTheme="minorHAnsi" w:hAnsiTheme="minorHAnsi"/>
        </w:rPr>
        <w:t>1</w:t>
      </w:r>
      <w:r w:rsidR="00562001">
        <w:rPr>
          <w:rFonts w:asciiTheme="minorHAnsi" w:hAnsiTheme="minorHAnsi"/>
        </w:rPr>
        <w:t>6</w:t>
      </w:r>
      <w:r w:rsidR="00562001" w:rsidRPr="00C07BD6">
        <w:rPr>
          <w:rFonts w:asciiTheme="minorHAnsi" w:hAnsiTheme="minorHAnsi"/>
        </w:rPr>
        <w:t> </w:t>
      </w:r>
      <w:r w:rsidRPr="00C07BD6">
        <w:rPr>
          <w:rFonts w:asciiTheme="minorHAnsi" w:hAnsiTheme="minorHAnsi"/>
        </w:rPr>
        <w:t xml:space="preserve">% of new clients). </w:t>
      </w:r>
      <w:r w:rsidR="00562001" w:rsidRPr="00562001">
        <w:t xml:space="preserve"> </w:t>
      </w:r>
      <w:r w:rsidR="00562001">
        <w:t xml:space="preserve">The trend seems to have levelled off.  </w:t>
      </w:r>
      <w:r w:rsidR="00562001" w:rsidRPr="00C07BD6">
        <w:rPr>
          <w:rFonts w:asciiTheme="minorHAnsi" w:hAnsiTheme="minorHAnsi"/>
        </w:rPr>
        <w:t>Of the 185</w:t>
      </w:r>
      <w:r w:rsidR="00562001">
        <w:rPr>
          <w:rFonts w:asciiTheme="minorHAnsi" w:hAnsiTheme="minorHAnsi"/>
        </w:rPr>
        <w:t>,</w:t>
      </w:r>
      <w:r w:rsidR="00562001" w:rsidRPr="00C07BD6">
        <w:rPr>
          <w:rFonts w:asciiTheme="minorHAnsi" w:hAnsiTheme="minorHAnsi"/>
        </w:rPr>
        <w:t xml:space="preserve">000 </w:t>
      </w:r>
      <w:r w:rsidR="00562001">
        <w:rPr>
          <w:rFonts w:asciiTheme="minorHAnsi" w:hAnsiTheme="minorHAnsi"/>
        </w:rPr>
        <w:t xml:space="preserve">opioid </w:t>
      </w:r>
      <w:r w:rsidR="00562001" w:rsidRPr="00C07BD6">
        <w:rPr>
          <w:rFonts w:asciiTheme="minorHAnsi" w:hAnsiTheme="minorHAnsi"/>
        </w:rPr>
        <w:t xml:space="preserve">clients </w:t>
      </w:r>
      <w:r w:rsidR="00562001">
        <w:rPr>
          <w:rFonts w:asciiTheme="minorHAnsi" w:hAnsiTheme="minorHAnsi"/>
        </w:rPr>
        <w:t>entering treatment</w:t>
      </w:r>
      <w:r w:rsidR="00562001" w:rsidRPr="00C07BD6">
        <w:rPr>
          <w:rFonts w:asciiTheme="minorHAnsi" w:hAnsiTheme="minorHAnsi"/>
        </w:rPr>
        <w:t xml:space="preserve"> in Europe</w:t>
      </w:r>
      <w:r w:rsidR="00562001">
        <w:rPr>
          <w:rFonts w:asciiTheme="minorHAnsi" w:hAnsiTheme="minorHAnsi"/>
        </w:rPr>
        <w:t xml:space="preserve"> in 2014</w:t>
      </w:r>
      <w:r w:rsidR="00562001" w:rsidRPr="00C07BD6">
        <w:rPr>
          <w:rFonts w:asciiTheme="minorHAnsi" w:hAnsiTheme="minorHAnsi"/>
        </w:rPr>
        <w:t>, 34</w:t>
      </w:r>
      <w:r w:rsidR="00562001">
        <w:rPr>
          <w:rFonts w:asciiTheme="minorHAnsi" w:hAnsiTheme="minorHAnsi"/>
        </w:rPr>
        <w:t>,</w:t>
      </w:r>
      <w:r w:rsidR="00562001" w:rsidRPr="00C07BD6">
        <w:rPr>
          <w:rFonts w:asciiTheme="minorHAnsi" w:hAnsiTheme="minorHAnsi"/>
        </w:rPr>
        <w:t>000 were first-time entrants.</w:t>
      </w:r>
    </w:p>
    <w:p w:rsidR="00176094" w:rsidRPr="00C07BD6" w:rsidRDefault="00176094" w:rsidP="00176094">
      <w:pPr>
        <w:pStyle w:val="ListParagraph"/>
        <w:numPr>
          <w:ilvl w:val="0"/>
          <w:numId w:val="9"/>
        </w:numPr>
        <w:rPr>
          <w:rFonts w:asciiTheme="minorHAnsi" w:hAnsiTheme="minorHAnsi"/>
        </w:rPr>
      </w:pPr>
      <w:r w:rsidRPr="00C07BD6">
        <w:rPr>
          <w:rFonts w:asciiTheme="minorHAnsi" w:hAnsiTheme="minorHAnsi"/>
        </w:rPr>
        <w:t xml:space="preserve">In 2014, 19 European countries reported that more than 10 % of all opioid clients entering specialised services presented for problems primarily related to opioids other than heroin including methadone, buprenorphine, fentanyl, codeine, morphine, tramadol and oxycodone.  </w:t>
      </w:r>
    </w:p>
    <w:p w:rsidR="00360D1E" w:rsidRPr="00C07BD6" w:rsidRDefault="00360D1E" w:rsidP="00176094">
      <w:pPr>
        <w:pStyle w:val="ListParagraph"/>
        <w:numPr>
          <w:ilvl w:val="0"/>
          <w:numId w:val="9"/>
        </w:numPr>
        <w:rPr>
          <w:rFonts w:asciiTheme="minorHAnsi" w:hAnsiTheme="minorHAnsi"/>
        </w:rPr>
      </w:pPr>
      <w:r w:rsidRPr="00C07BD6">
        <w:rPr>
          <w:rFonts w:asciiTheme="minorHAnsi" w:hAnsiTheme="minorHAnsi" w:cs="Times"/>
          <w:lang w:val="en-US"/>
        </w:rPr>
        <w:t>Among first-time clients entering drug treatment in 2014 with heroin as their primary drug, 36 % reported injecting as their main route of administration, down from 43 % in 2006.</w:t>
      </w:r>
    </w:p>
    <w:p w:rsidR="00360D1E" w:rsidRPr="00C07BD6" w:rsidRDefault="00360D1E" w:rsidP="00176094">
      <w:pPr>
        <w:pStyle w:val="ListParagraph"/>
        <w:numPr>
          <w:ilvl w:val="0"/>
          <w:numId w:val="9"/>
        </w:numPr>
        <w:rPr>
          <w:rFonts w:asciiTheme="minorHAnsi" w:hAnsiTheme="minorHAnsi"/>
        </w:rPr>
      </w:pPr>
      <w:r w:rsidRPr="00C07BD6">
        <w:rPr>
          <w:rFonts w:asciiTheme="minorHAnsi" w:hAnsiTheme="minorHAnsi"/>
        </w:rPr>
        <w:lastRenderedPageBreak/>
        <w:t>The EMCDDA estimates that at least 6</w:t>
      </w:r>
      <w:r w:rsidR="009D75D2">
        <w:rPr>
          <w:rFonts w:asciiTheme="minorHAnsi" w:hAnsiTheme="minorHAnsi"/>
        </w:rPr>
        <w:t>,</w:t>
      </w:r>
      <w:r w:rsidRPr="00C07BD6">
        <w:rPr>
          <w:rFonts w:asciiTheme="minorHAnsi" w:hAnsiTheme="minorHAnsi"/>
        </w:rPr>
        <w:t xml:space="preserve">800 overdose deaths occurred in the European Union in 2014, an increase from 2013. </w:t>
      </w:r>
    </w:p>
    <w:p w:rsidR="00F45132" w:rsidRPr="00C07BD6" w:rsidRDefault="00F45132" w:rsidP="00F45132">
      <w:pPr>
        <w:pStyle w:val="ListParagraph"/>
        <w:numPr>
          <w:ilvl w:val="0"/>
          <w:numId w:val="9"/>
        </w:numPr>
        <w:rPr>
          <w:rFonts w:asciiTheme="minorHAnsi" w:hAnsiTheme="minorHAnsi"/>
        </w:rPr>
      </w:pPr>
      <w:r w:rsidRPr="00C07BD6">
        <w:rPr>
          <w:rFonts w:asciiTheme="minorHAnsi" w:hAnsiTheme="minorHAnsi"/>
        </w:rPr>
        <w:t>Viral hepatitis, particularly infection caused by the hepatitis C virus (HCV), is highly prevalent among injecting drug users across Europe with 6 of the 13 countries with national data reporting a prevalence rate in excess of 50 %.  Drug injection is a risk factor for other infectious diseases including hepatitis B, tetanus and botulism.</w:t>
      </w:r>
    </w:p>
    <w:p w:rsidR="009804C9" w:rsidRPr="00F65CFE" w:rsidRDefault="008D2C41" w:rsidP="00F65CFE">
      <w:pPr>
        <w:pStyle w:val="ListParagraph"/>
        <w:numPr>
          <w:ilvl w:val="0"/>
          <w:numId w:val="9"/>
        </w:numPr>
        <w:rPr>
          <w:rFonts w:asciiTheme="minorHAnsi" w:hAnsiTheme="minorHAnsi" w:cs="Tahoma"/>
          <w:b/>
          <w:i/>
          <w:color w:val="FF0000"/>
        </w:rPr>
      </w:pPr>
      <w:r w:rsidRPr="00C07BD6">
        <w:rPr>
          <w:rFonts w:asciiTheme="minorHAnsi" w:hAnsiTheme="minorHAnsi"/>
          <w:lang w:val="en-GB"/>
        </w:rPr>
        <w:t xml:space="preserve">The quantity of heroin seized within the EU had been declining steadily from 2002 until 2013 when 5.6 tonnes were seized.  A total of 8.9 tonnes were seized in 2014.  The reversal in trends is largely due to an increase in large seizures (above 100 </w:t>
      </w:r>
      <w:proofErr w:type="gramStart"/>
      <w:r w:rsidRPr="00C07BD6">
        <w:rPr>
          <w:rFonts w:asciiTheme="minorHAnsi" w:hAnsiTheme="minorHAnsi"/>
          <w:lang w:val="en-GB"/>
        </w:rPr>
        <w:t>kg )</w:t>
      </w:r>
      <w:proofErr w:type="gramEnd"/>
      <w:r w:rsidRPr="00C07BD6">
        <w:rPr>
          <w:rFonts w:asciiTheme="minorHAnsi" w:hAnsiTheme="minorHAnsi"/>
          <w:lang w:val="en-GB"/>
        </w:rPr>
        <w:t xml:space="preserve"> in several countries.</w:t>
      </w:r>
    </w:p>
    <w:p w:rsidR="001B0E85" w:rsidRPr="00C07BD6" w:rsidRDefault="001B0E85" w:rsidP="001B0E85">
      <w:pPr>
        <w:spacing w:line="312" w:lineRule="auto"/>
        <w:ind w:left="360"/>
        <w:rPr>
          <w:rFonts w:asciiTheme="minorHAnsi" w:hAnsiTheme="minorHAnsi" w:cs="Tahoma"/>
          <w:sz w:val="22"/>
        </w:rPr>
      </w:pPr>
      <w:r w:rsidRPr="00C07BD6">
        <w:rPr>
          <w:rFonts w:asciiTheme="minorHAnsi" w:hAnsiTheme="minorHAnsi" w:cs="Tahoma"/>
          <w:b/>
          <w:i/>
          <w:sz w:val="22"/>
        </w:rPr>
        <w:t>Irish comparison</w:t>
      </w:r>
    </w:p>
    <w:p w:rsidR="008D2C41" w:rsidRPr="00C07BD6" w:rsidRDefault="001B0E85" w:rsidP="00445D93">
      <w:pPr>
        <w:numPr>
          <w:ilvl w:val="0"/>
          <w:numId w:val="1"/>
        </w:numPr>
        <w:spacing w:line="312" w:lineRule="auto"/>
        <w:rPr>
          <w:rFonts w:asciiTheme="minorHAnsi" w:hAnsiTheme="minorHAnsi" w:cs="Tahoma"/>
          <w:sz w:val="22"/>
        </w:rPr>
      </w:pPr>
      <w:r w:rsidRPr="00C07BD6">
        <w:rPr>
          <w:rFonts w:asciiTheme="minorHAnsi" w:hAnsiTheme="minorHAnsi" w:cs="Tahoma"/>
          <w:sz w:val="22"/>
          <w:lang w:val="en-IE"/>
        </w:rPr>
        <w:t>Opiates (mainly heroin) were the most common main problem drug reported by cases entering treatment in 201</w:t>
      </w:r>
      <w:r w:rsidR="008D2C41" w:rsidRPr="00C07BD6">
        <w:rPr>
          <w:rFonts w:asciiTheme="minorHAnsi" w:hAnsiTheme="minorHAnsi" w:cs="Tahoma"/>
          <w:sz w:val="22"/>
          <w:lang w:val="en-IE"/>
        </w:rPr>
        <w:t>4</w:t>
      </w:r>
      <w:r w:rsidR="00445D93" w:rsidRPr="00C07BD6">
        <w:rPr>
          <w:rFonts w:asciiTheme="minorHAnsi" w:hAnsiTheme="minorHAnsi" w:cs="Tahoma"/>
          <w:sz w:val="22"/>
          <w:lang w:val="en-IE"/>
        </w:rPr>
        <w:t xml:space="preserve">. </w:t>
      </w:r>
      <w:r w:rsidRPr="00C07BD6">
        <w:rPr>
          <w:rFonts w:asciiTheme="minorHAnsi" w:hAnsiTheme="minorHAnsi" w:cs="Tahoma"/>
          <w:sz w:val="22"/>
          <w:lang w:val="en-IE"/>
        </w:rPr>
        <w:t xml:space="preserve"> The</w:t>
      </w:r>
      <w:r w:rsidR="001F5DCA" w:rsidRPr="00C07BD6">
        <w:rPr>
          <w:rFonts w:asciiTheme="minorHAnsi" w:hAnsiTheme="minorHAnsi" w:cs="Tahoma"/>
          <w:sz w:val="22"/>
          <w:lang w:val="en-IE"/>
        </w:rPr>
        <w:t>re were</w:t>
      </w:r>
      <w:r w:rsidRPr="00C07BD6">
        <w:rPr>
          <w:rFonts w:asciiTheme="minorHAnsi" w:hAnsiTheme="minorHAnsi" w:cs="Tahoma"/>
          <w:sz w:val="22"/>
          <w:lang w:val="en-IE"/>
        </w:rPr>
        <w:t xml:space="preserve"> 4,</w:t>
      </w:r>
      <w:r w:rsidR="00C36ADE" w:rsidRPr="00C07BD6">
        <w:rPr>
          <w:rFonts w:asciiTheme="minorHAnsi" w:hAnsiTheme="minorHAnsi" w:cs="Tahoma"/>
          <w:sz w:val="22"/>
          <w:lang w:val="en-IE"/>
        </w:rPr>
        <w:t>74</w:t>
      </w:r>
      <w:r w:rsidR="00C36ADE">
        <w:rPr>
          <w:rFonts w:asciiTheme="minorHAnsi" w:hAnsiTheme="minorHAnsi" w:cs="Tahoma"/>
          <w:sz w:val="22"/>
          <w:lang w:val="en-IE"/>
        </w:rPr>
        <w:t>5</w:t>
      </w:r>
      <w:r w:rsidR="00C36ADE" w:rsidRPr="00C07BD6">
        <w:rPr>
          <w:rFonts w:asciiTheme="minorHAnsi" w:hAnsiTheme="minorHAnsi" w:cs="Tahoma"/>
          <w:sz w:val="22"/>
          <w:lang w:val="en-IE"/>
        </w:rPr>
        <w:t xml:space="preserve"> </w:t>
      </w:r>
      <w:r w:rsidR="00445D93" w:rsidRPr="00C07BD6">
        <w:rPr>
          <w:rFonts w:asciiTheme="minorHAnsi" w:hAnsiTheme="minorHAnsi" w:cs="Tahoma"/>
          <w:sz w:val="22"/>
          <w:lang w:val="en-IE"/>
        </w:rPr>
        <w:t>cases</w:t>
      </w:r>
      <w:r w:rsidR="00AE606A" w:rsidRPr="00C07BD6">
        <w:rPr>
          <w:rFonts w:asciiTheme="minorHAnsi" w:hAnsiTheme="minorHAnsi" w:cs="Tahoma"/>
          <w:sz w:val="22"/>
          <w:lang w:val="en-IE"/>
        </w:rPr>
        <w:t xml:space="preserve"> </w:t>
      </w:r>
      <w:r w:rsidR="00445D93" w:rsidRPr="00C07BD6">
        <w:rPr>
          <w:rFonts w:asciiTheme="minorHAnsi" w:hAnsiTheme="minorHAnsi" w:cs="Tahoma"/>
          <w:sz w:val="22"/>
          <w:lang w:val="en-IE"/>
        </w:rPr>
        <w:t>(</w:t>
      </w:r>
      <w:r w:rsidR="008D2C41" w:rsidRPr="00C07BD6">
        <w:rPr>
          <w:rFonts w:asciiTheme="minorHAnsi" w:hAnsiTheme="minorHAnsi" w:cs="Tahoma"/>
          <w:sz w:val="22"/>
          <w:lang w:val="en-IE"/>
        </w:rPr>
        <w:t>49.8%)</w:t>
      </w:r>
      <w:r w:rsidRPr="00C07BD6">
        <w:rPr>
          <w:rFonts w:asciiTheme="minorHAnsi" w:hAnsiTheme="minorHAnsi" w:cs="Tahoma"/>
          <w:sz w:val="22"/>
          <w:lang w:val="en-IE"/>
        </w:rPr>
        <w:t xml:space="preserve"> </w:t>
      </w:r>
      <w:r w:rsidR="001F5DCA" w:rsidRPr="00C07BD6">
        <w:rPr>
          <w:rFonts w:asciiTheme="minorHAnsi" w:hAnsiTheme="minorHAnsi" w:cs="Tahoma"/>
          <w:sz w:val="22"/>
          <w:lang w:val="en-IE"/>
        </w:rPr>
        <w:t>in 201</w:t>
      </w:r>
      <w:r w:rsidR="008D2C41" w:rsidRPr="00C07BD6">
        <w:rPr>
          <w:rFonts w:asciiTheme="minorHAnsi" w:hAnsiTheme="minorHAnsi" w:cs="Tahoma"/>
          <w:sz w:val="22"/>
          <w:lang w:val="en-IE"/>
        </w:rPr>
        <w:t>4</w:t>
      </w:r>
      <w:r w:rsidR="00605429" w:rsidRPr="00C07BD6">
        <w:rPr>
          <w:rFonts w:asciiTheme="minorHAnsi" w:hAnsiTheme="minorHAnsi" w:cs="Tahoma"/>
          <w:sz w:val="22"/>
          <w:lang w:val="en-IE"/>
        </w:rPr>
        <w:t>, a continuation of the steady decrease in the proportion of the total number entering treatment since 2004 (64.6%)</w:t>
      </w:r>
      <w:r w:rsidR="001F5DCA" w:rsidRPr="00C07BD6">
        <w:rPr>
          <w:rFonts w:asciiTheme="minorHAnsi" w:hAnsiTheme="minorHAnsi" w:cs="Tahoma"/>
          <w:sz w:val="22"/>
          <w:lang w:val="en-IE"/>
        </w:rPr>
        <w:t>.</w:t>
      </w:r>
    </w:p>
    <w:p w:rsidR="00FB419A" w:rsidRPr="00C07BD6" w:rsidRDefault="00FB419A" w:rsidP="00FB419A">
      <w:pPr>
        <w:numPr>
          <w:ilvl w:val="0"/>
          <w:numId w:val="1"/>
        </w:numPr>
        <w:spacing w:line="312" w:lineRule="auto"/>
        <w:rPr>
          <w:rFonts w:asciiTheme="minorHAnsi" w:hAnsiTheme="minorHAnsi" w:cs="Tahoma"/>
          <w:sz w:val="22"/>
        </w:rPr>
      </w:pPr>
      <w:r w:rsidRPr="00C07BD6">
        <w:rPr>
          <w:rFonts w:asciiTheme="minorHAnsi" w:hAnsiTheme="minorHAnsi" w:cs="Tahoma"/>
          <w:sz w:val="22"/>
          <w:lang w:val="en-IE"/>
        </w:rPr>
        <w:t>The number of those entering treatment for the first time in 201</w:t>
      </w:r>
      <w:r w:rsidR="00605429" w:rsidRPr="00C07BD6">
        <w:rPr>
          <w:rFonts w:asciiTheme="minorHAnsi" w:hAnsiTheme="minorHAnsi" w:cs="Tahoma"/>
          <w:sz w:val="22"/>
          <w:lang w:val="en-IE"/>
        </w:rPr>
        <w:t>4</w:t>
      </w:r>
      <w:r w:rsidRPr="00C07BD6">
        <w:rPr>
          <w:rFonts w:asciiTheme="minorHAnsi" w:hAnsiTheme="minorHAnsi" w:cs="Tahoma"/>
          <w:sz w:val="22"/>
          <w:lang w:val="en-IE"/>
        </w:rPr>
        <w:t xml:space="preserve"> for whom heroin was the main problem was </w:t>
      </w:r>
      <w:r w:rsidR="00605429" w:rsidRPr="00C07BD6">
        <w:rPr>
          <w:rFonts w:asciiTheme="minorHAnsi" w:hAnsiTheme="minorHAnsi"/>
          <w:lang w:val="en-IE" w:eastAsia="en-IE"/>
        </w:rPr>
        <w:t>1</w:t>
      </w:r>
      <w:r w:rsidR="00EE1095">
        <w:rPr>
          <w:rFonts w:asciiTheme="minorHAnsi" w:hAnsiTheme="minorHAnsi"/>
          <w:lang w:val="en-IE" w:eastAsia="en-IE"/>
        </w:rPr>
        <w:t>,</w:t>
      </w:r>
      <w:r w:rsidR="00605429" w:rsidRPr="00C07BD6">
        <w:rPr>
          <w:rFonts w:asciiTheme="minorHAnsi" w:hAnsiTheme="minorHAnsi"/>
          <w:lang w:val="en-IE" w:eastAsia="en-IE"/>
        </w:rPr>
        <w:t>036</w:t>
      </w:r>
      <w:r w:rsidRPr="00C07BD6">
        <w:rPr>
          <w:rFonts w:asciiTheme="minorHAnsi" w:hAnsiTheme="minorHAnsi" w:cs="Tahoma"/>
          <w:sz w:val="22"/>
          <w:lang w:val="en-IE"/>
        </w:rPr>
        <w:t xml:space="preserve">, the equivalent of </w:t>
      </w:r>
      <w:r w:rsidR="006552C9" w:rsidRPr="00C07BD6">
        <w:rPr>
          <w:rFonts w:asciiTheme="minorHAnsi" w:hAnsiTheme="minorHAnsi" w:cs="Tahoma"/>
          <w:sz w:val="22"/>
          <w:lang w:val="en-IE"/>
        </w:rPr>
        <w:t>27.5</w:t>
      </w:r>
      <w:r w:rsidRPr="00C07BD6">
        <w:rPr>
          <w:rFonts w:asciiTheme="minorHAnsi" w:hAnsiTheme="minorHAnsi" w:cs="Tahoma"/>
          <w:sz w:val="22"/>
          <w:lang w:val="en-IE"/>
        </w:rPr>
        <w:t xml:space="preserve">% of new </w:t>
      </w:r>
      <w:r w:rsidR="002254F1">
        <w:rPr>
          <w:rFonts w:asciiTheme="minorHAnsi" w:hAnsiTheme="minorHAnsi" w:cs="Tahoma"/>
          <w:sz w:val="22"/>
          <w:lang w:val="en-IE"/>
        </w:rPr>
        <w:t>cases</w:t>
      </w:r>
      <w:r w:rsidR="002254F1" w:rsidRPr="00C07BD6">
        <w:rPr>
          <w:rFonts w:asciiTheme="minorHAnsi" w:hAnsiTheme="minorHAnsi" w:cs="Tahoma"/>
          <w:sz w:val="22"/>
          <w:lang w:val="en-IE"/>
        </w:rPr>
        <w:t xml:space="preserve"> </w:t>
      </w:r>
      <w:r w:rsidR="006552C9" w:rsidRPr="00C07BD6">
        <w:rPr>
          <w:rFonts w:asciiTheme="minorHAnsi" w:hAnsiTheme="minorHAnsi" w:cs="Tahoma"/>
          <w:sz w:val="22"/>
          <w:lang w:val="en-IE"/>
        </w:rPr>
        <w:t>in treatment</w:t>
      </w:r>
      <w:r w:rsidRPr="00C07BD6">
        <w:rPr>
          <w:rFonts w:asciiTheme="minorHAnsi" w:hAnsiTheme="minorHAnsi" w:cs="Tahoma"/>
          <w:sz w:val="22"/>
          <w:lang w:val="en-IE"/>
        </w:rPr>
        <w:t xml:space="preserve">.  </w:t>
      </w:r>
    </w:p>
    <w:p w:rsidR="00DF1719" w:rsidRPr="00C07BD6" w:rsidRDefault="001B0E85" w:rsidP="00DF1719">
      <w:pPr>
        <w:numPr>
          <w:ilvl w:val="0"/>
          <w:numId w:val="1"/>
        </w:numPr>
        <w:spacing w:line="312" w:lineRule="auto"/>
        <w:rPr>
          <w:rFonts w:asciiTheme="minorHAnsi" w:hAnsiTheme="minorHAnsi" w:cs="Tahoma"/>
          <w:bCs/>
          <w:sz w:val="22"/>
        </w:rPr>
      </w:pPr>
      <w:r w:rsidRPr="00C07BD6">
        <w:rPr>
          <w:rFonts w:asciiTheme="minorHAnsi" w:hAnsiTheme="minorHAnsi" w:cs="Tahoma"/>
          <w:sz w:val="22"/>
        </w:rPr>
        <w:t>In 201</w:t>
      </w:r>
      <w:r w:rsidR="00DF1719" w:rsidRPr="00C07BD6">
        <w:rPr>
          <w:rFonts w:asciiTheme="minorHAnsi" w:hAnsiTheme="minorHAnsi" w:cs="Tahoma"/>
          <w:sz w:val="22"/>
        </w:rPr>
        <w:t>4</w:t>
      </w:r>
      <w:r w:rsidRPr="00C07BD6">
        <w:rPr>
          <w:rFonts w:asciiTheme="minorHAnsi" w:hAnsiTheme="minorHAnsi" w:cs="Tahoma"/>
          <w:sz w:val="22"/>
        </w:rPr>
        <w:t xml:space="preserve"> there were </w:t>
      </w:r>
      <w:r w:rsidR="00DF1719" w:rsidRPr="00C07BD6">
        <w:rPr>
          <w:rFonts w:asciiTheme="minorHAnsi" w:hAnsiTheme="minorHAnsi" w:cs="Tahoma"/>
          <w:sz w:val="22"/>
        </w:rPr>
        <w:t>27</w:t>
      </w:r>
      <w:r w:rsidRPr="00C07BD6">
        <w:rPr>
          <w:rFonts w:asciiTheme="minorHAnsi" w:hAnsiTheme="minorHAnsi" w:cs="Tahoma"/>
          <w:sz w:val="22"/>
        </w:rPr>
        <w:t xml:space="preserve"> newly-diagnosed HIV cases among intravenous drug users</w:t>
      </w:r>
      <w:r w:rsidR="00DF1719" w:rsidRPr="00C07BD6">
        <w:rPr>
          <w:rFonts w:asciiTheme="minorHAnsi" w:hAnsiTheme="minorHAnsi" w:cs="Tahoma"/>
          <w:sz w:val="22"/>
        </w:rPr>
        <w:t>, the highest number since 2009</w:t>
      </w:r>
      <w:r w:rsidRPr="00C07BD6">
        <w:rPr>
          <w:rFonts w:asciiTheme="minorHAnsi" w:hAnsiTheme="minorHAnsi" w:cs="Tahoma"/>
          <w:sz w:val="22"/>
        </w:rPr>
        <w:t xml:space="preserve">. </w:t>
      </w:r>
      <w:r w:rsidR="00DF1719" w:rsidRPr="00C07BD6">
        <w:rPr>
          <w:rFonts w:asciiTheme="minorHAnsi" w:hAnsiTheme="minorHAnsi" w:cs="Tahoma"/>
          <w:sz w:val="22"/>
        </w:rPr>
        <w:t>Forty-one per cent of newly diagnosed cases of HIV in 2014 were recent infections, having had previous negative HIV tests in either 2013 or 20</w:t>
      </w:r>
      <w:r w:rsidR="00D7372F">
        <w:rPr>
          <w:rFonts w:asciiTheme="minorHAnsi" w:hAnsiTheme="minorHAnsi" w:cs="Tahoma"/>
          <w:sz w:val="22"/>
        </w:rPr>
        <w:t xml:space="preserve">12. </w:t>
      </w:r>
    </w:p>
    <w:p w:rsidR="007D563C" w:rsidRPr="00C07BD6" w:rsidRDefault="001B0E85" w:rsidP="007D563C">
      <w:pPr>
        <w:numPr>
          <w:ilvl w:val="0"/>
          <w:numId w:val="1"/>
        </w:numPr>
        <w:spacing w:line="312" w:lineRule="auto"/>
        <w:rPr>
          <w:rFonts w:asciiTheme="minorHAnsi" w:hAnsiTheme="minorHAnsi" w:cs="Tahoma"/>
          <w:bCs/>
          <w:sz w:val="22"/>
        </w:rPr>
      </w:pPr>
      <w:r w:rsidRPr="00C07BD6">
        <w:rPr>
          <w:rFonts w:asciiTheme="minorHAnsi" w:hAnsiTheme="minorHAnsi" w:cs="Tahoma"/>
          <w:sz w:val="22"/>
        </w:rPr>
        <w:t xml:space="preserve">There were </w:t>
      </w:r>
      <w:r w:rsidR="007D563C" w:rsidRPr="00C07BD6">
        <w:rPr>
          <w:rFonts w:asciiTheme="minorHAnsi" w:hAnsiTheme="minorHAnsi" w:cs="Tahoma"/>
          <w:sz w:val="22"/>
        </w:rPr>
        <w:t>710</w:t>
      </w:r>
      <w:r w:rsidRPr="00C07BD6">
        <w:rPr>
          <w:rFonts w:asciiTheme="minorHAnsi" w:hAnsiTheme="minorHAnsi" w:cs="Tahoma"/>
          <w:sz w:val="22"/>
        </w:rPr>
        <w:t xml:space="preserve"> </w:t>
      </w:r>
      <w:proofErr w:type="gramStart"/>
      <w:r w:rsidRPr="00C07BD6">
        <w:rPr>
          <w:rFonts w:asciiTheme="minorHAnsi" w:hAnsiTheme="minorHAnsi" w:cs="Tahoma"/>
          <w:sz w:val="22"/>
        </w:rPr>
        <w:t>notifications  for</w:t>
      </w:r>
      <w:proofErr w:type="gramEnd"/>
      <w:r w:rsidRPr="00C07BD6">
        <w:rPr>
          <w:rFonts w:asciiTheme="minorHAnsi" w:hAnsiTheme="minorHAnsi" w:cs="Tahoma"/>
          <w:sz w:val="22"/>
        </w:rPr>
        <w:t xml:space="preserve"> hepatitis C virus (HCV) in 201</w:t>
      </w:r>
      <w:r w:rsidR="00FF6EAF">
        <w:rPr>
          <w:rFonts w:asciiTheme="minorHAnsi" w:hAnsiTheme="minorHAnsi" w:cs="Tahoma"/>
          <w:sz w:val="22"/>
        </w:rPr>
        <w:t>4</w:t>
      </w:r>
      <w:r w:rsidRPr="00C07BD6">
        <w:rPr>
          <w:rFonts w:asciiTheme="minorHAnsi" w:hAnsiTheme="minorHAnsi" w:cs="Tahoma"/>
          <w:sz w:val="22"/>
        </w:rPr>
        <w:t>, a decrease of 1</w:t>
      </w:r>
      <w:r w:rsidR="007D563C" w:rsidRPr="00C07BD6">
        <w:rPr>
          <w:rFonts w:asciiTheme="minorHAnsi" w:hAnsiTheme="minorHAnsi" w:cs="Tahoma"/>
          <w:sz w:val="22"/>
        </w:rPr>
        <w:t>6</w:t>
      </w:r>
      <w:r w:rsidRPr="00C07BD6">
        <w:rPr>
          <w:rFonts w:asciiTheme="minorHAnsi" w:hAnsiTheme="minorHAnsi" w:cs="Tahoma"/>
          <w:sz w:val="22"/>
        </w:rPr>
        <w:t>% on 201</w:t>
      </w:r>
      <w:r w:rsidR="007D563C" w:rsidRPr="00C07BD6">
        <w:rPr>
          <w:rFonts w:asciiTheme="minorHAnsi" w:hAnsiTheme="minorHAnsi" w:cs="Tahoma"/>
          <w:sz w:val="22"/>
        </w:rPr>
        <w:t>3</w:t>
      </w:r>
      <w:r w:rsidRPr="00C07BD6">
        <w:rPr>
          <w:rFonts w:asciiTheme="minorHAnsi" w:hAnsiTheme="minorHAnsi" w:cs="Tahoma"/>
          <w:sz w:val="22"/>
        </w:rPr>
        <w:t xml:space="preserve"> when there were </w:t>
      </w:r>
      <w:r w:rsidR="007D563C" w:rsidRPr="00C07BD6">
        <w:rPr>
          <w:rFonts w:asciiTheme="minorHAnsi" w:hAnsiTheme="minorHAnsi" w:cs="Tahoma"/>
          <w:sz w:val="22"/>
        </w:rPr>
        <w:t>847</w:t>
      </w:r>
      <w:r w:rsidRPr="00C07BD6">
        <w:rPr>
          <w:rFonts w:asciiTheme="minorHAnsi" w:hAnsiTheme="minorHAnsi" w:cs="Tahoma"/>
          <w:sz w:val="22"/>
        </w:rPr>
        <w:t xml:space="preserve"> notifications</w:t>
      </w:r>
      <w:r w:rsidR="007D563C" w:rsidRPr="00C07BD6">
        <w:rPr>
          <w:rFonts w:asciiTheme="minorHAnsi" w:hAnsiTheme="minorHAnsi" w:cs="Tahoma"/>
          <w:sz w:val="22"/>
        </w:rPr>
        <w:t>.  The trend in hepatitis C notifications has been downward since the peak of 1,541 notifications in 2007</w:t>
      </w:r>
    </w:p>
    <w:p w:rsidR="007D563C" w:rsidRPr="002254F1" w:rsidRDefault="007D563C" w:rsidP="00083465">
      <w:pPr>
        <w:numPr>
          <w:ilvl w:val="0"/>
          <w:numId w:val="1"/>
        </w:numPr>
        <w:spacing w:line="312" w:lineRule="auto"/>
        <w:rPr>
          <w:rFonts w:asciiTheme="minorHAnsi" w:hAnsiTheme="minorHAnsi" w:cs="Tahoma"/>
          <w:sz w:val="22"/>
        </w:rPr>
      </w:pPr>
      <w:r w:rsidRPr="002254F1">
        <w:rPr>
          <w:rFonts w:asciiTheme="minorHAnsi" w:hAnsiTheme="minorHAnsi" w:cs="Tahoma"/>
          <w:sz w:val="22"/>
        </w:rPr>
        <w:t>In 2013 there were 86 deaths where heroin was implicated, compared to 64 in 2012.  This is the first increase in heroin-related deaths since 2009</w:t>
      </w:r>
      <w:r w:rsidR="002254F1">
        <w:rPr>
          <w:rFonts w:asciiTheme="minorHAnsi" w:hAnsiTheme="minorHAnsi" w:cs="Tahoma"/>
          <w:sz w:val="22"/>
        </w:rPr>
        <w:t>, an increase of 34%.</w:t>
      </w:r>
      <w:r w:rsidRPr="002254F1">
        <w:rPr>
          <w:rFonts w:asciiTheme="minorHAnsi" w:hAnsiTheme="minorHAnsi" w:cs="Tahoma"/>
          <w:sz w:val="22"/>
        </w:rPr>
        <w:t xml:space="preserve"> </w:t>
      </w:r>
    </w:p>
    <w:p w:rsidR="007D563C" w:rsidRPr="00083465" w:rsidRDefault="007D563C" w:rsidP="00083465">
      <w:pPr>
        <w:numPr>
          <w:ilvl w:val="0"/>
          <w:numId w:val="1"/>
        </w:numPr>
        <w:spacing w:line="312" w:lineRule="auto"/>
        <w:rPr>
          <w:rFonts w:asciiTheme="minorHAnsi" w:hAnsiTheme="minorHAnsi" w:cs="Tahoma"/>
        </w:rPr>
      </w:pPr>
      <w:r w:rsidRPr="00083465">
        <w:rPr>
          <w:rFonts w:asciiTheme="minorHAnsi" w:hAnsiTheme="minorHAnsi" w:cs="Tahoma"/>
          <w:sz w:val="22"/>
        </w:rPr>
        <w:t xml:space="preserve">Methadone (alone or with another drug) continues to be the opiate most commonly implicated in poisoning deaths. In 2013, there were 93 deaths where methadone was implicated, compared to 89 deaths in 2012.  This is compared to a peak in 2011 when there were 119 deaths </w:t>
      </w:r>
      <w:r w:rsidR="00EE5378" w:rsidRPr="00083465">
        <w:rPr>
          <w:rFonts w:asciiTheme="minorHAnsi" w:hAnsiTheme="minorHAnsi" w:cs="Tahoma"/>
          <w:sz w:val="22"/>
        </w:rPr>
        <w:t>where methadone was implicated.</w:t>
      </w:r>
    </w:p>
    <w:p w:rsidR="00EE5378" w:rsidRPr="00C07BD6" w:rsidRDefault="00EE5378" w:rsidP="00EE5378">
      <w:pPr>
        <w:pStyle w:val="ListParagraph"/>
        <w:numPr>
          <w:ilvl w:val="0"/>
          <w:numId w:val="14"/>
        </w:numPr>
        <w:rPr>
          <w:rFonts w:asciiTheme="minorHAnsi" w:eastAsiaTheme="minorHAnsi" w:hAnsiTheme="minorHAnsi" w:cs="Arial"/>
          <w:color w:val="000000"/>
        </w:rPr>
      </w:pPr>
      <w:r w:rsidRPr="00C07BD6">
        <w:rPr>
          <w:rFonts w:asciiTheme="minorHAnsi" w:eastAsiaTheme="minorHAnsi" w:hAnsiTheme="minorHAnsi" w:cs="Arial"/>
          <w:color w:val="000000"/>
        </w:rPr>
        <w:t>The number of cases involving heroin seizures increased from 690 in 2013 to 954 in 2014</w:t>
      </w:r>
    </w:p>
    <w:p w:rsidR="00F65CFE" w:rsidRPr="00C07BD6" w:rsidRDefault="00F65CFE" w:rsidP="001B0E85">
      <w:pPr>
        <w:spacing w:line="312" w:lineRule="auto"/>
        <w:rPr>
          <w:rFonts w:asciiTheme="minorHAnsi" w:hAnsiTheme="minorHAnsi" w:cs="Tahoma"/>
          <w:color w:val="FF0000"/>
          <w:sz w:val="22"/>
        </w:rPr>
      </w:pPr>
    </w:p>
    <w:p w:rsidR="001B0E85" w:rsidRPr="00C07BD6" w:rsidRDefault="001B0E85" w:rsidP="001B0E85">
      <w:pPr>
        <w:spacing w:line="312" w:lineRule="auto"/>
        <w:rPr>
          <w:rFonts w:asciiTheme="minorHAnsi" w:hAnsiTheme="minorHAnsi" w:cs="Tahoma"/>
          <w:b/>
          <w:sz w:val="28"/>
          <w:szCs w:val="28"/>
        </w:rPr>
      </w:pPr>
      <w:r w:rsidRPr="00C07BD6">
        <w:rPr>
          <w:rFonts w:asciiTheme="minorHAnsi" w:hAnsiTheme="minorHAnsi" w:cs="Tahoma"/>
          <w:b/>
          <w:sz w:val="28"/>
          <w:szCs w:val="28"/>
        </w:rPr>
        <w:t>Cocaine</w:t>
      </w:r>
    </w:p>
    <w:p w:rsidR="001B0E85" w:rsidRPr="00C07BD6" w:rsidRDefault="001B0E85" w:rsidP="001B0E85">
      <w:pPr>
        <w:pStyle w:val="NormalWeb"/>
        <w:spacing w:before="0" w:beforeAutospacing="0" w:after="0" w:afterAutospacing="0" w:line="312" w:lineRule="auto"/>
        <w:rPr>
          <w:rFonts w:asciiTheme="minorHAnsi" w:hAnsiTheme="minorHAnsi" w:cs="Tahoma"/>
          <w:b/>
          <w:i/>
          <w:sz w:val="22"/>
          <w:szCs w:val="22"/>
        </w:rPr>
      </w:pPr>
      <w:r w:rsidRPr="00C07BD6">
        <w:rPr>
          <w:rFonts w:asciiTheme="minorHAnsi" w:hAnsiTheme="minorHAnsi" w:cs="Tahoma"/>
          <w:b/>
          <w:i/>
          <w:sz w:val="22"/>
          <w:szCs w:val="22"/>
        </w:rPr>
        <w:t>European situation</w:t>
      </w:r>
    </w:p>
    <w:p w:rsidR="001B0E85" w:rsidRPr="00C07BD6" w:rsidRDefault="00EE5378" w:rsidP="001B0E85">
      <w:pPr>
        <w:pStyle w:val="NormalWeb"/>
        <w:numPr>
          <w:ilvl w:val="0"/>
          <w:numId w:val="10"/>
        </w:numPr>
        <w:spacing w:line="312" w:lineRule="auto"/>
        <w:rPr>
          <w:rFonts w:asciiTheme="minorHAnsi" w:hAnsiTheme="minorHAnsi" w:cs="Tahoma"/>
          <w:sz w:val="22"/>
        </w:rPr>
      </w:pPr>
      <w:r w:rsidRPr="00C07BD6">
        <w:rPr>
          <w:rFonts w:asciiTheme="minorHAnsi" w:hAnsiTheme="minorHAnsi" w:cs="Tahoma"/>
          <w:sz w:val="22"/>
          <w:lang w:val="en-GB"/>
        </w:rPr>
        <w:t xml:space="preserve">Cocaine is the most commonly used illicit stimulant drug in Europe, although its use is more prevalent in the south and west of Europe. </w:t>
      </w:r>
      <w:r w:rsidR="001B0E85" w:rsidRPr="00C07BD6">
        <w:rPr>
          <w:rFonts w:asciiTheme="minorHAnsi" w:hAnsiTheme="minorHAnsi" w:cs="Tahoma"/>
          <w:sz w:val="22"/>
          <w:lang w:val="en-GB"/>
        </w:rPr>
        <w:t xml:space="preserve"> It is estimated that about 2.</w:t>
      </w:r>
      <w:r w:rsidRPr="00C07BD6">
        <w:rPr>
          <w:rFonts w:asciiTheme="minorHAnsi" w:hAnsiTheme="minorHAnsi" w:cs="Tahoma"/>
          <w:sz w:val="22"/>
          <w:lang w:val="en-GB"/>
        </w:rPr>
        <w:t>4</w:t>
      </w:r>
      <w:r w:rsidR="001B0E85" w:rsidRPr="00C07BD6">
        <w:rPr>
          <w:rFonts w:asciiTheme="minorHAnsi" w:hAnsiTheme="minorHAnsi" w:cs="Tahoma"/>
          <w:sz w:val="22"/>
          <w:lang w:val="en-GB"/>
        </w:rPr>
        <w:t xml:space="preserve"> million young adults aged 15 to 34 (1.9% of this age group) used cocaine in the last year.</w:t>
      </w:r>
      <w:r w:rsidR="005F26D2" w:rsidRPr="00C07BD6">
        <w:rPr>
          <w:rFonts w:asciiTheme="minorHAnsi" w:hAnsiTheme="minorHAnsi" w:cs="Tahoma"/>
          <w:sz w:val="22"/>
          <w:lang w:val="en-GB"/>
        </w:rPr>
        <w:t xml:space="preserve"> </w:t>
      </w:r>
      <w:r w:rsidR="001714ED" w:rsidRPr="00C07BD6">
        <w:rPr>
          <w:rFonts w:asciiTheme="minorHAnsi" w:hAnsiTheme="minorHAnsi" w:cs="Tahoma"/>
          <w:sz w:val="22"/>
        </w:rPr>
        <w:t>Only three countries report last year prevalence of cocaine use among young adults</w:t>
      </w:r>
      <w:r w:rsidR="005F26D2" w:rsidRPr="00C07BD6">
        <w:rPr>
          <w:rFonts w:asciiTheme="minorHAnsi" w:hAnsiTheme="minorHAnsi" w:cs="Tahoma"/>
          <w:sz w:val="22"/>
        </w:rPr>
        <w:t xml:space="preserve"> aged 15 to 34</w:t>
      </w:r>
      <w:r w:rsidR="001714ED" w:rsidRPr="00C07BD6">
        <w:rPr>
          <w:rFonts w:asciiTheme="minorHAnsi" w:hAnsiTheme="minorHAnsi" w:cs="Tahoma"/>
          <w:sz w:val="22"/>
        </w:rPr>
        <w:t xml:space="preserve"> of 3 % or more.</w:t>
      </w:r>
    </w:p>
    <w:p w:rsidR="005F26D2" w:rsidRPr="00C07BD6" w:rsidRDefault="001714ED" w:rsidP="001714ED">
      <w:pPr>
        <w:pStyle w:val="ListParagraph"/>
        <w:numPr>
          <w:ilvl w:val="0"/>
          <w:numId w:val="10"/>
        </w:numPr>
        <w:rPr>
          <w:rFonts w:asciiTheme="minorHAnsi" w:hAnsiTheme="minorHAnsi"/>
        </w:rPr>
      </w:pPr>
      <w:r w:rsidRPr="00C07BD6">
        <w:rPr>
          <w:rFonts w:asciiTheme="minorHAnsi" w:hAnsiTheme="minorHAnsi"/>
        </w:rPr>
        <w:lastRenderedPageBreak/>
        <w:t xml:space="preserve">The decreases in cocaine use reported since 2008 had </w:t>
      </w:r>
      <w:r w:rsidR="005F26D2" w:rsidRPr="00C07BD6">
        <w:rPr>
          <w:rFonts w:asciiTheme="minorHAnsi" w:hAnsiTheme="minorHAnsi"/>
        </w:rPr>
        <w:t xml:space="preserve">not </w:t>
      </w:r>
      <w:r w:rsidRPr="00C07BD6">
        <w:rPr>
          <w:rFonts w:asciiTheme="minorHAnsi" w:hAnsiTheme="minorHAnsi"/>
        </w:rPr>
        <w:t xml:space="preserve">been observed in the most recent surveys; of the countries that have produced surveys since 2013, six reported higher estimates, </w:t>
      </w:r>
      <w:proofErr w:type="gramStart"/>
      <w:r w:rsidRPr="00C07BD6">
        <w:rPr>
          <w:rFonts w:asciiTheme="minorHAnsi" w:hAnsiTheme="minorHAnsi"/>
        </w:rPr>
        <w:t>two</w:t>
      </w:r>
      <w:proofErr w:type="gramEnd"/>
      <w:r w:rsidRPr="00C07BD6">
        <w:rPr>
          <w:rFonts w:asciiTheme="minorHAnsi" w:hAnsiTheme="minorHAnsi"/>
        </w:rPr>
        <w:t xml:space="preserve"> reported a stable trend and four reported lower estimates</w:t>
      </w:r>
      <w:r w:rsidRPr="00C07BD6" w:rsidDel="006A76CE">
        <w:rPr>
          <w:rFonts w:asciiTheme="minorHAnsi" w:hAnsiTheme="minorHAnsi"/>
        </w:rPr>
        <w:t xml:space="preserve"> </w:t>
      </w:r>
      <w:r w:rsidRPr="00C07BD6">
        <w:rPr>
          <w:rFonts w:asciiTheme="minorHAnsi" w:hAnsiTheme="minorHAnsi"/>
        </w:rPr>
        <w:t xml:space="preserve">than in the previous comparable survey. </w:t>
      </w:r>
    </w:p>
    <w:p w:rsidR="005F26D2" w:rsidRPr="00C07BD6" w:rsidRDefault="005F26D2" w:rsidP="001714ED">
      <w:pPr>
        <w:pStyle w:val="ListParagraph"/>
        <w:numPr>
          <w:ilvl w:val="0"/>
          <w:numId w:val="10"/>
        </w:numPr>
        <w:rPr>
          <w:rFonts w:asciiTheme="minorHAnsi" w:hAnsiTheme="minorHAnsi"/>
        </w:rPr>
      </w:pPr>
      <w:r w:rsidRPr="00C07BD6">
        <w:rPr>
          <w:rFonts w:asciiTheme="minorHAnsi" w:hAnsiTheme="minorHAnsi"/>
        </w:rPr>
        <w:t>Overall, cocaine was cited as the primary drug by 59</w:t>
      </w:r>
      <w:r w:rsidR="004A7203">
        <w:rPr>
          <w:rFonts w:asciiTheme="minorHAnsi" w:hAnsiTheme="minorHAnsi"/>
        </w:rPr>
        <w:t>,</w:t>
      </w:r>
      <w:r w:rsidRPr="00C07BD6">
        <w:rPr>
          <w:rFonts w:asciiTheme="minorHAnsi" w:hAnsiTheme="minorHAnsi"/>
        </w:rPr>
        <w:t>000 clients entering specialised drug treatment in 2014 and by 27</w:t>
      </w:r>
      <w:r w:rsidR="004A7203">
        <w:rPr>
          <w:rFonts w:asciiTheme="minorHAnsi" w:hAnsiTheme="minorHAnsi"/>
        </w:rPr>
        <w:t>,</w:t>
      </w:r>
      <w:r w:rsidRPr="00C07BD6">
        <w:rPr>
          <w:rFonts w:asciiTheme="minorHAnsi" w:hAnsiTheme="minorHAnsi"/>
        </w:rPr>
        <w:t>000 first-time clients. After a period of decline, the overall number of cocaine first time treatment entrants has been stable since 2012.</w:t>
      </w:r>
    </w:p>
    <w:p w:rsidR="005F26D2" w:rsidRPr="00C07BD6" w:rsidRDefault="005F26D2" w:rsidP="005F26D2">
      <w:pPr>
        <w:pStyle w:val="ListParagraph"/>
        <w:numPr>
          <w:ilvl w:val="0"/>
          <w:numId w:val="10"/>
        </w:numPr>
        <w:rPr>
          <w:rFonts w:asciiTheme="minorHAnsi" w:hAnsiTheme="minorHAnsi"/>
        </w:rPr>
      </w:pPr>
      <w:r w:rsidRPr="00C07BD6">
        <w:rPr>
          <w:rFonts w:asciiTheme="minorHAnsi" w:hAnsiTheme="minorHAnsi"/>
        </w:rPr>
        <w:t>In 2014, almost 5</w:t>
      </w:r>
      <w:r w:rsidR="004A7203">
        <w:rPr>
          <w:rFonts w:asciiTheme="minorHAnsi" w:hAnsiTheme="minorHAnsi"/>
        </w:rPr>
        <w:t>,</w:t>
      </w:r>
      <w:r w:rsidRPr="00C07BD6">
        <w:rPr>
          <w:rFonts w:asciiTheme="minorHAnsi" w:hAnsiTheme="minorHAnsi"/>
        </w:rPr>
        <w:t xml:space="preserve">500 clients entering treatment in Europe reported crack cocaine </w:t>
      </w:r>
      <w:r w:rsidR="004A7203">
        <w:rPr>
          <w:rFonts w:asciiTheme="minorHAnsi" w:hAnsiTheme="minorHAnsi"/>
        </w:rPr>
        <w:t>as their primary problem drug</w:t>
      </w:r>
      <w:r w:rsidRPr="00C07BD6">
        <w:rPr>
          <w:rFonts w:asciiTheme="minorHAnsi" w:hAnsiTheme="minorHAnsi"/>
        </w:rPr>
        <w:t>, with the United Kingdom accounting for more than half of these (3</w:t>
      </w:r>
      <w:r w:rsidR="004A7203">
        <w:rPr>
          <w:rFonts w:asciiTheme="minorHAnsi" w:hAnsiTheme="minorHAnsi"/>
        </w:rPr>
        <w:t>,</w:t>
      </w:r>
      <w:r w:rsidRPr="00C07BD6">
        <w:rPr>
          <w:rFonts w:asciiTheme="minorHAnsi" w:hAnsiTheme="minorHAnsi"/>
        </w:rPr>
        <w:t>000), and Spain, France and the Netherlands most of the remainder (2</w:t>
      </w:r>
      <w:r w:rsidR="004A7203">
        <w:rPr>
          <w:rFonts w:asciiTheme="minorHAnsi" w:hAnsiTheme="minorHAnsi"/>
        </w:rPr>
        <w:t>,</w:t>
      </w:r>
      <w:r w:rsidRPr="00C07BD6">
        <w:rPr>
          <w:rFonts w:asciiTheme="minorHAnsi" w:hAnsiTheme="minorHAnsi"/>
        </w:rPr>
        <w:t>000).</w:t>
      </w:r>
    </w:p>
    <w:p w:rsidR="00CA01F9" w:rsidRPr="00C07BD6" w:rsidRDefault="00CA01F9" w:rsidP="00CA01F9">
      <w:pPr>
        <w:pStyle w:val="ListParagraph"/>
        <w:numPr>
          <w:ilvl w:val="0"/>
          <w:numId w:val="10"/>
        </w:numPr>
        <w:rPr>
          <w:rFonts w:asciiTheme="minorHAnsi" w:hAnsiTheme="minorHAnsi"/>
        </w:rPr>
      </w:pPr>
      <w:r w:rsidRPr="00C07BD6">
        <w:rPr>
          <w:rFonts w:asciiTheme="minorHAnsi" w:hAnsiTheme="minorHAnsi"/>
        </w:rPr>
        <w:t xml:space="preserve">In the United Kingdom, deaths involving cocaine increased from 169 in 2013 to 247 in 2014. In Spain, where cocaine-related deaths have been stable for some years, the drug continued to be the second most often cited drug in overdose deaths in 2013 (236 cases). </w:t>
      </w:r>
    </w:p>
    <w:p w:rsidR="00CA01F9" w:rsidRPr="00C07BD6" w:rsidRDefault="00CA01F9" w:rsidP="00CA01F9">
      <w:pPr>
        <w:pStyle w:val="ListParagraph"/>
        <w:numPr>
          <w:ilvl w:val="0"/>
          <w:numId w:val="10"/>
        </w:numPr>
        <w:rPr>
          <w:rFonts w:asciiTheme="minorHAnsi" w:hAnsiTheme="minorHAnsi"/>
        </w:rPr>
      </w:pPr>
      <w:r w:rsidRPr="00C07BD6">
        <w:rPr>
          <w:rFonts w:asciiTheme="minorHAnsi" w:hAnsiTheme="minorHAnsi"/>
        </w:rPr>
        <w:t>In 2014, around 78</w:t>
      </w:r>
      <w:r w:rsidR="004A7203">
        <w:rPr>
          <w:rFonts w:asciiTheme="minorHAnsi" w:hAnsiTheme="minorHAnsi"/>
        </w:rPr>
        <w:t>,</w:t>
      </w:r>
      <w:r w:rsidRPr="00C07BD6">
        <w:rPr>
          <w:rFonts w:asciiTheme="minorHAnsi" w:hAnsiTheme="minorHAnsi"/>
        </w:rPr>
        <w:t>000 seizures of cocaine, amounting to 61.6 tonnes, were reported in the European Union. The situation has remained relatively stable since 2010, although both the number of seizures and the quantity seized are at levels considerably lower than in the peak years, 2006 –08</w:t>
      </w:r>
    </w:p>
    <w:p w:rsidR="001B0E85" w:rsidRPr="00C07BD6" w:rsidRDefault="001B0E85" w:rsidP="001B0E85">
      <w:pPr>
        <w:pStyle w:val="NormalWeb"/>
        <w:spacing w:before="0" w:beforeAutospacing="0" w:after="0" w:afterAutospacing="0" w:line="312" w:lineRule="auto"/>
        <w:rPr>
          <w:rFonts w:asciiTheme="minorHAnsi" w:hAnsiTheme="minorHAnsi" w:cs="Tahoma"/>
          <w:b/>
          <w:i/>
          <w:sz w:val="22"/>
          <w:szCs w:val="22"/>
        </w:rPr>
      </w:pPr>
      <w:r w:rsidRPr="00C07BD6">
        <w:rPr>
          <w:rFonts w:asciiTheme="minorHAnsi" w:hAnsiTheme="minorHAnsi" w:cs="Tahoma"/>
          <w:b/>
          <w:i/>
          <w:sz w:val="22"/>
          <w:szCs w:val="22"/>
        </w:rPr>
        <w:t xml:space="preserve">Irish comparison </w:t>
      </w:r>
    </w:p>
    <w:p w:rsidR="001B0E85" w:rsidRPr="00C07BD6" w:rsidRDefault="001B0E85" w:rsidP="001B0E85">
      <w:pPr>
        <w:numPr>
          <w:ilvl w:val="0"/>
          <w:numId w:val="11"/>
        </w:numPr>
        <w:spacing w:line="312" w:lineRule="auto"/>
        <w:rPr>
          <w:rFonts w:asciiTheme="minorHAnsi" w:hAnsiTheme="minorHAnsi" w:cs="Tahoma"/>
          <w:sz w:val="22"/>
        </w:rPr>
      </w:pPr>
      <w:r w:rsidRPr="00C07BD6">
        <w:rPr>
          <w:rFonts w:asciiTheme="minorHAnsi" w:hAnsiTheme="minorHAnsi" w:cs="Tahoma"/>
          <w:sz w:val="22"/>
        </w:rPr>
        <w:t xml:space="preserve">The 2010/11 general population survey reported last-year prevalence of cocaine use among 15–34-year-olds at 2.8%, lower than the 2006/07 figure of 3.1%.  </w:t>
      </w:r>
    </w:p>
    <w:p w:rsidR="00C07BD6" w:rsidRPr="00C07BD6" w:rsidRDefault="001B0E85" w:rsidP="00C07BD6">
      <w:pPr>
        <w:numPr>
          <w:ilvl w:val="0"/>
          <w:numId w:val="11"/>
        </w:numPr>
        <w:spacing w:line="312" w:lineRule="auto"/>
        <w:rPr>
          <w:rFonts w:asciiTheme="minorHAnsi" w:hAnsiTheme="minorHAnsi" w:cs="Tahoma"/>
          <w:sz w:val="22"/>
        </w:rPr>
      </w:pPr>
      <w:r w:rsidRPr="00C07BD6">
        <w:rPr>
          <w:rFonts w:asciiTheme="minorHAnsi" w:hAnsiTheme="minorHAnsi" w:cs="Tahoma"/>
          <w:color w:val="FF0000"/>
          <w:sz w:val="22"/>
        </w:rPr>
        <w:t xml:space="preserve"> </w:t>
      </w:r>
      <w:r w:rsidR="00A56503" w:rsidRPr="00C07BD6">
        <w:rPr>
          <w:rFonts w:asciiTheme="minorHAnsi" w:hAnsiTheme="minorHAnsi" w:cs="Tahoma"/>
          <w:sz w:val="22"/>
        </w:rPr>
        <w:t xml:space="preserve">A total of 828 </w:t>
      </w:r>
      <w:r w:rsidR="005746BD" w:rsidRPr="00C07BD6">
        <w:rPr>
          <w:rFonts w:asciiTheme="minorHAnsi" w:hAnsiTheme="minorHAnsi" w:cs="Tahoma"/>
          <w:sz w:val="22"/>
        </w:rPr>
        <w:t>c</w:t>
      </w:r>
      <w:r w:rsidR="005746BD">
        <w:rPr>
          <w:rFonts w:asciiTheme="minorHAnsi" w:hAnsiTheme="minorHAnsi" w:cs="Tahoma"/>
          <w:sz w:val="22"/>
        </w:rPr>
        <w:t>ases</w:t>
      </w:r>
      <w:r w:rsidR="005746BD" w:rsidRPr="00C07BD6">
        <w:rPr>
          <w:rFonts w:asciiTheme="minorHAnsi" w:hAnsiTheme="minorHAnsi" w:cs="Tahoma"/>
          <w:sz w:val="22"/>
        </w:rPr>
        <w:t xml:space="preserve"> entering treatment in 2014 </w:t>
      </w:r>
      <w:r w:rsidR="00A56503" w:rsidRPr="00C07BD6">
        <w:rPr>
          <w:rFonts w:asciiTheme="minorHAnsi" w:hAnsiTheme="minorHAnsi" w:cs="Tahoma"/>
          <w:sz w:val="22"/>
        </w:rPr>
        <w:t xml:space="preserve">(8.7%) reported cocaine as their main problem drug.  The corresponding proportion in 2012 was </w:t>
      </w:r>
      <w:r w:rsidR="00173B8D" w:rsidRPr="00C07BD6">
        <w:rPr>
          <w:rFonts w:asciiTheme="minorHAnsi" w:hAnsiTheme="minorHAnsi" w:cs="Tahoma"/>
          <w:sz w:val="22"/>
        </w:rPr>
        <w:t xml:space="preserve">8.5% and 7.8% in </w:t>
      </w:r>
      <w:r w:rsidR="00083465" w:rsidRPr="00C07BD6">
        <w:rPr>
          <w:rFonts w:asciiTheme="minorHAnsi" w:hAnsiTheme="minorHAnsi" w:cs="Tahoma"/>
          <w:sz w:val="22"/>
        </w:rPr>
        <w:t>201</w:t>
      </w:r>
      <w:r w:rsidR="00083465">
        <w:rPr>
          <w:rFonts w:asciiTheme="minorHAnsi" w:hAnsiTheme="minorHAnsi" w:cs="Tahoma"/>
          <w:sz w:val="22"/>
        </w:rPr>
        <w:t>3</w:t>
      </w:r>
      <w:r w:rsidR="00173B8D" w:rsidRPr="00C07BD6">
        <w:rPr>
          <w:rFonts w:asciiTheme="minorHAnsi" w:hAnsiTheme="minorHAnsi" w:cs="Tahoma"/>
          <w:sz w:val="22"/>
        </w:rPr>
        <w:t>.</w:t>
      </w:r>
    </w:p>
    <w:p w:rsidR="00C07BD6" w:rsidRPr="00C07BD6" w:rsidRDefault="00173B8D" w:rsidP="00C07BD6">
      <w:pPr>
        <w:numPr>
          <w:ilvl w:val="0"/>
          <w:numId w:val="11"/>
        </w:numPr>
        <w:spacing w:line="312" w:lineRule="auto"/>
        <w:rPr>
          <w:rFonts w:asciiTheme="minorHAnsi" w:hAnsiTheme="minorHAnsi" w:cs="Tahoma"/>
          <w:sz w:val="22"/>
        </w:rPr>
      </w:pPr>
      <w:r w:rsidRPr="00083465">
        <w:rPr>
          <w:rFonts w:asciiTheme="minorHAnsi" w:hAnsiTheme="minorHAnsi" w:cs="Tahoma"/>
          <w:sz w:val="22"/>
        </w:rPr>
        <w:t>During 2013 there</w:t>
      </w:r>
      <w:r w:rsidR="007D563C" w:rsidRPr="00083465">
        <w:rPr>
          <w:rFonts w:asciiTheme="minorHAnsi" w:hAnsiTheme="minorHAnsi" w:cs="Tahoma"/>
          <w:sz w:val="22"/>
        </w:rPr>
        <w:t xml:space="preserve"> were 31 deaths where cocaine was implicated (alone or with another drug), a small increase on the 26 reported in 2012.</w:t>
      </w:r>
    </w:p>
    <w:p w:rsidR="00173B8D" w:rsidRPr="00C07BD6" w:rsidRDefault="00173B8D" w:rsidP="00C07BD6">
      <w:pPr>
        <w:numPr>
          <w:ilvl w:val="0"/>
          <w:numId w:val="11"/>
        </w:numPr>
        <w:spacing w:line="312" w:lineRule="auto"/>
        <w:rPr>
          <w:rFonts w:asciiTheme="minorHAnsi" w:hAnsiTheme="minorHAnsi" w:cs="Tahoma"/>
          <w:sz w:val="22"/>
        </w:rPr>
      </w:pPr>
      <w:r w:rsidRPr="00C07BD6">
        <w:rPr>
          <w:rFonts w:asciiTheme="minorHAnsi" w:hAnsiTheme="minorHAnsi" w:cs="Tahoma"/>
          <w:sz w:val="22"/>
        </w:rPr>
        <w:t xml:space="preserve">In 2014, </w:t>
      </w:r>
      <w:r w:rsidR="00856000" w:rsidRPr="00C07BD6">
        <w:rPr>
          <w:rFonts w:asciiTheme="minorHAnsi" w:hAnsiTheme="minorHAnsi" w:cs="Tahoma"/>
          <w:sz w:val="22"/>
        </w:rPr>
        <w:t>405 seizures of cocaine were reported in Ireland, accounting for around 9% of all drug seizures</w:t>
      </w:r>
      <w:r w:rsidR="00856000" w:rsidRPr="00083465">
        <w:rPr>
          <w:rFonts w:asciiTheme="minorHAnsi" w:hAnsiTheme="minorHAnsi" w:cs="Tahoma"/>
          <w:sz w:val="22"/>
        </w:rPr>
        <w:t>.</w:t>
      </w:r>
    </w:p>
    <w:p w:rsidR="0017132F" w:rsidRPr="00C07BD6" w:rsidRDefault="0017132F" w:rsidP="001B0E85">
      <w:pPr>
        <w:spacing w:line="312" w:lineRule="auto"/>
        <w:rPr>
          <w:rFonts w:asciiTheme="minorHAnsi" w:hAnsiTheme="minorHAnsi" w:cs="Tahoma"/>
          <w:b/>
          <w:color w:val="FF0000"/>
          <w:sz w:val="28"/>
          <w:szCs w:val="28"/>
        </w:rPr>
      </w:pPr>
    </w:p>
    <w:p w:rsidR="001B0E85" w:rsidRPr="00C07BD6" w:rsidRDefault="001B0E85" w:rsidP="001B0E85">
      <w:pPr>
        <w:spacing w:line="312" w:lineRule="auto"/>
        <w:rPr>
          <w:rFonts w:asciiTheme="minorHAnsi" w:hAnsiTheme="minorHAnsi" w:cs="Tahoma"/>
          <w:b/>
          <w:sz w:val="28"/>
          <w:szCs w:val="28"/>
        </w:rPr>
      </w:pPr>
      <w:r w:rsidRPr="00C07BD6">
        <w:rPr>
          <w:rFonts w:asciiTheme="minorHAnsi" w:hAnsiTheme="minorHAnsi" w:cs="Tahoma"/>
          <w:b/>
          <w:sz w:val="28"/>
          <w:szCs w:val="28"/>
        </w:rPr>
        <w:t>Other stimulants and new psychoactive substances</w:t>
      </w:r>
    </w:p>
    <w:p w:rsidR="001B0E85" w:rsidRPr="00C07BD6" w:rsidRDefault="001B0E85" w:rsidP="001B0E85">
      <w:pPr>
        <w:pStyle w:val="NormalWeb"/>
        <w:spacing w:before="0" w:beforeAutospacing="0" w:after="0" w:afterAutospacing="0" w:line="312" w:lineRule="auto"/>
        <w:rPr>
          <w:rFonts w:asciiTheme="minorHAnsi" w:hAnsiTheme="minorHAnsi" w:cs="Tahoma"/>
          <w:b/>
          <w:i/>
          <w:sz w:val="22"/>
          <w:szCs w:val="22"/>
        </w:rPr>
      </w:pPr>
      <w:r w:rsidRPr="00C07BD6">
        <w:rPr>
          <w:rFonts w:asciiTheme="minorHAnsi" w:hAnsiTheme="minorHAnsi" w:cs="Tahoma"/>
          <w:b/>
          <w:i/>
          <w:sz w:val="22"/>
          <w:szCs w:val="22"/>
        </w:rPr>
        <w:t xml:space="preserve">European situation </w:t>
      </w:r>
    </w:p>
    <w:p w:rsidR="00C07BD6" w:rsidRPr="00C07BD6" w:rsidRDefault="00C07BD6" w:rsidP="00C07BD6">
      <w:pPr>
        <w:pStyle w:val="ListParagraph"/>
        <w:numPr>
          <w:ilvl w:val="0"/>
          <w:numId w:val="12"/>
        </w:numPr>
        <w:rPr>
          <w:rFonts w:asciiTheme="minorHAnsi" w:hAnsiTheme="minorHAnsi"/>
        </w:rPr>
      </w:pPr>
      <w:r w:rsidRPr="00083465">
        <w:rPr>
          <w:rFonts w:asciiTheme="minorHAnsi" w:hAnsiTheme="minorHAnsi"/>
        </w:rPr>
        <w:t xml:space="preserve">Data on new psychoactive substances </w:t>
      </w:r>
      <w:r w:rsidR="00D14A6F">
        <w:rPr>
          <w:rFonts w:asciiTheme="minorHAnsi" w:hAnsiTheme="minorHAnsi"/>
        </w:rPr>
        <w:t xml:space="preserve">(NPS) </w:t>
      </w:r>
      <w:r w:rsidRPr="00083465">
        <w:rPr>
          <w:rFonts w:asciiTheme="minorHAnsi" w:hAnsiTheme="minorHAnsi"/>
        </w:rPr>
        <w:t>are based on notifications by Member States to the EU Early Warning System (EWS). In 2015, 98 new substances were reported for the first time (101 in 2014). Once again, the list of new substances reported was dominated by synthetic cannabinoids and synthetic cathinones (24 and 26 reported respectively).</w:t>
      </w:r>
      <w:r w:rsidRPr="00C07BD6">
        <w:rPr>
          <w:rFonts w:asciiTheme="minorHAnsi" w:hAnsiTheme="minorHAnsi"/>
        </w:rPr>
        <w:t xml:space="preserve"> </w:t>
      </w:r>
    </w:p>
    <w:p w:rsidR="00E6054B" w:rsidRPr="00C07BD6" w:rsidRDefault="00C07BD6" w:rsidP="00C07BD6">
      <w:pPr>
        <w:pStyle w:val="ListParagraph"/>
        <w:numPr>
          <w:ilvl w:val="0"/>
          <w:numId w:val="12"/>
        </w:numPr>
        <w:rPr>
          <w:rFonts w:asciiTheme="minorHAnsi" w:hAnsiTheme="minorHAnsi"/>
        </w:rPr>
      </w:pPr>
      <w:r w:rsidRPr="00C07BD6">
        <w:rPr>
          <w:rFonts w:asciiTheme="minorHAnsi" w:hAnsiTheme="minorHAnsi"/>
        </w:rPr>
        <w:t xml:space="preserve">In 2014, almost 50 000 seizures of new substances, weighing almost 4 tonnes (3 990 kg), were made across Europe. Together, synthetic cannabinoids and cathinones accounted for almost 80 % of the total number of seizures and over 60 % of the quantity seized during 2014. Other groups included non-controlled benzodiazepines and potent narcotic analgesics, such as </w:t>
      </w:r>
      <w:proofErr w:type="spellStart"/>
      <w:r w:rsidRPr="00C07BD6">
        <w:rPr>
          <w:rFonts w:asciiTheme="minorHAnsi" w:hAnsiTheme="minorHAnsi"/>
        </w:rPr>
        <w:t>fentanyls</w:t>
      </w:r>
      <w:proofErr w:type="spellEnd"/>
      <w:r w:rsidRPr="00C07BD6">
        <w:rPr>
          <w:rFonts w:asciiTheme="minorHAnsi" w:hAnsiTheme="minorHAnsi"/>
        </w:rPr>
        <w:t>.</w:t>
      </w:r>
      <w:r w:rsidRPr="00C07BD6">
        <w:rPr>
          <w:rFonts w:asciiTheme="minorHAnsi" w:hAnsiTheme="minorHAnsi" w:cs="Arial"/>
          <w:sz w:val="20"/>
          <w:szCs w:val="20"/>
        </w:rPr>
        <w:t xml:space="preserve"> </w:t>
      </w:r>
    </w:p>
    <w:p w:rsidR="00E6054B" w:rsidRPr="00C07BD6" w:rsidRDefault="00E6054B" w:rsidP="00E6054B">
      <w:pPr>
        <w:pStyle w:val="ListParagraph"/>
        <w:numPr>
          <w:ilvl w:val="0"/>
          <w:numId w:val="12"/>
        </w:numPr>
        <w:rPr>
          <w:rFonts w:asciiTheme="minorHAnsi" w:hAnsiTheme="minorHAnsi"/>
        </w:rPr>
      </w:pPr>
      <w:r w:rsidRPr="00C07BD6">
        <w:rPr>
          <w:rFonts w:asciiTheme="minorHAnsi" w:hAnsiTheme="minorHAnsi"/>
        </w:rPr>
        <w:t>Some insight into the use of new drugs are provided by respondents to the 2015 Flash Barometer on young people and drugs, a survey of young adults aged 15-34, 8% of whom reported lifetime use of these substances, with 3% reporting use in the last year.  This represents an increase from the 5 % reporting lifetime use in a similar survey in 2011. Of those reporting use in the last year, 68 % had obtained the substance from a friend.</w:t>
      </w:r>
    </w:p>
    <w:p w:rsidR="00E6054B" w:rsidRPr="00D7372F" w:rsidRDefault="00145D14" w:rsidP="00E6054B">
      <w:pPr>
        <w:pStyle w:val="ListParagraph"/>
        <w:numPr>
          <w:ilvl w:val="0"/>
          <w:numId w:val="12"/>
        </w:numPr>
        <w:rPr>
          <w:rFonts w:asciiTheme="minorHAnsi" w:hAnsiTheme="minorHAnsi"/>
        </w:rPr>
      </w:pPr>
      <w:r w:rsidRPr="00D7372F">
        <w:rPr>
          <w:rFonts w:asciiTheme="minorHAnsi" w:hAnsiTheme="minorHAnsi" w:cs="Arial"/>
          <w:color w:val="000000"/>
        </w:rPr>
        <w:lastRenderedPageBreak/>
        <w:t>Despite drug injecting having declined in Europe overall, stimulant injecting is now a concern. Nearly half (47%) of new clients entering treatment in 2014 with amphetamines as their primary drug reported injecting as their main route of administration.</w:t>
      </w:r>
    </w:p>
    <w:p w:rsidR="00856000" w:rsidRPr="00F65CFE" w:rsidRDefault="00D7372F" w:rsidP="00F65CFE">
      <w:pPr>
        <w:pStyle w:val="ListParagraph"/>
        <w:numPr>
          <w:ilvl w:val="0"/>
          <w:numId w:val="12"/>
        </w:numPr>
        <w:rPr>
          <w:rFonts w:asciiTheme="minorHAnsi" w:hAnsiTheme="minorHAnsi" w:cs="Tahoma"/>
          <w:color w:val="FF0000"/>
        </w:rPr>
      </w:pPr>
      <w:r>
        <w:rPr>
          <w:rFonts w:asciiTheme="minorHAnsi" w:hAnsiTheme="minorHAnsi"/>
        </w:rPr>
        <w:t>Latest survey data</w:t>
      </w:r>
      <w:r w:rsidR="00145D14" w:rsidRPr="00C07BD6">
        <w:rPr>
          <w:rFonts w:asciiTheme="minorHAnsi" w:hAnsiTheme="minorHAnsi"/>
        </w:rPr>
        <w:t xml:space="preserve"> points to increased use of </w:t>
      </w:r>
      <w:proofErr w:type="gramStart"/>
      <w:r w:rsidR="00145D14" w:rsidRPr="00C07BD6">
        <w:rPr>
          <w:rFonts w:asciiTheme="minorHAnsi" w:hAnsiTheme="minorHAnsi"/>
        </w:rPr>
        <w:t>MDMA  in</w:t>
      </w:r>
      <w:proofErr w:type="gramEnd"/>
      <w:r w:rsidR="00145D14" w:rsidRPr="00C07BD6">
        <w:rPr>
          <w:rFonts w:asciiTheme="minorHAnsi" w:hAnsiTheme="minorHAnsi"/>
        </w:rPr>
        <w:t xml:space="preserve"> Europe following a period of decline. Around 2.1 million young adults (15–34 years) report having used MDMA in the last year (1.7 % of this age group). (Figure 2.4). There are also signs that the drug is moving out of niche or sub-culture dance clubs into mainstream nightlife settings, such as bars and house parties.</w:t>
      </w:r>
    </w:p>
    <w:p w:rsidR="00E46A09" w:rsidRPr="00C07BD6" w:rsidRDefault="001B0E85" w:rsidP="001B0E85">
      <w:pPr>
        <w:pStyle w:val="NormalWeb"/>
        <w:spacing w:before="0" w:beforeAutospacing="0" w:after="0" w:afterAutospacing="0" w:line="312" w:lineRule="auto"/>
        <w:rPr>
          <w:rFonts w:asciiTheme="minorHAnsi" w:hAnsiTheme="minorHAnsi" w:cs="Tahoma"/>
          <w:b/>
          <w:i/>
          <w:sz w:val="22"/>
          <w:szCs w:val="22"/>
        </w:rPr>
      </w:pPr>
      <w:r w:rsidRPr="00C07BD6">
        <w:rPr>
          <w:rFonts w:asciiTheme="minorHAnsi" w:hAnsiTheme="minorHAnsi" w:cs="Tahoma"/>
          <w:b/>
          <w:i/>
          <w:sz w:val="22"/>
          <w:szCs w:val="22"/>
        </w:rPr>
        <w:t>Irish comparison</w:t>
      </w:r>
    </w:p>
    <w:p w:rsidR="0016387E" w:rsidRDefault="00E46A09" w:rsidP="004D47B4">
      <w:pPr>
        <w:pStyle w:val="NormalWeb"/>
        <w:numPr>
          <w:ilvl w:val="0"/>
          <w:numId w:val="5"/>
        </w:numPr>
        <w:spacing w:before="0" w:beforeAutospacing="0" w:after="200" w:afterAutospacing="0" w:line="276" w:lineRule="auto"/>
        <w:ind w:left="714" w:hanging="357"/>
        <w:rPr>
          <w:rFonts w:asciiTheme="minorHAnsi" w:hAnsiTheme="minorHAnsi" w:cs="Tahoma"/>
          <w:sz w:val="22"/>
          <w:szCs w:val="22"/>
        </w:rPr>
      </w:pPr>
      <w:r w:rsidRPr="00C07BD6">
        <w:rPr>
          <w:rFonts w:asciiTheme="minorHAnsi" w:hAnsiTheme="minorHAnsi" w:cs="Tahoma"/>
          <w:sz w:val="22"/>
          <w:szCs w:val="22"/>
        </w:rPr>
        <w:t xml:space="preserve">Amphetamines and ecstasy make up a very small proportion of the main problem </w:t>
      </w:r>
      <w:r w:rsidRPr="004D47B4">
        <w:rPr>
          <w:rFonts w:asciiTheme="minorHAnsi" w:hAnsiTheme="minorHAnsi" w:cs="Tahoma"/>
          <w:sz w:val="22"/>
          <w:szCs w:val="22"/>
        </w:rPr>
        <w:t>drugs reported</w:t>
      </w:r>
      <w:r w:rsidR="00870E9A" w:rsidRPr="004D47B4">
        <w:rPr>
          <w:rFonts w:asciiTheme="minorHAnsi" w:hAnsiTheme="minorHAnsi" w:cs="Tahoma"/>
          <w:sz w:val="22"/>
          <w:szCs w:val="22"/>
        </w:rPr>
        <w:t xml:space="preserve"> by treated cases</w:t>
      </w:r>
      <w:r w:rsidR="003D3BD0" w:rsidRPr="00C07BD6">
        <w:rPr>
          <w:rFonts w:asciiTheme="minorHAnsi" w:hAnsiTheme="minorHAnsi" w:cs="Tahoma"/>
          <w:sz w:val="22"/>
          <w:szCs w:val="22"/>
        </w:rPr>
        <w:t xml:space="preserve"> in 2014</w:t>
      </w:r>
      <w:r w:rsidR="0016387E" w:rsidRPr="00C07BD6">
        <w:rPr>
          <w:rFonts w:asciiTheme="minorHAnsi" w:hAnsiTheme="minorHAnsi" w:cs="Tahoma"/>
          <w:sz w:val="22"/>
          <w:szCs w:val="22"/>
        </w:rPr>
        <w:t>;</w:t>
      </w:r>
      <w:r w:rsidRPr="00C07BD6">
        <w:rPr>
          <w:rFonts w:asciiTheme="minorHAnsi" w:hAnsiTheme="minorHAnsi" w:cs="Tahoma"/>
          <w:sz w:val="22"/>
          <w:szCs w:val="22"/>
        </w:rPr>
        <w:t xml:space="preserve"> </w:t>
      </w:r>
      <w:r w:rsidR="0016387E" w:rsidRPr="00C07BD6">
        <w:rPr>
          <w:rFonts w:asciiTheme="minorHAnsi" w:hAnsiTheme="minorHAnsi" w:cs="Tahoma"/>
          <w:sz w:val="22"/>
          <w:szCs w:val="22"/>
        </w:rPr>
        <w:t>there w</w:t>
      </w:r>
      <w:r w:rsidR="00276379">
        <w:rPr>
          <w:rFonts w:asciiTheme="minorHAnsi" w:hAnsiTheme="minorHAnsi" w:cs="Tahoma"/>
          <w:sz w:val="22"/>
          <w:szCs w:val="22"/>
        </w:rPr>
        <w:t xml:space="preserve">ere 45 (0.6%) amphetamine cases, </w:t>
      </w:r>
      <w:r w:rsidR="0016387E" w:rsidRPr="00C07BD6">
        <w:rPr>
          <w:rFonts w:asciiTheme="minorHAnsi" w:hAnsiTheme="minorHAnsi" w:cs="Tahoma"/>
          <w:sz w:val="22"/>
          <w:szCs w:val="22"/>
        </w:rPr>
        <w:t>56 (0.6%) MDMA cases</w:t>
      </w:r>
      <w:r w:rsidR="00276379">
        <w:rPr>
          <w:rFonts w:asciiTheme="minorHAnsi" w:hAnsiTheme="minorHAnsi" w:cs="Tahoma"/>
          <w:sz w:val="22"/>
          <w:szCs w:val="22"/>
        </w:rPr>
        <w:t xml:space="preserve"> and 35 (</w:t>
      </w:r>
      <w:r w:rsidR="0099368C">
        <w:rPr>
          <w:rFonts w:asciiTheme="minorHAnsi" w:hAnsiTheme="minorHAnsi" w:cs="Tahoma"/>
          <w:sz w:val="22"/>
          <w:szCs w:val="22"/>
        </w:rPr>
        <w:t>0.4%) cathinone cases</w:t>
      </w:r>
      <w:r w:rsidRPr="00C07BD6">
        <w:rPr>
          <w:rFonts w:asciiTheme="minorHAnsi" w:hAnsiTheme="minorHAnsi" w:cs="Tahoma"/>
          <w:sz w:val="22"/>
          <w:szCs w:val="22"/>
        </w:rPr>
        <w:t xml:space="preserve">.   </w:t>
      </w:r>
    </w:p>
    <w:p w:rsidR="001C4FC8" w:rsidRPr="00C07BD6" w:rsidRDefault="001B0E85" w:rsidP="001B0E85">
      <w:pPr>
        <w:pStyle w:val="ListParagraph"/>
        <w:numPr>
          <w:ilvl w:val="0"/>
          <w:numId w:val="5"/>
        </w:numPr>
        <w:rPr>
          <w:rFonts w:asciiTheme="minorHAnsi" w:hAnsiTheme="minorHAnsi" w:cs="Calibri"/>
          <w:i/>
        </w:rPr>
      </w:pPr>
      <w:r w:rsidRPr="00C07BD6">
        <w:rPr>
          <w:rFonts w:asciiTheme="minorHAnsi" w:eastAsia="Times New Roman" w:hAnsiTheme="minorHAnsi" w:cs="Tahoma"/>
          <w:lang w:val="en-US"/>
        </w:rPr>
        <w:t>In 201</w:t>
      </w:r>
      <w:r w:rsidR="001C4FC8" w:rsidRPr="00C07BD6">
        <w:rPr>
          <w:rFonts w:asciiTheme="minorHAnsi" w:eastAsia="Times New Roman" w:hAnsiTheme="minorHAnsi" w:cs="Tahoma"/>
          <w:lang w:val="en-US"/>
        </w:rPr>
        <w:t>3</w:t>
      </w:r>
      <w:r w:rsidRPr="00C07BD6">
        <w:rPr>
          <w:rFonts w:asciiTheme="minorHAnsi" w:eastAsia="Times New Roman" w:hAnsiTheme="minorHAnsi" w:cs="Tahoma"/>
          <w:lang w:val="en-US"/>
        </w:rPr>
        <w:t>, MDMA</w:t>
      </w:r>
      <w:r w:rsidR="00A92207">
        <w:rPr>
          <w:rFonts w:asciiTheme="minorHAnsi" w:eastAsia="Times New Roman" w:hAnsiTheme="minorHAnsi" w:cs="Tahoma"/>
          <w:lang w:val="en-US"/>
        </w:rPr>
        <w:t xml:space="preserve"> (alone or with other drugs)</w:t>
      </w:r>
      <w:r w:rsidRPr="00C07BD6">
        <w:rPr>
          <w:rFonts w:asciiTheme="minorHAnsi" w:eastAsia="Times New Roman" w:hAnsiTheme="minorHAnsi" w:cs="Tahoma"/>
          <w:lang w:val="en-US"/>
        </w:rPr>
        <w:t xml:space="preserve"> was implicated in 1</w:t>
      </w:r>
      <w:r w:rsidR="001C4FC8" w:rsidRPr="00C07BD6">
        <w:rPr>
          <w:rFonts w:asciiTheme="minorHAnsi" w:eastAsia="Times New Roman" w:hAnsiTheme="minorHAnsi" w:cs="Tahoma"/>
          <w:lang w:val="en-US"/>
        </w:rPr>
        <w:t>2</w:t>
      </w:r>
      <w:r w:rsidRPr="00C07BD6">
        <w:rPr>
          <w:rFonts w:asciiTheme="minorHAnsi" w:eastAsia="Times New Roman" w:hAnsiTheme="minorHAnsi" w:cs="Tahoma"/>
          <w:lang w:val="en-US"/>
        </w:rPr>
        <w:t xml:space="preserve"> deaths</w:t>
      </w:r>
      <w:r w:rsidR="001C4FC8" w:rsidRPr="00C07BD6">
        <w:rPr>
          <w:rFonts w:asciiTheme="minorHAnsi" w:eastAsia="Times New Roman" w:hAnsiTheme="minorHAnsi" w:cs="Tahoma"/>
          <w:lang w:val="en-US"/>
        </w:rPr>
        <w:t>, the same number as in 2012</w:t>
      </w:r>
      <w:r w:rsidRPr="00C07BD6">
        <w:rPr>
          <w:rFonts w:asciiTheme="minorHAnsi" w:eastAsia="Times New Roman" w:hAnsiTheme="minorHAnsi" w:cs="Tahoma"/>
          <w:lang w:val="en-US"/>
        </w:rPr>
        <w:t xml:space="preserve">.  </w:t>
      </w:r>
    </w:p>
    <w:p w:rsidR="001B0E85" w:rsidRPr="00C07BD6" w:rsidRDefault="001B0E85" w:rsidP="001B0E85">
      <w:pPr>
        <w:pStyle w:val="ListParagraph"/>
        <w:numPr>
          <w:ilvl w:val="0"/>
          <w:numId w:val="5"/>
        </w:numPr>
        <w:rPr>
          <w:rFonts w:asciiTheme="minorHAnsi" w:hAnsiTheme="minorHAnsi" w:cs="Calibri"/>
          <w:i/>
        </w:rPr>
      </w:pPr>
      <w:r w:rsidRPr="00C07BD6">
        <w:rPr>
          <w:rFonts w:asciiTheme="minorHAnsi" w:hAnsiTheme="minorHAnsi" w:cs="Tahoma"/>
        </w:rPr>
        <w:t xml:space="preserve">There </w:t>
      </w:r>
      <w:proofErr w:type="gramStart"/>
      <w:r w:rsidRPr="00C07BD6">
        <w:rPr>
          <w:rFonts w:asciiTheme="minorHAnsi" w:hAnsiTheme="minorHAnsi" w:cs="Tahoma"/>
        </w:rPr>
        <w:t>was</w:t>
      </w:r>
      <w:proofErr w:type="gramEnd"/>
      <w:r w:rsidRPr="00C07BD6">
        <w:rPr>
          <w:rFonts w:asciiTheme="minorHAnsi" w:hAnsiTheme="minorHAnsi" w:cs="Tahoma"/>
        </w:rPr>
        <w:t xml:space="preserve"> a very small number </w:t>
      </w:r>
      <w:r w:rsidR="001C4FC8" w:rsidRPr="00C07BD6">
        <w:rPr>
          <w:rFonts w:asciiTheme="minorHAnsi" w:hAnsiTheme="minorHAnsi" w:cs="Tahoma"/>
        </w:rPr>
        <w:t>of entrants to treatment in 2014</w:t>
      </w:r>
      <w:r w:rsidRPr="00C07BD6">
        <w:rPr>
          <w:rFonts w:asciiTheme="minorHAnsi" w:hAnsiTheme="minorHAnsi" w:cs="Tahoma"/>
        </w:rPr>
        <w:t xml:space="preserve"> for whom an </w:t>
      </w:r>
      <w:r w:rsidRPr="0042607E">
        <w:rPr>
          <w:rFonts w:asciiTheme="minorHAnsi" w:hAnsiTheme="minorHAnsi" w:cs="Tahoma"/>
        </w:rPr>
        <w:t xml:space="preserve">NSP </w:t>
      </w:r>
      <w:r w:rsidR="0042607E" w:rsidRPr="004D47B4">
        <w:rPr>
          <w:bCs/>
        </w:rPr>
        <w:t>(other than synthetic cannabinoids or cathinones)</w:t>
      </w:r>
      <w:r w:rsidR="0042607E" w:rsidRPr="0042607E">
        <w:t xml:space="preserve"> </w:t>
      </w:r>
      <w:r w:rsidRPr="00C07BD6">
        <w:rPr>
          <w:rFonts w:asciiTheme="minorHAnsi" w:hAnsiTheme="minorHAnsi" w:cs="Tahoma"/>
        </w:rPr>
        <w:t>was the primary problem drug</w:t>
      </w:r>
      <w:r w:rsidR="0098307D" w:rsidRPr="00C07BD6">
        <w:rPr>
          <w:rFonts w:asciiTheme="minorHAnsi" w:hAnsiTheme="minorHAnsi" w:cs="Tahoma"/>
        </w:rPr>
        <w:t>.</w:t>
      </w:r>
      <w:r w:rsidR="000752A1">
        <w:rPr>
          <w:rFonts w:asciiTheme="minorHAnsi" w:hAnsiTheme="minorHAnsi" w:cs="Tahoma"/>
        </w:rPr>
        <w:t xml:space="preserve"> </w:t>
      </w:r>
      <w:r w:rsidR="000752A1">
        <w:t>The proportion of cases treated for this type of drug peaked in 2010 at 0.4% of all treatment episodes, but dropped to 0.07% in 2013 and 0.06% in 2014.</w:t>
      </w:r>
    </w:p>
    <w:p w:rsidR="00F06D7B" w:rsidRPr="00C07BD6" w:rsidRDefault="00F06D7B" w:rsidP="001B0E85">
      <w:pPr>
        <w:pStyle w:val="ListParagraph"/>
        <w:numPr>
          <w:ilvl w:val="0"/>
          <w:numId w:val="5"/>
        </w:numPr>
        <w:rPr>
          <w:rFonts w:asciiTheme="minorHAnsi" w:hAnsiTheme="minorHAnsi" w:cs="Calibri"/>
        </w:rPr>
      </w:pPr>
      <w:r w:rsidRPr="00C07BD6">
        <w:rPr>
          <w:rFonts w:asciiTheme="minorHAnsi" w:hAnsiTheme="minorHAnsi" w:cs="Calibri"/>
          <w:lang w:val="en-GB"/>
        </w:rPr>
        <w:t xml:space="preserve">There was an increase in notifications of recently acquired HIV among people who inject drugs (PWID) in Dublin during 2014 and 2015.  This increase has been linked to injection of a synthetic cathinone PVP, with the street name ‘Snow Blow’.  </w:t>
      </w:r>
    </w:p>
    <w:p w:rsidR="001B0E85" w:rsidRPr="00C07BD6" w:rsidRDefault="001B0E85" w:rsidP="001B0E85">
      <w:pPr>
        <w:pStyle w:val="ListParagraph"/>
        <w:numPr>
          <w:ilvl w:val="0"/>
          <w:numId w:val="5"/>
        </w:numPr>
        <w:rPr>
          <w:rFonts w:asciiTheme="minorHAnsi" w:hAnsiTheme="minorHAnsi" w:cs="Calibri"/>
          <w:i/>
        </w:rPr>
      </w:pPr>
      <w:r w:rsidRPr="00C07BD6">
        <w:rPr>
          <w:rFonts w:asciiTheme="minorHAnsi" w:hAnsiTheme="minorHAnsi" w:cs="Calibri"/>
        </w:rPr>
        <w:t xml:space="preserve">The 2010/11 general population survey reported 3.5% of adults and 6.7% of young adults (15-34) used new psychoactive substances, such as herbal smoking mixtures, party pills or herbal highs, or powders such as cathinones during the year prior to the survey.  </w:t>
      </w:r>
    </w:p>
    <w:p w:rsidR="001B0E85" w:rsidRPr="00870E9A" w:rsidRDefault="001B0E85" w:rsidP="001B0E85">
      <w:pPr>
        <w:pStyle w:val="NormalWeb"/>
        <w:spacing w:before="0" w:beforeAutospacing="0" w:after="0" w:afterAutospacing="0"/>
        <w:ind w:left="720"/>
        <w:rPr>
          <w:rFonts w:asciiTheme="minorHAnsi" w:hAnsiTheme="minorHAnsi" w:cs="Calibri"/>
          <w:color w:val="FF0000"/>
          <w:sz w:val="16"/>
          <w:szCs w:val="22"/>
        </w:rPr>
      </w:pPr>
    </w:p>
    <w:p w:rsidR="001B0E85" w:rsidRPr="00C07BD6" w:rsidRDefault="001B0E85" w:rsidP="001B0E85">
      <w:pPr>
        <w:shd w:val="clear" w:color="auto" w:fill="FFFFFF"/>
        <w:spacing w:line="312" w:lineRule="auto"/>
        <w:rPr>
          <w:rFonts w:asciiTheme="minorHAnsi" w:hAnsiTheme="minorHAnsi" w:cs="Tahoma"/>
          <w:b/>
          <w:sz w:val="22"/>
        </w:rPr>
      </w:pPr>
      <w:r w:rsidRPr="00C07BD6">
        <w:rPr>
          <w:rFonts w:asciiTheme="minorHAnsi" w:hAnsiTheme="minorHAnsi" w:cs="Tahoma"/>
          <w:b/>
          <w:sz w:val="28"/>
          <w:szCs w:val="28"/>
        </w:rPr>
        <w:t xml:space="preserve">Sedatives and </w:t>
      </w:r>
      <w:proofErr w:type="spellStart"/>
      <w:r w:rsidRPr="00C07BD6">
        <w:rPr>
          <w:rFonts w:asciiTheme="minorHAnsi" w:hAnsiTheme="minorHAnsi" w:cs="Tahoma"/>
          <w:b/>
          <w:sz w:val="28"/>
          <w:szCs w:val="28"/>
        </w:rPr>
        <w:t>tranquil</w:t>
      </w:r>
      <w:r w:rsidR="00870E9A">
        <w:rPr>
          <w:rFonts w:asciiTheme="minorHAnsi" w:hAnsiTheme="minorHAnsi" w:cs="Tahoma"/>
          <w:b/>
          <w:sz w:val="28"/>
          <w:szCs w:val="28"/>
        </w:rPr>
        <w:t>l</w:t>
      </w:r>
      <w:r w:rsidRPr="00C07BD6">
        <w:rPr>
          <w:rFonts w:asciiTheme="minorHAnsi" w:hAnsiTheme="minorHAnsi" w:cs="Tahoma"/>
          <w:b/>
          <w:sz w:val="28"/>
          <w:szCs w:val="28"/>
        </w:rPr>
        <w:t>isers</w:t>
      </w:r>
      <w:proofErr w:type="spellEnd"/>
    </w:p>
    <w:p w:rsidR="001B0E85" w:rsidRPr="00C07BD6" w:rsidRDefault="001B0E85" w:rsidP="001B0E85">
      <w:pPr>
        <w:shd w:val="clear" w:color="auto" w:fill="FFFFFF"/>
        <w:spacing w:line="312" w:lineRule="auto"/>
        <w:rPr>
          <w:rFonts w:asciiTheme="minorHAnsi" w:hAnsiTheme="minorHAnsi" w:cs="Tahoma"/>
          <w:b/>
          <w:i/>
          <w:sz w:val="22"/>
        </w:rPr>
      </w:pPr>
      <w:r w:rsidRPr="00C07BD6">
        <w:rPr>
          <w:rFonts w:asciiTheme="minorHAnsi" w:hAnsiTheme="minorHAnsi" w:cs="Tahoma"/>
          <w:b/>
          <w:i/>
          <w:sz w:val="22"/>
        </w:rPr>
        <w:t>European situation</w:t>
      </w:r>
    </w:p>
    <w:p w:rsidR="001B0E85" w:rsidRPr="004D47B4" w:rsidRDefault="001B0E85" w:rsidP="004D47B4">
      <w:pPr>
        <w:numPr>
          <w:ilvl w:val="0"/>
          <w:numId w:val="6"/>
        </w:numPr>
        <w:shd w:val="clear" w:color="auto" w:fill="FFFFFF"/>
        <w:spacing w:line="312" w:lineRule="auto"/>
        <w:rPr>
          <w:rFonts w:asciiTheme="minorHAnsi" w:hAnsiTheme="minorHAnsi" w:cs="Tahoma"/>
          <w:b/>
          <w:i/>
          <w:color w:val="FF0000"/>
          <w:sz w:val="22"/>
        </w:rPr>
      </w:pPr>
      <w:r w:rsidRPr="00C07BD6">
        <w:rPr>
          <w:rFonts w:asciiTheme="minorHAnsi" w:hAnsiTheme="minorHAnsi" w:cs="Tahoma"/>
          <w:sz w:val="22"/>
        </w:rPr>
        <w:t xml:space="preserve">The EMCDDA does not routinely report sedative and </w:t>
      </w:r>
      <w:proofErr w:type="spellStart"/>
      <w:r w:rsidRPr="00C07BD6">
        <w:rPr>
          <w:rFonts w:asciiTheme="minorHAnsi" w:hAnsiTheme="minorHAnsi" w:cs="Tahoma"/>
          <w:sz w:val="22"/>
        </w:rPr>
        <w:t>tranquilliser</w:t>
      </w:r>
      <w:proofErr w:type="spellEnd"/>
      <w:r w:rsidRPr="00C07BD6">
        <w:rPr>
          <w:rFonts w:asciiTheme="minorHAnsi" w:hAnsiTheme="minorHAnsi" w:cs="Tahoma"/>
          <w:sz w:val="22"/>
        </w:rPr>
        <w:t xml:space="preserve"> prevalence or treatment data in member states.  </w:t>
      </w:r>
    </w:p>
    <w:p w:rsidR="001B0E85" w:rsidRPr="00C07BD6" w:rsidRDefault="001B0E85" w:rsidP="001B0E85">
      <w:pPr>
        <w:pStyle w:val="NormalWeb"/>
        <w:spacing w:before="0" w:beforeAutospacing="0" w:after="0" w:afterAutospacing="0" w:line="312" w:lineRule="auto"/>
        <w:rPr>
          <w:rFonts w:asciiTheme="minorHAnsi" w:hAnsiTheme="minorHAnsi"/>
          <w:lang w:val="en-IE" w:eastAsia="en-IE"/>
        </w:rPr>
      </w:pPr>
      <w:r w:rsidRPr="00C07BD6">
        <w:rPr>
          <w:rFonts w:asciiTheme="minorHAnsi" w:hAnsiTheme="minorHAnsi" w:cs="Tahoma"/>
          <w:b/>
          <w:i/>
          <w:sz w:val="22"/>
          <w:szCs w:val="22"/>
        </w:rPr>
        <w:t>Irish situation</w:t>
      </w:r>
    </w:p>
    <w:p w:rsidR="001B0E85" w:rsidRPr="00E664E7" w:rsidRDefault="001B0E85" w:rsidP="00A80C4D">
      <w:pPr>
        <w:numPr>
          <w:ilvl w:val="0"/>
          <w:numId w:val="6"/>
        </w:numPr>
        <w:autoSpaceDE w:val="0"/>
        <w:autoSpaceDN w:val="0"/>
        <w:adjustRightInd w:val="0"/>
        <w:spacing w:line="276" w:lineRule="auto"/>
        <w:ind w:left="714" w:hanging="357"/>
        <w:rPr>
          <w:rFonts w:asciiTheme="minorHAnsi" w:hAnsiTheme="minorHAnsi" w:cs="Tahoma"/>
          <w:color w:val="000000" w:themeColor="text1"/>
          <w:sz w:val="22"/>
          <w:lang w:val="en-IE" w:eastAsia="en-IE"/>
        </w:rPr>
      </w:pPr>
      <w:r w:rsidRPr="00E664E7">
        <w:rPr>
          <w:rFonts w:asciiTheme="minorHAnsi" w:hAnsiTheme="minorHAnsi" w:cs="Tahoma"/>
          <w:color w:val="000000" w:themeColor="text1"/>
          <w:sz w:val="22"/>
          <w:lang w:val="en-IE" w:eastAsia="en-IE"/>
        </w:rPr>
        <w:t xml:space="preserve">The number of cases entering treatment and reporting a benzodiazepine as their main problem drug </w:t>
      </w:r>
      <w:r w:rsidR="00617E90" w:rsidRPr="00E664E7">
        <w:rPr>
          <w:rFonts w:asciiTheme="minorHAnsi" w:hAnsiTheme="minorHAnsi" w:cs="Tahoma"/>
          <w:color w:val="000000" w:themeColor="text1"/>
          <w:sz w:val="22"/>
          <w:lang w:val="en-IE" w:eastAsia="en-IE"/>
        </w:rPr>
        <w:t>was</w:t>
      </w:r>
      <w:r w:rsidRPr="00E664E7">
        <w:rPr>
          <w:rFonts w:asciiTheme="minorHAnsi" w:hAnsiTheme="minorHAnsi" w:cs="Tahoma"/>
          <w:color w:val="000000" w:themeColor="text1"/>
          <w:sz w:val="22"/>
          <w:lang w:val="en-IE" w:eastAsia="en-IE"/>
        </w:rPr>
        <w:t xml:space="preserve"> </w:t>
      </w:r>
      <w:r w:rsidR="00E9040A">
        <w:rPr>
          <w:rFonts w:asciiTheme="minorHAnsi" w:hAnsiTheme="minorHAnsi" w:cs="Tahoma"/>
          <w:color w:val="000000" w:themeColor="text1"/>
          <w:sz w:val="22"/>
          <w:lang w:val="en-IE" w:eastAsia="en-IE"/>
        </w:rPr>
        <w:t>914</w:t>
      </w:r>
      <w:r w:rsidR="00E9040A" w:rsidRPr="00E664E7">
        <w:rPr>
          <w:rFonts w:asciiTheme="minorHAnsi" w:hAnsiTheme="minorHAnsi" w:cs="Tahoma"/>
          <w:color w:val="000000" w:themeColor="text1"/>
          <w:sz w:val="22"/>
          <w:lang w:val="en-IE" w:eastAsia="en-IE"/>
        </w:rPr>
        <w:t xml:space="preserve"> </w:t>
      </w:r>
      <w:r w:rsidRPr="00E664E7">
        <w:rPr>
          <w:rFonts w:asciiTheme="minorHAnsi" w:hAnsiTheme="minorHAnsi" w:cs="Tahoma"/>
          <w:color w:val="000000" w:themeColor="text1"/>
          <w:sz w:val="22"/>
          <w:lang w:val="en-IE" w:eastAsia="en-IE"/>
        </w:rPr>
        <w:t xml:space="preserve">in </w:t>
      </w:r>
      <w:r w:rsidR="00E9040A" w:rsidRPr="00E664E7">
        <w:rPr>
          <w:rFonts w:asciiTheme="minorHAnsi" w:hAnsiTheme="minorHAnsi" w:cs="Tahoma"/>
          <w:color w:val="000000" w:themeColor="text1"/>
          <w:sz w:val="22"/>
          <w:lang w:val="en-IE" w:eastAsia="en-IE"/>
        </w:rPr>
        <w:t>201</w:t>
      </w:r>
      <w:r w:rsidR="00E9040A">
        <w:rPr>
          <w:rFonts w:asciiTheme="minorHAnsi" w:hAnsiTheme="minorHAnsi" w:cs="Tahoma"/>
          <w:color w:val="000000" w:themeColor="text1"/>
          <w:sz w:val="22"/>
          <w:lang w:val="en-IE" w:eastAsia="en-IE"/>
        </w:rPr>
        <w:t>4, compared to 773 in 2013.</w:t>
      </w:r>
    </w:p>
    <w:p w:rsidR="001B0E85" w:rsidRPr="00C07BD6" w:rsidRDefault="001B0E85" w:rsidP="00A80C4D">
      <w:pPr>
        <w:numPr>
          <w:ilvl w:val="0"/>
          <w:numId w:val="6"/>
        </w:numPr>
        <w:autoSpaceDE w:val="0"/>
        <w:autoSpaceDN w:val="0"/>
        <w:adjustRightInd w:val="0"/>
        <w:spacing w:line="276" w:lineRule="auto"/>
        <w:ind w:left="714" w:hanging="357"/>
        <w:rPr>
          <w:rFonts w:asciiTheme="minorHAnsi" w:hAnsiTheme="minorHAnsi" w:cs="Tahoma"/>
          <w:sz w:val="22"/>
          <w:lang w:val="en-IE" w:eastAsia="en-IE"/>
        </w:rPr>
      </w:pPr>
      <w:r w:rsidRPr="00C07BD6">
        <w:rPr>
          <w:rFonts w:asciiTheme="minorHAnsi" w:hAnsiTheme="minorHAnsi" w:cs="Tahoma"/>
          <w:sz w:val="22"/>
          <w:lang w:val="en-IE" w:eastAsia="en-IE"/>
        </w:rPr>
        <w:t xml:space="preserve">Benzodiazepines were implicated in </w:t>
      </w:r>
      <w:r w:rsidR="006C3BF8" w:rsidRPr="00C07BD6">
        <w:rPr>
          <w:rFonts w:asciiTheme="minorHAnsi" w:hAnsiTheme="minorHAnsi" w:cs="Tahoma"/>
          <w:sz w:val="22"/>
          <w:lang w:val="en-IE" w:eastAsia="en-IE"/>
        </w:rPr>
        <w:t>160</w:t>
      </w:r>
      <w:r w:rsidRPr="00C07BD6">
        <w:rPr>
          <w:rFonts w:asciiTheme="minorHAnsi" w:hAnsiTheme="minorHAnsi" w:cs="Tahoma"/>
          <w:sz w:val="22"/>
          <w:lang w:val="en-IE" w:eastAsia="en-IE"/>
        </w:rPr>
        <w:t xml:space="preserve"> poisoning deaths in 201</w:t>
      </w:r>
      <w:r w:rsidR="006C3BF8" w:rsidRPr="00C07BD6">
        <w:rPr>
          <w:rFonts w:asciiTheme="minorHAnsi" w:hAnsiTheme="minorHAnsi" w:cs="Tahoma"/>
          <w:sz w:val="22"/>
          <w:lang w:val="en-IE" w:eastAsia="en-IE"/>
        </w:rPr>
        <w:t>3</w:t>
      </w:r>
      <w:r w:rsidRPr="00C07BD6">
        <w:rPr>
          <w:rFonts w:asciiTheme="minorHAnsi" w:hAnsiTheme="minorHAnsi" w:cs="Tahoma"/>
          <w:sz w:val="22"/>
          <w:lang w:val="en-IE" w:eastAsia="en-IE"/>
        </w:rPr>
        <w:t xml:space="preserve">, </w:t>
      </w:r>
      <w:r w:rsidR="006C3BF8" w:rsidRPr="00C07BD6">
        <w:rPr>
          <w:rFonts w:asciiTheme="minorHAnsi" w:hAnsiTheme="minorHAnsi" w:cs="Tahoma"/>
          <w:sz w:val="22"/>
          <w:lang w:val="en-IE" w:eastAsia="en-IE"/>
        </w:rPr>
        <w:t xml:space="preserve">an increase of 24%, </w:t>
      </w:r>
      <w:r w:rsidRPr="00C07BD6">
        <w:rPr>
          <w:rFonts w:asciiTheme="minorHAnsi" w:hAnsiTheme="minorHAnsi" w:cs="Tahoma"/>
          <w:sz w:val="22"/>
          <w:lang w:val="en-IE" w:eastAsia="en-IE"/>
        </w:rPr>
        <w:t xml:space="preserve">from </w:t>
      </w:r>
      <w:r w:rsidR="006C3BF8" w:rsidRPr="00C07BD6">
        <w:rPr>
          <w:rFonts w:asciiTheme="minorHAnsi" w:hAnsiTheme="minorHAnsi" w:cs="Tahoma"/>
          <w:sz w:val="22"/>
          <w:lang w:val="en-IE" w:eastAsia="en-IE"/>
        </w:rPr>
        <w:t xml:space="preserve">129 </w:t>
      </w:r>
      <w:r w:rsidRPr="00C07BD6">
        <w:rPr>
          <w:rFonts w:asciiTheme="minorHAnsi" w:hAnsiTheme="minorHAnsi" w:cs="Tahoma"/>
          <w:sz w:val="22"/>
          <w:lang w:val="en-IE" w:eastAsia="en-IE"/>
        </w:rPr>
        <w:t>deaths in 201</w:t>
      </w:r>
      <w:r w:rsidR="006C3BF8" w:rsidRPr="00C07BD6">
        <w:rPr>
          <w:rFonts w:asciiTheme="minorHAnsi" w:hAnsiTheme="minorHAnsi" w:cs="Tahoma"/>
          <w:sz w:val="22"/>
          <w:lang w:val="en-IE" w:eastAsia="en-IE"/>
        </w:rPr>
        <w:t>2</w:t>
      </w:r>
      <w:r w:rsidRPr="00C07BD6">
        <w:rPr>
          <w:rFonts w:asciiTheme="minorHAnsi" w:hAnsiTheme="minorHAnsi" w:cs="Tahoma"/>
          <w:sz w:val="22"/>
          <w:lang w:val="en-IE" w:eastAsia="en-IE"/>
        </w:rPr>
        <w:t xml:space="preserve">. </w:t>
      </w:r>
      <w:r w:rsidR="006C3BF8" w:rsidRPr="00C07BD6">
        <w:rPr>
          <w:rFonts w:asciiTheme="minorHAnsi" w:hAnsiTheme="minorHAnsi" w:cs="Tahoma"/>
          <w:sz w:val="22"/>
          <w:lang w:val="en-IE" w:eastAsia="en-IE"/>
        </w:rPr>
        <w:t xml:space="preserve"> Two fifths (41%) of poisoning</w:t>
      </w:r>
      <w:r w:rsidR="00854730">
        <w:rPr>
          <w:rFonts w:asciiTheme="minorHAnsi" w:hAnsiTheme="minorHAnsi" w:cs="Tahoma"/>
          <w:sz w:val="22"/>
          <w:lang w:val="en-IE" w:eastAsia="en-IE"/>
        </w:rPr>
        <w:t>s</w:t>
      </w:r>
      <w:r w:rsidR="006C3BF8" w:rsidRPr="00C07BD6">
        <w:rPr>
          <w:rFonts w:asciiTheme="minorHAnsi" w:hAnsiTheme="minorHAnsi" w:cs="Tahoma"/>
          <w:sz w:val="22"/>
          <w:lang w:val="en-IE" w:eastAsia="en-IE"/>
        </w:rPr>
        <w:t xml:space="preserve"> in 2013 involved benzodiazepines.</w:t>
      </w:r>
    </w:p>
    <w:p w:rsidR="001B0E85" w:rsidRPr="00E664E7" w:rsidRDefault="006C3BF8" w:rsidP="00A80C4D">
      <w:pPr>
        <w:numPr>
          <w:ilvl w:val="0"/>
          <w:numId w:val="6"/>
        </w:numPr>
        <w:autoSpaceDE w:val="0"/>
        <w:autoSpaceDN w:val="0"/>
        <w:adjustRightInd w:val="0"/>
        <w:spacing w:line="276" w:lineRule="auto"/>
        <w:ind w:left="714" w:hanging="357"/>
        <w:rPr>
          <w:rFonts w:asciiTheme="minorHAnsi" w:hAnsiTheme="minorHAnsi" w:cs="Tahoma"/>
          <w:color w:val="FF0000"/>
          <w:sz w:val="22"/>
        </w:rPr>
      </w:pPr>
      <w:r w:rsidRPr="00E664E7">
        <w:rPr>
          <w:rFonts w:asciiTheme="minorHAnsi" w:hAnsiTheme="minorHAnsi" w:cs="Tahoma"/>
          <w:sz w:val="22"/>
        </w:rPr>
        <w:t>There were</w:t>
      </w:r>
      <w:r w:rsidR="006633D2" w:rsidRPr="00E664E7">
        <w:rPr>
          <w:rFonts w:asciiTheme="minorHAnsi" w:hAnsiTheme="minorHAnsi" w:cs="Tahoma"/>
          <w:sz w:val="22"/>
        </w:rPr>
        <w:t xml:space="preserve"> 234</w:t>
      </w:r>
      <w:r w:rsidR="001B0E85" w:rsidRPr="00E664E7">
        <w:rPr>
          <w:rFonts w:asciiTheme="minorHAnsi" w:hAnsiTheme="minorHAnsi" w:cs="Tahoma"/>
          <w:sz w:val="22"/>
        </w:rPr>
        <w:t xml:space="preserve"> poisoning deaths involving mo</w:t>
      </w:r>
      <w:r w:rsidR="006633D2" w:rsidRPr="00E664E7">
        <w:rPr>
          <w:rFonts w:asciiTheme="minorHAnsi" w:hAnsiTheme="minorHAnsi" w:cs="Tahoma"/>
          <w:sz w:val="22"/>
        </w:rPr>
        <w:t>re than one drug (polydrug use) in 2013</w:t>
      </w:r>
      <w:r w:rsidR="00854730">
        <w:rPr>
          <w:rFonts w:asciiTheme="minorHAnsi" w:hAnsiTheme="minorHAnsi" w:cs="Tahoma"/>
          <w:sz w:val="22"/>
        </w:rPr>
        <w:t>,</w:t>
      </w:r>
      <w:r w:rsidR="00E9040A" w:rsidRPr="00E664E7">
        <w:rPr>
          <w:rFonts w:asciiTheme="minorHAnsi" w:hAnsiTheme="minorHAnsi" w:cs="Tahoma"/>
          <w:sz w:val="22"/>
        </w:rPr>
        <w:t xml:space="preserve"> an increase on </w:t>
      </w:r>
      <w:r w:rsidR="00854730">
        <w:rPr>
          <w:rFonts w:asciiTheme="minorHAnsi" w:hAnsiTheme="minorHAnsi" w:cs="Tahoma"/>
          <w:sz w:val="22"/>
        </w:rPr>
        <w:t xml:space="preserve">the </w:t>
      </w:r>
      <w:r w:rsidR="006633D2" w:rsidRPr="00E664E7">
        <w:rPr>
          <w:rFonts w:asciiTheme="minorHAnsi" w:hAnsiTheme="minorHAnsi" w:cs="Tahoma"/>
          <w:sz w:val="22"/>
        </w:rPr>
        <w:t xml:space="preserve">197 </w:t>
      </w:r>
      <w:r w:rsidR="00E9040A" w:rsidRPr="00E664E7">
        <w:rPr>
          <w:rFonts w:asciiTheme="minorHAnsi" w:hAnsiTheme="minorHAnsi" w:cs="Tahoma"/>
          <w:sz w:val="22"/>
        </w:rPr>
        <w:t xml:space="preserve">deaths reported </w:t>
      </w:r>
      <w:r w:rsidR="006633D2" w:rsidRPr="00E664E7">
        <w:rPr>
          <w:rFonts w:asciiTheme="minorHAnsi" w:hAnsiTheme="minorHAnsi" w:cs="Tahoma"/>
          <w:sz w:val="22"/>
        </w:rPr>
        <w:t xml:space="preserve">in 2012.  </w:t>
      </w:r>
      <w:r w:rsidR="001B0E85" w:rsidRPr="00E664E7">
        <w:rPr>
          <w:rFonts w:asciiTheme="minorHAnsi" w:hAnsiTheme="minorHAnsi" w:cs="Tahoma"/>
          <w:sz w:val="22"/>
        </w:rPr>
        <w:t xml:space="preserve"> </w:t>
      </w:r>
    </w:p>
    <w:p w:rsidR="001B0E85" w:rsidRPr="00C07BD6" w:rsidRDefault="001B0E85" w:rsidP="00A80C4D">
      <w:pPr>
        <w:pStyle w:val="NormalWeb"/>
        <w:spacing w:before="0" w:beforeAutospacing="0" w:after="0" w:afterAutospacing="0" w:line="276" w:lineRule="auto"/>
        <w:rPr>
          <w:rFonts w:asciiTheme="minorHAnsi" w:hAnsiTheme="minorHAnsi" w:cs="Tahoma"/>
          <w:color w:val="FF0000"/>
          <w:sz w:val="22"/>
          <w:szCs w:val="22"/>
        </w:rPr>
      </w:pPr>
    </w:p>
    <w:p w:rsidR="002F0158" w:rsidRDefault="00D0183A" w:rsidP="00A80C4D">
      <w:pPr>
        <w:spacing w:line="276" w:lineRule="auto"/>
        <w:rPr>
          <w:rFonts w:asciiTheme="minorHAnsi" w:hAnsiTheme="minorHAnsi"/>
          <w:color w:val="FF0000"/>
          <w:sz w:val="22"/>
          <w:lang w:val="en"/>
        </w:rPr>
      </w:pPr>
      <w:r w:rsidRPr="00C07BD6">
        <w:rPr>
          <w:rFonts w:asciiTheme="minorHAnsi" w:hAnsiTheme="minorHAnsi"/>
          <w:sz w:val="22"/>
          <w:lang w:val="en-GB"/>
        </w:rPr>
        <w:t xml:space="preserve">Accompanying the </w:t>
      </w:r>
      <w:r w:rsidR="00854730">
        <w:rPr>
          <w:rFonts w:asciiTheme="minorHAnsi" w:hAnsiTheme="minorHAnsi"/>
          <w:sz w:val="22"/>
          <w:lang w:val="en-GB"/>
        </w:rPr>
        <w:t xml:space="preserve">European Drug Report 2016 </w:t>
      </w:r>
      <w:r w:rsidRPr="00C07BD6">
        <w:rPr>
          <w:rFonts w:asciiTheme="minorHAnsi" w:hAnsiTheme="minorHAnsi"/>
          <w:sz w:val="22"/>
          <w:lang w:val="en-GB"/>
        </w:rPr>
        <w:t xml:space="preserve">will be </w:t>
      </w:r>
      <w:r w:rsidRPr="00C07BD6">
        <w:rPr>
          <w:rFonts w:asciiTheme="minorHAnsi" w:hAnsiTheme="minorHAnsi"/>
          <w:b/>
          <w:sz w:val="22"/>
          <w:lang w:val="en-GB"/>
        </w:rPr>
        <w:t>Perspectives on drugs</w:t>
      </w:r>
      <w:r w:rsidRPr="00C07BD6">
        <w:rPr>
          <w:rFonts w:asciiTheme="minorHAnsi" w:hAnsiTheme="minorHAnsi"/>
          <w:sz w:val="22"/>
          <w:lang w:val="en-GB"/>
        </w:rPr>
        <w:t xml:space="preserve"> (PODs), online interactive articles providing insight</w:t>
      </w:r>
      <w:r w:rsidR="00854730">
        <w:rPr>
          <w:rFonts w:asciiTheme="minorHAnsi" w:hAnsiTheme="minorHAnsi"/>
          <w:sz w:val="22"/>
          <w:lang w:val="en-GB"/>
        </w:rPr>
        <w:t>s</w:t>
      </w:r>
      <w:r w:rsidRPr="00C07BD6">
        <w:rPr>
          <w:rFonts w:asciiTheme="minorHAnsi" w:hAnsiTheme="minorHAnsi"/>
          <w:sz w:val="22"/>
          <w:lang w:val="en-GB"/>
        </w:rPr>
        <w:t xml:space="preserve"> into specific issues in the drugs field. The </w:t>
      </w:r>
      <w:r w:rsidR="006633D2" w:rsidRPr="00C07BD6">
        <w:rPr>
          <w:rFonts w:asciiTheme="minorHAnsi" w:hAnsiTheme="minorHAnsi"/>
          <w:sz w:val="22"/>
          <w:lang w:val="en-GB"/>
        </w:rPr>
        <w:t>three</w:t>
      </w:r>
      <w:r w:rsidRPr="00C07BD6">
        <w:rPr>
          <w:rFonts w:asciiTheme="minorHAnsi" w:hAnsiTheme="minorHAnsi"/>
          <w:sz w:val="22"/>
          <w:lang w:val="en-GB"/>
        </w:rPr>
        <w:t xml:space="preserve"> themes in focus this year are: </w:t>
      </w:r>
      <w:bookmarkStart w:id="1" w:name="247970"/>
      <w:r w:rsidR="006633D2" w:rsidRPr="00C07BD6">
        <w:rPr>
          <w:rFonts w:asciiTheme="minorHAnsi" w:hAnsiTheme="minorHAnsi"/>
          <w:sz w:val="22"/>
          <w:lang w:val="en"/>
        </w:rPr>
        <w:t>cocaine trafficking to Europe</w:t>
      </w:r>
      <w:bookmarkEnd w:id="1"/>
      <w:r w:rsidRPr="00C07BD6">
        <w:rPr>
          <w:rFonts w:asciiTheme="minorHAnsi" w:hAnsiTheme="minorHAnsi"/>
          <w:sz w:val="22"/>
          <w:lang w:val="en-GB"/>
        </w:rPr>
        <w:t xml:space="preserve">; </w:t>
      </w:r>
      <w:bookmarkStart w:id="2" w:name="247972"/>
      <w:r w:rsidR="00854730">
        <w:rPr>
          <w:rFonts w:asciiTheme="minorHAnsi" w:hAnsiTheme="minorHAnsi"/>
          <w:sz w:val="22"/>
          <w:lang w:val="en"/>
        </w:rPr>
        <w:t>c</w:t>
      </w:r>
      <w:r w:rsidR="006633D2" w:rsidRPr="00C07BD6">
        <w:rPr>
          <w:rFonts w:asciiTheme="minorHAnsi" w:hAnsiTheme="minorHAnsi"/>
          <w:sz w:val="22"/>
          <w:lang w:val="en"/>
        </w:rPr>
        <w:t>omorbidity of substance use and mental health disorders in Europe</w:t>
      </w:r>
      <w:bookmarkEnd w:id="2"/>
      <w:r w:rsidR="006633D2" w:rsidRPr="00C07BD6">
        <w:rPr>
          <w:rFonts w:asciiTheme="minorHAnsi" w:hAnsiTheme="minorHAnsi"/>
          <w:sz w:val="22"/>
          <w:lang w:val="en"/>
        </w:rPr>
        <w:t xml:space="preserve">; and </w:t>
      </w:r>
      <w:bookmarkStart w:id="3" w:name="247974"/>
      <w:r w:rsidR="00854730">
        <w:rPr>
          <w:rFonts w:asciiTheme="minorHAnsi" w:hAnsiTheme="minorHAnsi"/>
          <w:sz w:val="22"/>
          <w:lang w:val="en"/>
        </w:rPr>
        <w:t>s</w:t>
      </w:r>
      <w:r w:rsidR="006633D2" w:rsidRPr="00C07BD6">
        <w:rPr>
          <w:rFonts w:asciiTheme="minorHAnsi" w:hAnsiTheme="minorHAnsi"/>
          <w:sz w:val="22"/>
          <w:lang w:val="en"/>
        </w:rPr>
        <w:t xml:space="preserve">trategies to prevent diversion of </w:t>
      </w:r>
      <w:r w:rsidR="00854730" w:rsidRPr="00C07BD6">
        <w:rPr>
          <w:rFonts w:asciiTheme="minorHAnsi" w:hAnsiTheme="minorHAnsi"/>
          <w:sz w:val="22"/>
          <w:lang w:val="en"/>
        </w:rPr>
        <w:t>opioid substitution treatment</w:t>
      </w:r>
      <w:bookmarkEnd w:id="3"/>
      <w:r w:rsidR="00854730">
        <w:rPr>
          <w:rFonts w:asciiTheme="minorHAnsi" w:hAnsiTheme="minorHAnsi"/>
          <w:sz w:val="22"/>
          <w:lang w:val="en"/>
        </w:rPr>
        <w:t>.</w:t>
      </w:r>
      <w:r w:rsidR="006633D2" w:rsidRPr="00C07BD6">
        <w:rPr>
          <w:rFonts w:asciiTheme="minorHAnsi" w:hAnsiTheme="minorHAnsi"/>
          <w:color w:val="FF0000"/>
          <w:sz w:val="22"/>
          <w:lang w:val="en"/>
        </w:rPr>
        <w:t> </w:t>
      </w:r>
    </w:p>
    <w:p w:rsidR="00A80C4D" w:rsidRDefault="00A80C4D" w:rsidP="00A80C4D">
      <w:pPr>
        <w:spacing w:line="276" w:lineRule="auto"/>
        <w:rPr>
          <w:rFonts w:asciiTheme="minorHAnsi" w:hAnsiTheme="minorHAnsi"/>
          <w:color w:val="FF0000"/>
          <w:sz w:val="22"/>
          <w:lang w:val="en"/>
        </w:rPr>
      </w:pPr>
    </w:p>
    <w:p w:rsidR="00A80C4D" w:rsidRPr="00A80C4D" w:rsidRDefault="00A80C4D" w:rsidP="00A80C4D">
      <w:pPr>
        <w:spacing w:line="276" w:lineRule="auto"/>
        <w:rPr>
          <w:rFonts w:asciiTheme="minorHAnsi" w:hAnsiTheme="minorHAnsi"/>
          <w:b/>
          <w:sz w:val="22"/>
          <w:lang w:val="en"/>
        </w:rPr>
      </w:pPr>
      <w:r w:rsidRPr="00A80C4D">
        <w:rPr>
          <w:rFonts w:asciiTheme="minorHAnsi" w:hAnsiTheme="minorHAnsi"/>
          <w:b/>
          <w:sz w:val="22"/>
          <w:lang w:val="en"/>
        </w:rPr>
        <w:lastRenderedPageBreak/>
        <w:t>For more information contact:</w:t>
      </w:r>
    </w:p>
    <w:p w:rsidR="00A80C4D" w:rsidRPr="00A80C4D" w:rsidRDefault="00A80C4D" w:rsidP="00A80C4D">
      <w:pPr>
        <w:spacing w:line="276" w:lineRule="auto"/>
        <w:rPr>
          <w:rFonts w:asciiTheme="minorHAnsi" w:hAnsiTheme="minorHAnsi"/>
          <w:sz w:val="22"/>
          <w:lang w:val="en"/>
        </w:rPr>
      </w:pPr>
      <w:r w:rsidRPr="00A80C4D">
        <w:rPr>
          <w:rFonts w:asciiTheme="minorHAnsi" w:hAnsiTheme="minorHAnsi"/>
          <w:sz w:val="22"/>
          <w:lang w:val="en"/>
        </w:rPr>
        <w:t>Gillian Markey, Communications Manager, Health Research Board</w:t>
      </w:r>
    </w:p>
    <w:p w:rsidR="00A80C4D" w:rsidRPr="00A80C4D" w:rsidRDefault="00A80C4D" w:rsidP="00A80C4D">
      <w:pPr>
        <w:spacing w:line="276" w:lineRule="auto"/>
        <w:rPr>
          <w:rFonts w:asciiTheme="minorHAnsi" w:hAnsiTheme="minorHAnsi"/>
          <w:sz w:val="22"/>
        </w:rPr>
      </w:pPr>
      <w:proofErr w:type="gramStart"/>
      <w:r w:rsidRPr="00A80C4D">
        <w:rPr>
          <w:rFonts w:asciiTheme="minorHAnsi" w:hAnsiTheme="minorHAnsi"/>
          <w:b/>
          <w:sz w:val="22"/>
          <w:lang w:val="en"/>
        </w:rPr>
        <w:t>m</w:t>
      </w:r>
      <w:proofErr w:type="gramEnd"/>
      <w:r w:rsidRPr="00A80C4D">
        <w:rPr>
          <w:rFonts w:asciiTheme="minorHAnsi" w:hAnsiTheme="minorHAnsi"/>
          <w:sz w:val="22"/>
          <w:lang w:val="en"/>
        </w:rPr>
        <w:t xml:space="preserve"> +353 87 2288514</w:t>
      </w:r>
      <w:r w:rsidRPr="00A80C4D">
        <w:rPr>
          <w:rFonts w:asciiTheme="minorHAnsi" w:hAnsiTheme="minorHAnsi"/>
          <w:sz w:val="22"/>
          <w:lang w:val="en"/>
        </w:rPr>
        <w:tab/>
      </w:r>
      <w:r w:rsidRPr="00A80C4D">
        <w:rPr>
          <w:rFonts w:asciiTheme="minorHAnsi" w:hAnsiTheme="minorHAnsi"/>
          <w:sz w:val="22"/>
          <w:lang w:val="en"/>
        </w:rPr>
        <w:tab/>
      </w:r>
      <w:r w:rsidRPr="00A80C4D">
        <w:rPr>
          <w:rFonts w:asciiTheme="minorHAnsi" w:hAnsiTheme="minorHAnsi"/>
          <w:b/>
          <w:sz w:val="22"/>
          <w:lang w:val="en"/>
        </w:rPr>
        <w:t>e</w:t>
      </w:r>
      <w:r w:rsidRPr="00A80C4D">
        <w:rPr>
          <w:rFonts w:asciiTheme="minorHAnsi" w:hAnsiTheme="minorHAnsi"/>
          <w:sz w:val="22"/>
          <w:lang w:val="en"/>
        </w:rPr>
        <w:t xml:space="preserve"> gmarkey@hrb.ie</w:t>
      </w:r>
    </w:p>
    <w:sectPr w:rsidR="00A80C4D" w:rsidRPr="00A80C4D" w:rsidSect="00BA19DD">
      <w:footerReference w:type="default" r:id="rId8"/>
      <w:pgSz w:w="12240" w:h="15840"/>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561" w:rsidRDefault="00774561" w:rsidP="00F65CFE">
      <w:r>
        <w:separator/>
      </w:r>
    </w:p>
  </w:endnote>
  <w:endnote w:type="continuationSeparator" w:id="0">
    <w:p w:rsidR="00774561" w:rsidRDefault="00774561" w:rsidP="00F6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Arial Unicode MS"/>
    <w:charset w:val="80"/>
    <w:family w:val="auto"/>
    <w:pitch w:val="variable"/>
    <w:sig w:usb0="01000000" w:usb1="00000000" w:usb2="07040001" w:usb3="00000000" w:csb0="0002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84389"/>
      <w:docPartObj>
        <w:docPartGallery w:val="Page Numbers (Bottom of Page)"/>
        <w:docPartUnique/>
      </w:docPartObj>
    </w:sdtPr>
    <w:sdtEndPr/>
    <w:sdtContent>
      <w:sdt>
        <w:sdtPr>
          <w:id w:val="860082579"/>
          <w:docPartObj>
            <w:docPartGallery w:val="Page Numbers (Top of Page)"/>
            <w:docPartUnique/>
          </w:docPartObj>
        </w:sdtPr>
        <w:sdtEndPr/>
        <w:sdtContent>
          <w:p w:rsidR="00F65CFE" w:rsidRDefault="00F65CF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D20C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D20CF">
              <w:rPr>
                <w:b/>
                <w:bCs/>
                <w:noProof/>
              </w:rPr>
              <w:t>7</w:t>
            </w:r>
            <w:r>
              <w:rPr>
                <w:b/>
                <w:bCs/>
                <w:sz w:val="24"/>
                <w:szCs w:val="24"/>
              </w:rPr>
              <w:fldChar w:fldCharType="end"/>
            </w:r>
          </w:p>
        </w:sdtContent>
      </w:sdt>
    </w:sdtContent>
  </w:sdt>
  <w:p w:rsidR="00F65CFE" w:rsidRDefault="00F65C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561" w:rsidRDefault="00774561" w:rsidP="00F65CFE">
      <w:r>
        <w:separator/>
      </w:r>
    </w:p>
  </w:footnote>
  <w:footnote w:type="continuationSeparator" w:id="0">
    <w:p w:rsidR="00774561" w:rsidRDefault="00774561" w:rsidP="00F65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0D13"/>
    <w:multiLevelType w:val="hybridMultilevel"/>
    <w:tmpl w:val="9EAEEE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74A61D0"/>
    <w:multiLevelType w:val="hybridMultilevel"/>
    <w:tmpl w:val="436047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D257FD0"/>
    <w:multiLevelType w:val="hybridMultilevel"/>
    <w:tmpl w:val="D34228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90A47D3"/>
    <w:multiLevelType w:val="hybridMultilevel"/>
    <w:tmpl w:val="2250D9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929018F"/>
    <w:multiLevelType w:val="hybridMultilevel"/>
    <w:tmpl w:val="E6ACE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D46FFB"/>
    <w:multiLevelType w:val="hybridMultilevel"/>
    <w:tmpl w:val="7A767E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0C24B39"/>
    <w:multiLevelType w:val="hybridMultilevel"/>
    <w:tmpl w:val="2ACAF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6A17508"/>
    <w:multiLevelType w:val="hybridMultilevel"/>
    <w:tmpl w:val="07385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803272"/>
    <w:multiLevelType w:val="hybridMultilevel"/>
    <w:tmpl w:val="FCF27C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49E05718"/>
    <w:multiLevelType w:val="hybridMultilevel"/>
    <w:tmpl w:val="619067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4B68229D"/>
    <w:multiLevelType w:val="hybridMultilevel"/>
    <w:tmpl w:val="3148E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DAF5644"/>
    <w:multiLevelType w:val="hybridMultilevel"/>
    <w:tmpl w:val="6F6602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C8D2A61"/>
    <w:multiLevelType w:val="hybridMultilevel"/>
    <w:tmpl w:val="4F74A2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737940E6"/>
    <w:multiLevelType w:val="hybridMultilevel"/>
    <w:tmpl w:val="D2CC87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77E84841"/>
    <w:multiLevelType w:val="hybridMultilevel"/>
    <w:tmpl w:val="5C161954"/>
    <w:lvl w:ilvl="0" w:tplc="34425222">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80063C0"/>
    <w:multiLevelType w:val="hybridMultilevel"/>
    <w:tmpl w:val="C2C46A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11"/>
  </w:num>
  <w:num w:numId="5">
    <w:abstractNumId w:val="5"/>
  </w:num>
  <w:num w:numId="6">
    <w:abstractNumId w:val="3"/>
  </w:num>
  <w:num w:numId="7">
    <w:abstractNumId w:val="2"/>
  </w:num>
  <w:num w:numId="8">
    <w:abstractNumId w:val="12"/>
  </w:num>
  <w:num w:numId="9">
    <w:abstractNumId w:val="0"/>
  </w:num>
  <w:num w:numId="10">
    <w:abstractNumId w:val="1"/>
  </w:num>
  <w:num w:numId="11">
    <w:abstractNumId w:val="13"/>
  </w:num>
  <w:num w:numId="12">
    <w:abstractNumId w:val="15"/>
  </w:num>
  <w:num w:numId="13">
    <w:abstractNumId w:val="14"/>
  </w:num>
  <w:num w:numId="14">
    <w:abstractNumId w:val="10"/>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E85"/>
    <w:rsid w:val="00060B80"/>
    <w:rsid w:val="000752A1"/>
    <w:rsid w:val="00083465"/>
    <w:rsid w:val="000C6F85"/>
    <w:rsid w:val="000E1043"/>
    <w:rsid w:val="000F441C"/>
    <w:rsid w:val="001027B6"/>
    <w:rsid w:val="001171E7"/>
    <w:rsid w:val="00145D14"/>
    <w:rsid w:val="0016387E"/>
    <w:rsid w:val="0017132F"/>
    <w:rsid w:val="001714ED"/>
    <w:rsid w:val="00171B4B"/>
    <w:rsid w:val="001721A4"/>
    <w:rsid w:val="00173B8D"/>
    <w:rsid w:val="00176094"/>
    <w:rsid w:val="001A2F08"/>
    <w:rsid w:val="001A67E3"/>
    <w:rsid w:val="001A689E"/>
    <w:rsid w:val="001B0E85"/>
    <w:rsid w:val="001C4FC8"/>
    <w:rsid w:val="001C55B3"/>
    <w:rsid w:val="001D55FF"/>
    <w:rsid w:val="001F175B"/>
    <w:rsid w:val="001F5DCA"/>
    <w:rsid w:val="002254F1"/>
    <w:rsid w:val="00251942"/>
    <w:rsid w:val="0025408E"/>
    <w:rsid w:val="00255959"/>
    <w:rsid w:val="00276379"/>
    <w:rsid w:val="0028305F"/>
    <w:rsid w:val="002E1D6B"/>
    <w:rsid w:val="002F0158"/>
    <w:rsid w:val="00354545"/>
    <w:rsid w:val="00360D1E"/>
    <w:rsid w:val="00374F87"/>
    <w:rsid w:val="003C1C7B"/>
    <w:rsid w:val="003D3BD0"/>
    <w:rsid w:val="003E69AE"/>
    <w:rsid w:val="004234BC"/>
    <w:rsid w:val="0042607E"/>
    <w:rsid w:val="00434A4A"/>
    <w:rsid w:val="00445D93"/>
    <w:rsid w:val="00487C5B"/>
    <w:rsid w:val="004A7203"/>
    <w:rsid w:val="004D47B4"/>
    <w:rsid w:val="00562001"/>
    <w:rsid w:val="005746BD"/>
    <w:rsid w:val="00592848"/>
    <w:rsid w:val="0059529B"/>
    <w:rsid w:val="005F26D2"/>
    <w:rsid w:val="00605429"/>
    <w:rsid w:val="00617E90"/>
    <w:rsid w:val="006552C9"/>
    <w:rsid w:val="0065709F"/>
    <w:rsid w:val="006633D2"/>
    <w:rsid w:val="006678B4"/>
    <w:rsid w:val="006956E6"/>
    <w:rsid w:val="006C3BF8"/>
    <w:rsid w:val="00712E4A"/>
    <w:rsid w:val="0071695C"/>
    <w:rsid w:val="00717792"/>
    <w:rsid w:val="007334A4"/>
    <w:rsid w:val="00734099"/>
    <w:rsid w:val="00753B39"/>
    <w:rsid w:val="00774561"/>
    <w:rsid w:val="007810FC"/>
    <w:rsid w:val="007A274C"/>
    <w:rsid w:val="007D563C"/>
    <w:rsid w:val="008040F4"/>
    <w:rsid w:val="008179E6"/>
    <w:rsid w:val="00854730"/>
    <w:rsid w:val="00856000"/>
    <w:rsid w:val="00870E9A"/>
    <w:rsid w:val="0088620C"/>
    <w:rsid w:val="008C4488"/>
    <w:rsid w:val="008D2C41"/>
    <w:rsid w:val="008E07DD"/>
    <w:rsid w:val="008F4A0C"/>
    <w:rsid w:val="008F7F0D"/>
    <w:rsid w:val="00943930"/>
    <w:rsid w:val="009804C9"/>
    <w:rsid w:val="0098307D"/>
    <w:rsid w:val="00983B0C"/>
    <w:rsid w:val="009933C8"/>
    <w:rsid w:val="0099368C"/>
    <w:rsid w:val="009B1468"/>
    <w:rsid w:val="009B517F"/>
    <w:rsid w:val="009D75D2"/>
    <w:rsid w:val="00A24D36"/>
    <w:rsid w:val="00A56503"/>
    <w:rsid w:val="00A573DB"/>
    <w:rsid w:val="00A80C4D"/>
    <w:rsid w:val="00A92207"/>
    <w:rsid w:val="00AB56F9"/>
    <w:rsid w:val="00AB7616"/>
    <w:rsid w:val="00AC2B15"/>
    <w:rsid w:val="00AC3E02"/>
    <w:rsid w:val="00AE606A"/>
    <w:rsid w:val="00AF5307"/>
    <w:rsid w:val="00B27013"/>
    <w:rsid w:val="00BB381E"/>
    <w:rsid w:val="00BD3C27"/>
    <w:rsid w:val="00C07BD6"/>
    <w:rsid w:val="00C248CA"/>
    <w:rsid w:val="00C36ADE"/>
    <w:rsid w:val="00C7052C"/>
    <w:rsid w:val="00C72B17"/>
    <w:rsid w:val="00CA01F9"/>
    <w:rsid w:val="00CB3A51"/>
    <w:rsid w:val="00CC31C7"/>
    <w:rsid w:val="00D0183A"/>
    <w:rsid w:val="00D052C7"/>
    <w:rsid w:val="00D14A6F"/>
    <w:rsid w:val="00D14BBF"/>
    <w:rsid w:val="00D46419"/>
    <w:rsid w:val="00D6474B"/>
    <w:rsid w:val="00D7372F"/>
    <w:rsid w:val="00D87AA3"/>
    <w:rsid w:val="00D90F63"/>
    <w:rsid w:val="00DA198F"/>
    <w:rsid w:val="00DA19DC"/>
    <w:rsid w:val="00DD20CF"/>
    <w:rsid w:val="00DE7222"/>
    <w:rsid w:val="00DF1719"/>
    <w:rsid w:val="00DF6429"/>
    <w:rsid w:val="00E02DF1"/>
    <w:rsid w:val="00E06486"/>
    <w:rsid w:val="00E2534F"/>
    <w:rsid w:val="00E37BEA"/>
    <w:rsid w:val="00E46A09"/>
    <w:rsid w:val="00E50BC5"/>
    <w:rsid w:val="00E6054B"/>
    <w:rsid w:val="00E664E7"/>
    <w:rsid w:val="00E71B19"/>
    <w:rsid w:val="00E9040A"/>
    <w:rsid w:val="00ED39A2"/>
    <w:rsid w:val="00ED750F"/>
    <w:rsid w:val="00EE1095"/>
    <w:rsid w:val="00EE195D"/>
    <w:rsid w:val="00EE5378"/>
    <w:rsid w:val="00F02132"/>
    <w:rsid w:val="00F06D7B"/>
    <w:rsid w:val="00F11884"/>
    <w:rsid w:val="00F1637D"/>
    <w:rsid w:val="00F32E57"/>
    <w:rsid w:val="00F45132"/>
    <w:rsid w:val="00F65CFE"/>
    <w:rsid w:val="00FB419A"/>
    <w:rsid w:val="00FC0FDA"/>
    <w:rsid w:val="00FF6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E85"/>
    <w:rPr>
      <w:rFonts w:ascii="Tahoma" w:eastAsia="Calibri" w:hAnsi="Tahoma"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9E6"/>
    <w:rPr>
      <w:rFonts w:ascii="Tahoma" w:hAnsi="Tahoma"/>
      <w:sz w:val="20"/>
    </w:rPr>
  </w:style>
  <w:style w:type="paragraph" w:styleId="NormalWeb">
    <w:name w:val="Normal (Web)"/>
    <w:basedOn w:val="Normal"/>
    <w:uiPriority w:val="99"/>
    <w:unhideWhenUsed/>
    <w:rsid w:val="001B0E85"/>
    <w:pPr>
      <w:spacing w:before="100" w:beforeAutospacing="1" w:after="100" w:afterAutospacing="1"/>
    </w:pPr>
    <w:rPr>
      <w:rFonts w:ascii="Times New Roman" w:eastAsia="Times New Roman" w:hAnsi="Times New Roman"/>
      <w:sz w:val="24"/>
      <w:szCs w:val="24"/>
    </w:rPr>
  </w:style>
  <w:style w:type="paragraph" w:styleId="Title">
    <w:name w:val="Title"/>
    <w:basedOn w:val="Normal"/>
    <w:link w:val="TitleChar"/>
    <w:qFormat/>
    <w:rsid w:val="001B0E85"/>
    <w:pPr>
      <w:jc w:val="center"/>
    </w:pPr>
    <w:rPr>
      <w:rFonts w:eastAsia="Times New Roman"/>
      <w:b/>
      <w:bCs/>
      <w:sz w:val="24"/>
      <w:szCs w:val="24"/>
      <w:lang w:val="en-GB"/>
    </w:rPr>
  </w:style>
  <w:style w:type="character" w:customStyle="1" w:styleId="TitleChar">
    <w:name w:val="Title Char"/>
    <w:basedOn w:val="DefaultParagraphFont"/>
    <w:link w:val="Title"/>
    <w:rsid w:val="001B0E85"/>
    <w:rPr>
      <w:rFonts w:ascii="Tahoma" w:eastAsia="Times New Roman" w:hAnsi="Tahoma" w:cs="Times New Roman"/>
      <w:b/>
      <w:bCs/>
      <w:sz w:val="24"/>
      <w:szCs w:val="24"/>
      <w:lang w:val="en-GB"/>
    </w:rPr>
  </w:style>
  <w:style w:type="paragraph" w:styleId="BodyText2">
    <w:name w:val="Body Text 2"/>
    <w:basedOn w:val="Normal"/>
    <w:link w:val="BodyText2Char"/>
    <w:rsid w:val="001B0E85"/>
    <w:pPr>
      <w:spacing w:line="360" w:lineRule="auto"/>
      <w:jc w:val="both"/>
    </w:pPr>
    <w:rPr>
      <w:rFonts w:eastAsia="Times New Roman"/>
      <w:szCs w:val="24"/>
      <w:lang w:val="en-GB"/>
    </w:rPr>
  </w:style>
  <w:style w:type="character" w:customStyle="1" w:styleId="BodyText2Char">
    <w:name w:val="Body Text 2 Char"/>
    <w:basedOn w:val="DefaultParagraphFont"/>
    <w:link w:val="BodyText2"/>
    <w:rsid w:val="001B0E85"/>
    <w:rPr>
      <w:rFonts w:ascii="Tahoma" w:eastAsia="Times New Roman" w:hAnsi="Tahoma" w:cs="Times New Roman"/>
      <w:sz w:val="20"/>
      <w:szCs w:val="24"/>
      <w:lang w:val="en-GB"/>
    </w:rPr>
  </w:style>
  <w:style w:type="paragraph" w:styleId="ListParagraph">
    <w:name w:val="List Paragraph"/>
    <w:basedOn w:val="Normal"/>
    <w:uiPriority w:val="34"/>
    <w:qFormat/>
    <w:rsid w:val="001B0E85"/>
    <w:pPr>
      <w:spacing w:after="200" w:line="276" w:lineRule="auto"/>
      <w:ind w:left="720"/>
      <w:contextualSpacing/>
    </w:pPr>
    <w:rPr>
      <w:rFonts w:ascii="Calibri" w:hAnsi="Calibri"/>
      <w:sz w:val="22"/>
      <w:lang w:val="en-IE"/>
    </w:rPr>
  </w:style>
  <w:style w:type="character" w:styleId="CommentReference">
    <w:name w:val="annotation reference"/>
    <w:basedOn w:val="DefaultParagraphFont"/>
    <w:uiPriority w:val="99"/>
    <w:semiHidden/>
    <w:unhideWhenUsed/>
    <w:rsid w:val="00CC31C7"/>
    <w:rPr>
      <w:sz w:val="16"/>
      <w:szCs w:val="16"/>
    </w:rPr>
  </w:style>
  <w:style w:type="paragraph" w:styleId="CommentText">
    <w:name w:val="annotation text"/>
    <w:basedOn w:val="Normal"/>
    <w:link w:val="CommentTextChar"/>
    <w:uiPriority w:val="99"/>
    <w:semiHidden/>
    <w:unhideWhenUsed/>
    <w:rsid w:val="00CC31C7"/>
    <w:rPr>
      <w:szCs w:val="20"/>
    </w:rPr>
  </w:style>
  <w:style w:type="character" w:customStyle="1" w:styleId="CommentTextChar">
    <w:name w:val="Comment Text Char"/>
    <w:basedOn w:val="DefaultParagraphFont"/>
    <w:link w:val="CommentText"/>
    <w:uiPriority w:val="99"/>
    <w:semiHidden/>
    <w:rsid w:val="00CC31C7"/>
    <w:rPr>
      <w:rFonts w:ascii="Tahoma" w:eastAsia="Calibri" w:hAnsi="Tahoma" w:cs="Times New Roman"/>
      <w:sz w:val="20"/>
      <w:szCs w:val="20"/>
    </w:rPr>
  </w:style>
  <w:style w:type="paragraph" w:styleId="CommentSubject">
    <w:name w:val="annotation subject"/>
    <w:basedOn w:val="CommentText"/>
    <w:next w:val="CommentText"/>
    <w:link w:val="CommentSubjectChar"/>
    <w:uiPriority w:val="99"/>
    <w:semiHidden/>
    <w:unhideWhenUsed/>
    <w:rsid w:val="00CC31C7"/>
    <w:rPr>
      <w:b/>
      <w:bCs/>
    </w:rPr>
  </w:style>
  <w:style w:type="character" w:customStyle="1" w:styleId="CommentSubjectChar">
    <w:name w:val="Comment Subject Char"/>
    <w:basedOn w:val="CommentTextChar"/>
    <w:link w:val="CommentSubject"/>
    <w:uiPriority w:val="99"/>
    <w:semiHidden/>
    <w:rsid w:val="00CC31C7"/>
    <w:rPr>
      <w:rFonts w:ascii="Tahoma" w:eastAsia="Calibri" w:hAnsi="Tahoma" w:cs="Times New Roman"/>
      <w:b/>
      <w:bCs/>
      <w:sz w:val="20"/>
      <w:szCs w:val="20"/>
    </w:rPr>
  </w:style>
  <w:style w:type="paragraph" w:styleId="BalloonText">
    <w:name w:val="Balloon Text"/>
    <w:basedOn w:val="Normal"/>
    <w:link w:val="BalloonTextChar"/>
    <w:uiPriority w:val="99"/>
    <w:semiHidden/>
    <w:unhideWhenUsed/>
    <w:rsid w:val="00CC31C7"/>
    <w:rPr>
      <w:rFonts w:cs="Tahoma"/>
      <w:sz w:val="16"/>
      <w:szCs w:val="16"/>
    </w:rPr>
  </w:style>
  <w:style w:type="character" w:customStyle="1" w:styleId="BalloonTextChar">
    <w:name w:val="Balloon Text Char"/>
    <w:basedOn w:val="DefaultParagraphFont"/>
    <w:link w:val="BalloonText"/>
    <w:uiPriority w:val="99"/>
    <w:semiHidden/>
    <w:rsid w:val="00CC31C7"/>
    <w:rPr>
      <w:rFonts w:ascii="Tahoma" w:eastAsia="Calibri" w:hAnsi="Tahoma" w:cs="Tahoma"/>
      <w:sz w:val="16"/>
      <w:szCs w:val="16"/>
    </w:rPr>
  </w:style>
  <w:style w:type="paragraph" w:customStyle="1" w:styleId="StyleBoxSinglesolidlineAuto05ptLinewidth">
    <w:name w:val="Style Box: (Single solid line Auto  0.5 pt Line width)"/>
    <w:basedOn w:val="Normal"/>
    <w:rsid w:val="00D14BBF"/>
    <w:pPr>
      <w:pBdr>
        <w:top w:val="single" w:sz="4" w:space="1" w:color="auto"/>
        <w:left w:val="single" w:sz="4" w:space="4" w:color="auto"/>
        <w:bottom w:val="single" w:sz="4" w:space="1" w:color="auto"/>
        <w:right w:val="single" w:sz="4" w:space="4" w:color="auto"/>
      </w:pBdr>
      <w:spacing w:after="120" w:line="312" w:lineRule="auto"/>
    </w:pPr>
    <w:rPr>
      <w:rFonts w:ascii="Calibri" w:eastAsia="ヒラギノ角ゴ Pro W3" w:hAnsi="Calibri"/>
      <w:color w:val="000000"/>
      <w:szCs w:val="24"/>
      <w:lang w:val="en-GB"/>
    </w:rPr>
  </w:style>
  <w:style w:type="paragraph" w:styleId="ListBullet">
    <w:name w:val="List Bullet"/>
    <w:basedOn w:val="Normal"/>
    <w:autoRedefine/>
    <w:uiPriority w:val="99"/>
    <w:rsid w:val="00D14BBF"/>
    <w:pPr>
      <w:numPr>
        <w:numId w:val="13"/>
      </w:numPr>
      <w:tabs>
        <w:tab w:val="clear" w:pos="720"/>
      </w:tabs>
      <w:spacing w:after="120"/>
      <w:ind w:left="360"/>
    </w:pPr>
    <w:rPr>
      <w:rFonts w:ascii="Arial" w:eastAsia="Arial Unicode MS" w:hAnsi="Arial"/>
      <w:szCs w:val="20"/>
      <w:lang w:val="en-GB"/>
    </w:rPr>
  </w:style>
  <w:style w:type="paragraph" w:styleId="BodyText">
    <w:name w:val="Body Text"/>
    <w:basedOn w:val="Normal"/>
    <w:link w:val="BodyTextChar"/>
    <w:uiPriority w:val="99"/>
    <w:semiHidden/>
    <w:unhideWhenUsed/>
    <w:rsid w:val="00E71B19"/>
    <w:pPr>
      <w:spacing w:after="120"/>
    </w:pPr>
  </w:style>
  <w:style w:type="character" w:customStyle="1" w:styleId="BodyTextChar">
    <w:name w:val="Body Text Char"/>
    <w:basedOn w:val="DefaultParagraphFont"/>
    <w:link w:val="BodyText"/>
    <w:uiPriority w:val="99"/>
    <w:semiHidden/>
    <w:rsid w:val="00E71B19"/>
    <w:rPr>
      <w:rFonts w:ascii="Tahoma" w:eastAsia="Calibri" w:hAnsi="Tahoma" w:cs="Times New Roman"/>
      <w:sz w:val="20"/>
    </w:rPr>
  </w:style>
  <w:style w:type="table" w:styleId="TableGrid">
    <w:name w:val="Table Grid"/>
    <w:basedOn w:val="TableNormal"/>
    <w:uiPriority w:val="59"/>
    <w:rsid w:val="00E71B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1719"/>
    <w:pPr>
      <w:autoSpaceDE w:val="0"/>
      <w:autoSpaceDN w:val="0"/>
      <w:adjustRightInd w:val="0"/>
    </w:pPr>
    <w:rPr>
      <w:rFonts w:ascii="Arial" w:hAnsi="Arial" w:cs="Arial"/>
      <w:color w:val="000000"/>
      <w:sz w:val="24"/>
      <w:szCs w:val="24"/>
      <w:lang w:val="en-IE"/>
    </w:rPr>
  </w:style>
  <w:style w:type="character" w:styleId="Hyperlink">
    <w:name w:val="Hyperlink"/>
    <w:aliases w:val="Verzeichnis 1 RTX"/>
    <w:uiPriority w:val="99"/>
    <w:rsid w:val="00AB7616"/>
    <w:rPr>
      <w:color w:val="0000FF"/>
      <w:u w:val="single"/>
    </w:rPr>
  </w:style>
  <w:style w:type="paragraph" w:styleId="Header">
    <w:name w:val="header"/>
    <w:basedOn w:val="Normal"/>
    <w:link w:val="HeaderChar"/>
    <w:uiPriority w:val="99"/>
    <w:unhideWhenUsed/>
    <w:rsid w:val="00F65CFE"/>
    <w:pPr>
      <w:tabs>
        <w:tab w:val="center" w:pos="4513"/>
        <w:tab w:val="right" w:pos="9026"/>
      </w:tabs>
    </w:pPr>
  </w:style>
  <w:style w:type="character" w:customStyle="1" w:styleId="HeaderChar">
    <w:name w:val="Header Char"/>
    <w:basedOn w:val="DefaultParagraphFont"/>
    <w:link w:val="Header"/>
    <w:uiPriority w:val="99"/>
    <w:rsid w:val="00F65CFE"/>
    <w:rPr>
      <w:rFonts w:ascii="Tahoma" w:eastAsia="Calibri" w:hAnsi="Tahoma" w:cs="Times New Roman"/>
      <w:sz w:val="20"/>
    </w:rPr>
  </w:style>
  <w:style w:type="paragraph" w:styleId="Footer">
    <w:name w:val="footer"/>
    <w:basedOn w:val="Normal"/>
    <w:link w:val="FooterChar"/>
    <w:uiPriority w:val="99"/>
    <w:unhideWhenUsed/>
    <w:rsid w:val="00F65CFE"/>
    <w:pPr>
      <w:tabs>
        <w:tab w:val="center" w:pos="4513"/>
        <w:tab w:val="right" w:pos="9026"/>
      </w:tabs>
    </w:pPr>
  </w:style>
  <w:style w:type="character" w:customStyle="1" w:styleId="FooterChar">
    <w:name w:val="Footer Char"/>
    <w:basedOn w:val="DefaultParagraphFont"/>
    <w:link w:val="Footer"/>
    <w:uiPriority w:val="99"/>
    <w:rsid w:val="00F65CFE"/>
    <w:rPr>
      <w:rFonts w:ascii="Tahoma" w:eastAsia="Calibri" w:hAnsi="Tahoma"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E85"/>
    <w:rPr>
      <w:rFonts w:ascii="Tahoma" w:eastAsia="Calibri" w:hAnsi="Tahoma"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9E6"/>
    <w:rPr>
      <w:rFonts w:ascii="Tahoma" w:hAnsi="Tahoma"/>
      <w:sz w:val="20"/>
    </w:rPr>
  </w:style>
  <w:style w:type="paragraph" w:styleId="NormalWeb">
    <w:name w:val="Normal (Web)"/>
    <w:basedOn w:val="Normal"/>
    <w:uiPriority w:val="99"/>
    <w:unhideWhenUsed/>
    <w:rsid w:val="001B0E85"/>
    <w:pPr>
      <w:spacing w:before="100" w:beforeAutospacing="1" w:after="100" w:afterAutospacing="1"/>
    </w:pPr>
    <w:rPr>
      <w:rFonts w:ascii="Times New Roman" w:eastAsia="Times New Roman" w:hAnsi="Times New Roman"/>
      <w:sz w:val="24"/>
      <w:szCs w:val="24"/>
    </w:rPr>
  </w:style>
  <w:style w:type="paragraph" w:styleId="Title">
    <w:name w:val="Title"/>
    <w:basedOn w:val="Normal"/>
    <w:link w:val="TitleChar"/>
    <w:qFormat/>
    <w:rsid w:val="001B0E85"/>
    <w:pPr>
      <w:jc w:val="center"/>
    </w:pPr>
    <w:rPr>
      <w:rFonts w:eastAsia="Times New Roman"/>
      <w:b/>
      <w:bCs/>
      <w:sz w:val="24"/>
      <w:szCs w:val="24"/>
      <w:lang w:val="en-GB"/>
    </w:rPr>
  </w:style>
  <w:style w:type="character" w:customStyle="1" w:styleId="TitleChar">
    <w:name w:val="Title Char"/>
    <w:basedOn w:val="DefaultParagraphFont"/>
    <w:link w:val="Title"/>
    <w:rsid w:val="001B0E85"/>
    <w:rPr>
      <w:rFonts w:ascii="Tahoma" w:eastAsia="Times New Roman" w:hAnsi="Tahoma" w:cs="Times New Roman"/>
      <w:b/>
      <w:bCs/>
      <w:sz w:val="24"/>
      <w:szCs w:val="24"/>
      <w:lang w:val="en-GB"/>
    </w:rPr>
  </w:style>
  <w:style w:type="paragraph" w:styleId="BodyText2">
    <w:name w:val="Body Text 2"/>
    <w:basedOn w:val="Normal"/>
    <w:link w:val="BodyText2Char"/>
    <w:rsid w:val="001B0E85"/>
    <w:pPr>
      <w:spacing w:line="360" w:lineRule="auto"/>
      <w:jc w:val="both"/>
    </w:pPr>
    <w:rPr>
      <w:rFonts w:eastAsia="Times New Roman"/>
      <w:szCs w:val="24"/>
      <w:lang w:val="en-GB"/>
    </w:rPr>
  </w:style>
  <w:style w:type="character" w:customStyle="1" w:styleId="BodyText2Char">
    <w:name w:val="Body Text 2 Char"/>
    <w:basedOn w:val="DefaultParagraphFont"/>
    <w:link w:val="BodyText2"/>
    <w:rsid w:val="001B0E85"/>
    <w:rPr>
      <w:rFonts w:ascii="Tahoma" w:eastAsia="Times New Roman" w:hAnsi="Tahoma" w:cs="Times New Roman"/>
      <w:sz w:val="20"/>
      <w:szCs w:val="24"/>
      <w:lang w:val="en-GB"/>
    </w:rPr>
  </w:style>
  <w:style w:type="paragraph" w:styleId="ListParagraph">
    <w:name w:val="List Paragraph"/>
    <w:basedOn w:val="Normal"/>
    <w:uiPriority w:val="34"/>
    <w:qFormat/>
    <w:rsid w:val="001B0E85"/>
    <w:pPr>
      <w:spacing w:after="200" w:line="276" w:lineRule="auto"/>
      <w:ind w:left="720"/>
      <w:contextualSpacing/>
    </w:pPr>
    <w:rPr>
      <w:rFonts w:ascii="Calibri" w:hAnsi="Calibri"/>
      <w:sz w:val="22"/>
      <w:lang w:val="en-IE"/>
    </w:rPr>
  </w:style>
  <w:style w:type="character" w:styleId="CommentReference">
    <w:name w:val="annotation reference"/>
    <w:basedOn w:val="DefaultParagraphFont"/>
    <w:uiPriority w:val="99"/>
    <w:semiHidden/>
    <w:unhideWhenUsed/>
    <w:rsid w:val="00CC31C7"/>
    <w:rPr>
      <w:sz w:val="16"/>
      <w:szCs w:val="16"/>
    </w:rPr>
  </w:style>
  <w:style w:type="paragraph" w:styleId="CommentText">
    <w:name w:val="annotation text"/>
    <w:basedOn w:val="Normal"/>
    <w:link w:val="CommentTextChar"/>
    <w:uiPriority w:val="99"/>
    <w:semiHidden/>
    <w:unhideWhenUsed/>
    <w:rsid w:val="00CC31C7"/>
    <w:rPr>
      <w:szCs w:val="20"/>
    </w:rPr>
  </w:style>
  <w:style w:type="character" w:customStyle="1" w:styleId="CommentTextChar">
    <w:name w:val="Comment Text Char"/>
    <w:basedOn w:val="DefaultParagraphFont"/>
    <w:link w:val="CommentText"/>
    <w:uiPriority w:val="99"/>
    <w:semiHidden/>
    <w:rsid w:val="00CC31C7"/>
    <w:rPr>
      <w:rFonts w:ascii="Tahoma" w:eastAsia="Calibri" w:hAnsi="Tahoma" w:cs="Times New Roman"/>
      <w:sz w:val="20"/>
      <w:szCs w:val="20"/>
    </w:rPr>
  </w:style>
  <w:style w:type="paragraph" w:styleId="CommentSubject">
    <w:name w:val="annotation subject"/>
    <w:basedOn w:val="CommentText"/>
    <w:next w:val="CommentText"/>
    <w:link w:val="CommentSubjectChar"/>
    <w:uiPriority w:val="99"/>
    <w:semiHidden/>
    <w:unhideWhenUsed/>
    <w:rsid w:val="00CC31C7"/>
    <w:rPr>
      <w:b/>
      <w:bCs/>
    </w:rPr>
  </w:style>
  <w:style w:type="character" w:customStyle="1" w:styleId="CommentSubjectChar">
    <w:name w:val="Comment Subject Char"/>
    <w:basedOn w:val="CommentTextChar"/>
    <w:link w:val="CommentSubject"/>
    <w:uiPriority w:val="99"/>
    <w:semiHidden/>
    <w:rsid w:val="00CC31C7"/>
    <w:rPr>
      <w:rFonts w:ascii="Tahoma" w:eastAsia="Calibri" w:hAnsi="Tahoma" w:cs="Times New Roman"/>
      <w:b/>
      <w:bCs/>
      <w:sz w:val="20"/>
      <w:szCs w:val="20"/>
    </w:rPr>
  </w:style>
  <w:style w:type="paragraph" w:styleId="BalloonText">
    <w:name w:val="Balloon Text"/>
    <w:basedOn w:val="Normal"/>
    <w:link w:val="BalloonTextChar"/>
    <w:uiPriority w:val="99"/>
    <w:semiHidden/>
    <w:unhideWhenUsed/>
    <w:rsid w:val="00CC31C7"/>
    <w:rPr>
      <w:rFonts w:cs="Tahoma"/>
      <w:sz w:val="16"/>
      <w:szCs w:val="16"/>
    </w:rPr>
  </w:style>
  <w:style w:type="character" w:customStyle="1" w:styleId="BalloonTextChar">
    <w:name w:val="Balloon Text Char"/>
    <w:basedOn w:val="DefaultParagraphFont"/>
    <w:link w:val="BalloonText"/>
    <w:uiPriority w:val="99"/>
    <w:semiHidden/>
    <w:rsid w:val="00CC31C7"/>
    <w:rPr>
      <w:rFonts w:ascii="Tahoma" w:eastAsia="Calibri" w:hAnsi="Tahoma" w:cs="Tahoma"/>
      <w:sz w:val="16"/>
      <w:szCs w:val="16"/>
    </w:rPr>
  </w:style>
  <w:style w:type="paragraph" w:customStyle="1" w:styleId="StyleBoxSinglesolidlineAuto05ptLinewidth">
    <w:name w:val="Style Box: (Single solid line Auto  0.5 pt Line width)"/>
    <w:basedOn w:val="Normal"/>
    <w:rsid w:val="00D14BBF"/>
    <w:pPr>
      <w:pBdr>
        <w:top w:val="single" w:sz="4" w:space="1" w:color="auto"/>
        <w:left w:val="single" w:sz="4" w:space="4" w:color="auto"/>
        <w:bottom w:val="single" w:sz="4" w:space="1" w:color="auto"/>
        <w:right w:val="single" w:sz="4" w:space="4" w:color="auto"/>
      </w:pBdr>
      <w:spacing w:after="120" w:line="312" w:lineRule="auto"/>
    </w:pPr>
    <w:rPr>
      <w:rFonts w:ascii="Calibri" w:eastAsia="ヒラギノ角ゴ Pro W3" w:hAnsi="Calibri"/>
      <w:color w:val="000000"/>
      <w:szCs w:val="24"/>
      <w:lang w:val="en-GB"/>
    </w:rPr>
  </w:style>
  <w:style w:type="paragraph" w:styleId="ListBullet">
    <w:name w:val="List Bullet"/>
    <w:basedOn w:val="Normal"/>
    <w:autoRedefine/>
    <w:uiPriority w:val="99"/>
    <w:rsid w:val="00D14BBF"/>
    <w:pPr>
      <w:numPr>
        <w:numId w:val="13"/>
      </w:numPr>
      <w:tabs>
        <w:tab w:val="clear" w:pos="720"/>
      </w:tabs>
      <w:spacing w:after="120"/>
      <w:ind w:left="360"/>
    </w:pPr>
    <w:rPr>
      <w:rFonts w:ascii="Arial" w:eastAsia="Arial Unicode MS" w:hAnsi="Arial"/>
      <w:szCs w:val="20"/>
      <w:lang w:val="en-GB"/>
    </w:rPr>
  </w:style>
  <w:style w:type="paragraph" w:styleId="BodyText">
    <w:name w:val="Body Text"/>
    <w:basedOn w:val="Normal"/>
    <w:link w:val="BodyTextChar"/>
    <w:uiPriority w:val="99"/>
    <w:semiHidden/>
    <w:unhideWhenUsed/>
    <w:rsid w:val="00E71B19"/>
    <w:pPr>
      <w:spacing w:after="120"/>
    </w:pPr>
  </w:style>
  <w:style w:type="character" w:customStyle="1" w:styleId="BodyTextChar">
    <w:name w:val="Body Text Char"/>
    <w:basedOn w:val="DefaultParagraphFont"/>
    <w:link w:val="BodyText"/>
    <w:uiPriority w:val="99"/>
    <w:semiHidden/>
    <w:rsid w:val="00E71B19"/>
    <w:rPr>
      <w:rFonts w:ascii="Tahoma" w:eastAsia="Calibri" w:hAnsi="Tahoma" w:cs="Times New Roman"/>
      <w:sz w:val="20"/>
    </w:rPr>
  </w:style>
  <w:style w:type="table" w:styleId="TableGrid">
    <w:name w:val="Table Grid"/>
    <w:basedOn w:val="TableNormal"/>
    <w:uiPriority w:val="59"/>
    <w:rsid w:val="00E71B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1719"/>
    <w:pPr>
      <w:autoSpaceDE w:val="0"/>
      <w:autoSpaceDN w:val="0"/>
      <w:adjustRightInd w:val="0"/>
    </w:pPr>
    <w:rPr>
      <w:rFonts w:ascii="Arial" w:hAnsi="Arial" w:cs="Arial"/>
      <w:color w:val="000000"/>
      <w:sz w:val="24"/>
      <w:szCs w:val="24"/>
      <w:lang w:val="en-IE"/>
    </w:rPr>
  </w:style>
  <w:style w:type="character" w:styleId="Hyperlink">
    <w:name w:val="Hyperlink"/>
    <w:aliases w:val="Verzeichnis 1 RTX"/>
    <w:uiPriority w:val="99"/>
    <w:rsid w:val="00AB7616"/>
    <w:rPr>
      <w:color w:val="0000FF"/>
      <w:u w:val="single"/>
    </w:rPr>
  </w:style>
  <w:style w:type="paragraph" w:styleId="Header">
    <w:name w:val="header"/>
    <w:basedOn w:val="Normal"/>
    <w:link w:val="HeaderChar"/>
    <w:uiPriority w:val="99"/>
    <w:unhideWhenUsed/>
    <w:rsid w:val="00F65CFE"/>
    <w:pPr>
      <w:tabs>
        <w:tab w:val="center" w:pos="4513"/>
        <w:tab w:val="right" w:pos="9026"/>
      </w:tabs>
    </w:pPr>
  </w:style>
  <w:style w:type="character" w:customStyle="1" w:styleId="HeaderChar">
    <w:name w:val="Header Char"/>
    <w:basedOn w:val="DefaultParagraphFont"/>
    <w:link w:val="Header"/>
    <w:uiPriority w:val="99"/>
    <w:rsid w:val="00F65CFE"/>
    <w:rPr>
      <w:rFonts w:ascii="Tahoma" w:eastAsia="Calibri" w:hAnsi="Tahoma" w:cs="Times New Roman"/>
      <w:sz w:val="20"/>
    </w:rPr>
  </w:style>
  <w:style w:type="paragraph" w:styleId="Footer">
    <w:name w:val="footer"/>
    <w:basedOn w:val="Normal"/>
    <w:link w:val="FooterChar"/>
    <w:uiPriority w:val="99"/>
    <w:unhideWhenUsed/>
    <w:rsid w:val="00F65CFE"/>
    <w:pPr>
      <w:tabs>
        <w:tab w:val="center" w:pos="4513"/>
        <w:tab w:val="right" w:pos="9026"/>
      </w:tabs>
    </w:pPr>
  </w:style>
  <w:style w:type="character" w:customStyle="1" w:styleId="FooterChar">
    <w:name w:val="Footer Char"/>
    <w:basedOn w:val="DefaultParagraphFont"/>
    <w:link w:val="Footer"/>
    <w:uiPriority w:val="99"/>
    <w:rsid w:val="00F65CFE"/>
    <w:rPr>
      <w:rFonts w:ascii="Tahoma" w:eastAsia="Calibri" w:hAnsi="Tahoma"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018463">
      <w:bodyDiv w:val="1"/>
      <w:marLeft w:val="0"/>
      <w:marRight w:val="0"/>
      <w:marTop w:val="0"/>
      <w:marBottom w:val="0"/>
      <w:divBdr>
        <w:top w:val="none" w:sz="0" w:space="0" w:color="auto"/>
        <w:left w:val="none" w:sz="0" w:space="0" w:color="auto"/>
        <w:bottom w:val="none" w:sz="0" w:space="0" w:color="auto"/>
        <w:right w:val="none" w:sz="0" w:space="0" w:color="auto"/>
      </w:divBdr>
      <w:divsChild>
        <w:div w:id="1826775752">
          <w:marLeft w:val="0"/>
          <w:marRight w:val="0"/>
          <w:marTop w:val="0"/>
          <w:marBottom w:val="0"/>
          <w:divBdr>
            <w:top w:val="none" w:sz="0" w:space="0" w:color="auto"/>
            <w:left w:val="none" w:sz="0" w:space="0" w:color="auto"/>
            <w:bottom w:val="none" w:sz="0" w:space="0" w:color="auto"/>
            <w:right w:val="none" w:sz="0" w:space="0" w:color="auto"/>
          </w:divBdr>
          <w:divsChild>
            <w:div w:id="973363589">
              <w:marLeft w:val="0"/>
              <w:marRight w:val="0"/>
              <w:marTop w:val="0"/>
              <w:marBottom w:val="0"/>
              <w:divBdr>
                <w:top w:val="none" w:sz="0" w:space="0" w:color="auto"/>
                <w:left w:val="none" w:sz="0" w:space="0" w:color="auto"/>
                <w:bottom w:val="none" w:sz="0" w:space="0" w:color="auto"/>
                <w:right w:val="none" w:sz="0" w:space="0" w:color="auto"/>
              </w:divBdr>
              <w:divsChild>
                <w:div w:id="103158850">
                  <w:marLeft w:val="0"/>
                  <w:marRight w:val="0"/>
                  <w:marTop w:val="0"/>
                  <w:marBottom w:val="0"/>
                  <w:divBdr>
                    <w:top w:val="none" w:sz="0" w:space="0" w:color="auto"/>
                    <w:left w:val="none" w:sz="0" w:space="0" w:color="auto"/>
                    <w:bottom w:val="none" w:sz="0" w:space="0" w:color="auto"/>
                    <w:right w:val="none" w:sz="0" w:space="0" w:color="auto"/>
                  </w:divBdr>
                  <w:divsChild>
                    <w:div w:id="2075538839">
                      <w:marLeft w:val="0"/>
                      <w:marRight w:val="0"/>
                      <w:marTop w:val="0"/>
                      <w:marBottom w:val="0"/>
                      <w:divBdr>
                        <w:top w:val="none" w:sz="0" w:space="0" w:color="auto"/>
                        <w:left w:val="none" w:sz="0" w:space="0" w:color="auto"/>
                        <w:bottom w:val="none" w:sz="0" w:space="0" w:color="auto"/>
                        <w:right w:val="none" w:sz="0" w:space="0" w:color="auto"/>
                      </w:divBdr>
                      <w:divsChild>
                        <w:div w:id="1545436706">
                          <w:marLeft w:val="0"/>
                          <w:marRight w:val="0"/>
                          <w:marTop w:val="0"/>
                          <w:marBottom w:val="0"/>
                          <w:divBdr>
                            <w:top w:val="none" w:sz="0" w:space="0" w:color="auto"/>
                            <w:left w:val="none" w:sz="0" w:space="0" w:color="auto"/>
                            <w:bottom w:val="none" w:sz="0" w:space="0" w:color="auto"/>
                            <w:right w:val="none" w:sz="0" w:space="0" w:color="auto"/>
                          </w:divBdr>
                          <w:divsChild>
                            <w:div w:id="492380064">
                              <w:marLeft w:val="0"/>
                              <w:marRight w:val="0"/>
                              <w:marTop w:val="0"/>
                              <w:marBottom w:val="0"/>
                              <w:divBdr>
                                <w:top w:val="none" w:sz="0" w:space="0" w:color="auto"/>
                                <w:left w:val="none" w:sz="0" w:space="0" w:color="auto"/>
                                <w:bottom w:val="none" w:sz="0" w:space="0" w:color="auto"/>
                                <w:right w:val="none" w:sz="0" w:space="0" w:color="auto"/>
                              </w:divBdr>
                              <w:divsChild>
                                <w:div w:id="823736375">
                                  <w:marLeft w:val="0"/>
                                  <w:marRight w:val="0"/>
                                  <w:marTop w:val="0"/>
                                  <w:marBottom w:val="0"/>
                                  <w:divBdr>
                                    <w:top w:val="none" w:sz="0" w:space="0" w:color="auto"/>
                                    <w:left w:val="none" w:sz="0" w:space="0" w:color="auto"/>
                                    <w:bottom w:val="none" w:sz="0" w:space="0" w:color="auto"/>
                                    <w:right w:val="none" w:sz="0" w:space="0" w:color="auto"/>
                                  </w:divBdr>
                                  <w:divsChild>
                                    <w:div w:id="1454137302">
                                      <w:marLeft w:val="0"/>
                                      <w:marRight w:val="0"/>
                                      <w:marTop w:val="0"/>
                                      <w:marBottom w:val="0"/>
                                      <w:divBdr>
                                        <w:top w:val="none" w:sz="0" w:space="0" w:color="auto"/>
                                        <w:left w:val="none" w:sz="0" w:space="0" w:color="auto"/>
                                        <w:bottom w:val="none" w:sz="0" w:space="0" w:color="auto"/>
                                        <w:right w:val="none" w:sz="0" w:space="0" w:color="auto"/>
                                      </w:divBdr>
                                      <w:divsChild>
                                        <w:div w:id="252016120">
                                          <w:marLeft w:val="0"/>
                                          <w:marRight w:val="0"/>
                                          <w:marTop w:val="0"/>
                                          <w:marBottom w:val="0"/>
                                          <w:divBdr>
                                            <w:top w:val="none" w:sz="0" w:space="0" w:color="auto"/>
                                            <w:left w:val="none" w:sz="0" w:space="0" w:color="auto"/>
                                            <w:bottom w:val="none" w:sz="0" w:space="0" w:color="auto"/>
                                            <w:right w:val="none" w:sz="0" w:space="0" w:color="auto"/>
                                          </w:divBdr>
                                          <w:divsChild>
                                            <w:div w:id="200632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9501618">
      <w:bodyDiv w:val="1"/>
      <w:marLeft w:val="0"/>
      <w:marRight w:val="0"/>
      <w:marTop w:val="0"/>
      <w:marBottom w:val="0"/>
      <w:divBdr>
        <w:top w:val="none" w:sz="0" w:space="0" w:color="auto"/>
        <w:left w:val="none" w:sz="0" w:space="0" w:color="auto"/>
        <w:bottom w:val="none" w:sz="0" w:space="0" w:color="auto"/>
        <w:right w:val="none" w:sz="0" w:space="0" w:color="auto"/>
      </w:divBdr>
      <w:divsChild>
        <w:div w:id="1714041248">
          <w:marLeft w:val="0"/>
          <w:marRight w:val="0"/>
          <w:marTop w:val="0"/>
          <w:marBottom w:val="0"/>
          <w:divBdr>
            <w:top w:val="none" w:sz="0" w:space="0" w:color="auto"/>
            <w:left w:val="none" w:sz="0" w:space="0" w:color="auto"/>
            <w:bottom w:val="none" w:sz="0" w:space="0" w:color="auto"/>
            <w:right w:val="none" w:sz="0" w:space="0" w:color="auto"/>
          </w:divBdr>
          <w:divsChild>
            <w:div w:id="1373268415">
              <w:marLeft w:val="0"/>
              <w:marRight w:val="0"/>
              <w:marTop w:val="0"/>
              <w:marBottom w:val="0"/>
              <w:divBdr>
                <w:top w:val="none" w:sz="0" w:space="0" w:color="auto"/>
                <w:left w:val="none" w:sz="0" w:space="0" w:color="auto"/>
                <w:bottom w:val="none" w:sz="0" w:space="0" w:color="auto"/>
                <w:right w:val="none" w:sz="0" w:space="0" w:color="auto"/>
              </w:divBdr>
              <w:divsChild>
                <w:div w:id="715734593">
                  <w:marLeft w:val="0"/>
                  <w:marRight w:val="0"/>
                  <w:marTop w:val="0"/>
                  <w:marBottom w:val="0"/>
                  <w:divBdr>
                    <w:top w:val="none" w:sz="0" w:space="0" w:color="auto"/>
                    <w:left w:val="none" w:sz="0" w:space="0" w:color="auto"/>
                    <w:bottom w:val="none" w:sz="0" w:space="0" w:color="auto"/>
                    <w:right w:val="none" w:sz="0" w:space="0" w:color="auto"/>
                  </w:divBdr>
                  <w:divsChild>
                    <w:div w:id="2061783804">
                      <w:marLeft w:val="0"/>
                      <w:marRight w:val="0"/>
                      <w:marTop w:val="0"/>
                      <w:marBottom w:val="0"/>
                      <w:divBdr>
                        <w:top w:val="none" w:sz="0" w:space="0" w:color="auto"/>
                        <w:left w:val="none" w:sz="0" w:space="0" w:color="auto"/>
                        <w:bottom w:val="none" w:sz="0" w:space="0" w:color="auto"/>
                        <w:right w:val="none" w:sz="0" w:space="0" w:color="auto"/>
                      </w:divBdr>
                      <w:divsChild>
                        <w:div w:id="1194659988">
                          <w:marLeft w:val="0"/>
                          <w:marRight w:val="0"/>
                          <w:marTop w:val="0"/>
                          <w:marBottom w:val="0"/>
                          <w:divBdr>
                            <w:top w:val="none" w:sz="0" w:space="0" w:color="auto"/>
                            <w:left w:val="none" w:sz="0" w:space="0" w:color="auto"/>
                            <w:bottom w:val="none" w:sz="0" w:space="0" w:color="auto"/>
                            <w:right w:val="none" w:sz="0" w:space="0" w:color="auto"/>
                          </w:divBdr>
                          <w:divsChild>
                            <w:div w:id="1718821742">
                              <w:marLeft w:val="0"/>
                              <w:marRight w:val="0"/>
                              <w:marTop w:val="0"/>
                              <w:marBottom w:val="0"/>
                              <w:divBdr>
                                <w:top w:val="none" w:sz="0" w:space="0" w:color="auto"/>
                                <w:left w:val="none" w:sz="0" w:space="0" w:color="auto"/>
                                <w:bottom w:val="none" w:sz="0" w:space="0" w:color="auto"/>
                                <w:right w:val="none" w:sz="0" w:space="0" w:color="auto"/>
                              </w:divBdr>
                              <w:divsChild>
                                <w:div w:id="1780180695">
                                  <w:marLeft w:val="0"/>
                                  <w:marRight w:val="0"/>
                                  <w:marTop w:val="0"/>
                                  <w:marBottom w:val="0"/>
                                  <w:divBdr>
                                    <w:top w:val="none" w:sz="0" w:space="0" w:color="auto"/>
                                    <w:left w:val="none" w:sz="0" w:space="0" w:color="auto"/>
                                    <w:bottom w:val="none" w:sz="0" w:space="0" w:color="auto"/>
                                    <w:right w:val="none" w:sz="0" w:space="0" w:color="auto"/>
                                  </w:divBdr>
                                  <w:divsChild>
                                    <w:div w:id="1107771599">
                                      <w:marLeft w:val="0"/>
                                      <w:marRight w:val="0"/>
                                      <w:marTop w:val="0"/>
                                      <w:marBottom w:val="0"/>
                                      <w:divBdr>
                                        <w:top w:val="none" w:sz="0" w:space="0" w:color="auto"/>
                                        <w:left w:val="none" w:sz="0" w:space="0" w:color="auto"/>
                                        <w:bottom w:val="none" w:sz="0" w:space="0" w:color="auto"/>
                                        <w:right w:val="none" w:sz="0" w:space="0" w:color="auto"/>
                                      </w:divBdr>
                                      <w:divsChild>
                                        <w:div w:id="1804421904">
                                          <w:marLeft w:val="0"/>
                                          <w:marRight w:val="0"/>
                                          <w:marTop w:val="0"/>
                                          <w:marBottom w:val="0"/>
                                          <w:divBdr>
                                            <w:top w:val="none" w:sz="0" w:space="0" w:color="auto"/>
                                            <w:left w:val="none" w:sz="0" w:space="0" w:color="auto"/>
                                            <w:bottom w:val="none" w:sz="0" w:space="0" w:color="auto"/>
                                            <w:right w:val="none" w:sz="0" w:space="0" w:color="auto"/>
                                          </w:divBdr>
                                          <w:divsChild>
                                            <w:div w:id="20388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984F2453</Template>
  <TotalTime>0</TotalTime>
  <Pages>7</Pages>
  <Words>2622</Words>
  <Characters>14951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Health Research Board</Company>
  <LinksUpToDate>false</LinksUpToDate>
  <CharactersWithSpaces>17538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Cummins</dc:creator>
  <cp:lastModifiedBy>Mairea Nelson</cp:lastModifiedBy>
  <cp:revision>2</cp:revision>
  <cp:lastPrinted>2016-05-30T15:15:00Z</cp:lastPrinted>
  <dcterms:created xsi:type="dcterms:W3CDTF">2016-05-31T07:38:00Z</dcterms:created>
  <dcterms:modified xsi:type="dcterms:W3CDTF">2016-05-31T07:38:00Z</dcterms:modified>
</cp:coreProperties>
</file>