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2D" w:rsidRPr="000B2D2D" w:rsidRDefault="00070EDF" w:rsidP="00356B3E">
      <w:pPr>
        <w:spacing w:after="120" w:line="480" w:lineRule="auto"/>
        <w:jc w:val="center"/>
        <w:rPr>
          <w:sz w:val="28"/>
          <w:szCs w:val="28"/>
        </w:rPr>
      </w:pPr>
      <w:r>
        <w:rPr>
          <w:noProof/>
          <w:sz w:val="32"/>
          <w:szCs w:val="32"/>
          <w:lang w:eastAsia="en-IE"/>
        </w:rPr>
        <w:t xml:space="preserve">Report for </w:t>
      </w:r>
      <w:r w:rsidR="007074A6">
        <w:rPr>
          <w:noProof/>
          <w:sz w:val="32"/>
          <w:szCs w:val="32"/>
          <w:lang w:eastAsia="en-IE"/>
        </w:rPr>
        <w:t xml:space="preserve">the </w:t>
      </w:r>
      <w:r>
        <w:rPr>
          <w:noProof/>
          <w:sz w:val="32"/>
          <w:szCs w:val="32"/>
          <w:lang w:eastAsia="en-IE"/>
        </w:rPr>
        <w:t xml:space="preserve">Department of Health </w:t>
      </w:r>
    </w:p>
    <w:p w:rsidR="000B2D2D" w:rsidRDefault="000B2D2D" w:rsidP="00356B3E">
      <w:pPr>
        <w:spacing w:after="120" w:line="480" w:lineRule="auto"/>
        <w:jc w:val="center"/>
        <w:rPr>
          <w:sz w:val="24"/>
          <w:szCs w:val="24"/>
        </w:rPr>
      </w:pPr>
    </w:p>
    <w:p w:rsidR="000B2D2D" w:rsidRDefault="000B2D2D" w:rsidP="00356B3E">
      <w:pPr>
        <w:spacing w:after="120" w:line="480" w:lineRule="auto"/>
        <w:jc w:val="center"/>
        <w:rPr>
          <w:sz w:val="24"/>
          <w:szCs w:val="24"/>
        </w:rPr>
      </w:pPr>
    </w:p>
    <w:p w:rsidR="000B2D2D" w:rsidRDefault="000B2D2D" w:rsidP="00356B3E">
      <w:pPr>
        <w:spacing w:after="120" w:line="480" w:lineRule="auto"/>
        <w:jc w:val="center"/>
        <w:rPr>
          <w:sz w:val="24"/>
          <w:szCs w:val="24"/>
        </w:rPr>
      </w:pPr>
    </w:p>
    <w:p w:rsidR="000B2D2D" w:rsidRDefault="000B2D2D" w:rsidP="00356B3E">
      <w:pPr>
        <w:spacing w:after="120" w:line="480" w:lineRule="auto"/>
        <w:jc w:val="center"/>
        <w:rPr>
          <w:sz w:val="24"/>
          <w:szCs w:val="24"/>
        </w:rPr>
      </w:pPr>
    </w:p>
    <w:p w:rsidR="000B2D2D" w:rsidRDefault="00070EDF" w:rsidP="00356B3E">
      <w:pPr>
        <w:spacing w:after="120" w:line="480" w:lineRule="auto"/>
        <w:jc w:val="center"/>
        <w:rPr>
          <w:sz w:val="24"/>
          <w:szCs w:val="24"/>
        </w:rPr>
      </w:pPr>
      <w:r w:rsidRPr="00070EDF">
        <w:rPr>
          <w:noProof/>
          <w:sz w:val="32"/>
          <w:szCs w:val="32"/>
          <w:lang w:eastAsia="en-IE"/>
        </w:rPr>
        <mc:AlternateContent>
          <mc:Choice Requires="wps">
            <w:drawing>
              <wp:anchor distT="0" distB="0" distL="114300" distR="114300" simplePos="0" relativeHeight="251661312" behindDoc="0" locked="0" layoutInCell="1" allowOverlap="1" wp14:anchorId="3F81A052" wp14:editId="6AF03F48">
                <wp:simplePos x="0" y="0"/>
                <wp:positionH relativeFrom="column">
                  <wp:posOffset>-31115</wp:posOffset>
                </wp:positionH>
                <wp:positionV relativeFrom="paragraph">
                  <wp:posOffset>539115</wp:posOffset>
                </wp:positionV>
                <wp:extent cx="5864225" cy="1021715"/>
                <wp:effectExtent l="0" t="0" r="3175" b="6985"/>
                <wp:wrapSquare wrapText="bothSides"/>
                <wp:docPr id="3" name="Text Box 3"/>
                <wp:cNvGraphicFramePr/>
                <a:graphic xmlns:a="http://schemas.openxmlformats.org/drawingml/2006/main">
                  <a:graphicData uri="http://schemas.microsoft.com/office/word/2010/wordprocessingShape">
                    <wps:wsp>
                      <wps:cNvSpPr txBox="1"/>
                      <wps:spPr>
                        <a:xfrm>
                          <a:off x="0" y="0"/>
                          <a:ext cx="5864225" cy="10217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4D7941" w:rsidRPr="00317C85" w:rsidRDefault="004D7941" w:rsidP="00356B3E">
                            <w:pPr>
                              <w:spacing w:after="120" w:line="480" w:lineRule="auto"/>
                              <w:jc w:val="center"/>
                              <w:rPr>
                                <w:b/>
                                <w:color w:val="943634" w:themeColor="accent2" w:themeShade="B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17C85">
                              <w:rPr>
                                <w:b/>
                                <w:color w:val="943634" w:themeColor="accent2" w:themeShade="B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Alcohol Literature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45pt;margin-top:42.45pt;width:461.75pt;height:8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" fillcolor="white [3201]" stroked="f" strokeweight="2pt">
                <v:textbox>
                  <w:txbxContent>
                    <w:p w:rsidR="004D7941" w:rsidRPr="00317C85" w:rsidRDefault="004D7941" w:rsidP="00356B3E">
                      <w:pPr>
                        <w:spacing w:after="120" w:line="480" w:lineRule="auto"/>
                        <w:jc w:val="center"/>
                        <w:rPr>
                          <w:b/>
                          <w:color w:val="943634" w:themeColor="accent2" w:themeShade="B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317C85">
                        <w:rPr>
                          <w:b/>
                          <w:color w:val="943634" w:themeColor="accent2" w:themeShade="BF"/>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Alcohol Literature Review</w:t>
                      </w:r>
                    </w:p>
                  </w:txbxContent>
                </v:textbox>
                <w10:wrap type="square"/>
              </v:shape>
            </w:pict>
          </mc:Fallback>
        </mc:AlternateContent>
      </w:r>
    </w:p>
    <w:p w:rsidR="000B2D2D" w:rsidRDefault="000B2D2D" w:rsidP="00356B3E">
      <w:pPr>
        <w:spacing w:after="120" w:line="480" w:lineRule="auto"/>
        <w:jc w:val="center"/>
        <w:rPr>
          <w:sz w:val="24"/>
          <w:szCs w:val="24"/>
        </w:rPr>
      </w:pPr>
    </w:p>
    <w:p w:rsidR="000B2D2D" w:rsidRDefault="000B2D2D" w:rsidP="00356B3E">
      <w:pPr>
        <w:spacing w:after="120" w:line="480" w:lineRule="auto"/>
        <w:jc w:val="center"/>
        <w:rPr>
          <w:sz w:val="24"/>
          <w:szCs w:val="24"/>
        </w:rPr>
      </w:pPr>
    </w:p>
    <w:p w:rsidR="000B2D2D" w:rsidRDefault="000B2D2D" w:rsidP="00356B3E">
      <w:pPr>
        <w:spacing w:after="120" w:line="480" w:lineRule="auto"/>
        <w:jc w:val="center"/>
        <w:rPr>
          <w:sz w:val="32"/>
          <w:szCs w:val="32"/>
        </w:rPr>
      </w:pPr>
      <w:r w:rsidRPr="000B2D2D">
        <w:rPr>
          <w:sz w:val="32"/>
          <w:szCs w:val="32"/>
        </w:rPr>
        <w:t xml:space="preserve">By </w:t>
      </w:r>
    </w:p>
    <w:p w:rsidR="000B2D2D" w:rsidRDefault="000B2D2D" w:rsidP="00356B3E">
      <w:pPr>
        <w:spacing w:after="120" w:line="480" w:lineRule="auto"/>
        <w:jc w:val="center"/>
        <w:rPr>
          <w:sz w:val="32"/>
          <w:szCs w:val="32"/>
        </w:rPr>
      </w:pPr>
      <w:r w:rsidRPr="000B2D2D">
        <w:rPr>
          <w:sz w:val="32"/>
          <w:szCs w:val="32"/>
        </w:rPr>
        <w:t>Dr Ann Hope</w:t>
      </w:r>
    </w:p>
    <w:p w:rsidR="00070EDF" w:rsidRDefault="00070EDF" w:rsidP="00356B3E">
      <w:pPr>
        <w:spacing w:after="120" w:line="480" w:lineRule="auto"/>
        <w:jc w:val="center"/>
        <w:rPr>
          <w:sz w:val="32"/>
          <w:szCs w:val="32"/>
        </w:rPr>
      </w:pPr>
      <w:r>
        <w:rPr>
          <w:sz w:val="32"/>
          <w:szCs w:val="32"/>
        </w:rPr>
        <w:t>Target Health Ltd</w:t>
      </w:r>
    </w:p>
    <w:p w:rsidR="000B2D2D" w:rsidRDefault="000B2D2D" w:rsidP="00356B3E">
      <w:pPr>
        <w:spacing w:after="120" w:line="480" w:lineRule="auto"/>
        <w:jc w:val="center"/>
        <w:rPr>
          <w:sz w:val="32"/>
          <w:szCs w:val="32"/>
        </w:rPr>
      </w:pPr>
    </w:p>
    <w:p w:rsidR="000B2D2D" w:rsidRDefault="000B2D2D" w:rsidP="00356B3E">
      <w:pPr>
        <w:spacing w:after="120" w:line="480" w:lineRule="auto"/>
        <w:jc w:val="center"/>
        <w:rPr>
          <w:sz w:val="32"/>
          <w:szCs w:val="32"/>
        </w:rPr>
      </w:pPr>
    </w:p>
    <w:p w:rsidR="00356B3E" w:rsidRPr="000B2D2D" w:rsidRDefault="000B2D2D" w:rsidP="00356B3E">
      <w:pPr>
        <w:spacing w:after="120" w:line="480" w:lineRule="auto"/>
        <w:jc w:val="center"/>
        <w:rPr>
          <w:sz w:val="32"/>
          <w:szCs w:val="32"/>
        </w:rPr>
      </w:pPr>
      <w:r>
        <w:rPr>
          <w:sz w:val="32"/>
          <w:szCs w:val="32"/>
        </w:rPr>
        <w:t>June 2014</w:t>
      </w:r>
      <w:r w:rsidR="00356B3E" w:rsidRPr="000B2D2D">
        <w:rPr>
          <w:sz w:val="32"/>
          <w:szCs w:val="32"/>
        </w:rPr>
        <w:br w:type="page"/>
      </w:r>
    </w:p>
    <w:p w:rsidR="00356B3E" w:rsidRDefault="00356B3E" w:rsidP="00356B3E">
      <w:pPr>
        <w:spacing w:after="120" w:line="480" w:lineRule="auto"/>
        <w:jc w:val="center"/>
        <w:rPr>
          <w:sz w:val="24"/>
          <w:szCs w:val="24"/>
        </w:rPr>
      </w:pPr>
    </w:p>
    <w:p w:rsidR="00C31865" w:rsidRPr="000F1D15" w:rsidRDefault="007E03D0" w:rsidP="00356B3E">
      <w:pPr>
        <w:spacing w:after="120" w:line="480" w:lineRule="auto"/>
        <w:jc w:val="center"/>
        <w:rPr>
          <w:sz w:val="24"/>
          <w:szCs w:val="24"/>
        </w:rPr>
      </w:pPr>
      <w:r w:rsidRPr="000F1D15">
        <w:rPr>
          <w:sz w:val="24"/>
          <w:szCs w:val="24"/>
        </w:rPr>
        <w:t>Department of Health</w:t>
      </w:r>
    </w:p>
    <w:p w:rsidR="007E03D0" w:rsidRPr="000F1D15" w:rsidRDefault="007E03D0" w:rsidP="00356B3E">
      <w:pPr>
        <w:spacing w:after="120" w:line="480" w:lineRule="auto"/>
        <w:jc w:val="center"/>
        <w:rPr>
          <w:b/>
          <w:sz w:val="24"/>
          <w:szCs w:val="24"/>
        </w:rPr>
      </w:pPr>
      <w:r w:rsidRPr="000F1D15">
        <w:rPr>
          <w:b/>
          <w:sz w:val="24"/>
          <w:szCs w:val="24"/>
        </w:rPr>
        <w:t>Alcohol Literature Review</w:t>
      </w:r>
    </w:p>
    <w:p w:rsidR="007E03D0" w:rsidRPr="000F1D15" w:rsidRDefault="007E03D0" w:rsidP="00356B3E">
      <w:pPr>
        <w:spacing w:after="120" w:line="480" w:lineRule="auto"/>
        <w:jc w:val="center"/>
        <w:rPr>
          <w:sz w:val="24"/>
          <w:szCs w:val="24"/>
        </w:rPr>
      </w:pPr>
      <w:r w:rsidRPr="000F1D15">
        <w:rPr>
          <w:sz w:val="24"/>
          <w:szCs w:val="24"/>
        </w:rPr>
        <w:t>Dr Ann Hope</w:t>
      </w:r>
      <w:r w:rsidR="007074A6">
        <w:rPr>
          <w:sz w:val="24"/>
          <w:szCs w:val="24"/>
        </w:rPr>
        <w:t>, Target Health L</w:t>
      </w:r>
      <w:r w:rsidR="00AA5D6A" w:rsidRPr="000F1D15">
        <w:rPr>
          <w:sz w:val="24"/>
          <w:szCs w:val="24"/>
        </w:rPr>
        <w:t>td.</w:t>
      </w:r>
    </w:p>
    <w:p w:rsidR="000B2D2D" w:rsidRDefault="00B2080E" w:rsidP="00356B3E">
      <w:pPr>
        <w:spacing w:after="120" w:line="480" w:lineRule="auto"/>
        <w:rPr>
          <w:sz w:val="24"/>
          <w:szCs w:val="24"/>
        </w:rPr>
      </w:pPr>
      <w:r w:rsidRPr="000F1D15">
        <w:rPr>
          <w:sz w:val="24"/>
          <w:szCs w:val="24"/>
        </w:rPr>
        <w:t>This briefing document has been prepared i</w:t>
      </w:r>
      <w:r w:rsidR="006B617B" w:rsidRPr="000F1D15">
        <w:rPr>
          <w:sz w:val="24"/>
          <w:szCs w:val="24"/>
        </w:rPr>
        <w:t>n response to a</w:t>
      </w:r>
      <w:r w:rsidR="00B27472" w:rsidRPr="000F1D15">
        <w:rPr>
          <w:sz w:val="24"/>
          <w:szCs w:val="24"/>
        </w:rPr>
        <w:t xml:space="preserve"> request from</w:t>
      </w:r>
      <w:r w:rsidR="00B13C91" w:rsidRPr="000F1D15">
        <w:rPr>
          <w:sz w:val="24"/>
          <w:szCs w:val="24"/>
        </w:rPr>
        <w:t xml:space="preserve"> the Department of Health</w:t>
      </w:r>
      <w:r w:rsidR="00CA3C6A" w:rsidRPr="000F1D15">
        <w:rPr>
          <w:sz w:val="24"/>
          <w:szCs w:val="24"/>
        </w:rPr>
        <w:t xml:space="preserve"> to conduct an alcohol literature review</w:t>
      </w:r>
      <w:r w:rsidR="00C54471" w:rsidRPr="000F1D15">
        <w:rPr>
          <w:sz w:val="24"/>
          <w:szCs w:val="24"/>
        </w:rPr>
        <w:t xml:space="preserve"> and update the evidence contained in the National Substance Misuse Strategy, </w:t>
      </w:r>
      <w:r w:rsidRPr="000F1D15">
        <w:rPr>
          <w:sz w:val="24"/>
          <w:szCs w:val="24"/>
        </w:rPr>
        <w:t xml:space="preserve">in the context of the draft Public Health (Alcohol) Bill. </w:t>
      </w:r>
    </w:p>
    <w:p w:rsidR="000B2D2D" w:rsidRDefault="000B2D2D" w:rsidP="00356B3E">
      <w:pPr>
        <w:spacing w:after="120" w:line="480" w:lineRule="auto"/>
        <w:rPr>
          <w:sz w:val="24"/>
          <w:szCs w:val="24"/>
        </w:rPr>
      </w:pPr>
    </w:p>
    <w:p w:rsidR="00FF0FA2" w:rsidRDefault="00B2080E" w:rsidP="00356B3E">
      <w:pPr>
        <w:spacing w:after="120" w:line="480" w:lineRule="auto"/>
        <w:rPr>
          <w:sz w:val="24"/>
          <w:szCs w:val="24"/>
        </w:rPr>
      </w:pPr>
      <w:r w:rsidRPr="000F1D15">
        <w:rPr>
          <w:sz w:val="24"/>
          <w:szCs w:val="24"/>
        </w:rPr>
        <w:t>T</w:t>
      </w:r>
      <w:r w:rsidR="00C54471" w:rsidRPr="000F1D15">
        <w:rPr>
          <w:sz w:val="24"/>
          <w:szCs w:val="24"/>
        </w:rPr>
        <w:t>he report</w:t>
      </w:r>
      <w:r w:rsidR="006B617B" w:rsidRPr="000F1D15">
        <w:rPr>
          <w:sz w:val="24"/>
          <w:szCs w:val="24"/>
        </w:rPr>
        <w:t xml:space="preserve"> incorporates the latest </w:t>
      </w:r>
      <w:r w:rsidR="00FF0FA2">
        <w:rPr>
          <w:sz w:val="24"/>
          <w:szCs w:val="24"/>
        </w:rPr>
        <w:t xml:space="preserve">Irish and International </w:t>
      </w:r>
      <w:r w:rsidR="006B617B" w:rsidRPr="000F1D15">
        <w:rPr>
          <w:sz w:val="24"/>
          <w:szCs w:val="24"/>
        </w:rPr>
        <w:t>research evidence</w:t>
      </w:r>
      <w:r w:rsidR="00FF0FA2">
        <w:rPr>
          <w:sz w:val="24"/>
          <w:szCs w:val="24"/>
        </w:rPr>
        <w:t xml:space="preserve"> on alcohol consump</w:t>
      </w:r>
      <w:r w:rsidR="0015458F">
        <w:rPr>
          <w:sz w:val="24"/>
          <w:szCs w:val="24"/>
        </w:rPr>
        <w:t>tion and harm. It also presents</w:t>
      </w:r>
      <w:r w:rsidR="00FF0FA2">
        <w:rPr>
          <w:sz w:val="24"/>
          <w:szCs w:val="24"/>
        </w:rPr>
        <w:t xml:space="preserve"> the latest research evidence on the regulation of alcohol marketing and health labelling.</w:t>
      </w:r>
    </w:p>
    <w:p w:rsidR="00FF0FA2" w:rsidRDefault="00FF0FA2">
      <w:pPr>
        <w:rPr>
          <w:sz w:val="24"/>
          <w:szCs w:val="24"/>
        </w:rPr>
      </w:pPr>
      <w:r>
        <w:rPr>
          <w:sz w:val="24"/>
          <w:szCs w:val="24"/>
        </w:rPr>
        <w:br w:type="page"/>
      </w:r>
    </w:p>
    <w:p w:rsidR="00934156" w:rsidRDefault="00FF0FA2" w:rsidP="00FF0FA2">
      <w:pPr>
        <w:spacing w:after="0" w:line="240" w:lineRule="auto"/>
        <w:jc w:val="center"/>
        <w:rPr>
          <w:sz w:val="24"/>
          <w:szCs w:val="24"/>
        </w:rPr>
      </w:pPr>
      <w:r w:rsidRPr="001132F8">
        <w:rPr>
          <w:sz w:val="24"/>
          <w:szCs w:val="24"/>
        </w:rPr>
        <w:lastRenderedPageBreak/>
        <w:t>Table of Contents</w:t>
      </w:r>
    </w:p>
    <w:p w:rsidR="00F77516" w:rsidRDefault="00F77516" w:rsidP="00FF0FA2">
      <w:pPr>
        <w:spacing w:after="0" w:line="240" w:lineRule="auto"/>
        <w:jc w:val="center"/>
        <w:rPr>
          <w:sz w:val="24"/>
          <w:szCs w:val="24"/>
        </w:rPr>
      </w:pPr>
    </w:p>
    <w:p w:rsidR="00F77516" w:rsidRPr="001132F8" w:rsidRDefault="00F77516" w:rsidP="00FF0FA2">
      <w:pPr>
        <w:spacing w:after="0" w:line="240" w:lineRule="auto"/>
        <w:jc w:val="center"/>
        <w:rPr>
          <w:sz w:val="24"/>
          <w:szCs w:val="24"/>
        </w:rPr>
      </w:pPr>
    </w:p>
    <w:p w:rsidR="00FF0FA2" w:rsidRPr="001132F8" w:rsidRDefault="00FF0FA2" w:rsidP="00467219">
      <w:pPr>
        <w:spacing w:after="0" w:line="240" w:lineRule="auto"/>
        <w:rPr>
          <w:sz w:val="24"/>
          <w:szCs w:val="24"/>
        </w:rPr>
      </w:pPr>
    </w:p>
    <w:p w:rsidR="00467219" w:rsidRPr="001132F8" w:rsidRDefault="00467219" w:rsidP="00467219">
      <w:pPr>
        <w:spacing w:after="0" w:line="240" w:lineRule="auto"/>
        <w:rPr>
          <w:b/>
          <w:sz w:val="24"/>
          <w:szCs w:val="24"/>
        </w:rPr>
      </w:pPr>
      <w:r w:rsidRPr="001132F8">
        <w:rPr>
          <w:sz w:val="24"/>
          <w:szCs w:val="24"/>
        </w:rPr>
        <w:t xml:space="preserve">1. </w:t>
      </w:r>
      <w:r w:rsidRPr="001132F8">
        <w:rPr>
          <w:b/>
          <w:sz w:val="24"/>
          <w:szCs w:val="24"/>
        </w:rPr>
        <w:t>Update of Irish evidence</w:t>
      </w:r>
    </w:p>
    <w:p w:rsidR="00C54471" w:rsidRPr="001132F8" w:rsidRDefault="00C54471" w:rsidP="00467219">
      <w:pPr>
        <w:pStyle w:val="ListParagraph"/>
        <w:numPr>
          <w:ilvl w:val="0"/>
          <w:numId w:val="3"/>
        </w:numPr>
        <w:spacing w:after="0" w:line="240" w:lineRule="auto"/>
        <w:rPr>
          <w:sz w:val="24"/>
          <w:szCs w:val="24"/>
        </w:rPr>
      </w:pPr>
      <w:r w:rsidRPr="001132F8">
        <w:rPr>
          <w:sz w:val="24"/>
          <w:szCs w:val="24"/>
        </w:rPr>
        <w:t>Alcohol c</w:t>
      </w:r>
      <w:r w:rsidR="00FB1D73" w:rsidRPr="001132F8">
        <w:rPr>
          <w:sz w:val="24"/>
          <w:szCs w:val="24"/>
        </w:rPr>
        <w:t xml:space="preserve">onsumption </w:t>
      </w:r>
      <w:r w:rsidRPr="001132F8">
        <w:rPr>
          <w:sz w:val="24"/>
          <w:szCs w:val="24"/>
        </w:rPr>
        <w:t xml:space="preserve"> </w:t>
      </w:r>
      <w:r w:rsidR="00884072" w:rsidRPr="001132F8">
        <w:rPr>
          <w:sz w:val="24"/>
          <w:szCs w:val="24"/>
        </w:rPr>
        <w:tab/>
        <w:t xml:space="preserve"> </w:t>
      </w:r>
      <w:r w:rsidR="009F45D0" w:rsidRPr="001132F8">
        <w:rPr>
          <w:sz w:val="24"/>
          <w:szCs w:val="24"/>
        </w:rPr>
        <w:t xml:space="preserve"> </w:t>
      </w:r>
      <w:r w:rsidR="00884072" w:rsidRPr="001132F8">
        <w:rPr>
          <w:sz w:val="24"/>
          <w:szCs w:val="24"/>
        </w:rPr>
        <w:t>. . . . . . . . . . . . . . . . . . . . . . . . . . . . .</w:t>
      </w:r>
      <w:r w:rsidR="009F45D0" w:rsidRPr="001132F8">
        <w:rPr>
          <w:sz w:val="24"/>
          <w:szCs w:val="24"/>
        </w:rPr>
        <w:t xml:space="preserve"> . . . </w:t>
      </w:r>
      <w:r w:rsidR="009F45D0" w:rsidRPr="001132F8">
        <w:rPr>
          <w:sz w:val="24"/>
          <w:szCs w:val="24"/>
        </w:rPr>
        <w:tab/>
      </w:r>
      <w:r w:rsidR="00317C85" w:rsidRPr="001132F8">
        <w:rPr>
          <w:sz w:val="24"/>
          <w:szCs w:val="24"/>
        </w:rPr>
        <w:t xml:space="preserve">  4</w:t>
      </w:r>
    </w:p>
    <w:p w:rsidR="00467219" w:rsidRPr="001132F8" w:rsidRDefault="00467219" w:rsidP="00467219">
      <w:pPr>
        <w:pStyle w:val="ListParagraph"/>
        <w:numPr>
          <w:ilvl w:val="0"/>
          <w:numId w:val="3"/>
        </w:numPr>
        <w:spacing w:after="0" w:line="240" w:lineRule="auto"/>
        <w:rPr>
          <w:sz w:val="24"/>
          <w:szCs w:val="24"/>
        </w:rPr>
      </w:pPr>
      <w:r w:rsidRPr="001132F8">
        <w:rPr>
          <w:sz w:val="24"/>
          <w:szCs w:val="24"/>
        </w:rPr>
        <w:t xml:space="preserve">Cost </w:t>
      </w:r>
      <w:r w:rsidR="00317C85" w:rsidRPr="001132F8">
        <w:rPr>
          <w:sz w:val="24"/>
          <w:szCs w:val="24"/>
        </w:rPr>
        <w:t xml:space="preserve">to society </w:t>
      </w:r>
      <w:r w:rsidRPr="001132F8">
        <w:rPr>
          <w:sz w:val="24"/>
          <w:szCs w:val="24"/>
        </w:rPr>
        <w:t xml:space="preserve">of </w:t>
      </w:r>
      <w:r w:rsidR="00317C85" w:rsidRPr="001132F8">
        <w:rPr>
          <w:sz w:val="24"/>
          <w:szCs w:val="24"/>
        </w:rPr>
        <w:t xml:space="preserve">problem alcohol use </w:t>
      </w:r>
      <w:r w:rsidRPr="001132F8">
        <w:rPr>
          <w:sz w:val="24"/>
          <w:szCs w:val="24"/>
        </w:rPr>
        <w:t>in Ireland</w:t>
      </w:r>
      <w:r w:rsidR="001279C6" w:rsidRPr="001132F8">
        <w:rPr>
          <w:sz w:val="24"/>
          <w:szCs w:val="24"/>
        </w:rPr>
        <w:t xml:space="preserve"> </w:t>
      </w:r>
      <w:r w:rsidR="00317C85" w:rsidRPr="001132F8">
        <w:rPr>
          <w:sz w:val="24"/>
          <w:szCs w:val="24"/>
        </w:rPr>
        <w:t xml:space="preserve"> </w:t>
      </w:r>
      <w:r w:rsidR="009F45D0" w:rsidRPr="001132F8">
        <w:rPr>
          <w:sz w:val="24"/>
          <w:szCs w:val="24"/>
        </w:rPr>
        <w:t>. . . . . . . . . . . .</w:t>
      </w:r>
      <w:r w:rsidR="00317C85" w:rsidRPr="001132F8">
        <w:rPr>
          <w:sz w:val="24"/>
          <w:szCs w:val="24"/>
        </w:rPr>
        <w:tab/>
      </w:r>
      <w:r w:rsidR="00317C85" w:rsidRPr="001132F8">
        <w:rPr>
          <w:sz w:val="24"/>
          <w:szCs w:val="24"/>
        </w:rPr>
        <w:tab/>
        <w:t xml:space="preserve">  6</w:t>
      </w:r>
      <w:r w:rsidR="009F45D0" w:rsidRPr="001132F8">
        <w:rPr>
          <w:sz w:val="24"/>
          <w:szCs w:val="24"/>
        </w:rPr>
        <w:tab/>
      </w:r>
    </w:p>
    <w:p w:rsidR="00C54471" w:rsidRPr="001132F8" w:rsidRDefault="00C54471" w:rsidP="00467219">
      <w:pPr>
        <w:pStyle w:val="ListParagraph"/>
        <w:numPr>
          <w:ilvl w:val="0"/>
          <w:numId w:val="3"/>
        </w:numPr>
        <w:spacing w:after="0" w:line="240" w:lineRule="auto"/>
        <w:rPr>
          <w:sz w:val="24"/>
          <w:szCs w:val="24"/>
        </w:rPr>
      </w:pPr>
      <w:r w:rsidRPr="001132F8">
        <w:rPr>
          <w:sz w:val="24"/>
          <w:szCs w:val="24"/>
        </w:rPr>
        <w:t>New relevant Irish research</w:t>
      </w:r>
      <w:r w:rsidR="00884072" w:rsidRPr="001132F8">
        <w:rPr>
          <w:sz w:val="24"/>
          <w:szCs w:val="24"/>
        </w:rPr>
        <w:t xml:space="preserve"> . . . . . . . . . . . . . . . . . . . . . . . . . .</w:t>
      </w:r>
      <w:r w:rsidR="009F45D0" w:rsidRPr="001132F8">
        <w:rPr>
          <w:sz w:val="24"/>
          <w:szCs w:val="24"/>
        </w:rPr>
        <w:t xml:space="preserve"> . . . .</w:t>
      </w:r>
      <w:r w:rsidR="009F45D0" w:rsidRPr="001132F8">
        <w:rPr>
          <w:sz w:val="24"/>
          <w:szCs w:val="24"/>
        </w:rPr>
        <w:tab/>
      </w:r>
      <w:r w:rsidR="00317C85" w:rsidRPr="001132F8">
        <w:rPr>
          <w:sz w:val="24"/>
          <w:szCs w:val="24"/>
        </w:rPr>
        <w:tab/>
        <w:t>14</w:t>
      </w:r>
    </w:p>
    <w:p w:rsidR="00467219" w:rsidRPr="001132F8" w:rsidRDefault="00467219" w:rsidP="00467219">
      <w:pPr>
        <w:spacing w:after="0" w:line="240" w:lineRule="auto"/>
        <w:rPr>
          <w:sz w:val="24"/>
          <w:szCs w:val="24"/>
        </w:rPr>
      </w:pPr>
    </w:p>
    <w:p w:rsidR="00934156" w:rsidRPr="001132F8" w:rsidRDefault="00934156" w:rsidP="00467219">
      <w:pPr>
        <w:spacing w:after="0" w:line="240" w:lineRule="auto"/>
        <w:rPr>
          <w:sz w:val="24"/>
          <w:szCs w:val="24"/>
        </w:rPr>
      </w:pPr>
    </w:p>
    <w:p w:rsidR="00C54471" w:rsidRPr="001132F8" w:rsidRDefault="00467219" w:rsidP="00467219">
      <w:pPr>
        <w:spacing w:after="0" w:line="240" w:lineRule="auto"/>
        <w:rPr>
          <w:sz w:val="24"/>
          <w:szCs w:val="24"/>
        </w:rPr>
      </w:pPr>
      <w:r w:rsidRPr="001132F8">
        <w:rPr>
          <w:sz w:val="24"/>
          <w:szCs w:val="24"/>
        </w:rPr>
        <w:t xml:space="preserve">2. </w:t>
      </w:r>
      <w:r w:rsidRPr="001132F8">
        <w:rPr>
          <w:b/>
          <w:sz w:val="24"/>
          <w:szCs w:val="24"/>
        </w:rPr>
        <w:t>Update of International Evidence</w:t>
      </w:r>
    </w:p>
    <w:p w:rsidR="009E5917" w:rsidRPr="001132F8" w:rsidRDefault="009E5917" w:rsidP="00467219">
      <w:pPr>
        <w:pStyle w:val="ListParagraph"/>
        <w:numPr>
          <w:ilvl w:val="0"/>
          <w:numId w:val="4"/>
        </w:numPr>
        <w:spacing w:after="0" w:line="240" w:lineRule="auto"/>
        <w:jc w:val="both"/>
        <w:rPr>
          <w:sz w:val="24"/>
          <w:szCs w:val="24"/>
        </w:rPr>
      </w:pPr>
      <w:r w:rsidRPr="001132F8">
        <w:rPr>
          <w:sz w:val="24"/>
          <w:szCs w:val="24"/>
        </w:rPr>
        <w:t>Alcohol consumption</w:t>
      </w:r>
      <w:r w:rsidR="00884072" w:rsidRPr="001132F8">
        <w:rPr>
          <w:sz w:val="24"/>
          <w:szCs w:val="24"/>
        </w:rPr>
        <w:t xml:space="preserve">   . . . . . . . . .. . . . . . . . . . . . . . . . . . .</w:t>
      </w:r>
      <w:r w:rsidR="00884072" w:rsidRPr="001132F8">
        <w:rPr>
          <w:sz w:val="24"/>
          <w:szCs w:val="24"/>
        </w:rPr>
        <w:tab/>
        <w:t>.</w:t>
      </w:r>
      <w:r w:rsidR="009F45D0" w:rsidRPr="001132F8">
        <w:rPr>
          <w:sz w:val="24"/>
          <w:szCs w:val="24"/>
        </w:rPr>
        <w:t xml:space="preserve"> . . . . </w:t>
      </w:r>
      <w:r w:rsidR="009F45D0" w:rsidRPr="001132F8">
        <w:rPr>
          <w:sz w:val="24"/>
          <w:szCs w:val="24"/>
        </w:rPr>
        <w:tab/>
      </w:r>
      <w:r w:rsidR="00317C85" w:rsidRPr="001132F8">
        <w:rPr>
          <w:sz w:val="24"/>
          <w:szCs w:val="24"/>
        </w:rPr>
        <w:tab/>
        <w:t>17</w:t>
      </w:r>
    </w:p>
    <w:p w:rsidR="00467219" w:rsidRPr="001132F8" w:rsidRDefault="00467219" w:rsidP="00467219">
      <w:pPr>
        <w:pStyle w:val="ListParagraph"/>
        <w:numPr>
          <w:ilvl w:val="0"/>
          <w:numId w:val="4"/>
        </w:numPr>
        <w:spacing w:after="0" w:line="240" w:lineRule="auto"/>
        <w:jc w:val="both"/>
        <w:rPr>
          <w:sz w:val="24"/>
          <w:szCs w:val="24"/>
        </w:rPr>
      </w:pPr>
      <w:r w:rsidRPr="001132F8">
        <w:rPr>
          <w:sz w:val="24"/>
          <w:szCs w:val="24"/>
        </w:rPr>
        <w:t>Burden of Disease</w:t>
      </w:r>
      <w:r w:rsidR="00884072" w:rsidRPr="001132F8">
        <w:rPr>
          <w:sz w:val="24"/>
          <w:szCs w:val="24"/>
        </w:rPr>
        <w:t>/ Alcohol-related harm  . . . . . . . . . . . . .</w:t>
      </w:r>
      <w:r w:rsidR="009F45D0" w:rsidRPr="001132F8">
        <w:rPr>
          <w:sz w:val="24"/>
          <w:szCs w:val="24"/>
        </w:rPr>
        <w:t xml:space="preserve"> . . . .</w:t>
      </w:r>
      <w:r w:rsidR="009F45D0" w:rsidRPr="001132F8">
        <w:rPr>
          <w:sz w:val="24"/>
          <w:szCs w:val="24"/>
        </w:rPr>
        <w:tab/>
      </w:r>
      <w:r w:rsidR="00884072" w:rsidRPr="001132F8">
        <w:rPr>
          <w:sz w:val="24"/>
          <w:szCs w:val="24"/>
        </w:rPr>
        <w:tab/>
      </w:r>
      <w:r w:rsidR="00317C85" w:rsidRPr="001132F8">
        <w:rPr>
          <w:sz w:val="24"/>
          <w:szCs w:val="24"/>
        </w:rPr>
        <w:t>1</w:t>
      </w:r>
      <w:r w:rsidR="00884072" w:rsidRPr="001132F8">
        <w:rPr>
          <w:sz w:val="24"/>
          <w:szCs w:val="24"/>
        </w:rPr>
        <w:t>8</w:t>
      </w:r>
    </w:p>
    <w:p w:rsidR="00467219" w:rsidRPr="001132F8" w:rsidRDefault="00467219" w:rsidP="00467219">
      <w:pPr>
        <w:pStyle w:val="ListParagraph"/>
        <w:numPr>
          <w:ilvl w:val="0"/>
          <w:numId w:val="4"/>
        </w:numPr>
        <w:spacing w:after="0" w:line="240" w:lineRule="auto"/>
        <w:jc w:val="both"/>
        <w:rPr>
          <w:sz w:val="24"/>
          <w:szCs w:val="24"/>
        </w:rPr>
      </w:pPr>
      <w:r w:rsidRPr="001132F8">
        <w:rPr>
          <w:sz w:val="24"/>
          <w:szCs w:val="24"/>
        </w:rPr>
        <w:t>Effective measures to reduce alcohol related harm</w:t>
      </w:r>
      <w:r w:rsidR="009F45D0" w:rsidRPr="001132F8">
        <w:rPr>
          <w:sz w:val="24"/>
          <w:szCs w:val="24"/>
        </w:rPr>
        <w:t xml:space="preserve"> </w:t>
      </w:r>
      <w:r w:rsidR="00884072" w:rsidRPr="001132F8">
        <w:rPr>
          <w:sz w:val="24"/>
          <w:szCs w:val="24"/>
        </w:rPr>
        <w:t xml:space="preserve"> . . . . .</w:t>
      </w:r>
      <w:r w:rsidR="009F45D0" w:rsidRPr="001132F8">
        <w:rPr>
          <w:sz w:val="24"/>
          <w:szCs w:val="24"/>
        </w:rPr>
        <w:t xml:space="preserve"> . . . .</w:t>
      </w:r>
      <w:r w:rsidR="009F45D0" w:rsidRPr="001132F8">
        <w:rPr>
          <w:sz w:val="24"/>
          <w:szCs w:val="24"/>
        </w:rPr>
        <w:tab/>
      </w:r>
      <w:r w:rsidR="00317C85" w:rsidRPr="001132F8">
        <w:rPr>
          <w:sz w:val="24"/>
          <w:szCs w:val="24"/>
        </w:rPr>
        <w:tab/>
        <w:t>2</w:t>
      </w:r>
      <w:r w:rsidR="00884072" w:rsidRPr="001132F8">
        <w:rPr>
          <w:sz w:val="24"/>
          <w:szCs w:val="24"/>
        </w:rPr>
        <w:t>0</w:t>
      </w:r>
    </w:p>
    <w:p w:rsidR="00B2080E" w:rsidRPr="001132F8" w:rsidRDefault="00B2080E" w:rsidP="00467219">
      <w:pPr>
        <w:pStyle w:val="ListParagraph"/>
        <w:numPr>
          <w:ilvl w:val="0"/>
          <w:numId w:val="4"/>
        </w:numPr>
        <w:spacing w:after="0" w:line="240" w:lineRule="auto"/>
        <w:jc w:val="both"/>
        <w:rPr>
          <w:sz w:val="24"/>
          <w:szCs w:val="24"/>
        </w:rPr>
      </w:pPr>
      <w:r w:rsidRPr="001132F8">
        <w:rPr>
          <w:sz w:val="24"/>
          <w:szCs w:val="24"/>
        </w:rPr>
        <w:t>Global monitoring framework</w:t>
      </w:r>
      <w:r w:rsidR="009F45D0" w:rsidRPr="001132F8">
        <w:rPr>
          <w:sz w:val="24"/>
          <w:szCs w:val="24"/>
        </w:rPr>
        <w:t xml:space="preserve"> </w:t>
      </w:r>
      <w:r w:rsidR="00884072" w:rsidRPr="001132F8">
        <w:rPr>
          <w:sz w:val="24"/>
          <w:szCs w:val="24"/>
        </w:rPr>
        <w:t xml:space="preserve"> . . . . . . . . . . . . . . . . . . . . . .</w:t>
      </w:r>
      <w:r w:rsidR="009F45D0" w:rsidRPr="001132F8">
        <w:rPr>
          <w:sz w:val="24"/>
          <w:szCs w:val="24"/>
        </w:rPr>
        <w:t xml:space="preserve"> . . . .</w:t>
      </w:r>
      <w:r w:rsidR="009F45D0" w:rsidRPr="001132F8">
        <w:rPr>
          <w:sz w:val="24"/>
          <w:szCs w:val="24"/>
        </w:rPr>
        <w:tab/>
      </w:r>
      <w:r w:rsidR="00317C85" w:rsidRPr="001132F8">
        <w:rPr>
          <w:sz w:val="24"/>
          <w:szCs w:val="24"/>
        </w:rPr>
        <w:tab/>
        <w:t>2</w:t>
      </w:r>
      <w:r w:rsidR="00884072" w:rsidRPr="001132F8">
        <w:rPr>
          <w:sz w:val="24"/>
          <w:szCs w:val="24"/>
        </w:rPr>
        <w:t>0</w:t>
      </w:r>
    </w:p>
    <w:p w:rsidR="00467219" w:rsidRPr="001132F8" w:rsidRDefault="00467219" w:rsidP="00467219">
      <w:pPr>
        <w:spacing w:after="0" w:line="240" w:lineRule="auto"/>
        <w:rPr>
          <w:sz w:val="24"/>
          <w:szCs w:val="24"/>
        </w:rPr>
      </w:pPr>
    </w:p>
    <w:p w:rsidR="00934156" w:rsidRPr="001132F8" w:rsidRDefault="00934156" w:rsidP="00467219">
      <w:pPr>
        <w:spacing w:after="0" w:line="240" w:lineRule="auto"/>
        <w:rPr>
          <w:sz w:val="24"/>
          <w:szCs w:val="24"/>
        </w:rPr>
      </w:pPr>
    </w:p>
    <w:p w:rsidR="00467219" w:rsidRPr="001132F8" w:rsidRDefault="00467219" w:rsidP="00467219">
      <w:pPr>
        <w:spacing w:after="0" w:line="240" w:lineRule="auto"/>
        <w:rPr>
          <w:sz w:val="24"/>
          <w:szCs w:val="24"/>
        </w:rPr>
      </w:pPr>
      <w:r w:rsidRPr="001132F8">
        <w:rPr>
          <w:sz w:val="24"/>
          <w:szCs w:val="24"/>
        </w:rPr>
        <w:t xml:space="preserve">3. </w:t>
      </w:r>
      <w:r w:rsidRPr="001132F8">
        <w:rPr>
          <w:b/>
          <w:sz w:val="24"/>
          <w:szCs w:val="24"/>
        </w:rPr>
        <w:t>Regulation of Alcohol marketing</w:t>
      </w:r>
      <w:r w:rsidRPr="001132F8">
        <w:rPr>
          <w:sz w:val="24"/>
          <w:szCs w:val="24"/>
        </w:rPr>
        <w:t xml:space="preserve"> </w:t>
      </w:r>
    </w:p>
    <w:p w:rsidR="00884072" w:rsidRPr="001132F8" w:rsidRDefault="00884072" w:rsidP="00467219">
      <w:pPr>
        <w:pStyle w:val="ListParagraph"/>
        <w:numPr>
          <w:ilvl w:val="0"/>
          <w:numId w:val="5"/>
        </w:numPr>
        <w:spacing w:after="0" w:line="240" w:lineRule="auto"/>
        <w:rPr>
          <w:sz w:val="24"/>
          <w:szCs w:val="24"/>
        </w:rPr>
      </w:pPr>
      <w:r w:rsidRPr="001132F8">
        <w:rPr>
          <w:sz w:val="24"/>
          <w:szCs w:val="24"/>
        </w:rPr>
        <w:t>Rationale   . . . . . . . . . . . . . . . . . . . . . . . . . . . . . . . . . . . . . . . .</w:t>
      </w:r>
      <w:r w:rsidR="009F45D0" w:rsidRPr="001132F8">
        <w:rPr>
          <w:sz w:val="24"/>
          <w:szCs w:val="24"/>
        </w:rPr>
        <w:t xml:space="preserve"> . . . </w:t>
      </w:r>
      <w:r w:rsidR="009F45D0" w:rsidRPr="001132F8">
        <w:rPr>
          <w:sz w:val="24"/>
          <w:szCs w:val="24"/>
        </w:rPr>
        <w:tab/>
      </w:r>
      <w:r w:rsidR="00317C85" w:rsidRPr="001132F8">
        <w:rPr>
          <w:sz w:val="24"/>
          <w:szCs w:val="24"/>
        </w:rPr>
        <w:tab/>
        <w:t>2</w:t>
      </w:r>
      <w:r w:rsidRPr="001132F8">
        <w:rPr>
          <w:sz w:val="24"/>
          <w:szCs w:val="24"/>
        </w:rPr>
        <w:t>2</w:t>
      </w:r>
    </w:p>
    <w:p w:rsidR="00467219" w:rsidRPr="001132F8" w:rsidRDefault="00467219" w:rsidP="00467219">
      <w:pPr>
        <w:pStyle w:val="ListParagraph"/>
        <w:numPr>
          <w:ilvl w:val="0"/>
          <w:numId w:val="5"/>
        </w:numPr>
        <w:spacing w:after="0" w:line="240" w:lineRule="auto"/>
        <w:rPr>
          <w:sz w:val="24"/>
          <w:szCs w:val="24"/>
        </w:rPr>
      </w:pPr>
      <w:r w:rsidRPr="001132F8">
        <w:rPr>
          <w:sz w:val="24"/>
          <w:szCs w:val="24"/>
        </w:rPr>
        <w:t>Review of research evidence</w:t>
      </w:r>
      <w:r w:rsidR="00884072" w:rsidRPr="001132F8">
        <w:rPr>
          <w:sz w:val="24"/>
          <w:szCs w:val="24"/>
        </w:rPr>
        <w:t xml:space="preserve"> . . . . . . . . . . . . . . . . . . . . . . . . .</w:t>
      </w:r>
      <w:r w:rsidR="009F45D0" w:rsidRPr="001132F8">
        <w:rPr>
          <w:sz w:val="24"/>
          <w:szCs w:val="24"/>
        </w:rPr>
        <w:t xml:space="preserve"> . . . </w:t>
      </w:r>
      <w:r w:rsidR="009F45D0" w:rsidRPr="001132F8">
        <w:rPr>
          <w:sz w:val="24"/>
          <w:szCs w:val="24"/>
        </w:rPr>
        <w:tab/>
      </w:r>
      <w:r w:rsidR="00317C85" w:rsidRPr="001132F8">
        <w:rPr>
          <w:sz w:val="24"/>
          <w:szCs w:val="24"/>
        </w:rPr>
        <w:tab/>
        <w:t>2</w:t>
      </w:r>
      <w:r w:rsidR="00884072" w:rsidRPr="001132F8">
        <w:rPr>
          <w:sz w:val="24"/>
          <w:szCs w:val="24"/>
        </w:rPr>
        <w:t>2</w:t>
      </w:r>
    </w:p>
    <w:p w:rsidR="00F77516" w:rsidRDefault="00F77516" w:rsidP="00B2080E">
      <w:pPr>
        <w:pStyle w:val="ListParagraph"/>
        <w:numPr>
          <w:ilvl w:val="1"/>
          <w:numId w:val="5"/>
        </w:numPr>
        <w:spacing w:after="0" w:line="240" w:lineRule="auto"/>
        <w:rPr>
          <w:sz w:val="24"/>
          <w:szCs w:val="24"/>
        </w:rPr>
      </w:pPr>
      <w:r>
        <w:rPr>
          <w:sz w:val="24"/>
          <w:szCs w:val="24"/>
        </w:rPr>
        <w:t>Effects of alcohol marketing</w:t>
      </w:r>
    </w:p>
    <w:p w:rsidR="00B2080E" w:rsidRPr="001132F8" w:rsidRDefault="00B2080E" w:rsidP="00B2080E">
      <w:pPr>
        <w:pStyle w:val="ListParagraph"/>
        <w:numPr>
          <w:ilvl w:val="1"/>
          <w:numId w:val="5"/>
        </w:numPr>
        <w:spacing w:after="0" w:line="240" w:lineRule="auto"/>
        <w:rPr>
          <w:sz w:val="24"/>
          <w:szCs w:val="24"/>
        </w:rPr>
      </w:pPr>
      <w:r w:rsidRPr="001132F8">
        <w:rPr>
          <w:sz w:val="24"/>
          <w:szCs w:val="24"/>
        </w:rPr>
        <w:t>Al</w:t>
      </w:r>
      <w:r w:rsidR="009F45D0" w:rsidRPr="001132F8">
        <w:rPr>
          <w:sz w:val="24"/>
          <w:szCs w:val="24"/>
        </w:rPr>
        <w:t>cohol branded sports sponsorship</w:t>
      </w:r>
      <w:r w:rsidR="009F45D0" w:rsidRPr="001132F8">
        <w:rPr>
          <w:sz w:val="24"/>
          <w:szCs w:val="24"/>
        </w:rPr>
        <w:tab/>
      </w:r>
    </w:p>
    <w:p w:rsidR="00B2080E" w:rsidRPr="001132F8" w:rsidRDefault="00B2080E" w:rsidP="00B2080E">
      <w:pPr>
        <w:pStyle w:val="ListParagraph"/>
        <w:numPr>
          <w:ilvl w:val="1"/>
          <w:numId w:val="5"/>
        </w:numPr>
        <w:spacing w:after="0" w:line="240" w:lineRule="auto"/>
        <w:rPr>
          <w:sz w:val="24"/>
          <w:szCs w:val="24"/>
        </w:rPr>
      </w:pPr>
      <w:r w:rsidRPr="001132F8">
        <w:rPr>
          <w:sz w:val="24"/>
          <w:szCs w:val="24"/>
        </w:rPr>
        <w:t>Digital marketing</w:t>
      </w:r>
    </w:p>
    <w:p w:rsidR="00467219" w:rsidRPr="001132F8" w:rsidRDefault="00467219" w:rsidP="00467219">
      <w:pPr>
        <w:pStyle w:val="ListParagraph"/>
        <w:numPr>
          <w:ilvl w:val="0"/>
          <w:numId w:val="5"/>
        </w:numPr>
        <w:spacing w:after="0" w:line="240" w:lineRule="auto"/>
        <w:rPr>
          <w:sz w:val="24"/>
          <w:szCs w:val="24"/>
        </w:rPr>
      </w:pPr>
      <w:r w:rsidRPr="001132F8">
        <w:rPr>
          <w:sz w:val="24"/>
          <w:szCs w:val="24"/>
        </w:rPr>
        <w:t>Enforcement mechanisms</w:t>
      </w:r>
      <w:r w:rsidR="00884072" w:rsidRPr="001132F8">
        <w:rPr>
          <w:sz w:val="24"/>
          <w:szCs w:val="24"/>
        </w:rPr>
        <w:t xml:space="preserve"> . . . . . . . . . . . .</w:t>
      </w:r>
      <w:r w:rsidR="005127DF" w:rsidRPr="001132F8">
        <w:rPr>
          <w:sz w:val="24"/>
          <w:szCs w:val="24"/>
        </w:rPr>
        <w:t xml:space="preserve"> . . . . . . . . . . . . . . </w:t>
      </w:r>
      <w:r w:rsidR="009F45D0" w:rsidRPr="001132F8">
        <w:rPr>
          <w:sz w:val="24"/>
          <w:szCs w:val="24"/>
        </w:rPr>
        <w:t>. . . .</w:t>
      </w:r>
      <w:r w:rsidR="009F45D0" w:rsidRPr="001132F8">
        <w:rPr>
          <w:sz w:val="24"/>
          <w:szCs w:val="24"/>
        </w:rPr>
        <w:tab/>
      </w:r>
      <w:r w:rsidR="00317C85" w:rsidRPr="001132F8">
        <w:rPr>
          <w:sz w:val="24"/>
          <w:szCs w:val="24"/>
        </w:rPr>
        <w:tab/>
        <w:t>2</w:t>
      </w:r>
      <w:r w:rsidR="005127DF" w:rsidRPr="001132F8">
        <w:rPr>
          <w:sz w:val="24"/>
          <w:szCs w:val="24"/>
        </w:rPr>
        <w:t>6</w:t>
      </w:r>
    </w:p>
    <w:p w:rsidR="00467219" w:rsidRPr="001132F8" w:rsidRDefault="00467219" w:rsidP="00467219">
      <w:pPr>
        <w:spacing w:after="0" w:line="240" w:lineRule="auto"/>
        <w:rPr>
          <w:sz w:val="24"/>
          <w:szCs w:val="24"/>
        </w:rPr>
      </w:pPr>
      <w:r w:rsidRPr="001132F8">
        <w:rPr>
          <w:sz w:val="24"/>
          <w:szCs w:val="24"/>
        </w:rPr>
        <w:tab/>
      </w:r>
    </w:p>
    <w:p w:rsidR="00934156" w:rsidRPr="001132F8" w:rsidRDefault="00934156" w:rsidP="00467219">
      <w:pPr>
        <w:spacing w:after="0" w:line="240" w:lineRule="auto"/>
        <w:rPr>
          <w:sz w:val="24"/>
          <w:szCs w:val="24"/>
        </w:rPr>
      </w:pPr>
    </w:p>
    <w:p w:rsidR="00467219" w:rsidRPr="001132F8" w:rsidRDefault="00467219" w:rsidP="00467219">
      <w:pPr>
        <w:spacing w:after="0" w:line="240" w:lineRule="auto"/>
        <w:rPr>
          <w:sz w:val="24"/>
          <w:szCs w:val="24"/>
        </w:rPr>
      </w:pPr>
      <w:r w:rsidRPr="001132F8">
        <w:rPr>
          <w:sz w:val="24"/>
          <w:szCs w:val="24"/>
        </w:rPr>
        <w:t xml:space="preserve">4. </w:t>
      </w:r>
      <w:r w:rsidRPr="001132F8">
        <w:rPr>
          <w:b/>
          <w:sz w:val="24"/>
          <w:szCs w:val="24"/>
        </w:rPr>
        <w:t xml:space="preserve">Health Labelling </w:t>
      </w:r>
      <w:r w:rsidR="00DE4899" w:rsidRPr="001132F8">
        <w:rPr>
          <w:sz w:val="24"/>
          <w:szCs w:val="24"/>
        </w:rPr>
        <w:t xml:space="preserve">  </w:t>
      </w:r>
    </w:p>
    <w:p w:rsidR="00467219" w:rsidRPr="001132F8" w:rsidRDefault="00467219" w:rsidP="00467219">
      <w:pPr>
        <w:pStyle w:val="ListParagraph"/>
        <w:numPr>
          <w:ilvl w:val="0"/>
          <w:numId w:val="6"/>
        </w:numPr>
        <w:spacing w:after="0" w:line="240" w:lineRule="auto"/>
        <w:rPr>
          <w:sz w:val="24"/>
          <w:szCs w:val="24"/>
        </w:rPr>
      </w:pPr>
      <w:r w:rsidRPr="001132F8">
        <w:rPr>
          <w:sz w:val="24"/>
          <w:szCs w:val="24"/>
        </w:rPr>
        <w:t>Review of research evidence</w:t>
      </w:r>
      <w:r w:rsidR="00884072" w:rsidRPr="001132F8">
        <w:rPr>
          <w:sz w:val="24"/>
          <w:szCs w:val="24"/>
        </w:rPr>
        <w:t xml:space="preserve">   . . . . . . . . </w:t>
      </w:r>
      <w:r w:rsidR="009F45D0" w:rsidRPr="001132F8">
        <w:rPr>
          <w:sz w:val="24"/>
          <w:szCs w:val="24"/>
        </w:rPr>
        <w:t>. . . . . . . . . . . . . . . . . .</w:t>
      </w:r>
      <w:r w:rsidR="009F45D0" w:rsidRPr="001132F8">
        <w:rPr>
          <w:sz w:val="24"/>
          <w:szCs w:val="24"/>
        </w:rPr>
        <w:tab/>
      </w:r>
      <w:r w:rsidR="00317C85" w:rsidRPr="001132F8">
        <w:rPr>
          <w:sz w:val="24"/>
          <w:szCs w:val="24"/>
        </w:rPr>
        <w:tab/>
        <w:t>3</w:t>
      </w:r>
      <w:r w:rsidR="00884072" w:rsidRPr="001132F8">
        <w:rPr>
          <w:sz w:val="24"/>
          <w:szCs w:val="24"/>
        </w:rPr>
        <w:t>1</w:t>
      </w:r>
    </w:p>
    <w:p w:rsidR="00467219" w:rsidRPr="001132F8" w:rsidRDefault="005127DF" w:rsidP="005127DF">
      <w:pPr>
        <w:pStyle w:val="ListParagraph"/>
        <w:numPr>
          <w:ilvl w:val="1"/>
          <w:numId w:val="6"/>
        </w:numPr>
        <w:spacing w:after="0" w:line="240" w:lineRule="auto"/>
        <w:rPr>
          <w:sz w:val="24"/>
          <w:szCs w:val="24"/>
        </w:rPr>
      </w:pPr>
      <w:r w:rsidRPr="001132F8">
        <w:rPr>
          <w:sz w:val="24"/>
          <w:szCs w:val="24"/>
        </w:rPr>
        <w:t>Health warning labels</w:t>
      </w:r>
    </w:p>
    <w:p w:rsidR="005127DF" w:rsidRPr="001132F8" w:rsidRDefault="005127DF" w:rsidP="005127DF">
      <w:pPr>
        <w:pStyle w:val="ListParagraph"/>
        <w:numPr>
          <w:ilvl w:val="1"/>
          <w:numId w:val="6"/>
        </w:numPr>
        <w:spacing w:after="0" w:line="240" w:lineRule="auto"/>
        <w:rPr>
          <w:sz w:val="24"/>
          <w:szCs w:val="24"/>
        </w:rPr>
      </w:pPr>
      <w:r w:rsidRPr="001132F8">
        <w:rPr>
          <w:sz w:val="24"/>
          <w:szCs w:val="24"/>
        </w:rPr>
        <w:t>Low-risk drinking guidelines</w:t>
      </w:r>
    </w:p>
    <w:p w:rsidR="00467219" w:rsidRPr="001132F8" w:rsidRDefault="00467219" w:rsidP="00467219">
      <w:pPr>
        <w:spacing w:after="0" w:line="240" w:lineRule="auto"/>
        <w:rPr>
          <w:sz w:val="24"/>
          <w:szCs w:val="24"/>
        </w:rPr>
      </w:pPr>
    </w:p>
    <w:p w:rsidR="00884072" w:rsidRPr="001132F8" w:rsidRDefault="00884072" w:rsidP="00467219">
      <w:pPr>
        <w:spacing w:after="0" w:line="240" w:lineRule="auto"/>
        <w:rPr>
          <w:sz w:val="24"/>
          <w:szCs w:val="24"/>
        </w:rPr>
      </w:pPr>
      <w:r w:rsidRPr="001132F8">
        <w:rPr>
          <w:b/>
          <w:sz w:val="24"/>
          <w:szCs w:val="24"/>
        </w:rPr>
        <w:t xml:space="preserve">5. References   </w:t>
      </w:r>
      <w:r w:rsidRPr="001132F8">
        <w:rPr>
          <w:sz w:val="24"/>
          <w:szCs w:val="24"/>
        </w:rPr>
        <w:t xml:space="preserve"> . . . . . . . . . . . . . . . . . . . . . . . . . . </w:t>
      </w:r>
      <w:r w:rsidR="009F45D0" w:rsidRPr="001132F8">
        <w:rPr>
          <w:sz w:val="24"/>
          <w:szCs w:val="24"/>
        </w:rPr>
        <w:t xml:space="preserve">. . . . . . . . . . . . . . . . . . </w:t>
      </w:r>
      <w:r w:rsidR="009F45D0" w:rsidRPr="001132F8">
        <w:rPr>
          <w:sz w:val="24"/>
          <w:szCs w:val="24"/>
        </w:rPr>
        <w:tab/>
      </w:r>
      <w:r w:rsidR="00317C85" w:rsidRPr="001132F8">
        <w:rPr>
          <w:sz w:val="24"/>
          <w:szCs w:val="24"/>
        </w:rPr>
        <w:tab/>
        <w:t>3</w:t>
      </w:r>
      <w:r w:rsidRPr="001132F8">
        <w:rPr>
          <w:sz w:val="24"/>
          <w:szCs w:val="24"/>
        </w:rPr>
        <w:t xml:space="preserve">3 </w:t>
      </w:r>
    </w:p>
    <w:p w:rsidR="00317C85" w:rsidRPr="001132F8" w:rsidRDefault="00317C85" w:rsidP="00467219">
      <w:pPr>
        <w:spacing w:after="0" w:line="240" w:lineRule="auto"/>
        <w:rPr>
          <w:sz w:val="24"/>
          <w:szCs w:val="24"/>
        </w:rPr>
      </w:pPr>
    </w:p>
    <w:p w:rsidR="00317C85" w:rsidRPr="001132F8" w:rsidRDefault="00317C85" w:rsidP="00467219">
      <w:pPr>
        <w:spacing w:after="0" w:line="240" w:lineRule="auto"/>
        <w:rPr>
          <w:sz w:val="24"/>
          <w:szCs w:val="24"/>
        </w:rPr>
      </w:pPr>
      <w:r w:rsidRPr="001132F8">
        <w:rPr>
          <w:b/>
          <w:sz w:val="24"/>
          <w:szCs w:val="24"/>
        </w:rPr>
        <w:t>6. Appendices</w:t>
      </w:r>
      <w:r w:rsidRPr="001132F8">
        <w:rPr>
          <w:sz w:val="24"/>
          <w:szCs w:val="24"/>
        </w:rPr>
        <w:t xml:space="preserve">   . . . . . . . . . . . . . . . . . . . . . . . . . . . . . . . . . . . . . . . . . . . . </w:t>
      </w:r>
      <w:r w:rsidRPr="001132F8">
        <w:rPr>
          <w:sz w:val="24"/>
          <w:szCs w:val="24"/>
        </w:rPr>
        <w:tab/>
      </w:r>
      <w:r w:rsidRPr="001132F8">
        <w:rPr>
          <w:sz w:val="24"/>
          <w:szCs w:val="24"/>
        </w:rPr>
        <w:tab/>
        <w:t>37</w:t>
      </w:r>
    </w:p>
    <w:p w:rsidR="00517C57" w:rsidRPr="00517C57" w:rsidRDefault="00517C57" w:rsidP="00517C57">
      <w:pPr>
        <w:rPr>
          <w:b/>
        </w:rPr>
      </w:pPr>
    </w:p>
    <w:p w:rsidR="00123F6C" w:rsidRDefault="00123F6C">
      <w:pPr>
        <w:rPr>
          <w:b/>
        </w:rPr>
      </w:pPr>
      <w:r>
        <w:rPr>
          <w:b/>
        </w:rPr>
        <w:br w:type="page"/>
      </w:r>
    </w:p>
    <w:p w:rsidR="00FB1D73" w:rsidRPr="000F1D15" w:rsidRDefault="00FE7F91" w:rsidP="00934156">
      <w:pPr>
        <w:rPr>
          <w:b/>
          <w:sz w:val="28"/>
          <w:szCs w:val="28"/>
        </w:rPr>
      </w:pPr>
      <w:r w:rsidRPr="000F1D15">
        <w:rPr>
          <w:b/>
          <w:sz w:val="28"/>
          <w:szCs w:val="28"/>
        </w:rPr>
        <w:lastRenderedPageBreak/>
        <w:t xml:space="preserve">1.1 </w:t>
      </w:r>
      <w:r w:rsidR="003E6DC5" w:rsidRPr="000F1D15">
        <w:rPr>
          <w:b/>
          <w:sz w:val="28"/>
          <w:szCs w:val="28"/>
        </w:rPr>
        <w:t xml:space="preserve">Alcohol consumption </w:t>
      </w:r>
      <w:r w:rsidR="00B2080E" w:rsidRPr="000F1D15">
        <w:rPr>
          <w:b/>
          <w:sz w:val="28"/>
          <w:szCs w:val="28"/>
        </w:rPr>
        <w:t>in Ireland</w:t>
      </w:r>
    </w:p>
    <w:p w:rsidR="00FE7F91" w:rsidRPr="000F1D15" w:rsidRDefault="006D0EED" w:rsidP="000F1D15">
      <w:pPr>
        <w:spacing w:before="100" w:beforeAutospacing="1" w:after="120"/>
        <w:rPr>
          <w:sz w:val="24"/>
          <w:szCs w:val="24"/>
        </w:rPr>
      </w:pPr>
      <w:r w:rsidRPr="000F1D15">
        <w:rPr>
          <w:sz w:val="24"/>
          <w:szCs w:val="24"/>
        </w:rPr>
        <w:t>During</w:t>
      </w:r>
      <w:r w:rsidR="00FE7F91" w:rsidRPr="000F1D15">
        <w:rPr>
          <w:sz w:val="24"/>
          <w:szCs w:val="24"/>
        </w:rPr>
        <w:t xml:space="preserve"> the last 30 years</w:t>
      </w:r>
      <w:r w:rsidRPr="000F1D15">
        <w:rPr>
          <w:sz w:val="24"/>
          <w:szCs w:val="24"/>
        </w:rPr>
        <w:t>,</w:t>
      </w:r>
      <w:r w:rsidR="00FE7F91" w:rsidRPr="000F1D15">
        <w:rPr>
          <w:sz w:val="24"/>
          <w:szCs w:val="24"/>
        </w:rPr>
        <w:t xml:space="preserve"> alcohol consumption</w:t>
      </w:r>
      <w:r w:rsidRPr="000F1D15">
        <w:rPr>
          <w:sz w:val="24"/>
          <w:szCs w:val="24"/>
        </w:rPr>
        <w:t xml:space="preserve"> per capita (15+ years)</w:t>
      </w:r>
      <w:r w:rsidR="00727404" w:rsidRPr="000F1D15">
        <w:rPr>
          <w:sz w:val="24"/>
          <w:szCs w:val="24"/>
        </w:rPr>
        <w:t xml:space="preserve"> of pure alcohol</w:t>
      </w:r>
      <w:r w:rsidR="00FE7F91" w:rsidRPr="000F1D15">
        <w:rPr>
          <w:sz w:val="24"/>
          <w:szCs w:val="24"/>
        </w:rPr>
        <w:t xml:space="preserve"> </w:t>
      </w:r>
      <w:r w:rsidRPr="000F1D15">
        <w:rPr>
          <w:sz w:val="24"/>
          <w:szCs w:val="24"/>
        </w:rPr>
        <w:t>increased from 9.5 litres in 1984 to a high of 14.3 litres in 2001</w:t>
      </w:r>
      <w:r w:rsidR="00097EDD" w:rsidRPr="000F1D15">
        <w:rPr>
          <w:sz w:val="24"/>
          <w:szCs w:val="24"/>
        </w:rPr>
        <w:t xml:space="preserve"> (</w:t>
      </w:r>
      <w:r w:rsidR="00BD2B96" w:rsidRPr="000F1D15">
        <w:rPr>
          <w:sz w:val="24"/>
          <w:szCs w:val="24"/>
        </w:rPr>
        <w:t>Figure</w:t>
      </w:r>
      <w:r w:rsidR="00097EDD" w:rsidRPr="000F1D15">
        <w:rPr>
          <w:sz w:val="24"/>
          <w:szCs w:val="24"/>
        </w:rPr>
        <w:t xml:space="preserve"> 1)</w:t>
      </w:r>
      <w:r w:rsidR="00727404" w:rsidRPr="000F1D15">
        <w:rPr>
          <w:sz w:val="24"/>
          <w:szCs w:val="24"/>
        </w:rPr>
        <w:t>. In 2003</w:t>
      </w:r>
      <w:r w:rsidR="00AA5D6A" w:rsidRPr="000F1D15">
        <w:rPr>
          <w:sz w:val="24"/>
          <w:szCs w:val="24"/>
        </w:rPr>
        <w:t>,</w:t>
      </w:r>
      <w:r w:rsidR="00727404" w:rsidRPr="000F1D15">
        <w:rPr>
          <w:sz w:val="24"/>
          <w:szCs w:val="24"/>
        </w:rPr>
        <w:t xml:space="preserve"> alcohol consumption dropped</w:t>
      </w:r>
      <w:r w:rsidR="00B2080E" w:rsidRPr="000F1D15">
        <w:rPr>
          <w:sz w:val="24"/>
          <w:szCs w:val="24"/>
        </w:rPr>
        <w:t xml:space="preserve"> by 6% following a substantial</w:t>
      </w:r>
      <w:r w:rsidR="00727404" w:rsidRPr="000F1D15">
        <w:rPr>
          <w:sz w:val="24"/>
          <w:szCs w:val="24"/>
        </w:rPr>
        <w:t xml:space="preserve"> tax increase on spirits</w:t>
      </w:r>
      <w:r w:rsidR="00B2080E" w:rsidRPr="000F1D15">
        <w:rPr>
          <w:sz w:val="24"/>
          <w:szCs w:val="24"/>
        </w:rPr>
        <w:t>.  A</w:t>
      </w:r>
      <w:r w:rsidR="00727404" w:rsidRPr="000F1D15">
        <w:rPr>
          <w:sz w:val="24"/>
          <w:szCs w:val="24"/>
        </w:rPr>
        <w:t xml:space="preserve"> further reduction was observed during the </w:t>
      </w:r>
      <w:r w:rsidR="006B617B" w:rsidRPr="000F1D15">
        <w:rPr>
          <w:sz w:val="24"/>
          <w:szCs w:val="24"/>
        </w:rPr>
        <w:t xml:space="preserve">early </w:t>
      </w:r>
      <w:r w:rsidR="00B2080E" w:rsidRPr="000F1D15">
        <w:rPr>
          <w:sz w:val="24"/>
          <w:szCs w:val="24"/>
        </w:rPr>
        <w:t xml:space="preserve">phase of the </w:t>
      </w:r>
      <w:r w:rsidR="00F04E58">
        <w:rPr>
          <w:sz w:val="24"/>
          <w:szCs w:val="24"/>
        </w:rPr>
        <w:t xml:space="preserve">recession years </w:t>
      </w:r>
      <w:r w:rsidR="00727404" w:rsidRPr="000F1D15">
        <w:rPr>
          <w:sz w:val="24"/>
          <w:szCs w:val="24"/>
        </w:rPr>
        <w:t xml:space="preserve">(2008-2009). </w:t>
      </w:r>
      <w:r w:rsidR="009F45D0">
        <w:rPr>
          <w:sz w:val="24"/>
          <w:szCs w:val="24"/>
        </w:rPr>
        <w:t xml:space="preserve"> </w:t>
      </w:r>
      <w:r w:rsidR="00727404" w:rsidRPr="000F1D15">
        <w:rPr>
          <w:sz w:val="24"/>
          <w:szCs w:val="24"/>
        </w:rPr>
        <w:t>Alcohol consumption again increased in 2010 and 2011</w:t>
      </w:r>
      <w:r w:rsidR="00097EDD" w:rsidRPr="000F1D15">
        <w:rPr>
          <w:sz w:val="24"/>
          <w:szCs w:val="24"/>
        </w:rPr>
        <w:t>.</w:t>
      </w:r>
      <w:r w:rsidR="00727404" w:rsidRPr="000F1D15">
        <w:rPr>
          <w:sz w:val="24"/>
          <w:szCs w:val="24"/>
        </w:rPr>
        <w:t xml:space="preserve"> In 2013</w:t>
      </w:r>
      <w:r w:rsidR="00AA5D6A" w:rsidRPr="000F1D15">
        <w:rPr>
          <w:sz w:val="24"/>
          <w:szCs w:val="24"/>
        </w:rPr>
        <w:t>,</w:t>
      </w:r>
      <w:r w:rsidR="00F04E58">
        <w:rPr>
          <w:sz w:val="24"/>
          <w:szCs w:val="24"/>
        </w:rPr>
        <w:t xml:space="preserve"> alcoho</w:t>
      </w:r>
      <w:r w:rsidR="00727404" w:rsidRPr="000F1D15">
        <w:rPr>
          <w:sz w:val="24"/>
          <w:szCs w:val="24"/>
        </w:rPr>
        <w:t>l consumption was 10.6 litres</w:t>
      </w:r>
      <w:r w:rsidR="00943063" w:rsidRPr="000F1D15">
        <w:rPr>
          <w:sz w:val="24"/>
          <w:szCs w:val="24"/>
        </w:rPr>
        <w:t xml:space="preserve"> per capita (15+), a decline of 7.7% from</w:t>
      </w:r>
      <w:r w:rsidR="00CF4AAE" w:rsidRPr="000F1D15">
        <w:rPr>
          <w:sz w:val="24"/>
          <w:szCs w:val="24"/>
        </w:rPr>
        <w:t xml:space="preserve"> the previous year.</w:t>
      </w:r>
      <w:r w:rsidR="00727404" w:rsidRPr="000F1D15">
        <w:rPr>
          <w:sz w:val="24"/>
          <w:szCs w:val="24"/>
        </w:rPr>
        <w:t xml:space="preserve"> </w:t>
      </w:r>
      <w:r w:rsidR="00227ED7" w:rsidRPr="000F1D15">
        <w:rPr>
          <w:sz w:val="24"/>
          <w:szCs w:val="24"/>
        </w:rPr>
        <w:t>While this reduction in consumption</w:t>
      </w:r>
      <w:r w:rsidR="00CF4AAE" w:rsidRPr="000F1D15">
        <w:rPr>
          <w:sz w:val="24"/>
          <w:szCs w:val="24"/>
        </w:rPr>
        <w:t xml:space="preserve"> is to be welcomed, it is import</w:t>
      </w:r>
      <w:r w:rsidR="00AA5D6A" w:rsidRPr="000F1D15">
        <w:rPr>
          <w:sz w:val="24"/>
          <w:szCs w:val="24"/>
        </w:rPr>
        <w:t>ant</w:t>
      </w:r>
      <w:r w:rsidR="00CF4AAE" w:rsidRPr="000F1D15">
        <w:rPr>
          <w:sz w:val="24"/>
          <w:szCs w:val="24"/>
        </w:rPr>
        <w:t xml:space="preserve"> to recognise that</w:t>
      </w:r>
      <w:r w:rsidR="006619B7" w:rsidRPr="000F1D15">
        <w:rPr>
          <w:sz w:val="24"/>
          <w:szCs w:val="24"/>
        </w:rPr>
        <w:t xml:space="preserve"> Ireland</w:t>
      </w:r>
      <w:r w:rsidR="00943063" w:rsidRPr="000F1D15">
        <w:rPr>
          <w:sz w:val="24"/>
          <w:szCs w:val="24"/>
        </w:rPr>
        <w:t>’s</w:t>
      </w:r>
      <w:r w:rsidR="00227ED7" w:rsidRPr="000F1D15">
        <w:rPr>
          <w:sz w:val="24"/>
          <w:szCs w:val="24"/>
        </w:rPr>
        <w:t xml:space="preserve"> alcohol</w:t>
      </w:r>
      <w:r w:rsidR="00B2080E" w:rsidRPr="000F1D15">
        <w:rPr>
          <w:sz w:val="24"/>
          <w:szCs w:val="24"/>
        </w:rPr>
        <w:t xml:space="preserve"> consumption remain</w:t>
      </w:r>
      <w:r w:rsidR="00BA0370" w:rsidRPr="000F1D15">
        <w:rPr>
          <w:sz w:val="24"/>
          <w:szCs w:val="24"/>
        </w:rPr>
        <w:t>s in</w:t>
      </w:r>
      <w:r w:rsidR="00227ED7" w:rsidRPr="000F1D15">
        <w:rPr>
          <w:sz w:val="24"/>
          <w:szCs w:val="24"/>
        </w:rPr>
        <w:t xml:space="preserve"> </w:t>
      </w:r>
      <w:r w:rsidR="006619B7" w:rsidRPr="000F1D15">
        <w:rPr>
          <w:sz w:val="24"/>
          <w:szCs w:val="24"/>
        </w:rPr>
        <w:t xml:space="preserve">the </w:t>
      </w:r>
      <w:r w:rsidR="00943063" w:rsidRPr="000F1D15">
        <w:rPr>
          <w:sz w:val="24"/>
          <w:szCs w:val="24"/>
        </w:rPr>
        <w:t>top</w:t>
      </w:r>
      <w:r w:rsidR="00BA0370" w:rsidRPr="000F1D15">
        <w:rPr>
          <w:sz w:val="24"/>
          <w:szCs w:val="24"/>
        </w:rPr>
        <w:t xml:space="preserve"> five</w:t>
      </w:r>
      <w:r w:rsidR="00943063" w:rsidRPr="000F1D15">
        <w:rPr>
          <w:sz w:val="24"/>
          <w:szCs w:val="24"/>
        </w:rPr>
        <w:t xml:space="preserve"> among</w:t>
      </w:r>
      <w:r w:rsidR="00B27472" w:rsidRPr="000F1D15">
        <w:rPr>
          <w:sz w:val="24"/>
          <w:szCs w:val="24"/>
        </w:rPr>
        <w:t xml:space="preserve"> </w:t>
      </w:r>
      <w:r w:rsidR="00943063" w:rsidRPr="000F1D15">
        <w:rPr>
          <w:sz w:val="24"/>
          <w:szCs w:val="24"/>
        </w:rPr>
        <w:t>EU</w:t>
      </w:r>
      <w:r w:rsidR="00227ED7" w:rsidRPr="000F1D15">
        <w:rPr>
          <w:sz w:val="24"/>
          <w:szCs w:val="24"/>
        </w:rPr>
        <w:t xml:space="preserve">28 Member States </w:t>
      </w:r>
      <w:r w:rsidR="00B27472" w:rsidRPr="000F1D15">
        <w:rPr>
          <w:sz w:val="24"/>
          <w:szCs w:val="24"/>
        </w:rPr>
        <w:t xml:space="preserve">and the WHO European Region has the highest consumption in the world </w:t>
      </w:r>
      <w:r w:rsidR="00227ED7" w:rsidRPr="000F1D15">
        <w:rPr>
          <w:sz w:val="24"/>
          <w:szCs w:val="24"/>
        </w:rPr>
        <w:t>(WHO 2014).</w:t>
      </w:r>
      <w:r w:rsidR="006619B7" w:rsidRPr="000F1D15">
        <w:rPr>
          <w:sz w:val="24"/>
          <w:szCs w:val="24"/>
        </w:rPr>
        <w:t xml:space="preserve"> </w:t>
      </w:r>
    </w:p>
    <w:p w:rsidR="00123F6C" w:rsidRDefault="00123F6C" w:rsidP="00517C57">
      <w:r>
        <w:rPr>
          <w:noProof/>
          <w:lang w:eastAsia="en-IE"/>
        </w:rPr>
        <w:drawing>
          <wp:inline distT="0" distB="0" distL="0" distR="0" wp14:anchorId="25ECBE63" wp14:editId="0650B090">
            <wp:extent cx="5731510" cy="3615139"/>
            <wp:effectExtent l="0" t="0" r="21590" b="234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D2B96" w:rsidRPr="00BD2B96" w:rsidRDefault="00BD2B96" w:rsidP="00517C57">
      <w:pPr>
        <w:rPr>
          <w:i/>
          <w:sz w:val="20"/>
          <w:szCs w:val="20"/>
        </w:rPr>
      </w:pPr>
      <w:r w:rsidRPr="00BD2B96">
        <w:rPr>
          <w:i/>
          <w:sz w:val="20"/>
          <w:szCs w:val="20"/>
        </w:rPr>
        <w:t>Figure 1: Alcohol consumption per capita (15+) in Ireland, 1984 to 2013</w:t>
      </w:r>
    </w:p>
    <w:p w:rsidR="00517C57" w:rsidRPr="000F1D15" w:rsidRDefault="00517C57" w:rsidP="000F1D15">
      <w:pPr>
        <w:spacing w:after="120"/>
        <w:rPr>
          <w:sz w:val="24"/>
          <w:szCs w:val="24"/>
        </w:rPr>
      </w:pPr>
      <w:r w:rsidRPr="000F1D15">
        <w:rPr>
          <w:sz w:val="24"/>
          <w:szCs w:val="24"/>
        </w:rPr>
        <w:t>In Ireland, the most rece</w:t>
      </w:r>
      <w:r w:rsidR="00943063" w:rsidRPr="000F1D15">
        <w:rPr>
          <w:sz w:val="24"/>
          <w:szCs w:val="24"/>
        </w:rPr>
        <w:t xml:space="preserve">nt national alcohol </w:t>
      </w:r>
      <w:r w:rsidRPr="000F1D15">
        <w:rPr>
          <w:sz w:val="24"/>
          <w:szCs w:val="24"/>
        </w:rPr>
        <w:t xml:space="preserve">survey shows that more than half (54%) of adult drinkers (18-75 years) in the population are classified as </w:t>
      </w:r>
      <w:r w:rsidRPr="000F1D15">
        <w:rPr>
          <w:b/>
          <w:sz w:val="24"/>
          <w:szCs w:val="24"/>
        </w:rPr>
        <w:t>harmful drinkers</w:t>
      </w:r>
      <w:r w:rsidRPr="000F1D15">
        <w:rPr>
          <w:sz w:val="24"/>
          <w:szCs w:val="24"/>
        </w:rPr>
        <w:t>, using the</w:t>
      </w:r>
      <w:r w:rsidR="001132F8">
        <w:rPr>
          <w:sz w:val="24"/>
          <w:szCs w:val="24"/>
        </w:rPr>
        <w:t xml:space="preserve"> WHO AUDIT-C screening tool (Long &amp; Mongan 2013)</w:t>
      </w:r>
      <w:r w:rsidRPr="000F1D15">
        <w:rPr>
          <w:sz w:val="24"/>
          <w:szCs w:val="24"/>
        </w:rPr>
        <w:t xml:space="preserve">. These results are similar to those in the SLAN 2007 survey. Harmful drinking is more common among men than women. The vast majority (three in every four) </w:t>
      </w:r>
      <w:r w:rsidR="00B2080E" w:rsidRPr="000F1D15">
        <w:rPr>
          <w:sz w:val="24"/>
          <w:szCs w:val="24"/>
        </w:rPr>
        <w:t xml:space="preserve">of </w:t>
      </w:r>
      <w:r w:rsidRPr="000F1D15">
        <w:rPr>
          <w:sz w:val="24"/>
          <w:szCs w:val="24"/>
        </w:rPr>
        <w:t xml:space="preserve">young adult drinkers have positive AUDIT-C scores.  When the proportion of survey respondents who are classified as harmful drinkers is applied to the population, this equates with between 1.3 and 1.4 million harmful drinkers.  While alcohol per capita (15+) declined between 2007 and 2013, it still remains high and </w:t>
      </w:r>
      <w:r w:rsidR="003E6DC5" w:rsidRPr="000F1D15">
        <w:rPr>
          <w:sz w:val="24"/>
          <w:szCs w:val="24"/>
        </w:rPr>
        <w:t>the damaging dominance of a harmful drinking pa</w:t>
      </w:r>
      <w:r w:rsidRPr="000F1D15">
        <w:rPr>
          <w:sz w:val="24"/>
          <w:szCs w:val="24"/>
        </w:rPr>
        <w:t>ttern in Ireland remains very high</w:t>
      </w:r>
      <w:r w:rsidR="00943063" w:rsidRPr="000F1D15">
        <w:rPr>
          <w:sz w:val="24"/>
          <w:szCs w:val="24"/>
        </w:rPr>
        <w:t xml:space="preserve"> by European standards</w:t>
      </w:r>
      <w:r w:rsidR="00BD2B96" w:rsidRPr="000F1D15">
        <w:rPr>
          <w:sz w:val="24"/>
          <w:szCs w:val="24"/>
        </w:rPr>
        <w:t xml:space="preserve"> and</w:t>
      </w:r>
      <w:r w:rsidRPr="000F1D15">
        <w:rPr>
          <w:sz w:val="24"/>
          <w:szCs w:val="24"/>
        </w:rPr>
        <w:t xml:space="preserve"> is a major public health concern.  </w:t>
      </w:r>
    </w:p>
    <w:p w:rsidR="000E72C7" w:rsidRPr="000F1D15" w:rsidRDefault="000E72C7" w:rsidP="00517C57">
      <w:pPr>
        <w:rPr>
          <w:sz w:val="24"/>
          <w:szCs w:val="24"/>
        </w:rPr>
      </w:pPr>
      <w:r w:rsidRPr="000F1D15">
        <w:rPr>
          <w:sz w:val="24"/>
          <w:szCs w:val="24"/>
        </w:rPr>
        <w:lastRenderedPageBreak/>
        <w:t>Youth drinking patterns</w:t>
      </w:r>
    </w:p>
    <w:p w:rsidR="00815C20" w:rsidRDefault="00815C20" w:rsidP="00815C20">
      <w:pPr>
        <w:rPr>
          <w:b/>
        </w:rPr>
      </w:pP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2927617</wp:posOffset>
                </wp:positionH>
                <wp:positionV relativeFrom="paragraph">
                  <wp:posOffset>-486</wp:posOffset>
                </wp:positionV>
                <wp:extent cx="2927617" cy="5578609"/>
                <wp:effectExtent l="0" t="0" r="25400" b="22225"/>
                <wp:wrapNone/>
                <wp:docPr id="9" name="Text Box 9"/>
                <wp:cNvGraphicFramePr/>
                <a:graphic xmlns:a="http://schemas.openxmlformats.org/drawingml/2006/main">
                  <a:graphicData uri="http://schemas.microsoft.com/office/word/2010/wordprocessingShape">
                    <wps:wsp>
                      <wps:cNvSpPr txBox="1"/>
                      <wps:spPr>
                        <a:xfrm>
                          <a:off x="0" y="0"/>
                          <a:ext cx="2927617" cy="5578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7941" w:rsidRDefault="004D7941" w:rsidP="00815C20">
                            <w:pPr>
                              <w:jc w:val="both"/>
                            </w:pPr>
                            <w:r>
                              <w:t xml:space="preserve"> Youth drinking was examined, based on the HBSC four surveys between 1998 and 2010, using two drinking measures - alcohol use in last 30 days (current drinkers), drunkenness ever. The most meaningful discussion is by gender and age. When examined by gender and age, the findings show there was an increase in alcohol engagement as age increased, with lowest engagement in the youngest age group (10 to 11 </w:t>
                            </w:r>
                            <w:proofErr w:type="spellStart"/>
                            <w:r>
                              <w:t>yrs</w:t>
                            </w:r>
                            <w:proofErr w:type="spellEnd"/>
                            <w:r>
                              <w:t xml:space="preserve">) and the highest in the older age group (15-17 </w:t>
                            </w:r>
                            <w:proofErr w:type="spellStart"/>
                            <w:r>
                              <w:t>yrs</w:t>
                            </w:r>
                            <w:proofErr w:type="spellEnd"/>
                            <w:r>
                              <w:t xml:space="preserve">), in terms of current drinkers and drunkenness. Boys were more likely to be current drinkers than girls up to age of 14 years. In the older age group, gender difference diminished over time for both </w:t>
                            </w:r>
                            <w:proofErr w:type="gramStart"/>
                            <w:r>
                              <w:t>measures  (</w:t>
                            </w:r>
                            <w:proofErr w:type="gramEnd"/>
                            <w:r>
                              <w:t xml:space="preserve">Figure 2). Between 1998 and 2010, some reductions (mainly among boys) were seen but the pattern was inconsistent. In 2010, 40% (two out of five) of 15 to 17 year olds were current drinkers and over half (53%) reported drunkenness (Figure 2).  In the 12 to 14 age group, 15% of girls and 18% of boys reported drunkenness. While some decline has taken place, the drinking pattern of children continues to pose serious health and welfare risks and delaying the onset of drinking is a public health imperative.  </w:t>
                            </w:r>
                          </w:p>
                          <w:p w:rsidR="004D7941" w:rsidRDefault="004D79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30.5pt;margin-top:-.05pt;width:230.5pt;height:4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" fillcolor="white [3201]" strokeweight=".5pt">
                <v:textbox>
                  <w:txbxContent>
                    <w:p w:rsidR="004D7941" w:rsidRDefault="004D7941" w:rsidP="00815C20">
                      <w:pPr>
                        <w:jc w:val="both"/>
                      </w:pPr>
                      <w:r>
                        <w:t xml:space="preserve"> Youth drinking was examined, based on the HBSC four surveys between 1998 and 2010, using two drinking measures - alcohol use in last 30 days (current drinkers), drunkenness ever. The most meaningful discussion is by gender and age. When examined by gender and age, the findings show there was an increase in alcohol engagement as age increased, with lowest engagement in the youngest age group (10 to 11 yrs) and the highest in the older age group (15-17 yrs), in terms of current drinkers and drunkenness. Boys were more likely to be current drinkers than girls up to age of 14 years. In the older age group, gender difference diminished over time for both measures  (Figure 2). Between 1998 and 2010, some reductions (mainly among boys) were seen but the pattern was inconsistent. In 2010, 40% (two out of five) of 15 to 17 year olds were current drinkers and over half (53%) reported drunkenness (Figure 2).  In the 12 to 14 age group, 15% of girls and 18% of boys reported drunkenness. While some decline has taken place, the drinking pattern of children continues to pose serious health and welfare risks and delaying the onset of drinking is a public health imperative.  </w:t>
                      </w:r>
                    </w:p>
                    <w:p w:rsidR="004D7941" w:rsidRDefault="004D7941"/>
                  </w:txbxContent>
                </v:textbox>
              </v:shape>
            </w:pict>
          </mc:Fallback>
        </mc:AlternateContent>
      </w:r>
      <w:r w:rsidR="00B2080E">
        <w:rPr>
          <w:noProof/>
          <w:lang w:eastAsia="en-IE"/>
        </w:rPr>
        <w:drawing>
          <wp:inline distT="0" distB="0" distL="0" distR="0" wp14:anchorId="1FA86961" wp14:editId="1ADF701A">
            <wp:extent cx="2927617" cy="2581835"/>
            <wp:effectExtent l="0" t="0" r="2540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15C20" w:rsidRDefault="00815C20" w:rsidP="00815C20">
      <w:pPr>
        <w:rPr>
          <w:b/>
        </w:rPr>
      </w:pPr>
      <w:r>
        <w:rPr>
          <w:noProof/>
          <w:lang w:eastAsia="en-IE"/>
        </w:rPr>
        <w:drawing>
          <wp:inline distT="0" distB="0" distL="0" distR="0" wp14:anchorId="5CB83A56" wp14:editId="22A2CFFC">
            <wp:extent cx="2927617" cy="2835408"/>
            <wp:effectExtent l="0" t="0" r="25400" b="222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15C20" w:rsidRPr="00B55D77" w:rsidRDefault="00815C20" w:rsidP="00815C20">
      <w:pPr>
        <w:spacing w:line="240" w:lineRule="auto"/>
        <w:rPr>
          <w:i/>
          <w:sz w:val="20"/>
          <w:szCs w:val="20"/>
        </w:rPr>
      </w:pPr>
      <w:r>
        <w:rPr>
          <w:i/>
          <w:sz w:val="20"/>
          <w:szCs w:val="20"/>
        </w:rPr>
        <w:t>Figures 2</w:t>
      </w:r>
      <w:r w:rsidRPr="00B55D77">
        <w:rPr>
          <w:i/>
          <w:sz w:val="20"/>
          <w:szCs w:val="20"/>
        </w:rPr>
        <w:t xml:space="preserve">: Youth drinking pattern, reported </w:t>
      </w:r>
      <w:r>
        <w:rPr>
          <w:i/>
          <w:sz w:val="20"/>
          <w:szCs w:val="20"/>
        </w:rPr>
        <w:t>by</w:t>
      </w:r>
      <w:r w:rsidRPr="00B55D77">
        <w:rPr>
          <w:i/>
          <w:sz w:val="20"/>
          <w:szCs w:val="20"/>
        </w:rPr>
        <w:t xml:space="preserve"> gender and age, based on HBSC surveys from 1998 to 2010.</w:t>
      </w:r>
    </w:p>
    <w:p w:rsidR="00B55D77" w:rsidRDefault="00B55D77" w:rsidP="00815C20">
      <w:pPr>
        <w:ind w:right="-330"/>
        <w:jc w:val="right"/>
        <w:rPr>
          <w:b/>
        </w:rPr>
      </w:pPr>
    </w:p>
    <w:p w:rsidR="00FF0FA2" w:rsidRDefault="00FF0FA2">
      <w:pPr>
        <w:rPr>
          <w:b/>
        </w:rPr>
      </w:pPr>
      <w:r>
        <w:rPr>
          <w:b/>
        </w:rPr>
        <w:br w:type="page"/>
      </w:r>
    </w:p>
    <w:p w:rsidR="00FF0FA2" w:rsidRPr="009F45D0" w:rsidRDefault="00356B3E" w:rsidP="009F45D0">
      <w:pPr>
        <w:spacing w:after="240"/>
        <w:rPr>
          <w:b/>
          <w:sz w:val="28"/>
          <w:szCs w:val="28"/>
          <w:lang w:val="en-GB"/>
        </w:rPr>
      </w:pPr>
      <w:proofErr w:type="gramStart"/>
      <w:r w:rsidRPr="009F45D0">
        <w:rPr>
          <w:b/>
          <w:sz w:val="28"/>
          <w:szCs w:val="28"/>
          <w:lang w:val="en-GB"/>
        </w:rPr>
        <w:lastRenderedPageBreak/>
        <w:t xml:space="preserve">1.2 </w:t>
      </w:r>
      <w:r w:rsidR="009F45D0" w:rsidRPr="009F45D0">
        <w:rPr>
          <w:b/>
          <w:sz w:val="28"/>
          <w:szCs w:val="28"/>
          <w:lang w:val="en-GB"/>
        </w:rPr>
        <w:t xml:space="preserve"> </w:t>
      </w:r>
      <w:r w:rsidR="000B2D2D" w:rsidRPr="009F45D0">
        <w:rPr>
          <w:b/>
          <w:sz w:val="28"/>
          <w:szCs w:val="28"/>
          <w:lang w:val="en-GB"/>
        </w:rPr>
        <w:t>Cost</w:t>
      </w:r>
      <w:proofErr w:type="gramEnd"/>
      <w:r w:rsidR="00D8072D">
        <w:rPr>
          <w:b/>
          <w:sz w:val="28"/>
          <w:szCs w:val="28"/>
          <w:lang w:val="en-GB"/>
        </w:rPr>
        <w:t xml:space="preserve"> to Society</w:t>
      </w:r>
      <w:r w:rsidR="000B2D2D" w:rsidRPr="009F45D0">
        <w:rPr>
          <w:b/>
          <w:sz w:val="28"/>
          <w:szCs w:val="28"/>
          <w:lang w:val="en-GB"/>
        </w:rPr>
        <w:t xml:space="preserve"> of problem alcohol u</w:t>
      </w:r>
      <w:r w:rsidR="00FF0FA2" w:rsidRPr="009F45D0">
        <w:rPr>
          <w:b/>
          <w:sz w:val="28"/>
          <w:szCs w:val="28"/>
          <w:lang w:val="en-GB"/>
        </w:rPr>
        <w:t xml:space="preserve">se in Ireland </w:t>
      </w:r>
    </w:p>
    <w:p w:rsidR="00FF0FA2" w:rsidRPr="00356B3E" w:rsidRDefault="00356B3E" w:rsidP="0045235C">
      <w:pPr>
        <w:spacing w:after="120"/>
        <w:rPr>
          <w:b/>
          <w:sz w:val="24"/>
          <w:szCs w:val="24"/>
          <w:lang w:val="en-GB"/>
        </w:rPr>
      </w:pPr>
      <w:r>
        <w:rPr>
          <w:b/>
          <w:sz w:val="24"/>
          <w:szCs w:val="24"/>
          <w:lang w:val="en-GB"/>
        </w:rPr>
        <w:t>1.2.1</w:t>
      </w:r>
      <w:r w:rsidR="00FF0FA2" w:rsidRPr="00356B3E">
        <w:rPr>
          <w:b/>
          <w:sz w:val="24"/>
          <w:szCs w:val="24"/>
          <w:lang w:val="en-GB"/>
        </w:rPr>
        <w:t xml:space="preserve"> </w:t>
      </w:r>
      <w:r w:rsidR="009F45D0">
        <w:rPr>
          <w:b/>
          <w:sz w:val="24"/>
          <w:szCs w:val="24"/>
          <w:lang w:val="en-GB"/>
        </w:rPr>
        <w:tab/>
      </w:r>
      <w:r w:rsidR="00FF0FA2" w:rsidRPr="00356B3E">
        <w:rPr>
          <w:b/>
          <w:sz w:val="24"/>
          <w:szCs w:val="24"/>
          <w:lang w:val="en-GB"/>
        </w:rPr>
        <w:t xml:space="preserve">The principal social costs of problem alcohol use. </w:t>
      </w:r>
    </w:p>
    <w:p w:rsidR="00356B3E" w:rsidRDefault="00FF0FA2" w:rsidP="0045235C">
      <w:pPr>
        <w:spacing w:after="120"/>
        <w:rPr>
          <w:sz w:val="24"/>
          <w:szCs w:val="24"/>
          <w:lang w:val="en-GB"/>
        </w:rPr>
      </w:pPr>
      <w:r w:rsidRPr="00356B3E">
        <w:rPr>
          <w:sz w:val="24"/>
          <w:szCs w:val="24"/>
          <w:lang w:val="en-GB"/>
        </w:rPr>
        <w:t xml:space="preserve">The links between problem alcohol use and the social costs to which it gives rise are complex and just some of the costs can be estimated with some degree of reliability. Problem alcohol use gives rise to three types of costs: direct costs, indirect costs and intangible costs.  </w:t>
      </w:r>
      <w:r w:rsidRPr="0015458F">
        <w:rPr>
          <w:sz w:val="24"/>
          <w:szCs w:val="24"/>
          <w:u w:val="single"/>
          <w:lang w:val="en-GB"/>
        </w:rPr>
        <w:t>Direct costs</w:t>
      </w:r>
      <w:r w:rsidRPr="00356B3E">
        <w:rPr>
          <w:sz w:val="24"/>
          <w:szCs w:val="24"/>
          <w:lang w:val="en-GB"/>
        </w:rPr>
        <w:t xml:space="preserve"> are borne by the government and therefore by taxpayers and include costs to the health care, criminal justice and welfare systems. </w:t>
      </w:r>
      <w:r w:rsidRPr="0015458F">
        <w:rPr>
          <w:sz w:val="24"/>
          <w:szCs w:val="24"/>
          <w:u w:val="single"/>
          <w:lang w:val="en-GB"/>
        </w:rPr>
        <w:t>Indirect costs</w:t>
      </w:r>
      <w:r w:rsidRPr="00356B3E">
        <w:rPr>
          <w:sz w:val="24"/>
          <w:szCs w:val="24"/>
          <w:lang w:val="en-GB"/>
        </w:rPr>
        <w:t xml:space="preserve"> include lost output through alcohol related absenteeism and output lost due to premature death or disability.  </w:t>
      </w:r>
      <w:r w:rsidRPr="0015458F">
        <w:rPr>
          <w:sz w:val="24"/>
          <w:szCs w:val="24"/>
          <w:u w:val="single"/>
          <w:lang w:val="en-GB"/>
        </w:rPr>
        <w:t>Intangible costs</w:t>
      </w:r>
      <w:r w:rsidRPr="00356B3E">
        <w:rPr>
          <w:sz w:val="24"/>
          <w:szCs w:val="24"/>
          <w:lang w:val="en-GB"/>
        </w:rPr>
        <w:t xml:space="preserve"> are mainly pain and suffering experienced by those who experience alcohol related problems and are the most difficul</w:t>
      </w:r>
      <w:r w:rsidR="00356B3E">
        <w:rPr>
          <w:sz w:val="24"/>
          <w:szCs w:val="24"/>
          <w:lang w:val="en-GB"/>
        </w:rPr>
        <w:t>t category of costs to measure.</w:t>
      </w:r>
    </w:p>
    <w:p w:rsidR="00356B3E" w:rsidRDefault="00FF0FA2" w:rsidP="0045235C">
      <w:pPr>
        <w:spacing w:after="120"/>
        <w:rPr>
          <w:sz w:val="24"/>
          <w:szCs w:val="24"/>
          <w:lang w:val="en-GB"/>
        </w:rPr>
      </w:pPr>
      <w:r w:rsidRPr="00356B3E">
        <w:rPr>
          <w:sz w:val="24"/>
          <w:szCs w:val="24"/>
          <w:lang w:val="en-GB"/>
        </w:rPr>
        <w:t>As the social costs of problem alcohol use are very significant to individuals and to society, there are large potential saving</w:t>
      </w:r>
      <w:r w:rsidR="0015458F">
        <w:rPr>
          <w:sz w:val="24"/>
          <w:szCs w:val="24"/>
          <w:lang w:val="en-GB"/>
        </w:rPr>
        <w:t>s</w:t>
      </w:r>
      <w:r w:rsidRPr="00356B3E">
        <w:rPr>
          <w:sz w:val="24"/>
          <w:szCs w:val="24"/>
          <w:lang w:val="en-GB"/>
        </w:rPr>
        <w:t xml:space="preserve"> not only in money terms but also it terms of reduced suffering and improved quality of life, if those costs can be reduced. Estimates of the cost of problem alcohol use are useful in formulating effective alcohol policies, can identify gaps in national statistic</w:t>
      </w:r>
      <w:r w:rsidR="0015458F">
        <w:rPr>
          <w:sz w:val="24"/>
          <w:szCs w:val="24"/>
          <w:lang w:val="en-GB"/>
        </w:rPr>
        <w:t>al reporting systems and enable</w:t>
      </w:r>
      <w:r w:rsidRPr="00356B3E">
        <w:rPr>
          <w:sz w:val="24"/>
          <w:szCs w:val="24"/>
          <w:lang w:val="en-GB"/>
        </w:rPr>
        <w:t xml:space="preserve"> cross national comparisons. But there are other social costs which are more difficult to estimate. These include the suffering imposed on the families of problem drinkers</w:t>
      </w:r>
      <w:r w:rsidRPr="000B2D2D">
        <w:rPr>
          <w:sz w:val="24"/>
          <w:szCs w:val="24"/>
          <w:lang w:val="en-GB"/>
        </w:rPr>
        <w:t>. McKeon et al (2002) found that of a large sample of married couple</w:t>
      </w:r>
      <w:r w:rsidR="0015458F">
        <w:rPr>
          <w:sz w:val="24"/>
          <w:szCs w:val="24"/>
          <w:lang w:val="en-GB"/>
        </w:rPr>
        <w:t>s</w:t>
      </w:r>
      <w:r w:rsidRPr="000B2D2D">
        <w:rPr>
          <w:sz w:val="24"/>
          <w:szCs w:val="24"/>
          <w:lang w:val="en-GB"/>
        </w:rPr>
        <w:t xml:space="preserve"> seeking counselling, 40% of men and 20% of women, were abusing alcohol. Alcohol is a factor in up to 70% of domestic violence against women (National Crime Council of Ireland, 2006).  As only about 5% of domestic violence cases are prosecuted, the cost of domestic violence does not appear in the cost</w:t>
      </w:r>
      <w:r w:rsidRPr="00356B3E">
        <w:rPr>
          <w:sz w:val="24"/>
          <w:szCs w:val="24"/>
          <w:lang w:val="en-GB"/>
        </w:rPr>
        <w:t xml:space="preserve"> of crime figures.</w:t>
      </w:r>
      <w:r w:rsidR="00356B3E">
        <w:rPr>
          <w:sz w:val="24"/>
          <w:szCs w:val="24"/>
          <w:lang w:val="en-GB"/>
        </w:rPr>
        <w:t xml:space="preserve"> </w:t>
      </w:r>
    </w:p>
    <w:p w:rsidR="00FF0FA2" w:rsidRPr="00356B3E" w:rsidRDefault="00FF0FA2" w:rsidP="0045235C">
      <w:pPr>
        <w:spacing w:after="120"/>
        <w:rPr>
          <w:rFonts w:eastAsia="Times New Roman" w:cs="Times New Roman"/>
          <w:sz w:val="24"/>
          <w:szCs w:val="24"/>
          <w:lang w:eastAsia="en-IE"/>
        </w:rPr>
      </w:pPr>
      <w:r w:rsidRPr="00356B3E">
        <w:rPr>
          <w:rFonts w:eastAsia="Times New Roman" w:cs="Times New Roman"/>
          <w:sz w:val="24"/>
          <w:szCs w:val="24"/>
          <w:lang w:eastAsia="en-IE"/>
        </w:rPr>
        <w:t xml:space="preserve">In estimating the cost of problem alcohol use, it is important to recognise that dependant drinkers who are usually thought of as alcoholics do not impose the largest share of costs on society. While dependent drinkers are more likely to have the largest number health, social and other problems, they account for a relatively small share of the total cost of problem alcohol use to society. </w:t>
      </w:r>
    </w:p>
    <w:p w:rsidR="00FF0FA2" w:rsidRPr="00356B3E" w:rsidRDefault="00FF0FA2" w:rsidP="0045235C">
      <w:pPr>
        <w:spacing w:after="120"/>
        <w:rPr>
          <w:rFonts w:eastAsia="Times New Roman" w:cs="Arial"/>
          <w:sz w:val="24"/>
          <w:szCs w:val="24"/>
          <w:lang w:eastAsia="en-IE"/>
        </w:rPr>
      </w:pPr>
      <w:r w:rsidRPr="00356B3E">
        <w:rPr>
          <w:rFonts w:eastAsia="Times New Roman" w:cs="Times New Roman"/>
          <w:sz w:val="24"/>
          <w:szCs w:val="24"/>
          <w:lang w:eastAsia="en-IE"/>
        </w:rPr>
        <w:t>The pattern of drinking as well as overall consumption affects the social cost of problem alcohol use. In Ireland, a large proportion of the popu</w:t>
      </w:r>
      <w:r w:rsidR="005854C8">
        <w:rPr>
          <w:rFonts w:eastAsia="Times New Roman" w:cs="Times New Roman"/>
          <w:sz w:val="24"/>
          <w:szCs w:val="24"/>
          <w:lang w:eastAsia="en-IE"/>
        </w:rPr>
        <w:t>lation engage in heavy episodic</w:t>
      </w:r>
      <w:r w:rsidRPr="00356B3E">
        <w:rPr>
          <w:rFonts w:eastAsia="Times New Roman" w:cs="Times New Roman"/>
          <w:sz w:val="24"/>
          <w:szCs w:val="24"/>
          <w:lang w:eastAsia="en-IE"/>
        </w:rPr>
        <w:t xml:space="preserve"> drinking (HED) known as ‘binge drinking’</w:t>
      </w:r>
      <w:r w:rsidR="0015458F">
        <w:rPr>
          <w:rFonts w:eastAsia="Times New Roman" w:cs="Times New Roman"/>
          <w:sz w:val="24"/>
          <w:szCs w:val="24"/>
          <w:lang w:eastAsia="en-IE"/>
        </w:rPr>
        <w:t xml:space="preserve"> (Long &amp; Mongan 2014)</w:t>
      </w:r>
      <w:r w:rsidRPr="00356B3E">
        <w:rPr>
          <w:rFonts w:eastAsia="Times New Roman" w:cs="Times New Roman"/>
          <w:sz w:val="24"/>
          <w:szCs w:val="24"/>
          <w:lang w:eastAsia="en-IE"/>
        </w:rPr>
        <w:t xml:space="preserve">, which leads to high costs in terms of violence and accidents. In addition, problem alcohol use imposes costs on people who suffer as a result of the drinking of others. </w:t>
      </w:r>
      <w:r w:rsidRPr="000B2D2D">
        <w:rPr>
          <w:rFonts w:eastAsia="Times New Roman" w:cs="Times New Roman"/>
          <w:sz w:val="24"/>
          <w:szCs w:val="24"/>
          <w:lang w:eastAsia="en-IE"/>
        </w:rPr>
        <w:t>Research by Hope (2014) shows</w:t>
      </w:r>
      <w:r w:rsidRPr="00356B3E">
        <w:rPr>
          <w:rFonts w:eastAsia="Times New Roman" w:cs="Times New Roman"/>
          <w:sz w:val="24"/>
          <w:szCs w:val="24"/>
          <w:lang w:eastAsia="en-IE"/>
        </w:rPr>
        <w:t xml:space="preserve"> that in Ireland </w:t>
      </w:r>
      <w:r w:rsidRPr="00356B3E">
        <w:rPr>
          <w:rFonts w:eastAsia="Times New Roman" w:cs="Arial"/>
          <w:sz w:val="24"/>
          <w:szCs w:val="24"/>
          <w:lang w:eastAsia="en-IE"/>
        </w:rPr>
        <w:t xml:space="preserve">over one quarter of survey respondents reported that they had experienced harm in the previous year as a result of someone else’s drinking.  These harms included family and money problems, assaults, property vandalised and being a passenger with a drunk driver.  Estimating the </w:t>
      </w:r>
      <w:r w:rsidR="0015458F">
        <w:rPr>
          <w:rFonts w:eastAsia="Times New Roman" w:cs="Arial"/>
          <w:sz w:val="24"/>
          <w:szCs w:val="24"/>
          <w:lang w:eastAsia="en-IE"/>
        </w:rPr>
        <w:t xml:space="preserve">full </w:t>
      </w:r>
      <w:r w:rsidRPr="00356B3E">
        <w:rPr>
          <w:rFonts w:eastAsia="Times New Roman" w:cs="Arial"/>
          <w:sz w:val="24"/>
          <w:szCs w:val="24"/>
          <w:lang w:eastAsia="en-IE"/>
        </w:rPr>
        <w:t>cost of harm to others is difficult due to the variety of costs that may be incurred and is not attempted in this paper but will be estimated in future research.</w:t>
      </w:r>
    </w:p>
    <w:p w:rsidR="009F45D0" w:rsidRDefault="009F45D0" w:rsidP="0045235C">
      <w:pPr>
        <w:spacing w:after="120"/>
        <w:rPr>
          <w:rFonts w:eastAsia="Times New Roman" w:cs="Times New Roman"/>
          <w:b/>
          <w:sz w:val="24"/>
          <w:szCs w:val="24"/>
          <w:lang w:eastAsia="en-IE"/>
        </w:rPr>
      </w:pPr>
    </w:p>
    <w:p w:rsidR="009F45D0" w:rsidRDefault="009F45D0" w:rsidP="0045235C">
      <w:pPr>
        <w:spacing w:after="120"/>
        <w:rPr>
          <w:rFonts w:eastAsia="Times New Roman" w:cs="Times New Roman"/>
          <w:b/>
          <w:sz w:val="24"/>
          <w:szCs w:val="24"/>
          <w:lang w:eastAsia="en-IE"/>
        </w:rPr>
      </w:pPr>
    </w:p>
    <w:p w:rsidR="00FF0FA2" w:rsidRPr="00356B3E" w:rsidRDefault="00FF0FA2" w:rsidP="0045235C">
      <w:pPr>
        <w:spacing w:after="120"/>
        <w:rPr>
          <w:rFonts w:eastAsia="Times New Roman" w:cs="Times New Roman"/>
          <w:b/>
          <w:sz w:val="24"/>
          <w:szCs w:val="24"/>
          <w:lang w:eastAsia="en-IE"/>
        </w:rPr>
      </w:pPr>
      <w:r w:rsidRPr="00356B3E">
        <w:rPr>
          <w:rFonts w:eastAsia="Times New Roman" w:cs="Times New Roman"/>
          <w:b/>
          <w:sz w:val="24"/>
          <w:szCs w:val="24"/>
          <w:lang w:eastAsia="en-IE"/>
        </w:rPr>
        <w:lastRenderedPageBreak/>
        <w:t>1.2</w:t>
      </w:r>
      <w:r w:rsidR="00356B3E" w:rsidRPr="00356B3E">
        <w:rPr>
          <w:rFonts w:eastAsia="Times New Roman" w:cs="Times New Roman"/>
          <w:b/>
          <w:sz w:val="24"/>
          <w:szCs w:val="24"/>
          <w:lang w:eastAsia="en-IE"/>
        </w:rPr>
        <w:t>.2</w:t>
      </w:r>
      <w:r w:rsidRPr="00356B3E">
        <w:rPr>
          <w:rFonts w:eastAsia="Times New Roman" w:cs="Times New Roman"/>
          <w:b/>
          <w:sz w:val="24"/>
          <w:szCs w:val="24"/>
          <w:lang w:eastAsia="en-IE"/>
        </w:rPr>
        <w:t xml:space="preserve"> </w:t>
      </w:r>
      <w:r w:rsidR="009F45D0">
        <w:rPr>
          <w:rFonts w:eastAsia="Times New Roman" w:cs="Times New Roman"/>
          <w:b/>
          <w:sz w:val="24"/>
          <w:szCs w:val="24"/>
          <w:lang w:eastAsia="en-IE"/>
        </w:rPr>
        <w:tab/>
      </w:r>
      <w:r w:rsidRPr="00356B3E">
        <w:rPr>
          <w:rFonts w:eastAsia="Times New Roman" w:cs="Times New Roman"/>
          <w:b/>
          <w:sz w:val="24"/>
          <w:szCs w:val="24"/>
          <w:lang w:eastAsia="en-IE"/>
        </w:rPr>
        <w:t xml:space="preserve">Studies of the social cost of problem alcohol use for other countries </w:t>
      </w:r>
    </w:p>
    <w:p w:rsidR="00FF0FA2" w:rsidRPr="00356B3E" w:rsidRDefault="00FF0FA2" w:rsidP="0045235C">
      <w:pPr>
        <w:spacing w:after="120"/>
        <w:rPr>
          <w:rFonts w:eastAsia="Times New Roman" w:cs="Times New Roman"/>
          <w:sz w:val="24"/>
          <w:szCs w:val="24"/>
          <w:lang w:eastAsia="en-IE"/>
        </w:rPr>
      </w:pPr>
      <w:r w:rsidRPr="00356B3E">
        <w:rPr>
          <w:rFonts w:eastAsia="Times New Roman" w:cs="Times New Roman"/>
          <w:sz w:val="24"/>
          <w:szCs w:val="24"/>
          <w:lang w:eastAsia="en-IE"/>
        </w:rPr>
        <w:t>Beginning in the 1970s</w:t>
      </w:r>
      <w:r w:rsidR="0015458F">
        <w:rPr>
          <w:rFonts w:eastAsia="Times New Roman" w:cs="Times New Roman"/>
          <w:sz w:val="24"/>
          <w:szCs w:val="24"/>
          <w:lang w:eastAsia="en-IE"/>
        </w:rPr>
        <w:t>,</w:t>
      </w:r>
      <w:r w:rsidRPr="00356B3E">
        <w:rPr>
          <w:rFonts w:eastAsia="Times New Roman" w:cs="Times New Roman"/>
          <w:sz w:val="24"/>
          <w:szCs w:val="24"/>
          <w:lang w:eastAsia="en-IE"/>
        </w:rPr>
        <w:t xml:space="preserve"> many governments in developed countries began to recognise the costs to society of problem alcohol use and commissioned studies of these costs. The studies from which the estimates are derived vary widely in terms of methodology and reliability of data. In their report to the EU Commission; </w:t>
      </w:r>
      <w:r w:rsidRPr="00356B3E">
        <w:rPr>
          <w:rFonts w:eastAsia="Times New Roman" w:cs="Times New Roman"/>
          <w:i/>
          <w:sz w:val="24"/>
          <w:szCs w:val="24"/>
          <w:lang w:eastAsia="en-IE"/>
        </w:rPr>
        <w:t>Alcohol in Europe: A Public Health Perspective</w:t>
      </w:r>
      <w:r w:rsidRPr="00356B3E">
        <w:rPr>
          <w:rFonts w:eastAsia="Times New Roman" w:cs="Times New Roman"/>
          <w:sz w:val="24"/>
          <w:szCs w:val="24"/>
          <w:lang w:eastAsia="en-IE"/>
        </w:rPr>
        <w:t xml:space="preserve">, </w:t>
      </w:r>
      <w:r w:rsidR="00FD1B1D">
        <w:rPr>
          <w:rFonts w:eastAsia="Times New Roman" w:cs="Times New Roman"/>
          <w:sz w:val="24"/>
          <w:szCs w:val="24"/>
          <w:lang w:eastAsia="en-IE"/>
        </w:rPr>
        <w:t xml:space="preserve">Anderson </w:t>
      </w:r>
      <w:r w:rsidR="00FD1B1D" w:rsidRPr="000B2D2D">
        <w:rPr>
          <w:rFonts w:eastAsia="Times New Roman" w:cs="Times New Roman"/>
          <w:sz w:val="24"/>
          <w:szCs w:val="24"/>
          <w:lang w:eastAsia="en-IE"/>
        </w:rPr>
        <w:t xml:space="preserve">and </w:t>
      </w:r>
      <w:proofErr w:type="spellStart"/>
      <w:r w:rsidR="00FD1B1D" w:rsidRPr="000B2D2D">
        <w:rPr>
          <w:rFonts w:eastAsia="Times New Roman" w:cs="Times New Roman"/>
          <w:sz w:val="24"/>
          <w:szCs w:val="24"/>
          <w:lang w:eastAsia="en-IE"/>
        </w:rPr>
        <w:t>Baumberg</w:t>
      </w:r>
      <w:proofErr w:type="spellEnd"/>
      <w:r w:rsidRPr="000B2D2D">
        <w:rPr>
          <w:rFonts w:eastAsia="Times New Roman" w:cs="Times New Roman"/>
          <w:sz w:val="24"/>
          <w:szCs w:val="24"/>
          <w:lang w:eastAsia="en-IE"/>
        </w:rPr>
        <w:t xml:space="preserve"> (2006) reviewed</w:t>
      </w:r>
      <w:r w:rsidRPr="00356B3E">
        <w:rPr>
          <w:rFonts w:eastAsia="Times New Roman" w:cs="Times New Roman"/>
          <w:sz w:val="24"/>
          <w:szCs w:val="24"/>
          <w:lang w:eastAsia="en-IE"/>
        </w:rPr>
        <w:t xml:space="preserve"> 21 European studies of the social costs of alcohol. Summarising the conclusions of these studies, </w:t>
      </w:r>
      <w:r w:rsidR="00FD1B1D">
        <w:rPr>
          <w:rFonts w:eastAsia="Times New Roman" w:cs="Times New Roman"/>
          <w:sz w:val="24"/>
          <w:szCs w:val="24"/>
          <w:lang w:eastAsia="en-IE"/>
        </w:rPr>
        <w:t xml:space="preserve">Anderson and </w:t>
      </w:r>
      <w:proofErr w:type="spellStart"/>
      <w:proofErr w:type="gramStart"/>
      <w:r w:rsidR="00FD1B1D">
        <w:rPr>
          <w:rFonts w:eastAsia="Times New Roman" w:cs="Times New Roman"/>
          <w:sz w:val="24"/>
          <w:szCs w:val="24"/>
          <w:lang w:eastAsia="en-IE"/>
        </w:rPr>
        <w:t>Baumberg</w:t>
      </w:r>
      <w:proofErr w:type="spellEnd"/>
      <w:r w:rsidR="00FD1B1D">
        <w:rPr>
          <w:rFonts w:eastAsia="Times New Roman" w:cs="Times New Roman"/>
          <w:sz w:val="24"/>
          <w:szCs w:val="24"/>
          <w:lang w:eastAsia="en-IE"/>
        </w:rPr>
        <w:t xml:space="preserve"> </w:t>
      </w:r>
      <w:r w:rsidRPr="00356B3E">
        <w:rPr>
          <w:rFonts w:eastAsia="Times New Roman" w:cs="Times New Roman"/>
          <w:sz w:val="24"/>
          <w:szCs w:val="24"/>
          <w:lang w:eastAsia="en-IE"/>
        </w:rPr>
        <w:t xml:space="preserve"> arrived</w:t>
      </w:r>
      <w:proofErr w:type="gramEnd"/>
      <w:r w:rsidRPr="00356B3E">
        <w:rPr>
          <w:rFonts w:eastAsia="Times New Roman" w:cs="Times New Roman"/>
          <w:sz w:val="24"/>
          <w:szCs w:val="24"/>
          <w:lang w:eastAsia="en-IE"/>
        </w:rPr>
        <w:t xml:space="preserve"> at a total tangible cost of alcohol to the European Union of 1.3% of GDP with a range of 0.9% to 2.4% for individual countries. The costs included in </w:t>
      </w:r>
      <w:r w:rsidR="00FD1B1D">
        <w:rPr>
          <w:rFonts w:eastAsia="Times New Roman" w:cs="Times New Roman"/>
          <w:sz w:val="24"/>
          <w:szCs w:val="24"/>
          <w:lang w:eastAsia="en-IE"/>
        </w:rPr>
        <w:t xml:space="preserve">Anderson and </w:t>
      </w:r>
      <w:proofErr w:type="spellStart"/>
      <w:r w:rsidRPr="00356B3E">
        <w:rPr>
          <w:rFonts w:eastAsia="Times New Roman" w:cs="Times New Roman"/>
          <w:sz w:val="24"/>
          <w:szCs w:val="24"/>
          <w:lang w:eastAsia="en-IE"/>
        </w:rPr>
        <w:t>Baumberg</w:t>
      </w:r>
      <w:r w:rsidR="00FD1B1D">
        <w:rPr>
          <w:rFonts w:eastAsia="Times New Roman" w:cs="Times New Roman"/>
          <w:sz w:val="24"/>
          <w:szCs w:val="24"/>
          <w:lang w:eastAsia="en-IE"/>
        </w:rPr>
        <w:t>’s</w:t>
      </w:r>
      <w:proofErr w:type="spellEnd"/>
      <w:r w:rsidR="00FD1B1D">
        <w:rPr>
          <w:rFonts w:eastAsia="Times New Roman" w:cs="Times New Roman"/>
          <w:sz w:val="24"/>
          <w:szCs w:val="24"/>
          <w:lang w:eastAsia="en-IE"/>
        </w:rPr>
        <w:t xml:space="preserve"> </w:t>
      </w:r>
      <w:r w:rsidRPr="00356B3E">
        <w:rPr>
          <w:rFonts w:eastAsia="Times New Roman" w:cs="Times New Roman"/>
          <w:sz w:val="24"/>
          <w:szCs w:val="24"/>
          <w:lang w:eastAsia="en-IE"/>
        </w:rPr>
        <w:t xml:space="preserve"> report are: costs to the health care system, the cost of alcohol related crime, the cost of alcohol related traffic accidents, the cost of alcohol induced unemployment and absenteeism and the cost of alcohol related premature mortality. </w:t>
      </w:r>
    </w:p>
    <w:p w:rsidR="00FF0FA2" w:rsidRPr="00356B3E" w:rsidRDefault="00FF0FA2" w:rsidP="0045235C">
      <w:pPr>
        <w:spacing w:after="120"/>
        <w:rPr>
          <w:rFonts w:eastAsia="Times New Roman" w:cs="Times New Roman"/>
          <w:sz w:val="24"/>
          <w:szCs w:val="24"/>
          <w:lang w:eastAsia="en-IE"/>
        </w:rPr>
      </w:pPr>
      <w:r w:rsidRPr="00356B3E">
        <w:rPr>
          <w:rFonts w:eastAsia="Times New Roman" w:cs="Times New Roman"/>
          <w:sz w:val="24"/>
          <w:szCs w:val="24"/>
          <w:lang w:eastAsia="en-IE"/>
        </w:rPr>
        <w:t xml:space="preserve">The cost studies from other countries most relevant to Ireland are those for the UK and Northern Ireland as the patterns of problem drinking in those countries are similar to those in </w:t>
      </w:r>
      <w:r w:rsidRPr="000B2D2D">
        <w:rPr>
          <w:rFonts w:eastAsia="Times New Roman" w:cs="Times New Roman"/>
          <w:sz w:val="24"/>
          <w:szCs w:val="24"/>
          <w:lang w:eastAsia="en-IE"/>
        </w:rPr>
        <w:t xml:space="preserve">Ireland. Those studies are:  UK Cabinet Office report </w:t>
      </w:r>
      <w:r w:rsidRPr="000B2D2D">
        <w:rPr>
          <w:rFonts w:eastAsia="Times New Roman" w:cs="Times New Roman"/>
          <w:i/>
          <w:sz w:val="24"/>
          <w:szCs w:val="24"/>
          <w:lang w:eastAsia="en-IE"/>
        </w:rPr>
        <w:t>Alcohol misuse – How much does it cost</w:t>
      </w:r>
      <w:r w:rsidRPr="000B2D2D">
        <w:rPr>
          <w:rFonts w:eastAsia="Times New Roman" w:cs="Times New Roman"/>
          <w:sz w:val="24"/>
          <w:szCs w:val="24"/>
          <w:lang w:eastAsia="en-IE"/>
        </w:rPr>
        <w:t xml:space="preserve">? ( 2003) and the Scottish Executive’s </w:t>
      </w:r>
      <w:r w:rsidRPr="000B2D2D">
        <w:rPr>
          <w:rFonts w:eastAsia="Times New Roman" w:cs="Times New Roman"/>
          <w:i/>
          <w:sz w:val="24"/>
          <w:szCs w:val="24"/>
          <w:lang w:eastAsia="en-IE"/>
        </w:rPr>
        <w:t>Alcohol Misuse in Scotland; Trends and Costs (</w:t>
      </w:r>
      <w:r w:rsidRPr="000B2D2D">
        <w:rPr>
          <w:rFonts w:eastAsia="Times New Roman" w:cs="Times New Roman"/>
          <w:sz w:val="24"/>
          <w:szCs w:val="24"/>
          <w:lang w:eastAsia="en-IE"/>
        </w:rPr>
        <w:t>2001).Those studies attempt to comprehensively assess the costs to society in England and Wales</w:t>
      </w:r>
      <w:r w:rsidRPr="00356B3E">
        <w:rPr>
          <w:rFonts w:eastAsia="Times New Roman" w:cs="Times New Roman"/>
          <w:sz w:val="24"/>
          <w:szCs w:val="24"/>
          <w:lang w:eastAsia="en-IE"/>
        </w:rPr>
        <w:t xml:space="preserve"> and in Scotland. Both studies estimate health costs, costs of alcohol related crime and accidents and costs of lost output due to alcohol. The Scottish study also estimates the human costs of problem alcohol use to those whose lives are affected by it other than the drinker. A comprehensive report on the costs of problem alcohol use in Northern Ireland was published in 2010. </w:t>
      </w:r>
      <w:proofErr w:type="gramStart"/>
      <w:r w:rsidRPr="000B2D2D">
        <w:rPr>
          <w:rFonts w:eastAsia="Times New Roman" w:cs="Times New Roman"/>
          <w:sz w:val="24"/>
          <w:szCs w:val="24"/>
          <w:lang w:eastAsia="en-IE"/>
        </w:rPr>
        <w:t>(Department of Health, Social Services and Public Safety in Northern Ireland, 2010).</w:t>
      </w:r>
      <w:proofErr w:type="gramEnd"/>
      <w:r w:rsidRPr="000B2D2D">
        <w:rPr>
          <w:rFonts w:eastAsia="Times New Roman" w:cs="Times New Roman"/>
          <w:sz w:val="24"/>
          <w:szCs w:val="24"/>
          <w:lang w:eastAsia="en-IE"/>
        </w:rPr>
        <w:t xml:space="preserve"> The No</w:t>
      </w:r>
      <w:r w:rsidRPr="00356B3E">
        <w:rPr>
          <w:rFonts w:eastAsia="Times New Roman" w:cs="Times New Roman"/>
          <w:sz w:val="24"/>
          <w:szCs w:val="24"/>
          <w:lang w:eastAsia="en-IE"/>
        </w:rPr>
        <w:t xml:space="preserve">rthern Ireland study uses a similar methodology to the Scottish study. </w:t>
      </w:r>
    </w:p>
    <w:p w:rsidR="00FF0FA2" w:rsidRPr="00356B3E" w:rsidRDefault="00FF0FA2" w:rsidP="0045235C">
      <w:pPr>
        <w:spacing w:after="120"/>
        <w:rPr>
          <w:rFonts w:eastAsia="Times New Roman" w:cs="Times New Roman"/>
          <w:b/>
          <w:sz w:val="24"/>
          <w:szCs w:val="24"/>
          <w:lang w:eastAsia="en-IE"/>
        </w:rPr>
      </w:pPr>
      <w:r w:rsidRPr="00356B3E">
        <w:rPr>
          <w:rFonts w:eastAsia="Times New Roman" w:cs="Times New Roman"/>
          <w:b/>
          <w:sz w:val="24"/>
          <w:szCs w:val="24"/>
          <w:lang w:eastAsia="en-IE"/>
        </w:rPr>
        <w:t>1.</w:t>
      </w:r>
      <w:r w:rsidR="00356B3E" w:rsidRPr="00356B3E">
        <w:rPr>
          <w:rFonts w:eastAsia="Times New Roman" w:cs="Times New Roman"/>
          <w:b/>
          <w:sz w:val="24"/>
          <w:szCs w:val="24"/>
          <w:lang w:eastAsia="en-IE"/>
        </w:rPr>
        <w:t>2.</w:t>
      </w:r>
      <w:r w:rsidRPr="00356B3E">
        <w:rPr>
          <w:rFonts w:eastAsia="Times New Roman" w:cs="Times New Roman"/>
          <w:b/>
          <w:sz w:val="24"/>
          <w:szCs w:val="24"/>
          <w:lang w:eastAsia="en-IE"/>
        </w:rPr>
        <w:t xml:space="preserve">3 </w:t>
      </w:r>
      <w:r w:rsidR="009F45D0">
        <w:rPr>
          <w:rFonts w:eastAsia="Times New Roman" w:cs="Times New Roman"/>
          <w:b/>
          <w:sz w:val="24"/>
          <w:szCs w:val="24"/>
          <w:lang w:eastAsia="en-IE"/>
        </w:rPr>
        <w:tab/>
      </w:r>
      <w:r w:rsidRPr="00356B3E">
        <w:rPr>
          <w:rFonts w:eastAsia="Times New Roman" w:cs="Times New Roman"/>
          <w:b/>
          <w:sz w:val="24"/>
          <w:szCs w:val="24"/>
          <w:lang w:eastAsia="en-IE"/>
        </w:rPr>
        <w:t>Methodology of cost estimates</w:t>
      </w:r>
    </w:p>
    <w:p w:rsidR="00FF0FA2" w:rsidRPr="00356B3E" w:rsidRDefault="00FF0FA2" w:rsidP="0045235C">
      <w:pPr>
        <w:spacing w:after="120"/>
        <w:rPr>
          <w:rFonts w:eastAsia="Times New Roman" w:cs="Times New Roman"/>
          <w:sz w:val="24"/>
          <w:szCs w:val="24"/>
          <w:lang w:eastAsia="en-IE"/>
        </w:rPr>
      </w:pPr>
      <w:r w:rsidRPr="00356B3E">
        <w:rPr>
          <w:rFonts w:eastAsia="Times New Roman" w:cs="Times New Roman"/>
          <w:sz w:val="24"/>
          <w:szCs w:val="24"/>
          <w:lang w:eastAsia="en-IE"/>
        </w:rPr>
        <w:t xml:space="preserve">If adequate data were collected, it would be relatively straightforward to measure the direct costs of problem alcohol use to the healthcare and criminal justice system and the costs of alcohol related road accidents.  Those who engage in hazardous and harmful drinking often deny their problem alcohol use, even to themselves, so there is considerable underreporting of the role of alcohol in illness and accidents and even in crime. Some costs of problem alcohol use in Ireland must therefore be estimated using information gathered in studies in England and </w:t>
      </w:r>
      <w:r w:rsidRPr="000B2D2D">
        <w:rPr>
          <w:rFonts w:eastAsia="Times New Roman" w:cs="Times New Roman"/>
          <w:sz w:val="24"/>
          <w:szCs w:val="24"/>
          <w:lang w:eastAsia="en-IE"/>
        </w:rPr>
        <w:t>Wales (Cabinet Office 2003), Scotland (2001) and Northern Ireland (2010).  This is the approach taken in Byrne (2010) and</w:t>
      </w:r>
      <w:r w:rsidRPr="00356B3E">
        <w:rPr>
          <w:rFonts w:eastAsia="Times New Roman" w:cs="Times New Roman"/>
          <w:sz w:val="24"/>
          <w:szCs w:val="24"/>
          <w:lang w:eastAsia="en-IE"/>
        </w:rPr>
        <w:t xml:space="preserve"> is used in this paper</w:t>
      </w:r>
      <w:r w:rsidR="0015458F">
        <w:rPr>
          <w:rFonts w:eastAsia="Times New Roman" w:cs="Times New Roman"/>
          <w:sz w:val="24"/>
          <w:szCs w:val="24"/>
          <w:lang w:eastAsia="en-IE"/>
        </w:rPr>
        <w:t>,</w:t>
      </w:r>
      <w:r w:rsidRPr="00356B3E">
        <w:rPr>
          <w:rFonts w:eastAsia="Times New Roman" w:cs="Times New Roman"/>
          <w:sz w:val="24"/>
          <w:szCs w:val="24"/>
          <w:lang w:eastAsia="en-IE"/>
        </w:rPr>
        <w:t xml:space="preserve"> which is largely an updating of the estimates in Byrne’s paper.</w:t>
      </w:r>
    </w:p>
    <w:p w:rsidR="00FF0FA2" w:rsidRPr="00356B3E" w:rsidRDefault="00356B3E" w:rsidP="0045235C">
      <w:pPr>
        <w:spacing w:after="120"/>
        <w:rPr>
          <w:rFonts w:eastAsia="Times New Roman" w:cs="Times New Roman"/>
          <w:b/>
          <w:sz w:val="24"/>
          <w:szCs w:val="24"/>
          <w:lang w:eastAsia="en-IE"/>
        </w:rPr>
      </w:pPr>
      <w:r w:rsidRPr="00356B3E">
        <w:rPr>
          <w:rFonts w:eastAsia="Times New Roman" w:cs="Times New Roman"/>
          <w:b/>
          <w:sz w:val="24"/>
          <w:szCs w:val="24"/>
          <w:lang w:eastAsia="en-IE"/>
        </w:rPr>
        <w:t>1.</w:t>
      </w:r>
      <w:r w:rsidR="000B2D2D">
        <w:rPr>
          <w:rFonts w:eastAsia="Times New Roman" w:cs="Times New Roman"/>
          <w:b/>
          <w:sz w:val="24"/>
          <w:szCs w:val="24"/>
          <w:lang w:eastAsia="en-IE"/>
        </w:rPr>
        <w:t>2.4</w:t>
      </w:r>
      <w:r w:rsidR="009F45D0">
        <w:rPr>
          <w:rFonts w:eastAsia="Times New Roman" w:cs="Times New Roman"/>
          <w:b/>
          <w:sz w:val="24"/>
          <w:szCs w:val="24"/>
          <w:lang w:eastAsia="en-IE"/>
        </w:rPr>
        <w:t xml:space="preserve">  </w:t>
      </w:r>
      <w:r w:rsidR="009F45D0">
        <w:rPr>
          <w:rFonts w:eastAsia="Times New Roman" w:cs="Times New Roman"/>
          <w:b/>
          <w:sz w:val="24"/>
          <w:szCs w:val="24"/>
          <w:lang w:eastAsia="en-IE"/>
        </w:rPr>
        <w:tab/>
      </w:r>
      <w:r w:rsidR="00FF0FA2" w:rsidRPr="00356B3E">
        <w:rPr>
          <w:rFonts w:eastAsia="Times New Roman" w:cs="Times New Roman"/>
          <w:b/>
          <w:sz w:val="24"/>
          <w:szCs w:val="24"/>
          <w:lang w:eastAsia="en-IE"/>
        </w:rPr>
        <w:t>Costs to the health care system of problem alcohol use</w:t>
      </w:r>
    </w:p>
    <w:p w:rsidR="004D7941" w:rsidRPr="00A316D3" w:rsidRDefault="004D7941" w:rsidP="004D7941">
      <w:pPr>
        <w:rPr>
          <w:rFonts w:eastAsia="Times New Roman" w:cs="Times New Roman"/>
          <w:sz w:val="24"/>
          <w:szCs w:val="24"/>
          <w:lang w:eastAsia="en-IE"/>
        </w:rPr>
      </w:pPr>
      <w:r w:rsidRPr="004D7941">
        <w:rPr>
          <w:rFonts w:eastAsia="Times New Roman" w:cs="Times New Roman"/>
          <w:sz w:val="24"/>
          <w:szCs w:val="24"/>
          <w:lang w:eastAsia="en-IE"/>
        </w:rPr>
        <w:t>The International Classification of Diseases lists nine conditions that are 100% attributable to alcohol and a further thirty conditions that are partly attributable to problem alcohol use. The WHO’s Global Burden of Disease shows alcohol to be the third most significant risk factor for ill health and premature death after t</w:t>
      </w:r>
      <w:r w:rsidR="00A316D3">
        <w:rPr>
          <w:rFonts w:eastAsia="Times New Roman" w:cs="Times New Roman"/>
          <w:sz w:val="24"/>
          <w:szCs w:val="24"/>
          <w:lang w:eastAsia="en-IE"/>
        </w:rPr>
        <w:t xml:space="preserve">obacco and high blood pressure.  </w:t>
      </w:r>
      <w:r w:rsidRPr="000B2D2D">
        <w:rPr>
          <w:rFonts w:eastAsia="Times New Roman" w:cs="Times New Roman"/>
          <w:sz w:val="24"/>
          <w:szCs w:val="24"/>
          <w:lang w:eastAsia="en-IE"/>
        </w:rPr>
        <w:t xml:space="preserve">Drinking </w:t>
      </w:r>
      <w:r w:rsidRPr="00A316D3">
        <w:rPr>
          <w:rFonts w:eastAsia="Times New Roman" w:cs="Times New Roman"/>
          <w:sz w:val="24"/>
          <w:szCs w:val="24"/>
          <w:lang w:eastAsia="en-IE"/>
        </w:rPr>
        <w:lastRenderedPageBreak/>
        <w:t xml:space="preserve">alcohol is associated with a risk of developing such health problems as alcohol dependence, liver cirrhosis, cancer and injuries. </w:t>
      </w:r>
    </w:p>
    <w:p w:rsidR="004D7941" w:rsidRPr="00A316D3" w:rsidRDefault="004D7941" w:rsidP="004D7941">
      <w:pPr>
        <w:rPr>
          <w:rFonts w:eastAsia="Times New Roman" w:cs="Times New Roman"/>
          <w:sz w:val="24"/>
          <w:szCs w:val="24"/>
          <w:lang w:eastAsia="en-IE"/>
        </w:rPr>
      </w:pPr>
      <w:r w:rsidRPr="00A316D3">
        <w:rPr>
          <w:rFonts w:eastAsia="Times New Roman" w:cs="Times New Roman"/>
          <w:sz w:val="24"/>
          <w:szCs w:val="24"/>
          <w:lang w:eastAsia="en-IE"/>
        </w:rPr>
        <w:t xml:space="preserve">Alcohol misuse therefore places a heavy cost burden on public health care.  The Irish studies showing the extent of this burden are summarised in Byrne (2010).  Based on Irish studies of the extent of alcohol related use of health services, Byrne estimates that 10% of the cost of general hospital services, 7% of the cost primary care and 10% of the cost of mental health services are attributable to alcohol misuse. </w:t>
      </w:r>
    </w:p>
    <w:p w:rsidR="004D7941" w:rsidRPr="00A316D3" w:rsidRDefault="004D7941" w:rsidP="004D7941">
      <w:pPr>
        <w:rPr>
          <w:rFonts w:eastAsia="Times New Roman" w:cs="Times New Roman"/>
          <w:sz w:val="24"/>
          <w:szCs w:val="24"/>
          <w:lang w:eastAsia="en-IE"/>
        </w:rPr>
      </w:pPr>
      <w:r w:rsidRPr="00A316D3">
        <w:rPr>
          <w:rFonts w:eastAsia="Times New Roman" w:cs="Times New Roman"/>
          <w:sz w:val="24"/>
          <w:szCs w:val="24"/>
          <w:lang w:eastAsia="en-IE"/>
        </w:rPr>
        <w:t xml:space="preserve">For 2013, 10% of the cost of acute hospitals was €411 million, 7% of the cost of primary care was €214 million while 10% of the cost of mental health service was €73 million.    </w:t>
      </w:r>
    </w:p>
    <w:p w:rsidR="004D7941" w:rsidRPr="00A316D3" w:rsidRDefault="004D7941" w:rsidP="004D7941">
      <w:pPr>
        <w:rPr>
          <w:rFonts w:eastAsia="Times New Roman" w:cs="Arial"/>
          <w:sz w:val="24"/>
          <w:szCs w:val="24"/>
          <w:lang w:eastAsia="en-IE"/>
        </w:rPr>
      </w:pPr>
      <w:r w:rsidRPr="00A316D3">
        <w:rPr>
          <w:rFonts w:eastAsia="Times New Roman" w:cs="Times New Roman"/>
          <w:sz w:val="24"/>
          <w:szCs w:val="24"/>
          <w:lang w:eastAsia="en-IE"/>
        </w:rPr>
        <w:t xml:space="preserve">As Hope’s  study of alcohol related harm to other’s (Hope, 2014) </w:t>
      </w:r>
      <w:r w:rsidRPr="00A316D3">
        <w:rPr>
          <w:rFonts w:eastAsia="Times New Roman" w:cs="Arial"/>
          <w:sz w:val="24"/>
          <w:szCs w:val="24"/>
          <w:lang w:eastAsia="en-IE"/>
        </w:rPr>
        <w:t xml:space="preserve">one in ten adults reported that children for whom they have parental responsibility experienced at least one or more  alcohol related arms as a result of someone else’s drinking.   Children who experience such harms are very likely to require the services funded under the allocation for children and families in the HSE’s budget. </w:t>
      </w:r>
      <w:r w:rsidR="00A316D3" w:rsidRPr="00A316D3">
        <w:rPr>
          <w:rFonts w:eastAsia="Times New Roman" w:cs="Arial"/>
          <w:sz w:val="24"/>
          <w:szCs w:val="24"/>
          <w:lang w:eastAsia="en-IE"/>
        </w:rPr>
        <w:t>Ten per cent</w:t>
      </w:r>
      <w:r w:rsidRPr="00A316D3">
        <w:rPr>
          <w:rFonts w:eastAsia="Times New Roman" w:cs="Arial"/>
          <w:sz w:val="24"/>
          <w:szCs w:val="24"/>
          <w:lang w:eastAsia="en-IE"/>
        </w:rPr>
        <w:t xml:space="preserve"> of the total allocated by the HSE for spending on children and families for 2013 is €54 million.  It </w:t>
      </w:r>
      <w:r w:rsidR="00A316D3" w:rsidRPr="00A316D3">
        <w:rPr>
          <w:rFonts w:eastAsia="Times New Roman" w:cs="Arial"/>
          <w:sz w:val="24"/>
          <w:szCs w:val="24"/>
          <w:lang w:eastAsia="en-IE"/>
        </w:rPr>
        <w:t>i</w:t>
      </w:r>
      <w:r w:rsidRPr="00A316D3">
        <w:rPr>
          <w:rFonts w:eastAsia="Times New Roman" w:cs="Arial"/>
          <w:sz w:val="24"/>
          <w:szCs w:val="24"/>
          <w:lang w:eastAsia="en-IE"/>
        </w:rPr>
        <w:t xml:space="preserve">s likely that 10% of spending by the Department of Children and Youth Affairs also relate to alcohol related interventions. This figure is €41 million for 2013. </w:t>
      </w:r>
    </w:p>
    <w:p w:rsidR="00FF0FA2" w:rsidRPr="00A316D3" w:rsidRDefault="004D7941" w:rsidP="00A316D3">
      <w:pPr>
        <w:rPr>
          <w:rFonts w:eastAsia="Times New Roman" w:cs="Arial"/>
          <w:sz w:val="24"/>
          <w:szCs w:val="24"/>
          <w:lang w:eastAsia="en-IE"/>
        </w:rPr>
      </w:pPr>
      <w:r w:rsidRPr="00A316D3">
        <w:rPr>
          <w:rFonts w:eastAsia="Times New Roman" w:cs="Arial"/>
          <w:sz w:val="24"/>
          <w:szCs w:val="24"/>
          <w:lang w:eastAsia="en-IE"/>
        </w:rPr>
        <w:t>The total figure for health and social care expenditure related to alcohol misuse in 2013 is €793 million.  While this represents a decrease from Byrne’s figure for 2007 of €1.3 billion this does not indicate a reduction in alcohol related demands on the health service but is mainly due to significant reductions in government s</w:t>
      </w:r>
      <w:r w:rsidR="00A316D3" w:rsidRPr="00A316D3">
        <w:rPr>
          <w:rFonts w:eastAsia="Times New Roman" w:cs="Arial"/>
          <w:sz w:val="24"/>
          <w:szCs w:val="24"/>
          <w:lang w:eastAsia="en-IE"/>
        </w:rPr>
        <w:t>pending on health since 2007.</w:t>
      </w:r>
    </w:p>
    <w:tbl>
      <w:tblPr>
        <w:tblStyle w:val="TableGrid"/>
        <w:tblW w:w="0" w:type="auto"/>
        <w:tblLook w:val="04A0" w:firstRow="1" w:lastRow="0" w:firstColumn="1" w:lastColumn="0" w:noHBand="0" w:noVBand="1"/>
      </w:tblPr>
      <w:tblGrid>
        <w:gridCol w:w="5778"/>
        <w:gridCol w:w="3464"/>
      </w:tblGrid>
      <w:tr w:rsidR="00FF0FA2" w:rsidRPr="00233C29" w:rsidTr="00FF0FA2">
        <w:tc>
          <w:tcPr>
            <w:tcW w:w="5778" w:type="dxa"/>
          </w:tcPr>
          <w:p w:rsidR="00FF0FA2" w:rsidRPr="00A214A4" w:rsidRDefault="00FF0FA2" w:rsidP="00FF0FA2">
            <w:pPr>
              <w:rPr>
                <w:rFonts w:eastAsia="Times New Roman" w:cs="Arial"/>
                <w:b/>
                <w:lang w:eastAsia="en-IE"/>
              </w:rPr>
            </w:pPr>
            <w:r w:rsidRPr="00A214A4">
              <w:rPr>
                <w:rFonts w:eastAsia="Times New Roman" w:cs="Arial"/>
                <w:b/>
                <w:lang w:eastAsia="en-IE"/>
              </w:rPr>
              <w:t>Costs to the Health care system related to alcohol in 2013</w:t>
            </w:r>
          </w:p>
        </w:tc>
        <w:tc>
          <w:tcPr>
            <w:tcW w:w="3464" w:type="dxa"/>
          </w:tcPr>
          <w:p w:rsidR="00FF0FA2" w:rsidRPr="00A214A4" w:rsidRDefault="00FF0FA2" w:rsidP="00FF0FA2">
            <w:pPr>
              <w:rPr>
                <w:rFonts w:eastAsia="Times New Roman" w:cs="Arial"/>
                <w:b/>
                <w:lang w:eastAsia="en-IE"/>
              </w:rPr>
            </w:pPr>
          </w:p>
        </w:tc>
      </w:tr>
      <w:tr w:rsidR="00FF0FA2" w:rsidRPr="00233C29" w:rsidTr="00FF0FA2">
        <w:tc>
          <w:tcPr>
            <w:tcW w:w="5778" w:type="dxa"/>
          </w:tcPr>
          <w:p w:rsidR="00FF0FA2" w:rsidRPr="00233C29" w:rsidRDefault="00FF0FA2" w:rsidP="00FF0FA2">
            <w:pPr>
              <w:rPr>
                <w:rFonts w:eastAsia="Times New Roman" w:cs="Arial"/>
                <w:lang w:eastAsia="en-IE"/>
              </w:rPr>
            </w:pPr>
            <w:r w:rsidRPr="00233C29">
              <w:rPr>
                <w:rFonts w:eastAsia="Times New Roman" w:cs="Arial"/>
                <w:lang w:eastAsia="en-IE"/>
              </w:rPr>
              <w:t>Cost of general acute hospital services related to problem alcohol use (10%)</w:t>
            </w:r>
          </w:p>
        </w:tc>
        <w:tc>
          <w:tcPr>
            <w:tcW w:w="3464" w:type="dxa"/>
          </w:tcPr>
          <w:p w:rsidR="00FF0FA2" w:rsidRPr="00233C29" w:rsidRDefault="00FF0FA2" w:rsidP="00FF0FA2">
            <w:pPr>
              <w:rPr>
                <w:rFonts w:eastAsia="Times New Roman" w:cs="Arial"/>
                <w:lang w:eastAsia="en-IE"/>
              </w:rPr>
            </w:pPr>
            <w:r w:rsidRPr="00233C29">
              <w:rPr>
                <w:rFonts w:eastAsia="Times New Roman" w:cs="Arial"/>
                <w:lang w:eastAsia="en-IE"/>
              </w:rPr>
              <w:t>€411mn</w:t>
            </w:r>
          </w:p>
        </w:tc>
      </w:tr>
      <w:tr w:rsidR="00FF0FA2" w:rsidRPr="00233C29" w:rsidTr="00FF0FA2">
        <w:tc>
          <w:tcPr>
            <w:tcW w:w="5778" w:type="dxa"/>
          </w:tcPr>
          <w:p w:rsidR="00FF0FA2" w:rsidRPr="00233C29" w:rsidRDefault="00FF0FA2" w:rsidP="00FF0FA2">
            <w:pPr>
              <w:rPr>
                <w:rFonts w:eastAsia="Times New Roman" w:cs="Arial"/>
                <w:lang w:eastAsia="en-IE"/>
              </w:rPr>
            </w:pPr>
            <w:r w:rsidRPr="00233C29">
              <w:rPr>
                <w:rFonts w:eastAsia="Times New Roman" w:cs="Arial"/>
                <w:lang w:eastAsia="en-IE"/>
              </w:rPr>
              <w:t xml:space="preserve">Cost to primary care (7%)                                        </w:t>
            </w:r>
          </w:p>
        </w:tc>
        <w:tc>
          <w:tcPr>
            <w:tcW w:w="3464" w:type="dxa"/>
          </w:tcPr>
          <w:p w:rsidR="00FF0FA2" w:rsidRPr="00233C29" w:rsidRDefault="00A316D3" w:rsidP="00FF0FA2">
            <w:pPr>
              <w:rPr>
                <w:rFonts w:eastAsia="Times New Roman" w:cs="Arial"/>
                <w:lang w:eastAsia="en-IE"/>
              </w:rPr>
            </w:pPr>
            <w:r>
              <w:rPr>
                <w:rFonts w:eastAsia="Times New Roman" w:cs="Arial"/>
                <w:lang w:eastAsia="en-IE"/>
              </w:rPr>
              <w:t>€214</w:t>
            </w:r>
            <w:r w:rsidR="00FF0FA2" w:rsidRPr="00233C29">
              <w:rPr>
                <w:rFonts w:eastAsia="Times New Roman" w:cs="Arial"/>
                <w:lang w:eastAsia="en-IE"/>
              </w:rPr>
              <w:t>mn</w:t>
            </w:r>
          </w:p>
        </w:tc>
      </w:tr>
      <w:tr w:rsidR="00FF0FA2" w:rsidRPr="00233C29" w:rsidTr="00FF0FA2">
        <w:tc>
          <w:tcPr>
            <w:tcW w:w="5778" w:type="dxa"/>
          </w:tcPr>
          <w:p w:rsidR="00FF0FA2" w:rsidRPr="00233C29" w:rsidRDefault="00FF0FA2" w:rsidP="00FF0FA2">
            <w:pPr>
              <w:rPr>
                <w:rFonts w:eastAsia="Times New Roman" w:cs="Arial"/>
                <w:lang w:eastAsia="en-IE"/>
              </w:rPr>
            </w:pPr>
            <w:r w:rsidRPr="00233C29">
              <w:rPr>
                <w:rFonts w:eastAsia="Times New Roman" w:cs="Arial"/>
                <w:lang w:eastAsia="en-IE"/>
              </w:rPr>
              <w:t xml:space="preserve">Cost of mental health services (10%)                                                 </w:t>
            </w:r>
          </w:p>
        </w:tc>
        <w:tc>
          <w:tcPr>
            <w:tcW w:w="3464" w:type="dxa"/>
          </w:tcPr>
          <w:p w:rsidR="00FF0FA2" w:rsidRPr="00233C29" w:rsidRDefault="00FF0FA2" w:rsidP="00FF0FA2">
            <w:pPr>
              <w:rPr>
                <w:rFonts w:eastAsia="Times New Roman" w:cs="Arial"/>
                <w:lang w:eastAsia="en-IE"/>
              </w:rPr>
            </w:pPr>
            <w:r w:rsidRPr="00233C29">
              <w:rPr>
                <w:rFonts w:eastAsia="Times New Roman" w:cs="Arial"/>
                <w:lang w:eastAsia="en-IE"/>
              </w:rPr>
              <w:t>€73mn</w:t>
            </w:r>
          </w:p>
        </w:tc>
      </w:tr>
      <w:tr w:rsidR="00FF0FA2" w:rsidRPr="00233C29" w:rsidTr="00FF0FA2">
        <w:tc>
          <w:tcPr>
            <w:tcW w:w="5778" w:type="dxa"/>
          </w:tcPr>
          <w:p w:rsidR="00FF0FA2" w:rsidRPr="00233C29" w:rsidRDefault="00FF0FA2" w:rsidP="00FF0FA2">
            <w:pPr>
              <w:rPr>
                <w:rFonts w:eastAsia="Times New Roman" w:cs="Arial"/>
                <w:lang w:eastAsia="en-IE"/>
              </w:rPr>
            </w:pPr>
            <w:r w:rsidRPr="00233C29">
              <w:rPr>
                <w:rFonts w:eastAsia="Times New Roman" w:cs="Arial"/>
                <w:lang w:eastAsia="en-IE"/>
              </w:rPr>
              <w:t>Cost of services for children and families in HSE (10%)</w:t>
            </w:r>
          </w:p>
        </w:tc>
        <w:tc>
          <w:tcPr>
            <w:tcW w:w="3464" w:type="dxa"/>
          </w:tcPr>
          <w:p w:rsidR="00FF0FA2" w:rsidRPr="00233C29" w:rsidRDefault="00FF0FA2" w:rsidP="00FF0FA2">
            <w:pPr>
              <w:rPr>
                <w:rFonts w:eastAsia="Times New Roman" w:cs="Arial"/>
                <w:lang w:eastAsia="en-IE"/>
              </w:rPr>
            </w:pPr>
            <w:r w:rsidRPr="00233C29">
              <w:rPr>
                <w:rFonts w:eastAsia="Times New Roman" w:cs="Arial"/>
                <w:lang w:eastAsia="en-IE"/>
              </w:rPr>
              <w:t>€54mn</w:t>
            </w:r>
          </w:p>
        </w:tc>
      </w:tr>
      <w:tr w:rsidR="00FF0FA2" w:rsidRPr="00233C29" w:rsidTr="00FF0FA2">
        <w:tc>
          <w:tcPr>
            <w:tcW w:w="5778" w:type="dxa"/>
          </w:tcPr>
          <w:p w:rsidR="00FF0FA2" w:rsidRPr="00233C29" w:rsidRDefault="00FF0FA2" w:rsidP="00FF0FA2">
            <w:pPr>
              <w:rPr>
                <w:rFonts w:eastAsia="Times New Roman" w:cs="Arial"/>
                <w:lang w:eastAsia="en-IE"/>
              </w:rPr>
            </w:pPr>
            <w:r w:rsidRPr="00233C29">
              <w:rPr>
                <w:rFonts w:eastAsia="Times New Roman" w:cs="Arial"/>
                <w:lang w:eastAsia="en-IE"/>
              </w:rPr>
              <w:t>Cost of service to children and families in Dept. of Children and Youth Affairs (10%)</w:t>
            </w:r>
          </w:p>
        </w:tc>
        <w:tc>
          <w:tcPr>
            <w:tcW w:w="3464" w:type="dxa"/>
          </w:tcPr>
          <w:p w:rsidR="00FF0FA2" w:rsidRPr="00233C29" w:rsidRDefault="00FF0FA2" w:rsidP="00FF0FA2">
            <w:pPr>
              <w:rPr>
                <w:rFonts w:eastAsia="Times New Roman" w:cs="Arial"/>
                <w:lang w:eastAsia="en-IE"/>
              </w:rPr>
            </w:pPr>
            <w:r w:rsidRPr="00233C29">
              <w:rPr>
                <w:rFonts w:eastAsia="Times New Roman" w:cs="Arial"/>
                <w:lang w:eastAsia="en-IE"/>
              </w:rPr>
              <w:t>€41mn</w:t>
            </w:r>
          </w:p>
        </w:tc>
      </w:tr>
      <w:tr w:rsidR="00FF0FA2" w:rsidRPr="003E0E4E" w:rsidTr="00FF0FA2">
        <w:tc>
          <w:tcPr>
            <w:tcW w:w="5778" w:type="dxa"/>
          </w:tcPr>
          <w:p w:rsidR="00FF0FA2" w:rsidRPr="003E0E4E" w:rsidRDefault="00FF0FA2" w:rsidP="00FF0FA2">
            <w:pPr>
              <w:rPr>
                <w:rFonts w:eastAsia="Times New Roman" w:cs="Arial"/>
                <w:b/>
                <w:lang w:eastAsia="en-IE"/>
              </w:rPr>
            </w:pPr>
            <w:r w:rsidRPr="003E0E4E">
              <w:rPr>
                <w:rFonts w:eastAsia="Times New Roman" w:cs="Arial"/>
                <w:b/>
                <w:lang w:eastAsia="en-IE"/>
              </w:rPr>
              <w:t xml:space="preserve">Total direct health care system costs related to alcohol </w:t>
            </w:r>
          </w:p>
        </w:tc>
        <w:tc>
          <w:tcPr>
            <w:tcW w:w="3464" w:type="dxa"/>
          </w:tcPr>
          <w:p w:rsidR="00FF0FA2" w:rsidRPr="003E0E4E" w:rsidRDefault="00A316D3" w:rsidP="00501724">
            <w:pPr>
              <w:rPr>
                <w:rFonts w:eastAsia="Times New Roman" w:cs="Arial"/>
                <w:b/>
                <w:lang w:eastAsia="en-IE"/>
              </w:rPr>
            </w:pPr>
            <w:r>
              <w:rPr>
                <w:rFonts w:eastAsia="Times New Roman" w:cs="Arial"/>
                <w:b/>
                <w:lang w:eastAsia="en-IE"/>
              </w:rPr>
              <w:t>€793</w:t>
            </w:r>
            <w:r w:rsidR="00FF0FA2" w:rsidRPr="003E0E4E">
              <w:rPr>
                <w:rFonts w:eastAsia="Times New Roman" w:cs="Arial"/>
                <w:b/>
                <w:lang w:eastAsia="en-IE"/>
              </w:rPr>
              <w:t>mn</w:t>
            </w:r>
          </w:p>
        </w:tc>
      </w:tr>
    </w:tbl>
    <w:p w:rsidR="00FF0FA2" w:rsidRDefault="00FF0FA2" w:rsidP="00FF0FA2">
      <w:pPr>
        <w:rPr>
          <w:rFonts w:eastAsia="Times New Roman" w:cs="Arial"/>
          <w:lang w:eastAsia="en-IE"/>
        </w:rPr>
      </w:pPr>
    </w:p>
    <w:p w:rsidR="00FF0FA2" w:rsidRDefault="00FF0FA2" w:rsidP="0045235C">
      <w:pPr>
        <w:spacing w:after="120"/>
        <w:rPr>
          <w:rFonts w:eastAsia="Times New Roman" w:cs="Arial"/>
          <w:sz w:val="24"/>
          <w:szCs w:val="24"/>
          <w:lang w:eastAsia="en-IE"/>
        </w:rPr>
      </w:pPr>
      <w:r w:rsidRPr="00356B3E">
        <w:rPr>
          <w:rFonts w:eastAsia="Times New Roman" w:cs="Arial"/>
          <w:sz w:val="24"/>
          <w:szCs w:val="24"/>
          <w:lang w:eastAsia="en-IE"/>
        </w:rPr>
        <w:t>The total figure for health and social care expenditure related to problem alcohol use in 2013 is €999 million.  While this represents a decrease from Byrne’s figure for 2007 of €1.3 billion this does not indicate a reduction in alcohol related demands on the health service but is mainly due to significant reductions in governmen</w:t>
      </w:r>
      <w:r w:rsidR="007074A6">
        <w:rPr>
          <w:rFonts w:eastAsia="Times New Roman" w:cs="Arial"/>
          <w:sz w:val="24"/>
          <w:szCs w:val="24"/>
          <w:lang w:eastAsia="en-IE"/>
        </w:rPr>
        <w:t>t spending on health since 2007.</w:t>
      </w:r>
      <w:r w:rsidRPr="00356B3E">
        <w:rPr>
          <w:rFonts w:eastAsia="Times New Roman" w:cs="Arial"/>
          <w:sz w:val="24"/>
          <w:szCs w:val="24"/>
          <w:highlight w:val="yellow"/>
          <w:lang w:eastAsia="en-IE"/>
        </w:rPr>
        <w:t xml:space="preserve"> </w:t>
      </w:r>
      <w:r w:rsidRPr="00356B3E">
        <w:rPr>
          <w:rFonts w:eastAsia="Times New Roman" w:cs="Arial"/>
          <w:sz w:val="24"/>
          <w:szCs w:val="24"/>
          <w:lang w:eastAsia="en-IE"/>
        </w:rPr>
        <w:t>The costs estimates are based on a proportion of the total health care budget spe</w:t>
      </w:r>
      <w:r w:rsidR="006F4259">
        <w:rPr>
          <w:rFonts w:eastAsia="Times New Roman" w:cs="Arial"/>
          <w:sz w:val="24"/>
          <w:szCs w:val="24"/>
          <w:lang w:eastAsia="en-IE"/>
        </w:rPr>
        <w:t>n</w:t>
      </w:r>
      <w:r w:rsidRPr="00356B3E">
        <w:rPr>
          <w:rFonts w:eastAsia="Times New Roman" w:cs="Arial"/>
          <w:sz w:val="24"/>
          <w:szCs w:val="24"/>
          <w:lang w:eastAsia="en-IE"/>
        </w:rPr>
        <w:t>d each year.</w:t>
      </w:r>
    </w:p>
    <w:p w:rsidR="00A316D3" w:rsidRPr="00356B3E" w:rsidRDefault="00A316D3" w:rsidP="0045235C">
      <w:pPr>
        <w:spacing w:after="120"/>
        <w:rPr>
          <w:rFonts w:eastAsia="Times New Roman" w:cs="Arial"/>
          <w:sz w:val="24"/>
          <w:szCs w:val="24"/>
          <w:lang w:eastAsia="en-IE"/>
        </w:rPr>
      </w:pPr>
    </w:p>
    <w:p w:rsidR="00FF0FA2" w:rsidRPr="00356B3E" w:rsidRDefault="000B2D2D" w:rsidP="0045235C">
      <w:pPr>
        <w:spacing w:after="120"/>
        <w:rPr>
          <w:rFonts w:eastAsia="Times New Roman" w:cs="Arial"/>
          <w:b/>
          <w:sz w:val="24"/>
          <w:szCs w:val="24"/>
          <w:lang w:eastAsia="en-IE"/>
        </w:rPr>
      </w:pPr>
      <w:r>
        <w:rPr>
          <w:rFonts w:eastAsia="Times New Roman" w:cs="Arial"/>
          <w:b/>
          <w:sz w:val="24"/>
          <w:szCs w:val="24"/>
          <w:lang w:eastAsia="en-IE"/>
        </w:rPr>
        <w:lastRenderedPageBreak/>
        <w:t>1.</w:t>
      </w:r>
      <w:r w:rsidR="0045235C">
        <w:rPr>
          <w:rFonts w:eastAsia="Times New Roman" w:cs="Arial"/>
          <w:b/>
          <w:sz w:val="24"/>
          <w:szCs w:val="24"/>
          <w:lang w:eastAsia="en-IE"/>
        </w:rPr>
        <w:t>2.</w:t>
      </w:r>
      <w:r>
        <w:rPr>
          <w:rFonts w:eastAsia="Times New Roman" w:cs="Arial"/>
          <w:b/>
          <w:sz w:val="24"/>
          <w:szCs w:val="24"/>
          <w:lang w:eastAsia="en-IE"/>
        </w:rPr>
        <w:t xml:space="preserve">5 </w:t>
      </w:r>
      <w:r w:rsidR="009F45D0">
        <w:rPr>
          <w:rFonts w:eastAsia="Times New Roman" w:cs="Arial"/>
          <w:b/>
          <w:sz w:val="24"/>
          <w:szCs w:val="24"/>
          <w:lang w:eastAsia="en-IE"/>
        </w:rPr>
        <w:tab/>
      </w:r>
      <w:r w:rsidR="00FF0FA2" w:rsidRPr="00356B3E">
        <w:rPr>
          <w:rFonts w:eastAsia="Times New Roman" w:cs="Arial"/>
          <w:b/>
          <w:sz w:val="24"/>
          <w:szCs w:val="24"/>
          <w:lang w:eastAsia="en-IE"/>
        </w:rPr>
        <w:t>Costs to the Criminal Justice System of Alcohol Misuse</w:t>
      </w:r>
    </w:p>
    <w:p w:rsidR="00FF0FA2" w:rsidRPr="00356B3E" w:rsidRDefault="00FF0FA2" w:rsidP="0045235C">
      <w:pPr>
        <w:spacing w:after="120"/>
        <w:rPr>
          <w:rFonts w:eastAsia="Times New Roman" w:cs="Arial"/>
          <w:sz w:val="24"/>
          <w:szCs w:val="24"/>
          <w:lang w:eastAsia="en-IE"/>
        </w:rPr>
      </w:pPr>
      <w:r w:rsidRPr="00356B3E">
        <w:rPr>
          <w:rFonts w:eastAsia="Times New Roman" w:cs="Arial"/>
          <w:sz w:val="24"/>
          <w:szCs w:val="24"/>
          <w:lang w:eastAsia="en-IE"/>
        </w:rPr>
        <w:t>Many crimes result from problem alcohol use. The most commonly prosecuted are drinking and driving related offences and public ord</w:t>
      </w:r>
      <w:r w:rsidR="0015458F">
        <w:rPr>
          <w:rFonts w:eastAsia="Times New Roman" w:cs="Arial"/>
          <w:sz w:val="24"/>
          <w:szCs w:val="24"/>
          <w:lang w:eastAsia="en-IE"/>
        </w:rPr>
        <w:t>er offences. Alcohol is a factor</w:t>
      </w:r>
      <w:r w:rsidRPr="00356B3E">
        <w:rPr>
          <w:rFonts w:eastAsia="Times New Roman" w:cs="Arial"/>
          <w:sz w:val="24"/>
          <w:szCs w:val="24"/>
          <w:lang w:eastAsia="en-IE"/>
        </w:rPr>
        <w:t xml:space="preserve"> in many assaults, including sexual assaults and in rape, domestic violence, murder and manslaughter.  Alcohol related crime therefore imposes considerable costs on the criminal justice system. These costs include the costs of policing alcohol related crime, the cost of processing alcohol related crimes in the courts and the cost to the prison and probation services of dealing with alcohol related crime. </w:t>
      </w:r>
    </w:p>
    <w:p w:rsidR="00FF0FA2" w:rsidRPr="00356B3E" w:rsidRDefault="00FF0FA2" w:rsidP="0045235C">
      <w:pPr>
        <w:spacing w:after="120"/>
        <w:rPr>
          <w:rFonts w:eastAsia="Times New Roman" w:cs="Arial"/>
          <w:sz w:val="24"/>
          <w:szCs w:val="24"/>
          <w:lang w:eastAsia="en-IE"/>
        </w:rPr>
      </w:pPr>
      <w:r w:rsidRPr="00356B3E">
        <w:rPr>
          <w:rFonts w:eastAsia="Times New Roman" w:cs="Arial"/>
          <w:sz w:val="24"/>
          <w:szCs w:val="24"/>
          <w:lang w:eastAsia="en-IE"/>
        </w:rPr>
        <w:t xml:space="preserve">In his 2010 paper, Byrne estimated on the basis of the study </w:t>
      </w:r>
      <w:r w:rsidRPr="00356B3E">
        <w:rPr>
          <w:rFonts w:eastAsia="Times New Roman" w:cs="Arial"/>
          <w:i/>
          <w:sz w:val="24"/>
          <w:szCs w:val="24"/>
          <w:lang w:eastAsia="en-IE"/>
        </w:rPr>
        <w:t xml:space="preserve">Alcohol Misuse in Scotland: Trends and </w:t>
      </w:r>
      <w:r w:rsidRPr="000B2D2D">
        <w:rPr>
          <w:rFonts w:eastAsia="Times New Roman" w:cs="Arial"/>
          <w:i/>
          <w:sz w:val="24"/>
          <w:szCs w:val="24"/>
          <w:lang w:eastAsia="en-IE"/>
        </w:rPr>
        <w:t>Costs</w:t>
      </w:r>
      <w:r w:rsidRPr="000B2D2D">
        <w:rPr>
          <w:rFonts w:eastAsia="Times New Roman" w:cs="Arial"/>
          <w:sz w:val="24"/>
          <w:szCs w:val="24"/>
          <w:lang w:eastAsia="en-IE"/>
        </w:rPr>
        <w:t xml:space="preserve"> (</w:t>
      </w:r>
      <w:r w:rsidR="00773DDB" w:rsidRPr="000B2D2D">
        <w:rPr>
          <w:rFonts w:eastAsia="Times New Roman" w:cs="Arial"/>
          <w:sz w:val="24"/>
          <w:szCs w:val="24"/>
          <w:lang w:eastAsia="en-IE"/>
        </w:rPr>
        <w:t>2001</w:t>
      </w:r>
      <w:r w:rsidRPr="000B2D2D">
        <w:rPr>
          <w:rFonts w:eastAsia="Times New Roman" w:cs="Arial"/>
          <w:sz w:val="24"/>
          <w:szCs w:val="24"/>
          <w:lang w:eastAsia="en-IE"/>
        </w:rPr>
        <w:t>) that</w:t>
      </w:r>
      <w:r w:rsidRPr="00356B3E">
        <w:rPr>
          <w:rFonts w:eastAsia="Times New Roman" w:cs="Arial"/>
          <w:sz w:val="24"/>
          <w:szCs w:val="24"/>
          <w:lang w:eastAsia="en-IE"/>
        </w:rPr>
        <w:t xml:space="preserve"> 12% of the cost of policing alcohol related crime, 12% of the costs of the prison system and 7% of the costs of the courts could be attributed to alcohol related crime.  For 2013 these figures are:</w:t>
      </w:r>
    </w:p>
    <w:tbl>
      <w:tblPr>
        <w:tblStyle w:val="TableGrid"/>
        <w:tblW w:w="0" w:type="auto"/>
        <w:tblLook w:val="04A0" w:firstRow="1" w:lastRow="0" w:firstColumn="1" w:lastColumn="0" w:noHBand="0" w:noVBand="1"/>
      </w:tblPr>
      <w:tblGrid>
        <w:gridCol w:w="5070"/>
        <w:gridCol w:w="4172"/>
      </w:tblGrid>
      <w:tr w:rsidR="00FF0FA2" w:rsidRPr="008E64C3" w:rsidTr="00FF0FA2">
        <w:tc>
          <w:tcPr>
            <w:tcW w:w="5070" w:type="dxa"/>
          </w:tcPr>
          <w:p w:rsidR="00FF0FA2" w:rsidRPr="00A214A4" w:rsidRDefault="00FF0FA2" w:rsidP="00FF0FA2">
            <w:pPr>
              <w:rPr>
                <w:rFonts w:eastAsia="Times New Roman" w:cs="Arial"/>
                <w:b/>
                <w:lang w:eastAsia="en-IE"/>
              </w:rPr>
            </w:pPr>
            <w:r w:rsidRPr="00A214A4">
              <w:rPr>
                <w:rFonts w:eastAsia="Times New Roman" w:cs="Arial"/>
                <w:b/>
                <w:lang w:eastAsia="en-IE"/>
              </w:rPr>
              <w:t>Costs of alcohol related crime 2013</w:t>
            </w:r>
          </w:p>
        </w:tc>
        <w:tc>
          <w:tcPr>
            <w:tcW w:w="4172" w:type="dxa"/>
          </w:tcPr>
          <w:p w:rsidR="00FF0FA2" w:rsidRPr="008E64C3" w:rsidRDefault="00FF0FA2" w:rsidP="00FF0FA2">
            <w:pPr>
              <w:rPr>
                <w:rFonts w:eastAsia="Times New Roman" w:cs="Arial"/>
                <w:lang w:eastAsia="en-IE"/>
              </w:rPr>
            </w:pPr>
          </w:p>
        </w:tc>
      </w:tr>
      <w:tr w:rsidR="00FF0FA2" w:rsidRPr="008E64C3" w:rsidTr="00FF0FA2">
        <w:tc>
          <w:tcPr>
            <w:tcW w:w="5070" w:type="dxa"/>
          </w:tcPr>
          <w:p w:rsidR="00FF0FA2" w:rsidRPr="008E64C3" w:rsidRDefault="00FF0FA2" w:rsidP="00FF0FA2">
            <w:pPr>
              <w:rPr>
                <w:rFonts w:eastAsia="Times New Roman" w:cs="Arial"/>
                <w:lang w:eastAsia="en-IE"/>
              </w:rPr>
            </w:pPr>
            <w:r w:rsidRPr="008E64C3">
              <w:rPr>
                <w:rFonts w:eastAsia="Times New Roman" w:cs="Arial"/>
                <w:lang w:eastAsia="en-IE"/>
              </w:rPr>
              <w:t xml:space="preserve">Cost of Garda Siochana resources devoted to alcohol related crime       </w:t>
            </w:r>
          </w:p>
        </w:tc>
        <w:tc>
          <w:tcPr>
            <w:tcW w:w="4172" w:type="dxa"/>
          </w:tcPr>
          <w:p w:rsidR="00FF0FA2" w:rsidRPr="008E64C3" w:rsidRDefault="00FF0FA2" w:rsidP="00FF0FA2">
            <w:pPr>
              <w:rPr>
                <w:rFonts w:eastAsia="Times New Roman" w:cs="Arial"/>
                <w:lang w:eastAsia="en-IE"/>
              </w:rPr>
            </w:pPr>
            <w:r w:rsidRPr="008E64C3">
              <w:rPr>
                <w:rFonts w:eastAsia="Times New Roman" w:cs="Arial"/>
                <w:lang w:eastAsia="en-IE"/>
              </w:rPr>
              <w:t>€166mn</w:t>
            </w:r>
          </w:p>
        </w:tc>
      </w:tr>
      <w:tr w:rsidR="00FF0FA2" w:rsidRPr="008E64C3" w:rsidTr="00FF0FA2">
        <w:tc>
          <w:tcPr>
            <w:tcW w:w="5070" w:type="dxa"/>
          </w:tcPr>
          <w:p w:rsidR="00FF0FA2" w:rsidRPr="008E64C3" w:rsidRDefault="00FF0FA2" w:rsidP="00FF0FA2">
            <w:pPr>
              <w:rPr>
                <w:rFonts w:eastAsia="Times New Roman" w:cs="Arial"/>
                <w:lang w:eastAsia="en-IE"/>
              </w:rPr>
            </w:pPr>
            <w:r w:rsidRPr="008E64C3">
              <w:rPr>
                <w:rFonts w:eastAsia="Times New Roman" w:cs="Arial"/>
                <w:lang w:eastAsia="en-IE"/>
              </w:rPr>
              <w:t xml:space="preserve">Cost to the prison service of alcohol related crime                                        </w:t>
            </w:r>
          </w:p>
        </w:tc>
        <w:tc>
          <w:tcPr>
            <w:tcW w:w="4172" w:type="dxa"/>
          </w:tcPr>
          <w:p w:rsidR="00FF0FA2" w:rsidRPr="008E64C3" w:rsidRDefault="00FF0FA2" w:rsidP="00FF0FA2">
            <w:pPr>
              <w:rPr>
                <w:rFonts w:eastAsia="Times New Roman" w:cs="Arial"/>
                <w:lang w:eastAsia="en-IE"/>
              </w:rPr>
            </w:pPr>
            <w:r w:rsidRPr="008E64C3">
              <w:rPr>
                <w:rFonts w:eastAsia="Times New Roman" w:cs="Arial"/>
                <w:lang w:eastAsia="en-IE"/>
              </w:rPr>
              <w:t>€7.3mn</w:t>
            </w:r>
          </w:p>
        </w:tc>
      </w:tr>
      <w:tr w:rsidR="00FF0FA2" w:rsidRPr="008E64C3" w:rsidTr="00FF0FA2">
        <w:tc>
          <w:tcPr>
            <w:tcW w:w="5070" w:type="dxa"/>
          </w:tcPr>
          <w:p w:rsidR="00FF0FA2" w:rsidRPr="008E64C3" w:rsidRDefault="00FF0FA2" w:rsidP="00FF0FA2">
            <w:pPr>
              <w:rPr>
                <w:rFonts w:eastAsia="Times New Roman" w:cs="Arial"/>
                <w:lang w:eastAsia="en-IE"/>
              </w:rPr>
            </w:pPr>
            <w:r w:rsidRPr="008E64C3">
              <w:rPr>
                <w:rFonts w:eastAsia="Times New Roman" w:cs="Arial"/>
                <w:lang w:eastAsia="en-IE"/>
              </w:rPr>
              <w:t xml:space="preserve">Cost to the courts of alcohol related crime                                                     </w:t>
            </w:r>
          </w:p>
        </w:tc>
        <w:tc>
          <w:tcPr>
            <w:tcW w:w="4172" w:type="dxa"/>
          </w:tcPr>
          <w:p w:rsidR="00FF0FA2" w:rsidRPr="008E64C3" w:rsidRDefault="00FF0FA2" w:rsidP="00FF0FA2">
            <w:pPr>
              <w:rPr>
                <w:rFonts w:eastAsia="Times New Roman" w:cs="Arial"/>
                <w:lang w:eastAsia="en-IE"/>
              </w:rPr>
            </w:pPr>
            <w:r w:rsidRPr="008E64C3">
              <w:rPr>
                <w:rFonts w:eastAsia="Times New Roman" w:cs="Arial"/>
                <w:lang w:eastAsia="en-IE"/>
              </w:rPr>
              <w:t>€7.3mn</w:t>
            </w:r>
          </w:p>
        </w:tc>
      </w:tr>
      <w:tr w:rsidR="00FF0FA2" w:rsidRPr="00A214A4" w:rsidTr="00FF0FA2">
        <w:tc>
          <w:tcPr>
            <w:tcW w:w="5070" w:type="dxa"/>
          </w:tcPr>
          <w:p w:rsidR="00FF0FA2" w:rsidRPr="00A214A4" w:rsidRDefault="00FF0FA2" w:rsidP="00FF0FA2">
            <w:pPr>
              <w:rPr>
                <w:rFonts w:eastAsia="Times New Roman" w:cs="Arial"/>
                <w:lang w:eastAsia="en-IE"/>
              </w:rPr>
            </w:pPr>
            <w:r w:rsidRPr="00A214A4">
              <w:rPr>
                <w:rFonts w:eastAsia="Times New Roman" w:cs="Arial"/>
                <w:lang w:eastAsia="en-IE"/>
              </w:rPr>
              <w:t>Total direct costs of alcohol related crime</w:t>
            </w:r>
          </w:p>
        </w:tc>
        <w:tc>
          <w:tcPr>
            <w:tcW w:w="4172" w:type="dxa"/>
          </w:tcPr>
          <w:p w:rsidR="00FF0FA2" w:rsidRPr="00A214A4" w:rsidRDefault="00FF0FA2" w:rsidP="00FF0FA2">
            <w:pPr>
              <w:rPr>
                <w:rFonts w:eastAsia="Times New Roman" w:cs="Arial"/>
                <w:lang w:eastAsia="en-IE"/>
              </w:rPr>
            </w:pPr>
            <w:r w:rsidRPr="00A214A4">
              <w:rPr>
                <w:rFonts w:eastAsia="Times New Roman" w:cs="Arial"/>
                <w:lang w:eastAsia="en-IE"/>
              </w:rPr>
              <w:t>€180.6mn</w:t>
            </w:r>
          </w:p>
        </w:tc>
      </w:tr>
    </w:tbl>
    <w:p w:rsidR="00FF0FA2" w:rsidRDefault="00FF0FA2" w:rsidP="009F45D0">
      <w:pPr>
        <w:spacing w:after="0"/>
        <w:rPr>
          <w:rFonts w:eastAsia="Times New Roman" w:cs="Arial"/>
          <w:lang w:eastAsia="en-IE"/>
        </w:rPr>
      </w:pPr>
    </w:p>
    <w:p w:rsidR="00FF0FA2" w:rsidRPr="0045235C" w:rsidRDefault="00FF0FA2" w:rsidP="009F45D0">
      <w:pPr>
        <w:spacing w:after="0"/>
        <w:rPr>
          <w:rFonts w:eastAsia="Times New Roman" w:cs="Arial"/>
          <w:sz w:val="24"/>
          <w:szCs w:val="24"/>
          <w:lang w:eastAsia="en-IE"/>
        </w:rPr>
      </w:pPr>
      <w:r w:rsidRPr="0045235C">
        <w:rPr>
          <w:rFonts w:eastAsia="Times New Roman" w:cs="Arial"/>
          <w:sz w:val="24"/>
          <w:szCs w:val="24"/>
          <w:lang w:eastAsia="en-IE"/>
        </w:rPr>
        <w:t>In addition to the direct costs of detecting and punishing alcohol related crime, costs are also incurred by the victims of crime in the form of trauma, injury and even death. Other costs include the cost of property lost through burglary and criminal damage and the cost of security systems incurred in anticipation of crime. Victims of crime may be absent from work and their output is therefore reduced. In the study of the costs of alcohol misuse in England and Wales, these costs are much greater than the cost to the criminal justice system.  Byrne (</w:t>
      </w:r>
      <w:r w:rsidRPr="000B2D2D">
        <w:rPr>
          <w:rFonts w:eastAsia="Times New Roman" w:cs="Arial"/>
          <w:sz w:val="24"/>
          <w:szCs w:val="24"/>
          <w:lang w:eastAsia="en-IE"/>
        </w:rPr>
        <w:t>2010), taking</w:t>
      </w:r>
      <w:r w:rsidRPr="0045235C">
        <w:rPr>
          <w:rFonts w:eastAsia="Times New Roman" w:cs="Arial"/>
          <w:sz w:val="24"/>
          <w:szCs w:val="24"/>
          <w:lang w:eastAsia="en-IE"/>
        </w:rPr>
        <w:t xml:space="preserve"> the direct cost of alcohol related crime used ratios derived from the UK study to estimate these costs for Ireland.  The ratios he used are:</w:t>
      </w:r>
      <w:r w:rsidRPr="0045235C">
        <w:rPr>
          <w:rFonts w:eastAsia="Times New Roman" w:cs="Arial"/>
          <w:sz w:val="24"/>
          <w:szCs w:val="24"/>
          <w:lang w:eastAsia="en-IE"/>
        </w:rPr>
        <w:br/>
        <w:t xml:space="preserve"> </w:t>
      </w:r>
    </w:p>
    <w:tbl>
      <w:tblPr>
        <w:tblStyle w:val="TableGrid"/>
        <w:tblW w:w="0" w:type="auto"/>
        <w:tblLook w:val="04A0" w:firstRow="1" w:lastRow="0" w:firstColumn="1" w:lastColumn="0" w:noHBand="0" w:noVBand="1"/>
      </w:tblPr>
      <w:tblGrid>
        <w:gridCol w:w="4621"/>
        <w:gridCol w:w="4621"/>
      </w:tblGrid>
      <w:tr w:rsidR="00FF0FA2" w:rsidRPr="008E64C3" w:rsidTr="00FF0FA2">
        <w:tc>
          <w:tcPr>
            <w:tcW w:w="4621" w:type="dxa"/>
          </w:tcPr>
          <w:p w:rsidR="00FF0FA2" w:rsidRPr="008E64C3" w:rsidRDefault="00FF0FA2" w:rsidP="00FF0FA2">
            <w:pPr>
              <w:rPr>
                <w:rFonts w:eastAsia="Times New Roman" w:cs="Arial"/>
                <w:lang w:eastAsia="en-IE"/>
              </w:rPr>
            </w:pP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Ratios</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Criminal justice system costs</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1.0</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Property/health and victim services costs</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1.40</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Costs in anticipation of crime</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0.85</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Crime cost of lost productive output</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0.55</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Emotional impact costs</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2.70</w:t>
            </w:r>
          </w:p>
        </w:tc>
      </w:tr>
    </w:tbl>
    <w:p w:rsidR="00FF0FA2" w:rsidRPr="008E64C3" w:rsidRDefault="00FF0FA2" w:rsidP="00FF0FA2">
      <w:pPr>
        <w:rPr>
          <w:rFonts w:eastAsia="Times New Roman" w:cs="Arial"/>
          <w:lang w:eastAsia="en-IE"/>
        </w:rPr>
      </w:pPr>
    </w:p>
    <w:p w:rsidR="00FF0FA2" w:rsidRPr="008E64C3" w:rsidRDefault="00FF0FA2" w:rsidP="00FF0FA2">
      <w:pPr>
        <w:rPr>
          <w:rFonts w:eastAsia="Times New Roman" w:cs="Arial"/>
          <w:lang w:eastAsia="en-IE"/>
        </w:rPr>
      </w:pPr>
      <w:r w:rsidRPr="008E64C3">
        <w:rPr>
          <w:rFonts w:eastAsia="Times New Roman" w:cs="Arial"/>
          <w:lang w:eastAsia="en-IE"/>
        </w:rPr>
        <w:t xml:space="preserve">Applying these ratios to the direct cost of alcohol related crime gives the following figures: </w:t>
      </w:r>
    </w:p>
    <w:tbl>
      <w:tblPr>
        <w:tblStyle w:val="TableGrid"/>
        <w:tblW w:w="0" w:type="auto"/>
        <w:tblLook w:val="04A0" w:firstRow="1" w:lastRow="0" w:firstColumn="1" w:lastColumn="0" w:noHBand="0" w:noVBand="1"/>
      </w:tblPr>
      <w:tblGrid>
        <w:gridCol w:w="4621"/>
        <w:gridCol w:w="4621"/>
      </w:tblGrid>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Criminal justice system costs</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€180.6mn</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Property/health and victim services costs</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€252.8</w:t>
            </w:r>
            <w:r w:rsidR="009F45D0">
              <w:rPr>
                <w:rFonts w:eastAsia="Times New Roman" w:cs="Arial"/>
                <w:lang w:eastAsia="en-IE"/>
              </w:rPr>
              <w:t>mn</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Costs in anticipation of crime</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€153.5</w:t>
            </w:r>
            <w:r w:rsidR="009F45D0">
              <w:rPr>
                <w:rFonts w:eastAsia="Times New Roman" w:cs="Arial"/>
                <w:lang w:eastAsia="en-IE"/>
              </w:rPr>
              <w:t>mn</w:t>
            </w:r>
          </w:p>
        </w:tc>
      </w:tr>
      <w:tr w:rsidR="00FF0FA2" w:rsidRPr="008E64C3" w:rsidTr="00FF0FA2">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Cost of crime related loss of output</w:t>
            </w:r>
          </w:p>
        </w:tc>
        <w:tc>
          <w:tcPr>
            <w:tcW w:w="4621" w:type="dxa"/>
          </w:tcPr>
          <w:p w:rsidR="00FF0FA2" w:rsidRPr="008E64C3" w:rsidRDefault="00FF0FA2" w:rsidP="00FF0FA2">
            <w:pPr>
              <w:rPr>
                <w:rFonts w:eastAsia="Times New Roman" w:cs="Arial"/>
                <w:lang w:eastAsia="en-IE"/>
              </w:rPr>
            </w:pPr>
            <w:r w:rsidRPr="008E64C3">
              <w:rPr>
                <w:rFonts w:eastAsia="Times New Roman" w:cs="Arial"/>
                <w:lang w:eastAsia="en-IE"/>
              </w:rPr>
              <w:t>€99.3</w:t>
            </w:r>
            <w:r w:rsidR="009F45D0">
              <w:rPr>
                <w:rFonts w:eastAsia="Times New Roman" w:cs="Arial"/>
                <w:lang w:eastAsia="en-IE"/>
              </w:rPr>
              <w:t>mn</w:t>
            </w:r>
          </w:p>
        </w:tc>
      </w:tr>
      <w:tr w:rsidR="00FF0FA2" w:rsidRPr="00A214A4" w:rsidTr="00FF0FA2">
        <w:tc>
          <w:tcPr>
            <w:tcW w:w="4621" w:type="dxa"/>
          </w:tcPr>
          <w:p w:rsidR="00FF0FA2" w:rsidRPr="00A214A4" w:rsidRDefault="00FF0FA2" w:rsidP="00FF0FA2">
            <w:pPr>
              <w:rPr>
                <w:rFonts w:eastAsia="Times New Roman" w:cs="Arial"/>
                <w:b/>
                <w:lang w:eastAsia="en-IE"/>
              </w:rPr>
            </w:pPr>
            <w:r w:rsidRPr="00A214A4">
              <w:rPr>
                <w:rFonts w:eastAsia="Times New Roman" w:cs="Arial"/>
                <w:b/>
                <w:lang w:eastAsia="en-IE"/>
              </w:rPr>
              <w:t xml:space="preserve">Total </w:t>
            </w:r>
            <w:r>
              <w:rPr>
                <w:rFonts w:eastAsia="Times New Roman" w:cs="Arial"/>
                <w:b/>
                <w:lang w:eastAsia="en-IE"/>
              </w:rPr>
              <w:t xml:space="preserve">alcohol-related </w:t>
            </w:r>
            <w:r w:rsidRPr="00A214A4">
              <w:rPr>
                <w:rFonts w:eastAsia="Times New Roman" w:cs="Arial"/>
                <w:b/>
                <w:lang w:eastAsia="en-IE"/>
              </w:rPr>
              <w:t>crime costs</w:t>
            </w:r>
          </w:p>
        </w:tc>
        <w:tc>
          <w:tcPr>
            <w:tcW w:w="4621" w:type="dxa"/>
          </w:tcPr>
          <w:p w:rsidR="00FF0FA2" w:rsidRPr="00A214A4" w:rsidRDefault="00FF0FA2" w:rsidP="00FF0FA2">
            <w:pPr>
              <w:rPr>
                <w:rFonts w:eastAsia="Times New Roman" w:cs="Arial"/>
                <w:b/>
                <w:lang w:eastAsia="en-IE"/>
              </w:rPr>
            </w:pPr>
            <w:r w:rsidRPr="00A214A4">
              <w:rPr>
                <w:rFonts w:eastAsia="Times New Roman" w:cs="Arial"/>
                <w:b/>
                <w:lang w:eastAsia="en-IE"/>
              </w:rPr>
              <w:t>€686.2</w:t>
            </w:r>
            <w:r w:rsidR="009F45D0">
              <w:rPr>
                <w:rFonts w:eastAsia="Times New Roman" w:cs="Arial"/>
                <w:b/>
                <w:lang w:eastAsia="en-IE"/>
              </w:rPr>
              <w:t>mn</w:t>
            </w:r>
          </w:p>
        </w:tc>
      </w:tr>
    </w:tbl>
    <w:p w:rsidR="00FF0FA2" w:rsidRPr="008E64C3" w:rsidRDefault="00FF0FA2" w:rsidP="00FF0FA2">
      <w:pPr>
        <w:rPr>
          <w:rFonts w:eastAsia="Times New Roman" w:cs="Arial"/>
          <w:lang w:eastAsia="en-IE"/>
        </w:rPr>
      </w:pPr>
    </w:p>
    <w:p w:rsidR="00FF0FA2" w:rsidRPr="0045235C" w:rsidRDefault="000B2D2D" w:rsidP="0045235C">
      <w:pPr>
        <w:spacing w:after="120"/>
        <w:rPr>
          <w:rFonts w:eastAsia="Times New Roman" w:cs="Times New Roman"/>
          <w:b/>
          <w:sz w:val="24"/>
          <w:szCs w:val="24"/>
          <w:lang w:eastAsia="en-IE"/>
        </w:rPr>
      </w:pPr>
      <w:r>
        <w:rPr>
          <w:rFonts w:eastAsia="Times New Roman" w:cs="Times New Roman"/>
          <w:b/>
          <w:sz w:val="24"/>
          <w:szCs w:val="24"/>
          <w:lang w:eastAsia="en-IE"/>
        </w:rPr>
        <w:lastRenderedPageBreak/>
        <w:t>1.</w:t>
      </w:r>
      <w:r w:rsidR="0045235C">
        <w:rPr>
          <w:rFonts w:eastAsia="Times New Roman" w:cs="Times New Roman"/>
          <w:b/>
          <w:sz w:val="24"/>
          <w:szCs w:val="24"/>
          <w:lang w:eastAsia="en-IE"/>
        </w:rPr>
        <w:t>2.</w:t>
      </w:r>
      <w:r>
        <w:rPr>
          <w:rFonts w:eastAsia="Times New Roman" w:cs="Times New Roman"/>
          <w:b/>
          <w:sz w:val="24"/>
          <w:szCs w:val="24"/>
          <w:lang w:eastAsia="en-IE"/>
        </w:rPr>
        <w:t>6</w:t>
      </w:r>
      <w:r>
        <w:rPr>
          <w:rFonts w:eastAsia="Times New Roman" w:cs="Times New Roman"/>
          <w:b/>
          <w:sz w:val="24"/>
          <w:szCs w:val="24"/>
          <w:lang w:eastAsia="en-IE"/>
        </w:rPr>
        <w:tab/>
      </w:r>
      <w:r w:rsidR="00FF0FA2" w:rsidRPr="0045235C">
        <w:rPr>
          <w:rFonts w:eastAsia="Times New Roman" w:cs="Times New Roman"/>
          <w:b/>
          <w:sz w:val="24"/>
          <w:szCs w:val="24"/>
          <w:lang w:eastAsia="en-IE"/>
        </w:rPr>
        <w:t xml:space="preserve"> Cost of alcohol related road accidents</w:t>
      </w:r>
    </w:p>
    <w:p w:rsidR="00FF0FA2" w:rsidRPr="0045235C" w:rsidRDefault="00FF0FA2" w:rsidP="0045235C">
      <w:pPr>
        <w:spacing w:after="120"/>
        <w:rPr>
          <w:rFonts w:eastAsia="Times New Roman" w:cs="Times New Roman"/>
          <w:sz w:val="24"/>
          <w:szCs w:val="24"/>
          <w:lang w:eastAsia="en-IE"/>
        </w:rPr>
      </w:pPr>
      <w:r w:rsidRPr="000B2D2D">
        <w:rPr>
          <w:rFonts w:eastAsia="Times New Roman" w:cs="Times New Roman"/>
          <w:sz w:val="24"/>
          <w:szCs w:val="24"/>
          <w:lang w:eastAsia="en-IE"/>
        </w:rPr>
        <w:t>Bedford et al (2006) found</w:t>
      </w:r>
      <w:r w:rsidRPr="0045235C">
        <w:rPr>
          <w:rFonts w:eastAsia="Times New Roman" w:cs="Times New Roman"/>
          <w:sz w:val="24"/>
          <w:szCs w:val="24"/>
          <w:lang w:eastAsia="en-IE"/>
        </w:rPr>
        <w:t xml:space="preserve"> that alcohol was a factor in 30% of all road collisions and in 36.5% of fatal collisions.  Alcohol related road accidents result in loss of life, pain and suffering, medical costs and lost output. Other relevant costs include damage to property, insurance</w:t>
      </w:r>
      <w:r w:rsidR="0015458F">
        <w:rPr>
          <w:rFonts w:eastAsia="Times New Roman" w:cs="Times New Roman"/>
          <w:sz w:val="24"/>
          <w:szCs w:val="24"/>
          <w:lang w:eastAsia="en-IE"/>
        </w:rPr>
        <w:t xml:space="preserve"> administration,</w:t>
      </w:r>
      <w:r w:rsidRPr="0045235C">
        <w:rPr>
          <w:rFonts w:eastAsia="Times New Roman" w:cs="Times New Roman"/>
          <w:sz w:val="24"/>
          <w:szCs w:val="24"/>
          <w:lang w:eastAsia="en-IE"/>
        </w:rPr>
        <w:t xml:space="preserve"> police and court costs.</w:t>
      </w:r>
      <w:r w:rsidR="009F45D0">
        <w:rPr>
          <w:rFonts w:eastAsia="Times New Roman" w:cs="Times New Roman"/>
          <w:sz w:val="24"/>
          <w:szCs w:val="24"/>
          <w:lang w:eastAsia="en-IE"/>
        </w:rPr>
        <w:t xml:space="preserve">  </w:t>
      </w:r>
      <w:r w:rsidRPr="0045235C">
        <w:rPr>
          <w:rFonts w:eastAsia="Times New Roman" w:cs="Times New Roman"/>
          <w:sz w:val="24"/>
          <w:szCs w:val="24"/>
          <w:lang w:eastAsia="en-IE"/>
        </w:rPr>
        <w:t xml:space="preserve">The standard method used to estimate the cost of road accidents is the “willingness to pay” method which puts a statistical value on a life by considering how much people are willing to pay for reduced risk of death.  The willingness to pay method covers loss of life, pain and suffering and medical costs as well as lost output.  The willingness to pay method is used by the National Roads Authority as the basis for calculating the cost of road accidents.   </w:t>
      </w:r>
    </w:p>
    <w:p w:rsidR="00FF0FA2" w:rsidRP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 xml:space="preserve">In 2012 there were 162 deaths on Irish roads and 7,942 injuries, of which 474 were serious. The RSA calculates the cost of all road accidents as €773 million in 2012. This represents a reduction of 44% between 2007 and 2012.  If it is assumed that alcohol was the crucial factor in 30% of road accidents in 2012, the cost of such accidents was </w:t>
      </w:r>
      <w:r w:rsidRPr="0045235C">
        <w:rPr>
          <w:rFonts w:eastAsia="Times New Roman" w:cs="Times New Roman"/>
          <w:sz w:val="24"/>
          <w:szCs w:val="24"/>
          <w:u w:val="single"/>
          <w:lang w:eastAsia="en-IE"/>
        </w:rPr>
        <w:t>€258 million</w:t>
      </w:r>
      <w:r w:rsidRPr="0045235C">
        <w:rPr>
          <w:rFonts w:eastAsia="Times New Roman" w:cs="Times New Roman"/>
          <w:sz w:val="24"/>
          <w:szCs w:val="24"/>
          <w:lang w:eastAsia="en-IE"/>
        </w:rPr>
        <w:t xml:space="preserve">.   </w:t>
      </w:r>
    </w:p>
    <w:p w:rsidR="00FF0FA2" w:rsidRPr="0045235C" w:rsidRDefault="000B2D2D" w:rsidP="0045235C">
      <w:pPr>
        <w:spacing w:after="120"/>
        <w:rPr>
          <w:rFonts w:eastAsia="Times New Roman" w:cs="Times New Roman"/>
          <w:b/>
          <w:sz w:val="24"/>
          <w:szCs w:val="24"/>
          <w:lang w:eastAsia="en-IE"/>
        </w:rPr>
      </w:pPr>
      <w:r>
        <w:rPr>
          <w:rFonts w:eastAsia="Times New Roman" w:cs="Times New Roman"/>
          <w:b/>
          <w:sz w:val="24"/>
          <w:szCs w:val="24"/>
          <w:lang w:eastAsia="en-IE"/>
        </w:rPr>
        <w:t>1.</w:t>
      </w:r>
      <w:r w:rsidR="0045235C">
        <w:rPr>
          <w:rFonts w:eastAsia="Times New Roman" w:cs="Times New Roman"/>
          <w:b/>
          <w:sz w:val="24"/>
          <w:szCs w:val="24"/>
          <w:lang w:eastAsia="en-IE"/>
        </w:rPr>
        <w:t>2.</w:t>
      </w:r>
      <w:r>
        <w:rPr>
          <w:rFonts w:eastAsia="Times New Roman" w:cs="Times New Roman"/>
          <w:b/>
          <w:sz w:val="24"/>
          <w:szCs w:val="24"/>
          <w:lang w:eastAsia="en-IE"/>
        </w:rPr>
        <w:t>7</w:t>
      </w:r>
      <w:r w:rsidR="00FF0FA2" w:rsidRPr="0045235C">
        <w:rPr>
          <w:rFonts w:eastAsia="Times New Roman" w:cs="Times New Roman"/>
          <w:b/>
          <w:sz w:val="24"/>
          <w:szCs w:val="24"/>
          <w:lang w:eastAsia="en-IE"/>
        </w:rPr>
        <w:t xml:space="preserve"> </w:t>
      </w:r>
      <w:r>
        <w:rPr>
          <w:rFonts w:eastAsia="Times New Roman" w:cs="Times New Roman"/>
          <w:b/>
          <w:sz w:val="24"/>
          <w:szCs w:val="24"/>
          <w:lang w:eastAsia="en-IE"/>
        </w:rPr>
        <w:tab/>
      </w:r>
      <w:r w:rsidR="00FF0FA2" w:rsidRPr="0045235C">
        <w:rPr>
          <w:rFonts w:eastAsia="Times New Roman" w:cs="Times New Roman"/>
          <w:b/>
          <w:sz w:val="24"/>
          <w:szCs w:val="24"/>
          <w:lang w:eastAsia="en-IE"/>
        </w:rPr>
        <w:t>Costs of alcohol related absenteeism from work</w:t>
      </w:r>
    </w:p>
    <w:p w:rsidR="00FF0FA2" w:rsidRP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 xml:space="preserve"> A survey </w:t>
      </w:r>
      <w:r w:rsidRPr="000B2D2D">
        <w:rPr>
          <w:rFonts w:eastAsia="Times New Roman" w:cs="Times New Roman"/>
          <w:sz w:val="24"/>
          <w:szCs w:val="24"/>
          <w:lang w:eastAsia="en-IE"/>
        </w:rPr>
        <w:t>by IBEC (</w:t>
      </w:r>
      <w:r w:rsidR="00B5567B" w:rsidRPr="000B2D2D">
        <w:rPr>
          <w:rFonts w:eastAsia="Times New Roman" w:cs="Times New Roman"/>
          <w:sz w:val="24"/>
          <w:szCs w:val="24"/>
          <w:lang w:eastAsia="en-IE"/>
        </w:rPr>
        <w:t>2011</w:t>
      </w:r>
      <w:r w:rsidRPr="000B2D2D">
        <w:rPr>
          <w:rFonts w:eastAsia="Times New Roman" w:cs="Times New Roman"/>
          <w:sz w:val="24"/>
          <w:szCs w:val="24"/>
          <w:lang w:eastAsia="en-IE"/>
        </w:rPr>
        <w:t>) found</w:t>
      </w:r>
      <w:r w:rsidRPr="0045235C">
        <w:rPr>
          <w:rFonts w:eastAsia="Times New Roman" w:cs="Times New Roman"/>
          <w:sz w:val="24"/>
          <w:szCs w:val="24"/>
          <w:lang w:eastAsia="en-IE"/>
        </w:rPr>
        <w:t xml:space="preserve"> that 4% of companies surveyed cited alcohol as a major factor in 4% of absences by men and 1% by women.  The survey found that 12% of absences had some alcohol connection. For absences not due to illness, 5% had alcohol as a main cause and 22% were alcohol related. IBEC estimated the value of lost output due to absenteeism as €1.5 billion in 2010.  The IBEC survey covered only private sector employers.  Public sector employment is 20% of private sector employment which suggests that the value of lost output should be augmented by 20% which would give a total value of los</w:t>
      </w:r>
      <w:r w:rsidR="00F77516">
        <w:rPr>
          <w:rFonts w:eastAsia="Times New Roman" w:cs="Times New Roman"/>
          <w:sz w:val="24"/>
          <w:szCs w:val="24"/>
          <w:lang w:eastAsia="en-IE"/>
        </w:rPr>
        <w:t>t output of €1.8 billion in 2010</w:t>
      </w:r>
      <w:r w:rsidRPr="0045235C">
        <w:rPr>
          <w:rFonts w:eastAsia="Times New Roman" w:cs="Times New Roman"/>
          <w:sz w:val="24"/>
          <w:szCs w:val="24"/>
          <w:lang w:eastAsia="en-IE"/>
        </w:rPr>
        <w:t xml:space="preserve">.  Adjusting this figure to 2013 values gives a total value for lost output of €1.95 billion.  </w:t>
      </w:r>
    </w:p>
    <w:p w:rsidR="00FF0FA2" w:rsidRP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 xml:space="preserve">To estimate the value of lost output due to alcohol requires taking a figure between the 4% and 12% for absences in which alcohol was the main cause or a contributing factor while for alcohol related absences not due to illness, requires taking a figure between 6% and 14%.  A reasonable compromise would be to assume that 10% of the estimated total value of lost output due to absenteeism is alcohol related. This gives a figure of </w:t>
      </w:r>
      <w:r w:rsidRPr="0045235C">
        <w:rPr>
          <w:rFonts w:eastAsia="Times New Roman" w:cs="Times New Roman"/>
          <w:sz w:val="24"/>
          <w:szCs w:val="24"/>
          <w:u w:val="single"/>
          <w:lang w:eastAsia="en-IE"/>
        </w:rPr>
        <w:t>€195 million</w:t>
      </w:r>
      <w:r w:rsidRPr="0045235C">
        <w:rPr>
          <w:rFonts w:eastAsia="Times New Roman" w:cs="Times New Roman"/>
          <w:sz w:val="24"/>
          <w:szCs w:val="24"/>
          <w:lang w:eastAsia="en-IE"/>
        </w:rPr>
        <w:t xml:space="preserve"> for the value of lost output due to alcohol related absenteeism.</w:t>
      </w:r>
    </w:p>
    <w:p w:rsidR="00FF0FA2" w:rsidRPr="0045235C" w:rsidRDefault="000B2D2D" w:rsidP="0045235C">
      <w:pPr>
        <w:spacing w:after="120"/>
        <w:rPr>
          <w:rFonts w:eastAsia="Times New Roman" w:cs="Times New Roman"/>
          <w:b/>
          <w:sz w:val="24"/>
          <w:szCs w:val="24"/>
          <w:lang w:eastAsia="en-IE"/>
        </w:rPr>
      </w:pPr>
      <w:r>
        <w:rPr>
          <w:rFonts w:eastAsia="Times New Roman" w:cs="Times New Roman"/>
          <w:b/>
          <w:sz w:val="24"/>
          <w:szCs w:val="24"/>
          <w:lang w:eastAsia="en-IE"/>
        </w:rPr>
        <w:t>1.</w:t>
      </w:r>
      <w:r w:rsidR="0045235C">
        <w:rPr>
          <w:rFonts w:eastAsia="Times New Roman" w:cs="Times New Roman"/>
          <w:b/>
          <w:sz w:val="24"/>
          <w:szCs w:val="24"/>
          <w:lang w:eastAsia="en-IE"/>
        </w:rPr>
        <w:t>2.</w:t>
      </w:r>
      <w:r>
        <w:rPr>
          <w:rFonts w:eastAsia="Times New Roman" w:cs="Times New Roman"/>
          <w:b/>
          <w:sz w:val="24"/>
          <w:szCs w:val="24"/>
          <w:lang w:eastAsia="en-IE"/>
        </w:rPr>
        <w:t>8</w:t>
      </w:r>
      <w:r w:rsidR="00FF0FA2" w:rsidRPr="0045235C">
        <w:rPr>
          <w:rFonts w:eastAsia="Times New Roman" w:cs="Times New Roman"/>
          <w:b/>
          <w:sz w:val="24"/>
          <w:szCs w:val="24"/>
          <w:lang w:eastAsia="en-IE"/>
        </w:rPr>
        <w:t xml:space="preserve"> </w:t>
      </w:r>
      <w:r>
        <w:rPr>
          <w:rFonts w:eastAsia="Times New Roman" w:cs="Times New Roman"/>
          <w:b/>
          <w:sz w:val="24"/>
          <w:szCs w:val="24"/>
          <w:lang w:eastAsia="en-IE"/>
        </w:rPr>
        <w:tab/>
      </w:r>
      <w:r w:rsidR="00FF0FA2" w:rsidRPr="0045235C">
        <w:rPr>
          <w:rFonts w:eastAsia="Times New Roman" w:cs="Times New Roman"/>
          <w:b/>
          <w:sz w:val="24"/>
          <w:szCs w:val="24"/>
          <w:lang w:eastAsia="en-IE"/>
        </w:rPr>
        <w:t>Cost of alcohol related industrial accidents</w:t>
      </w:r>
    </w:p>
    <w:p w:rsidR="00FF0FA2" w:rsidRPr="0045235C" w:rsidRDefault="00FF0FA2" w:rsidP="0045235C">
      <w:pPr>
        <w:spacing w:after="120"/>
        <w:rPr>
          <w:rFonts w:eastAsia="Times New Roman" w:cs="Times New Roman"/>
          <w:sz w:val="24"/>
          <w:szCs w:val="24"/>
          <w:u w:val="single"/>
          <w:lang w:eastAsia="en-IE"/>
        </w:rPr>
      </w:pPr>
      <w:r w:rsidRPr="0045235C">
        <w:rPr>
          <w:rFonts w:eastAsia="Times New Roman" w:cs="Times New Roman"/>
          <w:sz w:val="24"/>
          <w:szCs w:val="24"/>
          <w:lang w:eastAsia="en-IE"/>
        </w:rPr>
        <w:t xml:space="preserve">A report </w:t>
      </w:r>
      <w:r w:rsidR="00B94847">
        <w:rPr>
          <w:rFonts w:eastAsia="Times New Roman" w:cs="Times New Roman"/>
          <w:sz w:val="24"/>
          <w:szCs w:val="24"/>
          <w:lang w:eastAsia="en-IE"/>
        </w:rPr>
        <w:t xml:space="preserve">by the Health and Safety Authority (2004) </w:t>
      </w:r>
      <w:r w:rsidRPr="0045235C">
        <w:rPr>
          <w:rFonts w:eastAsia="Times New Roman" w:cs="Times New Roman"/>
          <w:sz w:val="24"/>
          <w:szCs w:val="24"/>
          <w:lang w:eastAsia="en-IE"/>
        </w:rPr>
        <w:t xml:space="preserve">for the Department of Jobs, Enterprise and Innovation Economic </w:t>
      </w:r>
      <w:r w:rsidRPr="0045235C">
        <w:rPr>
          <w:rFonts w:eastAsia="Times New Roman" w:cs="Times New Roman"/>
          <w:i/>
          <w:sz w:val="24"/>
          <w:szCs w:val="24"/>
          <w:lang w:eastAsia="en-IE"/>
        </w:rPr>
        <w:t>Impact of the Legislation on Health and Safety at Work</w:t>
      </w:r>
      <w:r w:rsidR="00B94847">
        <w:rPr>
          <w:rFonts w:eastAsia="Times New Roman" w:cs="Times New Roman"/>
          <w:i/>
          <w:sz w:val="24"/>
          <w:szCs w:val="24"/>
          <w:lang w:eastAsia="en-IE"/>
        </w:rPr>
        <w:t>,</w:t>
      </w:r>
      <w:r w:rsidR="00B94847">
        <w:rPr>
          <w:rFonts w:eastAsia="Times New Roman" w:cs="Times New Roman"/>
          <w:sz w:val="24"/>
          <w:szCs w:val="24"/>
          <w:lang w:eastAsia="en-IE"/>
        </w:rPr>
        <w:t xml:space="preserve"> </w:t>
      </w:r>
      <w:r w:rsidRPr="0045235C">
        <w:rPr>
          <w:rFonts w:eastAsia="Times New Roman" w:cs="Times New Roman"/>
          <w:sz w:val="24"/>
          <w:szCs w:val="24"/>
          <w:lang w:eastAsia="en-IE"/>
        </w:rPr>
        <w:t xml:space="preserve">estimated conservatively that lost output due to work related accidents was valued at €1.8 billion in 2003. The report did not estimate the proportion of alcohol related accidents at work, but a UK </w:t>
      </w:r>
      <w:r w:rsidRPr="000B2D2D">
        <w:rPr>
          <w:rFonts w:eastAsia="Times New Roman" w:cs="Times New Roman"/>
          <w:sz w:val="24"/>
          <w:szCs w:val="24"/>
          <w:lang w:eastAsia="en-IE"/>
        </w:rPr>
        <w:t>study (Alcohol Concern, 2000) found that</w:t>
      </w:r>
      <w:r w:rsidRPr="0045235C">
        <w:rPr>
          <w:rFonts w:eastAsia="Times New Roman" w:cs="Times New Roman"/>
          <w:sz w:val="24"/>
          <w:szCs w:val="24"/>
          <w:lang w:eastAsia="en-IE"/>
        </w:rPr>
        <w:t xml:space="preserve"> 25% of accidents at work are alcohol related.  As no study has been undertaken in Ireland to estimate the proportion of workplace accidents that are alcohol related it would be excessively pessimistic to assume that 25% of workplace accidents are alcohol related in Ireland. A more conservative approach would be </w:t>
      </w:r>
      <w:r w:rsidRPr="0045235C">
        <w:rPr>
          <w:rFonts w:eastAsia="Times New Roman" w:cs="Times New Roman"/>
          <w:sz w:val="24"/>
          <w:szCs w:val="24"/>
          <w:lang w:eastAsia="en-IE"/>
        </w:rPr>
        <w:lastRenderedPageBreak/>
        <w:t xml:space="preserve">to assume that at least </w:t>
      </w:r>
      <w:r w:rsidRPr="0045235C">
        <w:rPr>
          <w:rFonts w:eastAsia="Times New Roman" w:cs="Times New Roman"/>
          <w:sz w:val="24"/>
          <w:szCs w:val="24"/>
          <w:u w:val="single"/>
          <w:lang w:eastAsia="en-IE"/>
        </w:rPr>
        <w:t>10% of workplace accidents are alcohol related</w:t>
      </w:r>
      <w:r w:rsidRPr="0045235C">
        <w:rPr>
          <w:rFonts w:eastAsia="Times New Roman" w:cs="Times New Roman"/>
          <w:sz w:val="24"/>
          <w:szCs w:val="24"/>
          <w:lang w:eastAsia="en-IE"/>
        </w:rPr>
        <w:t xml:space="preserve">.  This would give a value of €180 million for lost output in 2003 prices which adjusted by the GDP deflator gives a value of </w:t>
      </w:r>
      <w:r w:rsidRPr="0045235C">
        <w:rPr>
          <w:rFonts w:eastAsia="Times New Roman" w:cs="Times New Roman"/>
          <w:sz w:val="24"/>
          <w:szCs w:val="24"/>
          <w:u w:val="single"/>
          <w:lang w:eastAsia="en-IE"/>
        </w:rPr>
        <w:t>€185 million.</w:t>
      </w:r>
    </w:p>
    <w:p w:rsidR="00FF0FA2" w:rsidRPr="0045235C" w:rsidRDefault="000B2D2D" w:rsidP="0045235C">
      <w:pPr>
        <w:spacing w:after="120"/>
        <w:rPr>
          <w:rFonts w:eastAsia="Times New Roman" w:cs="Times New Roman"/>
          <w:b/>
          <w:sz w:val="24"/>
          <w:szCs w:val="24"/>
          <w:lang w:eastAsia="en-IE"/>
        </w:rPr>
      </w:pPr>
      <w:r>
        <w:rPr>
          <w:rFonts w:eastAsia="Times New Roman" w:cs="Times New Roman"/>
          <w:b/>
          <w:sz w:val="24"/>
          <w:szCs w:val="24"/>
          <w:lang w:eastAsia="en-IE"/>
        </w:rPr>
        <w:t>1.</w:t>
      </w:r>
      <w:r w:rsidR="0045235C">
        <w:rPr>
          <w:rFonts w:eastAsia="Times New Roman" w:cs="Times New Roman"/>
          <w:b/>
          <w:sz w:val="24"/>
          <w:szCs w:val="24"/>
          <w:lang w:eastAsia="en-IE"/>
        </w:rPr>
        <w:t>2.</w:t>
      </w:r>
      <w:r>
        <w:rPr>
          <w:rFonts w:eastAsia="Times New Roman" w:cs="Times New Roman"/>
          <w:b/>
          <w:sz w:val="24"/>
          <w:szCs w:val="24"/>
          <w:lang w:eastAsia="en-IE"/>
        </w:rPr>
        <w:t>9</w:t>
      </w:r>
      <w:r w:rsidR="00FF0FA2" w:rsidRPr="0045235C">
        <w:rPr>
          <w:rFonts w:eastAsia="Times New Roman" w:cs="Times New Roman"/>
          <w:b/>
          <w:sz w:val="24"/>
          <w:szCs w:val="24"/>
          <w:lang w:eastAsia="en-IE"/>
        </w:rPr>
        <w:t xml:space="preserve"> </w:t>
      </w:r>
      <w:r>
        <w:rPr>
          <w:rFonts w:eastAsia="Times New Roman" w:cs="Times New Roman"/>
          <w:b/>
          <w:sz w:val="24"/>
          <w:szCs w:val="24"/>
          <w:lang w:eastAsia="en-IE"/>
        </w:rPr>
        <w:tab/>
      </w:r>
      <w:r w:rsidR="00FF0FA2" w:rsidRPr="0045235C">
        <w:rPr>
          <w:rFonts w:eastAsia="Times New Roman" w:cs="Times New Roman"/>
          <w:b/>
          <w:sz w:val="24"/>
          <w:szCs w:val="24"/>
          <w:lang w:eastAsia="en-IE"/>
        </w:rPr>
        <w:t>Cost of alcohol related suicide</w:t>
      </w:r>
    </w:p>
    <w:p w:rsidR="00FF0FA2" w:rsidRPr="000B2D2D"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 xml:space="preserve">Several studied show a positive association between per capita alcohol consumption and suicide. </w:t>
      </w:r>
      <w:r w:rsidRPr="000B2D2D">
        <w:rPr>
          <w:rFonts w:eastAsia="Times New Roman" w:cs="Times New Roman"/>
          <w:sz w:val="24"/>
          <w:szCs w:val="24"/>
          <w:lang w:eastAsia="en-IE"/>
        </w:rPr>
        <w:t>Brady (2006) finds that there is evidence that problem alcohol use predisposed to suicidal behaviour through its depressive effects and promotion of adverse life events, impairment of problem solving skills and aggravation of impulsive personality traits. Walsh (2010) finds that alcohol is a highly significant influence on suicide among men in all age groups between 15 and 54 years.  Walsh (2010) also found that alcohol consumption influenced suicides among women under the age of 35.</w:t>
      </w:r>
    </w:p>
    <w:p w:rsidR="00FF0FA2" w:rsidRPr="000B2D2D" w:rsidRDefault="00FF0FA2" w:rsidP="0045235C">
      <w:pPr>
        <w:spacing w:after="120"/>
        <w:rPr>
          <w:rFonts w:eastAsia="Times New Roman" w:cs="Times New Roman"/>
          <w:sz w:val="24"/>
          <w:szCs w:val="24"/>
          <w:lang w:eastAsia="en-IE"/>
        </w:rPr>
      </w:pPr>
      <w:r w:rsidRPr="000B2D2D">
        <w:rPr>
          <w:rFonts w:eastAsia="Times New Roman" w:cs="Times New Roman"/>
          <w:sz w:val="24"/>
          <w:szCs w:val="24"/>
          <w:lang w:eastAsia="en-IE"/>
        </w:rPr>
        <w:t xml:space="preserve">While the studies of the social cost of alcohol misuse in the UK and Northern Ireland do not include the costs of alcohol related suicide, the significant increase in the suicide rate in Ireland over the past 30 years in Ireland coincided with an equally significant increase in alcohol consumption. </w:t>
      </w:r>
    </w:p>
    <w:p w:rsidR="00FF0FA2" w:rsidRPr="000B2D2D" w:rsidRDefault="00FF0FA2" w:rsidP="0045235C">
      <w:pPr>
        <w:spacing w:after="120"/>
        <w:rPr>
          <w:rFonts w:eastAsia="Times New Roman" w:cs="Times New Roman"/>
          <w:sz w:val="24"/>
          <w:szCs w:val="24"/>
          <w:lang w:eastAsia="en-IE"/>
        </w:rPr>
      </w:pPr>
      <w:r w:rsidRPr="000B2D2D">
        <w:rPr>
          <w:rFonts w:eastAsia="Times New Roman" w:cs="Times New Roman"/>
          <w:sz w:val="24"/>
          <w:szCs w:val="24"/>
          <w:lang w:eastAsia="en-IE"/>
        </w:rPr>
        <w:t>A study by the Departments of Public Health in the former Health Boards (2001) based on a survey of GPs and psychiatrists found that 21% of GP patients who attempted or committed suicide had taken alcohol immediately preceding the event and 21% of GP patients and 27% of psychiatrists’ patients who had attempted or committed suicide had a history of alcohol abuse.</w:t>
      </w:r>
    </w:p>
    <w:p w:rsidR="00FF0FA2" w:rsidRPr="0045235C" w:rsidRDefault="00FF0FA2" w:rsidP="0045235C">
      <w:pPr>
        <w:spacing w:after="120"/>
        <w:rPr>
          <w:rFonts w:eastAsia="Times New Roman" w:cs="Times New Roman"/>
          <w:sz w:val="24"/>
          <w:szCs w:val="24"/>
          <w:lang w:eastAsia="en-IE"/>
        </w:rPr>
      </w:pPr>
      <w:r w:rsidRPr="000B2D2D">
        <w:rPr>
          <w:rFonts w:eastAsia="Times New Roman" w:cs="Times New Roman"/>
          <w:sz w:val="24"/>
          <w:szCs w:val="24"/>
          <w:lang w:eastAsia="en-IE"/>
        </w:rPr>
        <w:t>In his paper</w:t>
      </w:r>
      <w:r w:rsidR="0015458F">
        <w:rPr>
          <w:rFonts w:eastAsia="Times New Roman" w:cs="Times New Roman"/>
          <w:sz w:val="24"/>
          <w:szCs w:val="24"/>
          <w:lang w:eastAsia="en-IE"/>
        </w:rPr>
        <w:t>,</w:t>
      </w:r>
      <w:r w:rsidRPr="000B2D2D">
        <w:rPr>
          <w:rFonts w:eastAsia="Times New Roman" w:cs="Times New Roman"/>
          <w:sz w:val="24"/>
          <w:szCs w:val="24"/>
          <w:lang w:eastAsia="en-IE"/>
        </w:rPr>
        <w:t xml:space="preserve"> </w:t>
      </w:r>
      <w:r w:rsidRPr="0015458F">
        <w:rPr>
          <w:rFonts w:eastAsia="Times New Roman" w:cs="Times New Roman"/>
          <w:i/>
          <w:sz w:val="24"/>
          <w:szCs w:val="24"/>
          <w:lang w:eastAsia="en-IE"/>
        </w:rPr>
        <w:t>The Economic Cost of Suicide in Ireland</w:t>
      </w:r>
      <w:r w:rsidRPr="000B2D2D">
        <w:rPr>
          <w:rFonts w:eastAsia="Times New Roman" w:cs="Times New Roman"/>
          <w:sz w:val="24"/>
          <w:szCs w:val="24"/>
          <w:lang w:eastAsia="en-IE"/>
        </w:rPr>
        <w:t>, Kennelly (</w:t>
      </w:r>
      <w:r w:rsidR="004E331C" w:rsidRPr="000B2D2D">
        <w:rPr>
          <w:rFonts w:eastAsia="Times New Roman" w:cs="Times New Roman"/>
          <w:sz w:val="24"/>
          <w:szCs w:val="24"/>
          <w:lang w:eastAsia="en-IE"/>
        </w:rPr>
        <w:t>2007</w:t>
      </w:r>
      <w:r w:rsidRPr="000B2D2D">
        <w:rPr>
          <w:rFonts w:eastAsia="Times New Roman" w:cs="Times New Roman"/>
          <w:sz w:val="24"/>
          <w:szCs w:val="24"/>
          <w:lang w:eastAsia="en-IE"/>
        </w:rPr>
        <w:t>) estimated</w:t>
      </w:r>
      <w:r w:rsidRPr="0045235C">
        <w:rPr>
          <w:rFonts w:eastAsia="Times New Roman" w:cs="Times New Roman"/>
          <w:sz w:val="24"/>
          <w:szCs w:val="24"/>
          <w:lang w:eastAsia="en-IE"/>
        </w:rPr>
        <w:t xml:space="preserve"> the cost of suicide in Ireland was €835 million. Kennelly’s estimates include the direct cost of suicide such as medical and emergency services costs but these are small compared to his estimates of the indirect costs. The large indirect cost is based on the “willingness to pay” approach to valuing human life which is also used in estimating the cost of road accidents. Assuming that </w:t>
      </w:r>
      <w:r w:rsidRPr="0045235C">
        <w:rPr>
          <w:rFonts w:eastAsia="Times New Roman" w:cs="Times New Roman"/>
          <w:sz w:val="24"/>
          <w:szCs w:val="24"/>
          <w:u w:val="single"/>
          <w:lang w:eastAsia="en-IE"/>
        </w:rPr>
        <w:t>20% of suicides are alcohol related</w:t>
      </w:r>
      <w:r w:rsidRPr="0045235C">
        <w:rPr>
          <w:rFonts w:eastAsia="Times New Roman" w:cs="Times New Roman"/>
          <w:sz w:val="24"/>
          <w:szCs w:val="24"/>
          <w:lang w:eastAsia="en-IE"/>
        </w:rPr>
        <w:t xml:space="preserve"> gives a cost of €167 million for such suicide</w:t>
      </w:r>
      <w:r w:rsidR="0015458F">
        <w:rPr>
          <w:rFonts w:eastAsia="Times New Roman" w:cs="Times New Roman"/>
          <w:sz w:val="24"/>
          <w:szCs w:val="24"/>
          <w:lang w:eastAsia="en-IE"/>
        </w:rPr>
        <w:t>s</w:t>
      </w:r>
      <w:r w:rsidRPr="0045235C">
        <w:rPr>
          <w:rFonts w:eastAsia="Times New Roman" w:cs="Times New Roman"/>
          <w:sz w:val="24"/>
          <w:szCs w:val="24"/>
          <w:lang w:eastAsia="en-IE"/>
        </w:rPr>
        <w:t xml:space="preserve"> in 2003 prices. Updating this figure by the GDP deflator gives a figure of </w:t>
      </w:r>
      <w:r w:rsidRPr="0045235C">
        <w:rPr>
          <w:rFonts w:eastAsia="Times New Roman" w:cs="Times New Roman"/>
          <w:sz w:val="24"/>
          <w:szCs w:val="24"/>
          <w:u w:val="single"/>
          <w:lang w:eastAsia="en-IE"/>
        </w:rPr>
        <w:t>€169 million.</w:t>
      </w:r>
    </w:p>
    <w:p w:rsidR="0045235C" w:rsidRDefault="000B2D2D" w:rsidP="0045235C">
      <w:pPr>
        <w:spacing w:after="120"/>
        <w:rPr>
          <w:rFonts w:eastAsia="Times New Roman" w:cs="Times New Roman"/>
          <w:b/>
          <w:sz w:val="24"/>
          <w:szCs w:val="24"/>
          <w:lang w:eastAsia="en-IE"/>
        </w:rPr>
      </w:pPr>
      <w:r>
        <w:rPr>
          <w:rFonts w:eastAsia="Times New Roman" w:cs="Times New Roman"/>
          <w:b/>
          <w:sz w:val="24"/>
          <w:szCs w:val="24"/>
          <w:lang w:eastAsia="en-IE"/>
        </w:rPr>
        <w:t>1.</w:t>
      </w:r>
      <w:r w:rsidR="0045235C">
        <w:rPr>
          <w:rFonts w:eastAsia="Times New Roman" w:cs="Times New Roman"/>
          <w:b/>
          <w:sz w:val="24"/>
          <w:szCs w:val="24"/>
          <w:lang w:eastAsia="en-IE"/>
        </w:rPr>
        <w:t>2.</w:t>
      </w:r>
      <w:r>
        <w:rPr>
          <w:rFonts w:eastAsia="Times New Roman" w:cs="Times New Roman"/>
          <w:b/>
          <w:sz w:val="24"/>
          <w:szCs w:val="24"/>
          <w:lang w:eastAsia="en-IE"/>
        </w:rPr>
        <w:t>10</w:t>
      </w:r>
      <w:r w:rsidR="009F45D0">
        <w:rPr>
          <w:rFonts w:eastAsia="Times New Roman" w:cs="Times New Roman"/>
          <w:b/>
          <w:sz w:val="24"/>
          <w:szCs w:val="24"/>
          <w:lang w:eastAsia="en-IE"/>
        </w:rPr>
        <w:tab/>
      </w:r>
      <w:r w:rsidR="00FF0FA2" w:rsidRPr="0045235C">
        <w:rPr>
          <w:rFonts w:eastAsia="Times New Roman" w:cs="Times New Roman"/>
          <w:b/>
          <w:sz w:val="24"/>
          <w:szCs w:val="24"/>
          <w:lang w:eastAsia="en-IE"/>
        </w:rPr>
        <w:t>Cost of alco</w:t>
      </w:r>
      <w:r w:rsidR="0045235C">
        <w:rPr>
          <w:rFonts w:eastAsia="Times New Roman" w:cs="Times New Roman"/>
          <w:b/>
          <w:sz w:val="24"/>
          <w:szCs w:val="24"/>
          <w:lang w:eastAsia="en-IE"/>
        </w:rPr>
        <w:t>hol related premature mortality</w:t>
      </w:r>
    </w:p>
    <w:p w:rsidR="00FF0FA2" w:rsidRPr="0045235C" w:rsidRDefault="00FF0FA2" w:rsidP="0045235C">
      <w:pPr>
        <w:spacing w:after="120"/>
        <w:rPr>
          <w:rFonts w:eastAsia="Times New Roman" w:cs="Times New Roman"/>
          <w:b/>
          <w:sz w:val="24"/>
          <w:szCs w:val="24"/>
          <w:lang w:eastAsia="en-IE"/>
        </w:rPr>
      </w:pPr>
      <w:r w:rsidRPr="0045235C">
        <w:rPr>
          <w:rFonts w:eastAsia="Times New Roman" w:cs="Times New Roman"/>
          <w:sz w:val="24"/>
          <w:szCs w:val="24"/>
          <w:lang w:eastAsia="en-IE"/>
        </w:rPr>
        <w:t xml:space="preserve">Problem alcohol use leads to premature mortality for many people in the labour force and therefore reduces output.  The number of working years lost for those who die prematurely from alcohol use can be calculated and an economic value put on the output they might have produced if they had stayed in the labour force until 65. </w:t>
      </w:r>
    </w:p>
    <w:p w:rsid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 xml:space="preserve">The psychological effect of premature death of a person who misuses alcohol is borne by his or her family and friends. The effects can be estimated by the Willingness-to-Pay (WTP) method which values human life according to what individuals would be willing to pay for a change that reduces the probability of illness or death.  Estimates based on WTP are much larger than the cost of material production lost </w:t>
      </w:r>
      <w:r w:rsidR="0045235C">
        <w:rPr>
          <w:rFonts w:eastAsia="Times New Roman" w:cs="Times New Roman"/>
          <w:sz w:val="24"/>
          <w:szCs w:val="24"/>
          <w:lang w:eastAsia="en-IE"/>
        </w:rPr>
        <w:t>using the human capital method.</w:t>
      </w:r>
    </w:p>
    <w:p w:rsidR="00FF0FA2" w:rsidRP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lastRenderedPageBreak/>
        <w:t xml:space="preserve">Martin </w:t>
      </w:r>
      <w:r w:rsidRPr="000B2D2D">
        <w:rPr>
          <w:rFonts w:eastAsia="Times New Roman" w:cs="Times New Roman"/>
          <w:sz w:val="24"/>
          <w:szCs w:val="24"/>
          <w:lang w:eastAsia="en-IE"/>
        </w:rPr>
        <w:t>et al (</w:t>
      </w:r>
      <w:r w:rsidR="004E331C" w:rsidRPr="000B2D2D">
        <w:rPr>
          <w:rFonts w:eastAsia="Times New Roman" w:cs="Times New Roman"/>
          <w:sz w:val="24"/>
          <w:szCs w:val="24"/>
          <w:lang w:eastAsia="en-IE"/>
        </w:rPr>
        <w:t>2011</w:t>
      </w:r>
      <w:r w:rsidRPr="000B2D2D">
        <w:rPr>
          <w:rFonts w:eastAsia="Times New Roman" w:cs="Times New Roman"/>
          <w:sz w:val="24"/>
          <w:szCs w:val="24"/>
          <w:lang w:eastAsia="en-IE"/>
        </w:rPr>
        <w:t xml:space="preserve">) estimate that 1.8% of deaths in Ireland are attributable to alcohol. </w:t>
      </w:r>
      <w:proofErr w:type="gramStart"/>
      <w:r w:rsidRPr="000B2D2D">
        <w:rPr>
          <w:rFonts w:eastAsia="Times New Roman" w:cs="Times New Roman"/>
          <w:sz w:val="24"/>
          <w:szCs w:val="24"/>
          <w:lang w:eastAsia="en-IE"/>
        </w:rPr>
        <w:t>Applying this percentage to the total number of deaths in Ireland in 2012, gives 382 deaths attributable to alcohol.</w:t>
      </w:r>
      <w:proofErr w:type="gramEnd"/>
      <w:r w:rsidRPr="000B2D2D">
        <w:rPr>
          <w:rFonts w:eastAsia="Times New Roman" w:cs="Times New Roman"/>
          <w:sz w:val="24"/>
          <w:szCs w:val="24"/>
          <w:lang w:eastAsia="en-IE"/>
        </w:rPr>
        <w:t xml:space="preserve"> Sufficient data is not available in Ireland to calculate the cost of premature mortality using the WTP method.  As the mortality costs for road accidents and suicide given in this paper are based on the WTP method, it would be inconsistent to ignore the cost of other types of alcohol related mortality.  In the Scottish study (2001) which</w:t>
      </w:r>
      <w:r w:rsidRPr="0045235C">
        <w:rPr>
          <w:rFonts w:eastAsia="Times New Roman" w:cs="Times New Roman"/>
          <w:sz w:val="24"/>
          <w:szCs w:val="24"/>
          <w:lang w:eastAsia="en-IE"/>
        </w:rPr>
        <w:t xml:space="preserve"> rigorously applied the willingness to pay method,  the cost of premature mortality is one third of the more tangible costs of lost output due to alcohol related absenteeism and unemployment. One third of the cost of lost output due to alcohol related absenteeism as calculated above is </w:t>
      </w:r>
      <w:r w:rsidRPr="006F4259">
        <w:rPr>
          <w:rFonts w:eastAsia="Times New Roman" w:cs="Times New Roman"/>
          <w:sz w:val="24"/>
          <w:szCs w:val="24"/>
          <w:u w:val="single"/>
          <w:lang w:eastAsia="en-IE"/>
        </w:rPr>
        <w:t>€65 million</w:t>
      </w:r>
      <w:r w:rsidR="006F4259">
        <w:rPr>
          <w:rFonts w:eastAsia="Times New Roman" w:cs="Times New Roman"/>
          <w:sz w:val="24"/>
          <w:szCs w:val="24"/>
          <w:u w:val="single"/>
          <w:lang w:eastAsia="en-IE"/>
        </w:rPr>
        <w:t>.</w:t>
      </w:r>
    </w:p>
    <w:p w:rsidR="00FF0FA2" w:rsidRPr="009F45D0" w:rsidRDefault="009F45D0" w:rsidP="00FF0FA2">
      <w:pPr>
        <w:rPr>
          <w:rFonts w:eastAsia="Times New Roman" w:cs="Times New Roman"/>
          <w:b/>
          <w:sz w:val="24"/>
          <w:szCs w:val="24"/>
          <w:lang w:eastAsia="en-IE"/>
        </w:rPr>
      </w:pPr>
      <w:r w:rsidRPr="009F45D0">
        <w:rPr>
          <w:rFonts w:eastAsia="Times New Roman" w:cs="Times New Roman"/>
          <w:b/>
          <w:sz w:val="24"/>
          <w:szCs w:val="24"/>
          <w:lang w:eastAsia="en-IE"/>
        </w:rPr>
        <w:t>1.</w:t>
      </w:r>
      <w:r w:rsidR="0045235C" w:rsidRPr="009F45D0">
        <w:rPr>
          <w:rFonts w:eastAsia="Times New Roman" w:cs="Times New Roman"/>
          <w:b/>
          <w:sz w:val="24"/>
          <w:szCs w:val="24"/>
          <w:lang w:eastAsia="en-IE"/>
        </w:rPr>
        <w:t>2.</w:t>
      </w:r>
      <w:r w:rsidRPr="009F45D0">
        <w:rPr>
          <w:rFonts w:eastAsia="Times New Roman" w:cs="Times New Roman"/>
          <w:b/>
          <w:sz w:val="24"/>
          <w:szCs w:val="24"/>
          <w:lang w:eastAsia="en-IE"/>
        </w:rPr>
        <w:t>11</w:t>
      </w:r>
      <w:r w:rsidR="00FF0FA2" w:rsidRPr="009F45D0">
        <w:rPr>
          <w:rFonts w:eastAsia="Times New Roman" w:cs="Times New Roman"/>
          <w:b/>
          <w:sz w:val="24"/>
          <w:szCs w:val="24"/>
          <w:lang w:eastAsia="en-IE"/>
        </w:rPr>
        <w:t xml:space="preserve"> </w:t>
      </w:r>
      <w:r w:rsidRPr="009F45D0">
        <w:rPr>
          <w:rFonts w:eastAsia="Times New Roman" w:cs="Times New Roman"/>
          <w:b/>
          <w:sz w:val="24"/>
          <w:szCs w:val="24"/>
          <w:lang w:eastAsia="en-IE"/>
        </w:rPr>
        <w:tab/>
      </w:r>
      <w:r w:rsidR="00FF0FA2" w:rsidRPr="009F45D0">
        <w:rPr>
          <w:rFonts w:eastAsia="Times New Roman" w:cs="Times New Roman"/>
          <w:b/>
          <w:sz w:val="24"/>
          <w:szCs w:val="24"/>
          <w:lang w:eastAsia="en-IE"/>
        </w:rPr>
        <w:t>Estimated Total Social Costs of Problem alcohol use in Ireland in 2013</w:t>
      </w:r>
    </w:p>
    <w:tbl>
      <w:tblPr>
        <w:tblStyle w:val="TableGrid"/>
        <w:tblW w:w="0" w:type="auto"/>
        <w:tblLook w:val="04A0" w:firstRow="1" w:lastRow="0" w:firstColumn="1" w:lastColumn="0" w:noHBand="0" w:noVBand="1"/>
      </w:tblPr>
      <w:tblGrid>
        <w:gridCol w:w="4786"/>
        <w:gridCol w:w="2268"/>
        <w:gridCol w:w="2188"/>
      </w:tblGrid>
      <w:tr w:rsidR="00FF0FA2" w:rsidTr="00FF0FA2">
        <w:tc>
          <w:tcPr>
            <w:tcW w:w="4786" w:type="dxa"/>
          </w:tcPr>
          <w:p w:rsidR="00FF0FA2" w:rsidRPr="00BB4D72" w:rsidRDefault="00FF0FA2" w:rsidP="00FF0FA2">
            <w:pPr>
              <w:rPr>
                <w:rFonts w:eastAsia="Times New Roman" w:cs="Times New Roman"/>
                <w:lang w:eastAsia="en-IE"/>
              </w:rPr>
            </w:pPr>
            <w:r w:rsidRPr="00BB4D72">
              <w:rPr>
                <w:rFonts w:eastAsia="Times New Roman" w:cs="Times New Roman"/>
                <w:lang w:eastAsia="en-IE"/>
              </w:rPr>
              <w:t>Category of Cost</w:t>
            </w:r>
          </w:p>
        </w:tc>
        <w:tc>
          <w:tcPr>
            <w:tcW w:w="226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€Million</w:t>
            </w:r>
          </w:p>
        </w:tc>
        <w:tc>
          <w:tcPr>
            <w:tcW w:w="2188" w:type="dxa"/>
          </w:tcPr>
          <w:p w:rsidR="00FF0FA2" w:rsidRPr="00050A3E" w:rsidRDefault="00FF0FA2" w:rsidP="00FF0FA2">
            <w:pPr>
              <w:spacing w:line="360" w:lineRule="auto"/>
              <w:rPr>
                <w:rFonts w:eastAsia="Times New Roman" w:cs="Times New Roman"/>
                <w:lang w:eastAsia="en-IE"/>
              </w:rPr>
            </w:pPr>
            <w:r w:rsidRPr="00050A3E">
              <w:rPr>
                <w:rFonts w:eastAsia="Times New Roman" w:cs="Times New Roman"/>
                <w:lang w:eastAsia="en-IE"/>
              </w:rPr>
              <w:t>% of total</w:t>
            </w:r>
          </w:p>
        </w:tc>
      </w:tr>
      <w:tr w:rsidR="00FF0FA2" w:rsidTr="00FF0FA2">
        <w:tc>
          <w:tcPr>
            <w:tcW w:w="4786" w:type="dxa"/>
          </w:tcPr>
          <w:p w:rsidR="00FF0FA2" w:rsidRPr="00BB4D72" w:rsidRDefault="00FF0FA2" w:rsidP="00FF0FA2">
            <w:pPr>
              <w:rPr>
                <w:rFonts w:eastAsia="Times New Roman" w:cs="Times New Roman"/>
                <w:lang w:eastAsia="en-IE"/>
              </w:rPr>
            </w:pPr>
            <w:r w:rsidRPr="00BB4D72">
              <w:rPr>
                <w:rFonts w:eastAsia="Times New Roman" w:cs="Times New Roman"/>
                <w:lang w:eastAsia="en-IE"/>
              </w:rPr>
              <w:t>Cost to the health care system</w:t>
            </w:r>
          </w:p>
        </w:tc>
        <w:tc>
          <w:tcPr>
            <w:tcW w:w="2268" w:type="dxa"/>
          </w:tcPr>
          <w:p w:rsidR="00FF0FA2" w:rsidRPr="00050A3E" w:rsidRDefault="00A316D3" w:rsidP="00FF0FA2">
            <w:pPr>
              <w:rPr>
                <w:rFonts w:eastAsia="Times New Roman" w:cs="Times New Roman"/>
                <w:lang w:eastAsia="en-IE"/>
              </w:rPr>
            </w:pPr>
            <w:r>
              <w:rPr>
                <w:rFonts w:eastAsia="Times New Roman" w:cs="Times New Roman"/>
                <w:lang w:eastAsia="en-IE"/>
              </w:rPr>
              <w:t>793</w:t>
            </w:r>
          </w:p>
        </w:tc>
        <w:tc>
          <w:tcPr>
            <w:tcW w:w="2188" w:type="dxa"/>
          </w:tcPr>
          <w:p w:rsidR="00FF0FA2" w:rsidRPr="00050A3E" w:rsidRDefault="00A316D3" w:rsidP="00FF0FA2">
            <w:pPr>
              <w:rPr>
                <w:rFonts w:eastAsia="Times New Roman" w:cs="Times New Roman"/>
                <w:lang w:eastAsia="en-IE"/>
              </w:rPr>
            </w:pPr>
            <w:r>
              <w:rPr>
                <w:rFonts w:eastAsia="Times New Roman" w:cs="Times New Roman"/>
                <w:lang w:eastAsia="en-IE"/>
              </w:rPr>
              <w:t>34</w:t>
            </w:r>
          </w:p>
        </w:tc>
      </w:tr>
      <w:tr w:rsidR="00FF0FA2" w:rsidTr="00FF0FA2">
        <w:tc>
          <w:tcPr>
            <w:tcW w:w="4786" w:type="dxa"/>
          </w:tcPr>
          <w:p w:rsidR="00FF0FA2" w:rsidRPr="00BB4D72" w:rsidRDefault="00FF0FA2" w:rsidP="00FF0FA2">
            <w:pPr>
              <w:rPr>
                <w:rFonts w:eastAsia="Times New Roman" w:cs="Times New Roman"/>
                <w:lang w:eastAsia="en-IE"/>
              </w:rPr>
            </w:pPr>
            <w:r w:rsidRPr="00BB4D72">
              <w:rPr>
                <w:rFonts w:eastAsia="Times New Roman" w:cs="Times New Roman"/>
                <w:lang w:eastAsia="en-IE"/>
              </w:rPr>
              <w:t>Cost of alcohol related crime</w:t>
            </w:r>
          </w:p>
        </w:tc>
        <w:tc>
          <w:tcPr>
            <w:tcW w:w="2268" w:type="dxa"/>
          </w:tcPr>
          <w:p w:rsidR="00FF0FA2" w:rsidRPr="00050A3E" w:rsidRDefault="00A316D3" w:rsidP="00FF0FA2">
            <w:pPr>
              <w:rPr>
                <w:rFonts w:eastAsia="Times New Roman" w:cs="Times New Roman"/>
                <w:lang w:eastAsia="en-IE"/>
              </w:rPr>
            </w:pPr>
            <w:r>
              <w:rPr>
                <w:rFonts w:eastAsia="Times New Roman" w:cs="Times New Roman"/>
                <w:lang w:eastAsia="en-IE"/>
              </w:rPr>
              <w:t>686</w:t>
            </w:r>
          </w:p>
        </w:tc>
        <w:tc>
          <w:tcPr>
            <w:tcW w:w="2188" w:type="dxa"/>
          </w:tcPr>
          <w:p w:rsidR="00FF0FA2" w:rsidRPr="00050A3E" w:rsidRDefault="00FF0FA2" w:rsidP="00A316D3">
            <w:pPr>
              <w:rPr>
                <w:rFonts w:eastAsia="Times New Roman" w:cs="Times New Roman"/>
                <w:lang w:eastAsia="en-IE"/>
              </w:rPr>
            </w:pPr>
            <w:r w:rsidRPr="00050A3E">
              <w:rPr>
                <w:rFonts w:eastAsia="Times New Roman" w:cs="Times New Roman"/>
                <w:lang w:eastAsia="en-IE"/>
              </w:rPr>
              <w:t>2</w:t>
            </w:r>
            <w:r w:rsidR="00A316D3">
              <w:rPr>
                <w:rFonts w:eastAsia="Times New Roman" w:cs="Times New Roman"/>
                <w:lang w:eastAsia="en-IE"/>
              </w:rPr>
              <w:t>9</w:t>
            </w:r>
          </w:p>
        </w:tc>
      </w:tr>
      <w:tr w:rsidR="00FF0FA2" w:rsidTr="00FF0FA2">
        <w:tc>
          <w:tcPr>
            <w:tcW w:w="4786" w:type="dxa"/>
          </w:tcPr>
          <w:p w:rsidR="00FF0FA2" w:rsidRPr="00BB4D72" w:rsidRDefault="00FF0FA2" w:rsidP="00FF0FA2">
            <w:pPr>
              <w:rPr>
                <w:rFonts w:eastAsia="Times New Roman" w:cs="Times New Roman"/>
                <w:lang w:eastAsia="en-IE"/>
              </w:rPr>
            </w:pPr>
            <w:r w:rsidRPr="00BB4D72">
              <w:rPr>
                <w:rFonts w:eastAsia="Times New Roman" w:cs="Times New Roman"/>
                <w:lang w:eastAsia="en-IE"/>
              </w:rPr>
              <w:t>Cost of alcohol related road accidents</w:t>
            </w:r>
          </w:p>
        </w:tc>
        <w:tc>
          <w:tcPr>
            <w:tcW w:w="226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258</w:t>
            </w:r>
          </w:p>
        </w:tc>
        <w:tc>
          <w:tcPr>
            <w:tcW w:w="2188" w:type="dxa"/>
          </w:tcPr>
          <w:p w:rsidR="00FF0FA2" w:rsidRPr="00050A3E" w:rsidRDefault="00A316D3" w:rsidP="00FF0FA2">
            <w:pPr>
              <w:rPr>
                <w:rFonts w:eastAsia="Times New Roman" w:cs="Times New Roman"/>
                <w:lang w:eastAsia="en-IE"/>
              </w:rPr>
            </w:pPr>
            <w:r>
              <w:rPr>
                <w:rFonts w:eastAsia="Times New Roman" w:cs="Times New Roman"/>
                <w:lang w:eastAsia="en-IE"/>
              </w:rPr>
              <w:t>11</w:t>
            </w:r>
          </w:p>
        </w:tc>
      </w:tr>
      <w:tr w:rsidR="00FF0FA2" w:rsidTr="00FF0FA2">
        <w:tc>
          <w:tcPr>
            <w:tcW w:w="4786" w:type="dxa"/>
          </w:tcPr>
          <w:p w:rsidR="00FF0FA2" w:rsidRPr="00BB4D72" w:rsidRDefault="00FF0FA2" w:rsidP="00FF0FA2">
            <w:pPr>
              <w:rPr>
                <w:rFonts w:eastAsia="Times New Roman" w:cs="Times New Roman"/>
                <w:lang w:eastAsia="en-IE"/>
              </w:rPr>
            </w:pPr>
            <w:r w:rsidRPr="00BB4D72">
              <w:rPr>
                <w:rFonts w:eastAsia="Times New Roman" w:cs="Times New Roman"/>
                <w:lang w:eastAsia="en-IE"/>
              </w:rPr>
              <w:t>Cost of lost output due to alcohol relate absenteeism</w:t>
            </w:r>
          </w:p>
        </w:tc>
        <w:tc>
          <w:tcPr>
            <w:tcW w:w="226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195</w:t>
            </w:r>
          </w:p>
        </w:tc>
        <w:tc>
          <w:tcPr>
            <w:tcW w:w="218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8</w:t>
            </w:r>
          </w:p>
        </w:tc>
      </w:tr>
      <w:tr w:rsidR="00FF0FA2" w:rsidTr="00FF0FA2">
        <w:tc>
          <w:tcPr>
            <w:tcW w:w="4786" w:type="dxa"/>
          </w:tcPr>
          <w:p w:rsidR="00FF0FA2" w:rsidRPr="00BB4D72" w:rsidRDefault="00FF0FA2" w:rsidP="00FF0FA2">
            <w:pPr>
              <w:rPr>
                <w:rFonts w:eastAsia="Times New Roman" w:cs="Times New Roman"/>
                <w:lang w:eastAsia="en-IE"/>
              </w:rPr>
            </w:pPr>
            <w:r w:rsidRPr="00BB4D72">
              <w:rPr>
                <w:rFonts w:eastAsia="Times New Roman" w:cs="Times New Roman"/>
                <w:lang w:eastAsia="en-IE"/>
              </w:rPr>
              <w:t>Cost of alcohol related accidents at work</w:t>
            </w:r>
          </w:p>
        </w:tc>
        <w:tc>
          <w:tcPr>
            <w:tcW w:w="226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185</w:t>
            </w:r>
          </w:p>
        </w:tc>
        <w:tc>
          <w:tcPr>
            <w:tcW w:w="218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7</w:t>
            </w:r>
          </w:p>
        </w:tc>
      </w:tr>
      <w:tr w:rsidR="00FF0FA2" w:rsidTr="00FF0FA2">
        <w:tc>
          <w:tcPr>
            <w:tcW w:w="4786"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Cost of alcohol related suicides</w:t>
            </w:r>
          </w:p>
        </w:tc>
        <w:tc>
          <w:tcPr>
            <w:tcW w:w="226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169</w:t>
            </w:r>
          </w:p>
        </w:tc>
        <w:tc>
          <w:tcPr>
            <w:tcW w:w="218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6</w:t>
            </w:r>
          </w:p>
        </w:tc>
      </w:tr>
      <w:tr w:rsidR="00FF0FA2" w:rsidTr="00FF0FA2">
        <w:tc>
          <w:tcPr>
            <w:tcW w:w="4786"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Cost of alcohol related premature mortality</w:t>
            </w:r>
          </w:p>
        </w:tc>
        <w:tc>
          <w:tcPr>
            <w:tcW w:w="226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65</w:t>
            </w:r>
          </w:p>
        </w:tc>
        <w:tc>
          <w:tcPr>
            <w:tcW w:w="2188" w:type="dxa"/>
          </w:tcPr>
          <w:p w:rsidR="00FF0FA2" w:rsidRPr="00050A3E" w:rsidRDefault="00FF0FA2" w:rsidP="00FF0FA2">
            <w:pPr>
              <w:rPr>
                <w:rFonts w:eastAsia="Times New Roman" w:cs="Times New Roman"/>
                <w:lang w:eastAsia="en-IE"/>
              </w:rPr>
            </w:pPr>
            <w:r w:rsidRPr="00050A3E">
              <w:rPr>
                <w:rFonts w:eastAsia="Times New Roman" w:cs="Times New Roman"/>
                <w:lang w:eastAsia="en-IE"/>
              </w:rPr>
              <w:t>3</w:t>
            </w:r>
          </w:p>
        </w:tc>
      </w:tr>
      <w:tr w:rsidR="00FF0FA2" w:rsidRPr="008A1D19" w:rsidTr="00FF0FA2">
        <w:tc>
          <w:tcPr>
            <w:tcW w:w="4786" w:type="dxa"/>
          </w:tcPr>
          <w:p w:rsidR="00FF0FA2" w:rsidRPr="008A1D19" w:rsidRDefault="00FF0FA2" w:rsidP="00FF0FA2">
            <w:pPr>
              <w:rPr>
                <w:rFonts w:eastAsia="Times New Roman" w:cs="Times New Roman"/>
                <w:b/>
                <w:lang w:eastAsia="en-IE"/>
              </w:rPr>
            </w:pPr>
            <w:r w:rsidRPr="008A1D19">
              <w:rPr>
                <w:rFonts w:eastAsia="Times New Roman" w:cs="Times New Roman"/>
                <w:b/>
                <w:lang w:eastAsia="en-IE"/>
              </w:rPr>
              <w:t>Total Costs</w:t>
            </w:r>
          </w:p>
        </w:tc>
        <w:tc>
          <w:tcPr>
            <w:tcW w:w="2268" w:type="dxa"/>
          </w:tcPr>
          <w:p w:rsidR="00FF0FA2" w:rsidRPr="008A1D19" w:rsidRDefault="00A316D3" w:rsidP="00FF0FA2">
            <w:pPr>
              <w:rPr>
                <w:rFonts w:eastAsia="Times New Roman" w:cs="Times New Roman"/>
                <w:b/>
                <w:lang w:eastAsia="en-IE"/>
              </w:rPr>
            </w:pPr>
            <w:r>
              <w:rPr>
                <w:rFonts w:eastAsia="Times New Roman" w:cs="Times New Roman"/>
                <w:b/>
                <w:lang w:eastAsia="en-IE"/>
              </w:rPr>
              <w:t>2351</w:t>
            </w:r>
          </w:p>
        </w:tc>
        <w:tc>
          <w:tcPr>
            <w:tcW w:w="2188" w:type="dxa"/>
          </w:tcPr>
          <w:p w:rsidR="00FF0FA2" w:rsidRPr="008A1D19" w:rsidRDefault="00FF0FA2" w:rsidP="00FF0FA2">
            <w:pPr>
              <w:rPr>
                <w:rFonts w:eastAsia="Times New Roman" w:cs="Times New Roman"/>
                <w:b/>
                <w:lang w:eastAsia="en-IE"/>
              </w:rPr>
            </w:pPr>
            <w:r w:rsidRPr="008A1D19">
              <w:rPr>
                <w:rFonts w:eastAsia="Times New Roman" w:cs="Times New Roman"/>
                <w:b/>
                <w:lang w:eastAsia="en-IE"/>
              </w:rPr>
              <w:t>100</w:t>
            </w:r>
          </w:p>
        </w:tc>
      </w:tr>
    </w:tbl>
    <w:p w:rsidR="00FF0FA2" w:rsidRPr="00BB4D72" w:rsidRDefault="00FF0FA2" w:rsidP="00FF0FA2">
      <w:pPr>
        <w:rPr>
          <w:rFonts w:eastAsia="Times New Roman" w:cs="Times New Roman"/>
          <w:sz w:val="28"/>
          <w:szCs w:val="28"/>
          <w:lang w:eastAsia="en-IE"/>
        </w:rPr>
      </w:pPr>
    </w:p>
    <w:p w:rsidR="00FF0FA2" w:rsidRPr="0045235C" w:rsidRDefault="009F45D0" w:rsidP="0045235C">
      <w:pPr>
        <w:spacing w:after="120"/>
        <w:rPr>
          <w:rFonts w:eastAsia="Times New Roman" w:cs="Times New Roman"/>
          <w:b/>
          <w:sz w:val="24"/>
          <w:szCs w:val="24"/>
          <w:lang w:eastAsia="en-IE"/>
        </w:rPr>
      </w:pPr>
      <w:r>
        <w:rPr>
          <w:rFonts w:eastAsia="Times New Roman" w:cs="Times New Roman"/>
          <w:b/>
          <w:sz w:val="24"/>
          <w:szCs w:val="24"/>
          <w:lang w:eastAsia="en-IE"/>
        </w:rPr>
        <w:t>1.</w:t>
      </w:r>
      <w:r w:rsidR="0045235C">
        <w:rPr>
          <w:rFonts w:eastAsia="Times New Roman" w:cs="Times New Roman"/>
          <w:b/>
          <w:sz w:val="24"/>
          <w:szCs w:val="24"/>
          <w:lang w:eastAsia="en-IE"/>
        </w:rPr>
        <w:t>2.</w:t>
      </w:r>
      <w:r>
        <w:rPr>
          <w:rFonts w:eastAsia="Times New Roman" w:cs="Times New Roman"/>
          <w:b/>
          <w:sz w:val="24"/>
          <w:szCs w:val="24"/>
          <w:lang w:eastAsia="en-IE"/>
        </w:rPr>
        <w:t>12</w:t>
      </w:r>
      <w:r w:rsidR="00FF0FA2" w:rsidRPr="0045235C">
        <w:rPr>
          <w:rFonts w:eastAsia="Times New Roman" w:cs="Times New Roman"/>
          <w:b/>
          <w:sz w:val="24"/>
          <w:szCs w:val="24"/>
          <w:lang w:eastAsia="en-IE"/>
        </w:rPr>
        <w:t xml:space="preserve"> </w:t>
      </w:r>
      <w:r>
        <w:rPr>
          <w:rFonts w:eastAsia="Times New Roman" w:cs="Times New Roman"/>
          <w:b/>
          <w:sz w:val="24"/>
          <w:szCs w:val="24"/>
          <w:lang w:eastAsia="en-IE"/>
        </w:rPr>
        <w:tab/>
      </w:r>
      <w:r w:rsidR="00FF0FA2" w:rsidRPr="0045235C">
        <w:rPr>
          <w:rFonts w:eastAsia="Times New Roman" w:cs="Times New Roman"/>
          <w:b/>
          <w:sz w:val="24"/>
          <w:szCs w:val="24"/>
          <w:lang w:eastAsia="en-IE"/>
        </w:rPr>
        <w:t>Costs of problem alcohol use in 2007 and 2013</w:t>
      </w:r>
    </w:p>
    <w:p w:rsidR="006F4259" w:rsidRDefault="00FF0FA2" w:rsidP="0045235C">
      <w:pPr>
        <w:spacing w:after="120"/>
        <w:rPr>
          <w:rFonts w:eastAsia="Times New Roman" w:cs="Times New Roman"/>
          <w:sz w:val="24"/>
          <w:szCs w:val="24"/>
          <w:lang w:eastAsia="en-IE"/>
        </w:rPr>
      </w:pPr>
      <w:r w:rsidRPr="000F2F05">
        <w:rPr>
          <w:rFonts w:eastAsia="Times New Roman" w:cs="Times New Roman"/>
          <w:b/>
          <w:sz w:val="24"/>
          <w:szCs w:val="24"/>
          <w:lang w:eastAsia="en-IE"/>
        </w:rPr>
        <w:t>The estimated total cost to Irish society of problem alcohol use is €2.</w:t>
      </w:r>
      <w:r w:rsidR="00A316D3">
        <w:rPr>
          <w:rFonts w:eastAsia="Times New Roman" w:cs="Times New Roman"/>
          <w:b/>
          <w:sz w:val="24"/>
          <w:szCs w:val="24"/>
          <w:lang w:eastAsia="en-IE"/>
        </w:rPr>
        <w:t>35</w:t>
      </w:r>
      <w:r w:rsidRPr="000F2F05">
        <w:rPr>
          <w:rFonts w:eastAsia="Times New Roman" w:cs="Times New Roman"/>
          <w:b/>
          <w:sz w:val="24"/>
          <w:szCs w:val="24"/>
          <w:lang w:eastAsia="en-IE"/>
        </w:rPr>
        <w:t xml:space="preserve"> billion in 2013.</w:t>
      </w:r>
      <w:r w:rsidRPr="0045235C">
        <w:rPr>
          <w:rFonts w:eastAsia="Times New Roman" w:cs="Times New Roman"/>
          <w:sz w:val="24"/>
          <w:szCs w:val="24"/>
          <w:lang w:eastAsia="en-IE"/>
        </w:rPr>
        <w:t xml:space="preserve">  The figures estimated in this </w:t>
      </w:r>
      <w:r w:rsidRPr="000B2D2D">
        <w:rPr>
          <w:rFonts w:eastAsia="Times New Roman" w:cs="Times New Roman"/>
          <w:sz w:val="24"/>
          <w:szCs w:val="24"/>
          <w:lang w:eastAsia="en-IE"/>
        </w:rPr>
        <w:t>paper show a significant decrease in the estimated cost to society between 2007 and 2013. Byrne (2010) estimated</w:t>
      </w:r>
      <w:r w:rsidRPr="0045235C">
        <w:rPr>
          <w:rFonts w:eastAsia="Times New Roman" w:cs="Times New Roman"/>
          <w:sz w:val="24"/>
          <w:szCs w:val="24"/>
          <w:lang w:eastAsia="en-IE"/>
        </w:rPr>
        <w:t xml:space="preserve"> the social costs for 2007 at €3.7 billion.  </w:t>
      </w:r>
    </w:p>
    <w:p w:rsidR="00FF0FA2" w:rsidRP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The reduction in 2013 is due to a number of factors:</w:t>
      </w:r>
    </w:p>
    <w:p w:rsidR="00FF0FA2" w:rsidRPr="006F4259" w:rsidRDefault="00FF0FA2" w:rsidP="006F4259">
      <w:pPr>
        <w:pStyle w:val="ListParagraph"/>
        <w:numPr>
          <w:ilvl w:val="0"/>
          <w:numId w:val="6"/>
        </w:numPr>
        <w:spacing w:after="120"/>
        <w:rPr>
          <w:rFonts w:eastAsia="Times New Roman" w:cs="Times New Roman"/>
          <w:sz w:val="24"/>
          <w:szCs w:val="24"/>
          <w:lang w:eastAsia="en-IE"/>
        </w:rPr>
      </w:pPr>
      <w:r w:rsidRPr="006F4259">
        <w:rPr>
          <w:rFonts w:eastAsia="Times New Roman" w:cs="Times New Roman"/>
          <w:sz w:val="24"/>
          <w:szCs w:val="24"/>
          <w:lang w:eastAsia="en-IE"/>
        </w:rPr>
        <w:t>the cost of alcohol related road accidents has fallen sharply</w:t>
      </w:r>
      <w:r w:rsidR="0015458F" w:rsidRPr="006F4259">
        <w:rPr>
          <w:rFonts w:eastAsia="Times New Roman" w:cs="Times New Roman"/>
          <w:sz w:val="24"/>
          <w:szCs w:val="24"/>
          <w:lang w:eastAsia="en-IE"/>
        </w:rPr>
        <w:t>,</w:t>
      </w:r>
      <w:r w:rsidRPr="006F4259">
        <w:rPr>
          <w:rFonts w:eastAsia="Times New Roman" w:cs="Times New Roman"/>
          <w:sz w:val="24"/>
          <w:szCs w:val="24"/>
          <w:lang w:eastAsia="en-IE"/>
        </w:rPr>
        <w:t xml:space="preserve"> due to the fall in the number of accidents</w:t>
      </w:r>
    </w:p>
    <w:p w:rsidR="006F4259" w:rsidRDefault="00FF0FA2" w:rsidP="006F4259">
      <w:pPr>
        <w:pStyle w:val="ListParagraph"/>
        <w:numPr>
          <w:ilvl w:val="0"/>
          <w:numId w:val="6"/>
        </w:numPr>
        <w:spacing w:after="120"/>
        <w:rPr>
          <w:sz w:val="24"/>
          <w:szCs w:val="24"/>
        </w:rPr>
      </w:pPr>
      <w:proofErr w:type="gramStart"/>
      <w:r w:rsidRPr="006F4259">
        <w:rPr>
          <w:rFonts w:eastAsia="Times New Roman" w:cs="Times New Roman"/>
          <w:sz w:val="24"/>
          <w:szCs w:val="24"/>
          <w:lang w:eastAsia="en-IE"/>
        </w:rPr>
        <w:t>the</w:t>
      </w:r>
      <w:proofErr w:type="gramEnd"/>
      <w:r w:rsidRPr="006F4259">
        <w:rPr>
          <w:rFonts w:eastAsia="Times New Roman" w:cs="Times New Roman"/>
          <w:sz w:val="24"/>
          <w:szCs w:val="24"/>
          <w:lang w:eastAsia="en-IE"/>
        </w:rPr>
        <w:t xml:space="preserve"> costs to the health care system and the criminal justice system which are the largest elements of the total cost are estimated as a proportion of total spending on those services and spending has been reduced significantly since 2007</w:t>
      </w:r>
      <w:r w:rsidR="0015458F" w:rsidRPr="006F4259">
        <w:rPr>
          <w:rFonts w:eastAsia="Times New Roman" w:cs="Times New Roman"/>
          <w:sz w:val="24"/>
          <w:szCs w:val="24"/>
          <w:lang w:eastAsia="en-IE"/>
        </w:rPr>
        <w:t>,</w:t>
      </w:r>
      <w:r w:rsidRPr="006F4259">
        <w:rPr>
          <w:rFonts w:eastAsia="Times New Roman" w:cs="Times New Roman"/>
          <w:sz w:val="24"/>
          <w:szCs w:val="24"/>
          <w:lang w:eastAsia="en-IE"/>
        </w:rPr>
        <w:t xml:space="preserve"> when government spending overall </w:t>
      </w:r>
      <w:r w:rsidR="0015458F" w:rsidRPr="006F4259">
        <w:rPr>
          <w:rFonts w:eastAsia="Times New Roman" w:cs="Times New Roman"/>
          <w:sz w:val="24"/>
          <w:szCs w:val="24"/>
          <w:lang w:eastAsia="en-IE"/>
        </w:rPr>
        <w:t xml:space="preserve">peaked before the onset of the </w:t>
      </w:r>
      <w:r w:rsidRPr="006F4259">
        <w:rPr>
          <w:rFonts w:eastAsia="Times New Roman" w:cs="Times New Roman"/>
          <w:sz w:val="24"/>
          <w:szCs w:val="24"/>
          <w:lang w:eastAsia="en-IE"/>
        </w:rPr>
        <w:t>re</w:t>
      </w:r>
      <w:r w:rsidR="0015458F" w:rsidRPr="006F4259">
        <w:rPr>
          <w:rFonts w:eastAsia="Times New Roman" w:cs="Times New Roman"/>
          <w:sz w:val="24"/>
          <w:szCs w:val="24"/>
          <w:lang w:eastAsia="en-IE"/>
        </w:rPr>
        <w:t>cent r</w:t>
      </w:r>
      <w:r w:rsidRPr="006F4259">
        <w:rPr>
          <w:rFonts w:eastAsia="Times New Roman" w:cs="Times New Roman"/>
          <w:sz w:val="24"/>
          <w:szCs w:val="24"/>
          <w:lang w:eastAsia="en-IE"/>
        </w:rPr>
        <w:t>ecession</w:t>
      </w:r>
      <w:r w:rsidR="007074A6" w:rsidRPr="006F4259">
        <w:rPr>
          <w:rFonts w:eastAsia="Times New Roman" w:cs="Times New Roman"/>
          <w:sz w:val="24"/>
          <w:szCs w:val="24"/>
          <w:lang w:eastAsia="en-IE"/>
        </w:rPr>
        <w:t>.</w:t>
      </w:r>
      <w:r w:rsidR="00B176BC" w:rsidRPr="006F4259">
        <w:rPr>
          <w:rFonts w:eastAsia="Times New Roman" w:cs="Times New Roman"/>
          <w:sz w:val="24"/>
          <w:szCs w:val="24"/>
          <w:lang w:eastAsia="en-IE"/>
        </w:rPr>
        <w:t xml:space="preserve">  </w:t>
      </w:r>
    </w:p>
    <w:p w:rsidR="00B176BC" w:rsidRPr="006F4259" w:rsidRDefault="006F4259" w:rsidP="006F4259">
      <w:pPr>
        <w:pStyle w:val="ListParagraph"/>
        <w:numPr>
          <w:ilvl w:val="0"/>
          <w:numId w:val="6"/>
        </w:numPr>
        <w:spacing w:after="120"/>
        <w:rPr>
          <w:sz w:val="24"/>
          <w:szCs w:val="24"/>
        </w:rPr>
      </w:pPr>
      <w:r>
        <w:rPr>
          <w:sz w:val="24"/>
          <w:szCs w:val="24"/>
        </w:rPr>
        <w:t>T</w:t>
      </w:r>
      <w:r w:rsidR="00B176BC" w:rsidRPr="006F4259">
        <w:rPr>
          <w:sz w:val="24"/>
          <w:szCs w:val="24"/>
        </w:rPr>
        <w:t xml:space="preserve">otal spending on health fell by 23% between 2008 and 2013 and total spending on the </w:t>
      </w:r>
      <w:proofErr w:type="spellStart"/>
      <w:r w:rsidR="00B176BC" w:rsidRPr="006F4259">
        <w:rPr>
          <w:sz w:val="24"/>
          <w:szCs w:val="24"/>
        </w:rPr>
        <w:t>gardai</w:t>
      </w:r>
      <w:proofErr w:type="spellEnd"/>
      <w:r w:rsidR="00B176BC" w:rsidRPr="006F4259">
        <w:rPr>
          <w:sz w:val="24"/>
          <w:szCs w:val="24"/>
        </w:rPr>
        <w:t>, courts and prisons fell by 9% in the same period.</w:t>
      </w:r>
    </w:p>
    <w:p w:rsidR="00FF0FA2" w:rsidRDefault="00FF0FA2" w:rsidP="0045235C">
      <w:pPr>
        <w:spacing w:after="120"/>
        <w:rPr>
          <w:rFonts w:eastAsia="Times New Roman" w:cs="Times New Roman"/>
          <w:sz w:val="24"/>
          <w:szCs w:val="24"/>
          <w:lang w:eastAsia="en-IE"/>
        </w:rPr>
      </w:pPr>
    </w:p>
    <w:p w:rsidR="001D51FA" w:rsidRPr="0045235C" w:rsidRDefault="001D51FA" w:rsidP="0045235C">
      <w:pPr>
        <w:spacing w:after="120"/>
        <w:rPr>
          <w:rFonts w:eastAsia="Times New Roman" w:cs="Times New Roman"/>
          <w:sz w:val="24"/>
          <w:szCs w:val="24"/>
          <w:lang w:eastAsia="en-IE"/>
        </w:rPr>
      </w:pPr>
    </w:p>
    <w:p w:rsidR="00FF0FA2" w:rsidRPr="0045235C" w:rsidRDefault="009F45D0" w:rsidP="0045235C">
      <w:pPr>
        <w:spacing w:after="120"/>
        <w:rPr>
          <w:rFonts w:eastAsia="Times New Roman" w:cs="Times New Roman"/>
          <w:b/>
          <w:sz w:val="24"/>
          <w:szCs w:val="24"/>
          <w:lang w:eastAsia="en-IE"/>
        </w:rPr>
      </w:pPr>
      <w:r>
        <w:rPr>
          <w:rFonts w:eastAsia="Times New Roman" w:cs="Times New Roman"/>
          <w:b/>
          <w:sz w:val="24"/>
          <w:szCs w:val="24"/>
          <w:lang w:eastAsia="en-IE"/>
        </w:rPr>
        <w:lastRenderedPageBreak/>
        <w:t>1.</w:t>
      </w:r>
      <w:r w:rsidR="0045235C">
        <w:rPr>
          <w:rFonts w:eastAsia="Times New Roman" w:cs="Times New Roman"/>
          <w:b/>
          <w:sz w:val="24"/>
          <w:szCs w:val="24"/>
          <w:lang w:eastAsia="en-IE"/>
        </w:rPr>
        <w:t>2.</w:t>
      </w:r>
      <w:r>
        <w:rPr>
          <w:rFonts w:eastAsia="Times New Roman" w:cs="Times New Roman"/>
          <w:b/>
          <w:sz w:val="24"/>
          <w:szCs w:val="24"/>
          <w:lang w:eastAsia="en-IE"/>
        </w:rPr>
        <w:t>13</w:t>
      </w:r>
      <w:r w:rsidR="00FF0FA2" w:rsidRPr="0045235C">
        <w:rPr>
          <w:rFonts w:eastAsia="Times New Roman" w:cs="Times New Roman"/>
          <w:b/>
          <w:sz w:val="24"/>
          <w:szCs w:val="24"/>
          <w:lang w:eastAsia="en-IE"/>
        </w:rPr>
        <w:t xml:space="preserve"> </w:t>
      </w:r>
      <w:r>
        <w:rPr>
          <w:rFonts w:eastAsia="Times New Roman" w:cs="Times New Roman"/>
          <w:b/>
          <w:sz w:val="24"/>
          <w:szCs w:val="24"/>
          <w:lang w:eastAsia="en-IE"/>
        </w:rPr>
        <w:tab/>
      </w:r>
      <w:r w:rsidR="00FF0FA2" w:rsidRPr="0045235C">
        <w:rPr>
          <w:rFonts w:eastAsia="Times New Roman" w:cs="Times New Roman"/>
          <w:b/>
          <w:sz w:val="24"/>
          <w:szCs w:val="24"/>
          <w:lang w:eastAsia="en-IE"/>
        </w:rPr>
        <w:t>Irish and UK studies of the cost of problem alcohol use</w:t>
      </w:r>
    </w:p>
    <w:p w:rsidR="00FF0FA2" w:rsidRPr="0045235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While comparisons between countries are difficult, the proportion of GDP will be used to compare Ireland with other neighbouring countries – Northern Ireland, Scotland, England and Wales. The total cost of problem alcohol use in Ireland</w:t>
      </w:r>
      <w:r w:rsidR="001D51FA">
        <w:rPr>
          <w:rFonts w:eastAsia="Times New Roman" w:cs="Times New Roman"/>
          <w:sz w:val="24"/>
          <w:szCs w:val="24"/>
          <w:lang w:eastAsia="en-IE"/>
        </w:rPr>
        <w:t xml:space="preserve"> estimated in this paper of €2.35</w:t>
      </w:r>
      <w:r w:rsidRPr="0045235C">
        <w:rPr>
          <w:rFonts w:eastAsia="Times New Roman" w:cs="Times New Roman"/>
          <w:sz w:val="24"/>
          <w:szCs w:val="24"/>
          <w:lang w:eastAsia="en-IE"/>
        </w:rPr>
        <w:t xml:space="preserve"> billion represents 1.</w:t>
      </w:r>
      <w:r w:rsidR="00307934">
        <w:rPr>
          <w:rFonts w:eastAsia="Times New Roman" w:cs="Times New Roman"/>
          <w:sz w:val="24"/>
          <w:szCs w:val="24"/>
          <w:lang w:eastAsia="en-IE"/>
        </w:rPr>
        <w:t>4</w:t>
      </w:r>
      <w:r w:rsidRPr="0045235C">
        <w:rPr>
          <w:rFonts w:eastAsia="Times New Roman" w:cs="Times New Roman"/>
          <w:sz w:val="24"/>
          <w:szCs w:val="24"/>
          <w:lang w:eastAsia="en-IE"/>
        </w:rPr>
        <w:t xml:space="preserve">% of GDP in 2013.   In a study for the HSE, </w:t>
      </w:r>
      <w:r w:rsidRPr="000B2D2D">
        <w:rPr>
          <w:rFonts w:eastAsia="Times New Roman" w:cs="Times New Roman"/>
          <w:sz w:val="24"/>
          <w:szCs w:val="24"/>
          <w:lang w:eastAsia="en-IE"/>
        </w:rPr>
        <w:t>Byrne (2010) estimated</w:t>
      </w:r>
      <w:r w:rsidRPr="0045235C">
        <w:rPr>
          <w:rFonts w:eastAsia="Times New Roman" w:cs="Times New Roman"/>
          <w:sz w:val="24"/>
          <w:szCs w:val="24"/>
          <w:lang w:eastAsia="en-IE"/>
        </w:rPr>
        <w:t xml:space="preserve"> the costs of problem alcohol use in Ireland for 2007.  His estimate of the total cost of problem alcohol use was €3.7bn. This represented 1.9% of Irish GDP in 2007. The study for England and Wales estimated the cost of alcohol use as 1.7% of GDP while the study for Scotland was 1.5%.  The Northern Ireland study estimates the social cost of alcohol misuse in Northern Ireland in 2008 to be 1.8% of GDP. The cost estimates for Ireland are somewhat similar to our neighbouring countries and higher than the EU average.  </w:t>
      </w:r>
      <w:r w:rsidR="00FD1B1D">
        <w:rPr>
          <w:rFonts w:eastAsia="Times New Roman" w:cs="Times New Roman"/>
          <w:sz w:val="24"/>
          <w:szCs w:val="24"/>
          <w:lang w:eastAsia="en-IE"/>
        </w:rPr>
        <w:t xml:space="preserve">Anderson and </w:t>
      </w:r>
      <w:proofErr w:type="spellStart"/>
      <w:r w:rsidR="00FD1B1D" w:rsidRPr="000B2D2D">
        <w:rPr>
          <w:rFonts w:eastAsia="Times New Roman" w:cs="Times New Roman"/>
          <w:sz w:val="24"/>
          <w:szCs w:val="24"/>
          <w:lang w:eastAsia="en-IE"/>
        </w:rPr>
        <w:t>Baumberg</w:t>
      </w:r>
      <w:proofErr w:type="spellEnd"/>
      <w:r w:rsidRPr="000B2D2D">
        <w:rPr>
          <w:rFonts w:eastAsia="Times New Roman" w:cs="Times New Roman"/>
          <w:sz w:val="24"/>
          <w:szCs w:val="24"/>
          <w:lang w:eastAsia="en-IE"/>
        </w:rPr>
        <w:t xml:space="preserve"> (2006) calculated</w:t>
      </w:r>
      <w:r w:rsidRPr="0045235C">
        <w:rPr>
          <w:rFonts w:eastAsia="Times New Roman" w:cs="Times New Roman"/>
          <w:sz w:val="24"/>
          <w:szCs w:val="24"/>
          <w:lang w:eastAsia="en-IE"/>
        </w:rPr>
        <w:t xml:space="preserve"> the total tangible costs of problems alcohol use in the EU as 1.3% of GDP with a range of 0.9% to 2.4%.  </w:t>
      </w:r>
    </w:p>
    <w:p w:rsidR="009F45D0" w:rsidRDefault="009F45D0" w:rsidP="00FF0FA2">
      <w:pPr>
        <w:rPr>
          <w:rFonts w:eastAsia="Times New Roman" w:cs="Times New Roman"/>
          <w:lang w:eastAsia="en-IE"/>
        </w:rPr>
      </w:pPr>
    </w:p>
    <w:p w:rsidR="00FF0FA2" w:rsidRDefault="00FF0FA2" w:rsidP="009F45D0">
      <w:pPr>
        <w:spacing w:after="0"/>
        <w:rPr>
          <w:rFonts w:eastAsia="Times New Roman" w:cs="Times New Roman"/>
          <w:lang w:eastAsia="en-IE"/>
        </w:rPr>
      </w:pPr>
      <w:r>
        <w:rPr>
          <w:rFonts w:eastAsia="Times New Roman" w:cs="Times New Roman"/>
          <w:lang w:eastAsia="en-IE"/>
        </w:rPr>
        <w:t xml:space="preserve">Comparison of estimated social costs of problem alcohol use </w:t>
      </w:r>
    </w:p>
    <w:tbl>
      <w:tblPr>
        <w:tblStyle w:val="TableGrid"/>
        <w:tblW w:w="0" w:type="auto"/>
        <w:tblLook w:val="04A0" w:firstRow="1" w:lastRow="0" w:firstColumn="1" w:lastColumn="0" w:noHBand="0" w:noVBand="1"/>
      </w:tblPr>
      <w:tblGrid>
        <w:gridCol w:w="3080"/>
        <w:gridCol w:w="1848"/>
        <w:gridCol w:w="4314"/>
      </w:tblGrid>
      <w:tr w:rsidR="00FF0FA2" w:rsidTr="00FF0FA2">
        <w:tc>
          <w:tcPr>
            <w:tcW w:w="3080" w:type="dxa"/>
          </w:tcPr>
          <w:p w:rsidR="00FF0FA2" w:rsidRDefault="00FF0FA2" w:rsidP="00FF0FA2">
            <w:pPr>
              <w:rPr>
                <w:rFonts w:eastAsia="Times New Roman" w:cs="Times New Roman"/>
                <w:lang w:eastAsia="en-IE"/>
              </w:rPr>
            </w:pPr>
            <w:r>
              <w:rPr>
                <w:rFonts w:eastAsia="Times New Roman" w:cs="Times New Roman"/>
                <w:lang w:eastAsia="en-IE"/>
              </w:rPr>
              <w:t>Country</w:t>
            </w:r>
          </w:p>
        </w:tc>
        <w:tc>
          <w:tcPr>
            <w:tcW w:w="1848" w:type="dxa"/>
          </w:tcPr>
          <w:p w:rsidR="00FF0FA2" w:rsidRDefault="00FF0FA2" w:rsidP="00FF0FA2">
            <w:pPr>
              <w:rPr>
                <w:rFonts w:eastAsia="Times New Roman" w:cs="Times New Roman"/>
                <w:lang w:eastAsia="en-IE"/>
              </w:rPr>
            </w:pPr>
            <w:r>
              <w:rPr>
                <w:rFonts w:eastAsia="Times New Roman" w:cs="Times New Roman"/>
                <w:lang w:eastAsia="en-IE"/>
              </w:rPr>
              <w:t>Year for costs</w:t>
            </w:r>
          </w:p>
        </w:tc>
        <w:tc>
          <w:tcPr>
            <w:tcW w:w="4314" w:type="dxa"/>
          </w:tcPr>
          <w:p w:rsidR="00FF0FA2" w:rsidRDefault="00FF0FA2" w:rsidP="00FF0FA2">
            <w:pPr>
              <w:rPr>
                <w:rFonts w:eastAsia="Times New Roman" w:cs="Times New Roman"/>
                <w:lang w:eastAsia="en-IE"/>
              </w:rPr>
            </w:pPr>
            <w:r>
              <w:rPr>
                <w:rFonts w:eastAsia="Times New Roman" w:cs="Times New Roman"/>
                <w:lang w:eastAsia="en-IE"/>
              </w:rPr>
              <w:t>Per cent of gross domestic product (GDP)</w:t>
            </w:r>
          </w:p>
        </w:tc>
      </w:tr>
      <w:tr w:rsidR="00FF0FA2" w:rsidRPr="00B54D5A" w:rsidTr="00FF0FA2">
        <w:tc>
          <w:tcPr>
            <w:tcW w:w="3080" w:type="dxa"/>
          </w:tcPr>
          <w:p w:rsidR="00FF0FA2" w:rsidRPr="00B54D5A" w:rsidRDefault="00FF0FA2" w:rsidP="00FF0FA2">
            <w:pPr>
              <w:rPr>
                <w:rFonts w:eastAsia="Times New Roman" w:cs="Times New Roman"/>
                <w:b/>
                <w:lang w:eastAsia="en-IE"/>
              </w:rPr>
            </w:pPr>
            <w:r w:rsidRPr="00B54D5A">
              <w:rPr>
                <w:rFonts w:eastAsia="Times New Roman" w:cs="Times New Roman"/>
                <w:b/>
                <w:lang w:eastAsia="en-IE"/>
              </w:rPr>
              <w:t>Ireland</w:t>
            </w:r>
          </w:p>
        </w:tc>
        <w:tc>
          <w:tcPr>
            <w:tcW w:w="1848" w:type="dxa"/>
          </w:tcPr>
          <w:p w:rsidR="00FF0FA2" w:rsidRPr="00B54D5A" w:rsidRDefault="00FF0FA2" w:rsidP="00FF0FA2">
            <w:pPr>
              <w:rPr>
                <w:rFonts w:eastAsia="Times New Roman" w:cs="Times New Roman"/>
                <w:b/>
                <w:lang w:eastAsia="en-IE"/>
              </w:rPr>
            </w:pPr>
            <w:r w:rsidRPr="00B54D5A">
              <w:rPr>
                <w:rFonts w:eastAsia="Times New Roman" w:cs="Times New Roman"/>
                <w:b/>
                <w:lang w:eastAsia="en-IE"/>
              </w:rPr>
              <w:t>2013</w:t>
            </w:r>
          </w:p>
        </w:tc>
        <w:tc>
          <w:tcPr>
            <w:tcW w:w="4314" w:type="dxa"/>
          </w:tcPr>
          <w:p w:rsidR="00FF0FA2" w:rsidRPr="00B54D5A" w:rsidRDefault="00FF0FA2" w:rsidP="00307934">
            <w:pPr>
              <w:rPr>
                <w:rFonts w:eastAsia="Times New Roman" w:cs="Times New Roman"/>
                <w:b/>
                <w:lang w:eastAsia="en-IE"/>
              </w:rPr>
            </w:pPr>
            <w:r w:rsidRPr="00B54D5A">
              <w:rPr>
                <w:rFonts w:eastAsia="Times New Roman" w:cs="Times New Roman"/>
                <w:b/>
                <w:lang w:eastAsia="en-IE"/>
              </w:rPr>
              <w:t>1.</w:t>
            </w:r>
            <w:r w:rsidR="00307934">
              <w:rPr>
                <w:rFonts w:eastAsia="Times New Roman" w:cs="Times New Roman"/>
                <w:b/>
                <w:lang w:eastAsia="en-IE"/>
              </w:rPr>
              <w:t>4</w:t>
            </w:r>
            <w:r w:rsidRPr="00B54D5A">
              <w:rPr>
                <w:rFonts w:eastAsia="Times New Roman" w:cs="Times New Roman"/>
                <w:b/>
                <w:lang w:eastAsia="en-IE"/>
              </w:rPr>
              <w:t>%</w:t>
            </w:r>
          </w:p>
        </w:tc>
      </w:tr>
      <w:tr w:rsidR="00FF0FA2" w:rsidTr="00FF0FA2">
        <w:tc>
          <w:tcPr>
            <w:tcW w:w="3080" w:type="dxa"/>
          </w:tcPr>
          <w:p w:rsidR="00FF0FA2" w:rsidRDefault="00FF0FA2" w:rsidP="00FF0FA2">
            <w:pPr>
              <w:rPr>
                <w:rFonts w:eastAsia="Times New Roman" w:cs="Times New Roman"/>
                <w:lang w:eastAsia="en-IE"/>
              </w:rPr>
            </w:pPr>
            <w:r>
              <w:rPr>
                <w:rFonts w:eastAsia="Times New Roman" w:cs="Times New Roman"/>
                <w:lang w:eastAsia="en-IE"/>
              </w:rPr>
              <w:t>Ireland</w:t>
            </w:r>
          </w:p>
        </w:tc>
        <w:tc>
          <w:tcPr>
            <w:tcW w:w="1848" w:type="dxa"/>
          </w:tcPr>
          <w:p w:rsidR="00FF0FA2" w:rsidRDefault="00FF0FA2" w:rsidP="00FF0FA2">
            <w:pPr>
              <w:rPr>
                <w:rFonts w:eastAsia="Times New Roman" w:cs="Times New Roman"/>
                <w:lang w:eastAsia="en-IE"/>
              </w:rPr>
            </w:pPr>
            <w:r>
              <w:rPr>
                <w:rFonts w:eastAsia="Times New Roman" w:cs="Times New Roman"/>
                <w:lang w:eastAsia="en-IE"/>
              </w:rPr>
              <w:t>2007</w:t>
            </w:r>
          </w:p>
        </w:tc>
        <w:tc>
          <w:tcPr>
            <w:tcW w:w="4314" w:type="dxa"/>
          </w:tcPr>
          <w:p w:rsidR="00FF0FA2" w:rsidRDefault="00FF0FA2" w:rsidP="00FF0FA2">
            <w:pPr>
              <w:rPr>
                <w:rFonts w:eastAsia="Times New Roman" w:cs="Times New Roman"/>
                <w:lang w:eastAsia="en-IE"/>
              </w:rPr>
            </w:pPr>
            <w:r>
              <w:rPr>
                <w:rFonts w:eastAsia="Times New Roman" w:cs="Times New Roman"/>
                <w:lang w:eastAsia="en-IE"/>
              </w:rPr>
              <w:t>1.9%</w:t>
            </w:r>
          </w:p>
        </w:tc>
      </w:tr>
      <w:tr w:rsidR="00FF0FA2" w:rsidTr="00FF0FA2">
        <w:tc>
          <w:tcPr>
            <w:tcW w:w="3080" w:type="dxa"/>
          </w:tcPr>
          <w:p w:rsidR="00FF0FA2" w:rsidRDefault="00FF0FA2" w:rsidP="00FF0FA2">
            <w:pPr>
              <w:rPr>
                <w:rFonts w:eastAsia="Times New Roman" w:cs="Times New Roman"/>
                <w:lang w:eastAsia="en-IE"/>
              </w:rPr>
            </w:pPr>
            <w:r>
              <w:rPr>
                <w:rFonts w:eastAsia="Times New Roman" w:cs="Times New Roman"/>
                <w:lang w:eastAsia="en-IE"/>
              </w:rPr>
              <w:t xml:space="preserve">Northern Ireland </w:t>
            </w:r>
          </w:p>
        </w:tc>
        <w:tc>
          <w:tcPr>
            <w:tcW w:w="1848" w:type="dxa"/>
          </w:tcPr>
          <w:p w:rsidR="00FF0FA2" w:rsidRDefault="00FF0FA2" w:rsidP="00FF0FA2">
            <w:pPr>
              <w:rPr>
                <w:rFonts w:eastAsia="Times New Roman" w:cs="Times New Roman"/>
                <w:lang w:eastAsia="en-IE"/>
              </w:rPr>
            </w:pPr>
            <w:r>
              <w:rPr>
                <w:rFonts w:eastAsia="Times New Roman" w:cs="Times New Roman"/>
                <w:lang w:eastAsia="en-IE"/>
              </w:rPr>
              <w:t>2008</w:t>
            </w:r>
          </w:p>
        </w:tc>
        <w:tc>
          <w:tcPr>
            <w:tcW w:w="4314" w:type="dxa"/>
          </w:tcPr>
          <w:p w:rsidR="00FF0FA2" w:rsidRDefault="00FF0FA2" w:rsidP="00FF0FA2">
            <w:pPr>
              <w:rPr>
                <w:rFonts w:eastAsia="Times New Roman" w:cs="Times New Roman"/>
                <w:lang w:eastAsia="en-IE"/>
              </w:rPr>
            </w:pPr>
            <w:r>
              <w:rPr>
                <w:rFonts w:eastAsia="Times New Roman" w:cs="Times New Roman"/>
                <w:lang w:eastAsia="en-IE"/>
              </w:rPr>
              <w:t>1.8%</w:t>
            </w:r>
          </w:p>
        </w:tc>
      </w:tr>
      <w:tr w:rsidR="00FF0FA2" w:rsidTr="00FF0FA2">
        <w:tc>
          <w:tcPr>
            <w:tcW w:w="3080" w:type="dxa"/>
          </w:tcPr>
          <w:p w:rsidR="00FF0FA2" w:rsidRDefault="00FF0FA2" w:rsidP="00FF0FA2">
            <w:pPr>
              <w:rPr>
                <w:rFonts w:eastAsia="Times New Roman" w:cs="Times New Roman"/>
                <w:lang w:eastAsia="en-IE"/>
              </w:rPr>
            </w:pPr>
            <w:r>
              <w:rPr>
                <w:rFonts w:eastAsia="Times New Roman" w:cs="Times New Roman"/>
                <w:lang w:eastAsia="en-IE"/>
              </w:rPr>
              <w:t>England and Wales</w:t>
            </w:r>
          </w:p>
        </w:tc>
        <w:tc>
          <w:tcPr>
            <w:tcW w:w="1848" w:type="dxa"/>
          </w:tcPr>
          <w:p w:rsidR="00FF0FA2" w:rsidRDefault="00FF0FA2" w:rsidP="00FF0FA2">
            <w:pPr>
              <w:rPr>
                <w:rFonts w:eastAsia="Times New Roman" w:cs="Times New Roman"/>
                <w:lang w:eastAsia="en-IE"/>
              </w:rPr>
            </w:pPr>
            <w:r>
              <w:rPr>
                <w:rFonts w:eastAsia="Times New Roman" w:cs="Times New Roman"/>
                <w:lang w:eastAsia="en-IE"/>
              </w:rPr>
              <w:t>2003</w:t>
            </w:r>
          </w:p>
        </w:tc>
        <w:tc>
          <w:tcPr>
            <w:tcW w:w="4314" w:type="dxa"/>
          </w:tcPr>
          <w:p w:rsidR="00FF0FA2" w:rsidRDefault="00FF0FA2" w:rsidP="00FF0FA2">
            <w:pPr>
              <w:rPr>
                <w:rFonts w:eastAsia="Times New Roman" w:cs="Times New Roman"/>
                <w:lang w:eastAsia="en-IE"/>
              </w:rPr>
            </w:pPr>
            <w:r>
              <w:rPr>
                <w:rFonts w:eastAsia="Times New Roman" w:cs="Times New Roman"/>
                <w:lang w:eastAsia="en-IE"/>
              </w:rPr>
              <w:t>1.7%</w:t>
            </w:r>
          </w:p>
        </w:tc>
      </w:tr>
      <w:tr w:rsidR="00FF0FA2" w:rsidTr="00FF0FA2">
        <w:tc>
          <w:tcPr>
            <w:tcW w:w="3080" w:type="dxa"/>
          </w:tcPr>
          <w:p w:rsidR="00FF0FA2" w:rsidRDefault="00FF0FA2" w:rsidP="00FF0FA2">
            <w:pPr>
              <w:rPr>
                <w:rFonts w:eastAsia="Times New Roman" w:cs="Times New Roman"/>
                <w:lang w:eastAsia="en-IE"/>
              </w:rPr>
            </w:pPr>
            <w:r>
              <w:rPr>
                <w:rFonts w:eastAsia="Times New Roman" w:cs="Times New Roman"/>
                <w:lang w:eastAsia="en-IE"/>
              </w:rPr>
              <w:t xml:space="preserve">Scotland </w:t>
            </w:r>
          </w:p>
        </w:tc>
        <w:tc>
          <w:tcPr>
            <w:tcW w:w="1848" w:type="dxa"/>
          </w:tcPr>
          <w:p w:rsidR="00FF0FA2" w:rsidRDefault="00FF0FA2" w:rsidP="00FF0FA2">
            <w:pPr>
              <w:rPr>
                <w:rFonts w:eastAsia="Times New Roman" w:cs="Times New Roman"/>
                <w:lang w:eastAsia="en-IE"/>
              </w:rPr>
            </w:pPr>
            <w:r>
              <w:rPr>
                <w:rFonts w:eastAsia="Times New Roman" w:cs="Times New Roman"/>
                <w:lang w:eastAsia="en-IE"/>
              </w:rPr>
              <w:t>2001</w:t>
            </w:r>
          </w:p>
        </w:tc>
        <w:tc>
          <w:tcPr>
            <w:tcW w:w="4314" w:type="dxa"/>
          </w:tcPr>
          <w:p w:rsidR="00FF0FA2" w:rsidRDefault="00FF0FA2" w:rsidP="00FF0FA2">
            <w:pPr>
              <w:rPr>
                <w:rFonts w:eastAsia="Times New Roman" w:cs="Times New Roman"/>
                <w:lang w:eastAsia="en-IE"/>
              </w:rPr>
            </w:pPr>
            <w:r>
              <w:rPr>
                <w:rFonts w:eastAsia="Times New Roman" w:cs="Times New Roman"/>
                <w:lang w:eastAsia="en-IE"/>
              </w:rPr>
              <w:t>1.5%</w:t>
            </w:r>
          </w:p>
        </w:tc>
      </w:tr>
      <w:tr w:rsidR="00FF0FA2" w:rsidTr="00FF0FA2">
        <w:tc>
          <w:tcPr>
            <w:tcW w:w="3080" w:type="dxa"/>
          </w:tcPr>
          <w:p w:rsidR="00FF0FA2" w:rsidRDefault="00FF0FA2" w:rsidP="00FF0FA2">
            <w:pPr>
              <w:rPr>
                <w:rFonts w:eastAsia="Times New Roman" w:cs="Times New Roman"/>
                <w:lang w:eastAsia="en-IE"/>
              </w:rPr>
            </w:pPr>
            <w:r>
              <w:rPr>
                <w:rFonts w:eastAsia="Times New Roman" w:cs="Times New Roman"/>
                <w:lang w:eastAsia="en-IE"/>
              </w:rPr>
              <w:t>EU average</w:t>
            </w:r>
          </w:p>
        </w:tc>
        <w:tc>
          <w:tcPr>
            <w:tcW w:w="1848" w:type="dxa"/>
          </w:tcPr>
          <w:p w:rsidR="00FF0FA2" w:rsidRDefault="00FF0FA2" w:rsidP="00FF0FA2">
            <w:pPr>
              <w:rPr>
                <w:rFonts w:eastAsia="Times New Roman" w:cs="Times New Roman"/>
                <w:lang w:eastAsia="en-IE"/>
              </w:rPr>
            </w:pPr>
            <w:r>
              <w:rPr>
                <w:rFonts w:eastAsia="Times New Roman" w:cs="Times New Roman"/>
                <w:lang w:eastAsia="en-IE"/>
              </w:rPr>
              <w:t>2006</w:t>
            </w:r>
          </w:p>
        </w:tc>
        <w:tc>
          <w:tcPr>
            <w:tcW w:w="4314" w:type="dxa"/>
          </w:tcPr>
          <w:p w:rsidR="00FF0FA2" w:rsidRDefault="00FF0FA2" w:rsidP="00FF0FA2">
            <w:pPr>
              <w:rPr>
                <w:rFonts w:eastAsia="Times New Roman" w:cs="Times New Roman"/>
                <w:lang w:eastAsia="en-IE"/>
              </w:rPr>
            </w:pPr>
            <w:r>
              <w:rPr>
                <w:rFonts w:eastAsia="Times New Roman" w:cs="Times New Roman"/>
                <w:lang w:eastAsia="en-IE"/>
              </w:rPr>
              <w:t>1.3%   with a range from 0.9% to 2.4%</w:t>
            </w:r>
          </w:p>
        </w:tc>
      </w:tr>
    </w:tbl>
    <w:p w:rsidR="00FF0FA2" w:rsidRDefault="00FF0FA2" w:rsidP="00FF0FA2">
      <w:pPr>
        <w:rPr>
          <w:rFonts w:eastAsia="Times New Roman" w:cs="Times New Roman"/>
          <w:lang w:eastAsia="en-IE"/>
        </w:rPr>
      </w:pPr>
    </w:p>
    <w:p w:rsidR="00FF0FA2" w:rsidRPr="0045235C" w:rsidRDefault="009F45D0" w:rsidP="0045235C">
      <w:pPr>
        <w:spacing w:after="120"/>
        <w:rPr>
          <w:rFonts w:eastAsia="Times New Roman" w:cs="Times New Roman"/>
          <w:b/>
          <w:sz w:val="24"/>
          <w:szCs w:val="24"/>
          <w:lang w:eastAsia="en-IE"/>
        </w:rPr>
      </w:pPr>
      <w:r>
        <w:rPr>
          <w:rFonts w:eastAsia="Times New Roman" w:cs="Times New Roman"/>
          <w:b/>
          <w:sz w:val="24"/>
          <w:szCs w:val="24"/>
          <w:lang w:eastAsia="en-IE"/>
        </w:rPr>
        <w:t>1.</w:t>
      </w:r>
      <w:r w:rsidR="0045235C">
        <w:rPr>
          <w:rFonts w:eastAsia="Times New Roman" w:cs="Times New Roman"/>
          <w:b/>
          <w:sz w:val="24"/>
          <w:szCs w:val="24"/>
          <w:lang w:eastAsia="en-IE"/>
        </w:rPr>
        <w:t>2.</w:t>
      </w:r>
      <w:r>
        <w:rPr>
          <w:rFonts w:eastAsia="Times New Roman" w:cs="Times New Roman"/>
          <w:b/>
          <w:sz w:val="24"/>
          <w:szCs w:val="24"/>
          <w:lang w:eastAsia="en-IE"/>
        </w:rPr>
        <w:t>14</w:t>
      </w:r>
      <w:r w:rsidR="00FF0FA2" w:rsidRPr="0045235C">
        <w:rPr>
          <w:rFonts w:eastAsia="Times New Roman" w:cs="Times New Roman"/>
          <w:b/>
          <w:sz w:val="24"/>
          <w:szCs w:val="24"/>
          <w:lang w:eastAsia="en-IE"/>
        </w:rPr>
        <w:t xml:space="preserve"> </w:t>
      </w:r>
      <w:r>
        <w:rPr>
          <w:rFonts w:eastAsia="Times New Roman" w:cs="Times New Roman"/>
          <w:b/>
          <w:sz w:val="24"/>
          <w:szCs w:val="24"/>
          <w:lang w:eastAsia="en-IE"/>
        </w:rPr>
        <w:tab/>
      </w:r>
      <w:r w:rsidR="00FF0FA2" w:rsidRPr="0045235C">
        <w:rPr>
          <w:rFonts w:eastAsia="Times New Roman" w:cs="Times New Roman"/>
          <w:b/>
          <w:sz w:val="24"/>
          <w:szCs w:val="24"/>
          <w:lang w:eastAsia="en-IE"/>
        </w:rPr>
        <w:t>Limitations of the cost estimates</w:t>
      </w:r>
    </w:p>
    <w:p w:rsidR="00B176BC" w:rsidRDefault="00FF0FA2" w:rsidP="0045235C">
      <w:pPr>
        <w:spacing w:after="120"/>
        <w:rPr>
          <w:rFonts w:eastAsia="Times New Roman" w:cs="Times New Roman"/>
          <w:sz w:val="24"/>
          <w:szCs w:val="24"/>
          <w:lang w:eastAsia="en-IE"/>
        </w:rPr>
      </w:pPr>
      <w:r w:rsidRPr="0045235C">
        <w:rPr>
          <w:rFonts w:eastAsia="Times New Roman" w:cs="Times New Roman"/>
          <w:sz w:val="24"/>
          <w:szCs w:val="24"/>
          <w:lang w:eastAsia="en-IE"/>
        </w:rPr>
        <w:t xml:space="preserve">As outlined above and discussed in more detail in </w:t>
      </w:r>
      <w:r w:rsidRPr="000B2D2D">
        <w:rPr>
          <w:rFonts w:eastAsia="Times New Roman" w:cs="Times New Roman"/>
          <w:sz w:val="24"/>
          <w:szCs w:val="24"/>
          <w:lang w:eastAsia="en-IE"/>
        </w:rPr>
        <w:t>Byrne (2010) estimating</w:t>
      </w:r>
      <w:r w:rsidRPr="0045235C">
        <w:rPr>
          <w:rFonts w:eastAsia="Times New Roman" w:cs="Times New Roman"/>
          <w:sz w:val="24"/>
          <w:szCs w:val="24"/>
          <w:lang w:eastAsia="en-IE"/>
        </w:rPr>
        <w:t xml:space="preserve"> the cost of problem alcohol use presents many problems of methodology and availability of data.  For Ireland, improving the national reporting systems in a number of key ar</w:t>
      </w:r>
      <w:r w:rsidR="00B176BC">
        <w:rPr>
          <w:rFonts w:eastAsia="Times New Roman" w:cs="Times New Roman"/>
          <w:sz w:val="24"/>
          <w:szCs w:val="24"/>
          <w:lang w:eastAsia="en-IE"/>
        </w:rPr>
        <w:t xml:space="preserve">eas would enable more accurate estimates </w:t>
      </w:r>
      <w:r w:rsidRPr="0045235C">
        <w:rPr>
          <w:rFonts w:eastAsia="Times New Roman" w:cs="Times New Roman"/>
          <w:sz w:val="24"/>
          <w:szCs w:val="24"/>
          <w:lang w:eastAsia="en-IE"/>
        </w:rPr>
        <w:t>of problem alcohol use</w:t>
      </w:r>
      <w:r w:rsidR="00B176BC">
        <w:rPr>
          <w:rFonts w:eastAsia="Times New Roman" w:cs="Times New Roman"/>
          <w:sz w:val="24"/>
          <w:szCs w:val="24"/>
          <w:lang w:eastAsia="en-IE"/>
        </w:rPr>
        <w:t xml:space="preserve"> in Ireland</w:t>
      </w:r>
      <w:r w:rsidRPr="0045235C">
        <w:rPr>
          <w:rFonts w:eastAsia="Times New Roman" w:cs="Times New Roman"/>
          <w:sz w:val="24"/>
          <w:szCs w:val="24"/>
          <w:lang w:eastAsia="en-IE"/>
        </w:rPr>
        <w:t>.</w:t>
      </w:r>
      <w:r w:rsidR="00B176BC">
        <w:rPr>
          <w:rFonts w:eastAsia="Times New Roman" w:cs="Times New Roman"/>
          <w:sz w:val="24"/>
          <w:szCs w:val="24"/>
          <w:lang w:eastAsia="en-IE"/>
        </w:rPr>
        <w:t xml:space="preserve"> Key information areas are:</w:t>
      </w:r>
    </w:p>
    <w:p w:rsidR="00B176BC" w:rsidRPr="00B176BC" w:rsidRDefault="00B176BC" w:rsidP="00B176BC">
      <w:pPr>
        <w:pStyle w:val="ListParagraph"/>
        <w:numPr>
          <w:ilvl w:val="0"/>
          <w:numId w:val="6"/>
        </w:numPr>
        <w:spacing w:after="120"/>
        <w:rPr>
          <w:sz w:val="24"/>
          <w:szCs w:val="24"/>
        </w:rPr>
      </w:pPr>
      <w:r w:rsidRPr="00B176BC">
        <w:rPr>
          <w:sz w:val="24"/>
          <w:szCs w:val="24"/>
        </w:rPr>
        <w:t>Recording of alcohol consumption by all  patients in general hospitals and not only those whose diagnosis directly relate to alcohol abuse</w:t>
      </w:r>
    </w:p>
    <w:p w:rsidR="00B176BC" w:rsidRPr="00B176BC" w:rsidRDefault="00B176BC" w:rsidP="00B176BC">
      <w:pPr>
        <w:pStyle w:val="ListParagraph"/>
        <w:numPr>
          <w:ilvl w:val="0"/>
          <w:numId w:val="6"/>
        </w:numPr>
        <w:spacing w:after="120"/>
        <w:rPr>
          <w:sz w:val="24"/>
          <w:szCs w:val="24"/>
        </w:rPr>
      </w:pPr>
      <w:r w:rsidRPr="00B176BC">
        <w:rPr>
          <w:sz w:val="24"/>
          <w:szCs w:val="24"/>
        </w:rPr>
        <w:t>Recording of the role of alcohol in inpatient psychiatric admissions and psychiatric outpatient services</w:t>
      </w:r>
    </w:p>
    <w:p w:rsidR="00B176BC" w:rsidRPr="00B176BC" w:rsidRDefault="00B176BC" w:rsidP="00B176BC">
      <w:pPr>
        <w:pStyle w:val="ListParagraph"/>
        <w:numPr>
          <w:ilvl w:val="0"/>
          <w:numId w:val="6"/>
        </w:numPr>
        <w:spacing w:after="120"/>
        <w:rPr>
          <w:sz w:val="24"/>
          <w:szCs w:val="24"/>
        </w:rPr>
      </w:pPr>
      <w:r w:rsidRPr="00B176BC">
        <w:rPr>
          <w:sz w:val="24"/>
          <w:szCs w:val="24"/>
        </w:rPr>
        <w:t>Recording of the role of alcohol in all serious crimes such as murder, manslaughter, grievous bodily harm an</w:t>
      </w:r>
      <w:r w:rsidR="006F4259">
        <w:rPr>
          <w:sz w:val="24"/>
          <w:szCs w:val="24"/>
        </w:rPr>
        <w:t>d rape. At present most alcohol-</w:t>
      </w:r>
      <w:r w:rsidRPr="00B176BC">
        <w:rPr>
          <w:sz w:val="24"/>
          <w:szCs w:val="24"/>
        </w:rPr>
        <w:t xml:space="preserve">related crimes recorded </w:t>
      </w:r>
      <w:r w:rsidR="00573A3C">
        <w:rPr>
          <w:sz w:val="24"/>
          <w:szCs w:val="24"/>
        </w:rPr>
        <w:t xml:space="preserve">tend to </w:t>
      </w:r>
      <w:r w:rsidRPr="00B176BC">
        <w:rPr>
          <w:sz w:val="24"/>
          <w:szCs w:val="24"/>
        </w:rPr>
        <w:t>relate to minor offences such as public order offenses.</w:t>
      </w:r>
    </w:p>
    <w:p w:rsidR="00B176BC" w:rsidRPr="00B176BC" w:rsidRDefault="00B176BC" w:rsidP="00B176BC">
      <w:pPr>
        <w:pStyle w:val="ListParagraph"/>
        <w:numPr>
          <w:ilvl w:val="0"/>
          <w:numId w:val="6"/>
        </w:numPr>
        <w:spacing w:after="120"/>
        <w:rPr>
          <w:sz w:val="24"/>
          <w:szCs w:val="24"/>
        </w:rPr>
      </w:pPr>
      <w:r w:rsidRPr="00B176BC">
        <w:rPr>
          <w:sz w:val="24"/>
          <w:szCs w:val="24"/>
        </w:rPr>
        <w:t xml:space="preserve">Recording of alcohol related absences in all public </w:t>
      </w:r>
      <w:r w:rsidR="00573A3C">
        <w:rPr>
          <w:sz w:val="24"/>
          <w:szCs w:val="24"/>
        </w:rPr>
        <w:t>and private sector organisations.</w:t>
      </w:r>
    </w:p>
    <w:p w:rsidR="00B176BC" w:rsidRDefault="00B176BC" w:rsidP="00B176BC">
      <w:pPr>
        <w:pStyle w:val="ListParagraph"/>
        <w:numPr>
          <w:ilvl w:val="0"/>
          <w:numId w:val="6"/>
        </w:numPr>
        <w:spacing w:after="120"/>
        <w:rPr>
          <w:sz w:val="24"/>
          <w:szCs w:val="24"/>
        </w:rPr>
      </w:pPr>
      <w:r w:rsidRPr="00B176BC">
        <w:rPr>
          <w:sz w:val="24"/>
          <w:szCs w:val="24"/>
        </w:rPr>
        <w:t>Recording of the role of alcohol in family problems by Family Support Agen</w:t>
      </w:r>
      <w:r w:rsidR="008B14FD">
        <w:rPr>
          <w:sz w:val="24"/>
          <w:szCs w:val="24"/>
        </w:rPr>
        <w:t>cies.</w:t>
      </w:r>
    </w:p>
    <w:p w:rsidR="00573A3C" w:rsidRDefault="00573A3C" w:rsidP="00B176BC">
      <w:pPr>
        <w:pStyle w:val="ListParagraph"/>
        <w:numPr>
          <w:ilvl w:val="0"/>
          <w:numId w:val="6"/>
        </w:numPr>
        <w:spacing w:after="120"/>
        <w:rPr>
          <w:sz w:val="24"/>
          <w:szCs w:val="24"/>
        </w:rPr>
      </w:pPr>
      <w:r>
        <w:rPr>
          <w:sz w:val="24"/>
          <w:szCs w:val="24"/>
        </w:rPr>
        <w:t>Recording of alcohol’s harm to others across a range of health and welfare agencies.</w:t>
      </w:r>
    </w:p>
    <w:p w:rsidR="00573A3C" w:rsidRPr="00B176BC" w:rsidRDefault="00F77516" w:rsidP="00B176BC">
      <w:pPr>
        <w:pStyle w:val="ListParagraph"/>
        <w:numPr>
          <w:ilvl w:val="0"/>
          <w:numId w:val="6"/>
        </w:numPr>
        <w:spacing w:after="120"/>
        <w:rPr>
          <w:sz w:val="24"/>
          <w:szCs w:val="24"/>
        </w:rPr>
      </w:pPr>
      <w:r>
        <w:rPr>
          <w:sz w:val="24"/>
          <w:szCs w:val="24"/>
        </w:rPr>
        <w:t>Detained s</w:t>
      </w:r>
      <w:r w:rsidR="00573A3C">
        <w:rPr>
          <w:sz w:val="24"/>
          <w:szCs w:val="24"/>
        </w:rPr>
        <w:t>urvey information on alcohol’s harm to others experienced in the general population and in high-risk sub-population groups.</w:t>
      </w:r>
    </w:p>
    <w:p w:rsidR="00227ED7" w:rsidRPr="009F45D0" w:rsidRDefault="004D6484">
      <w:pPr>
        <w:rPr>
          <w:b/>
          <w:sz w:val="28"/>
          <w:szCs w:val="28"/>
        </w:rPr>
      </w:pPr>
      <w:r>
        <w:rPr>
          <w:b/>
        </w:rPr>
        <w:lastRenderedPageBreak/>
        <w:t xml:space="preserve"> </w:t>
      </w:r>
      <w:r w:rsidR="00227ED7" w:rsidRPr="009F45D0">
        <w:rPr>
          <w:b/>
          <w:sz w:val="28"/>
          <w:szCs w:val="28"/>
        </w:rPr>
        <w:t>1.3 New relevant Irish research</w:t>
      </w:r>
    </w:p>
    <w:p w:rsidR="005965A8" w:rsidRPr="00BF46E5" w:rsidRDefault="005965A8" w:rsidP="005965A8">
      <w:pPr>
        <w:rPr>
          <w:b/>
          <w:i/>
        </w:rPr>
      </w:pPr>
      <w:r w:rsidRPr="00BF46E5">
        <w:rPr>
          <w:b/>
          <w:i/>
        </w:rPr>
        <w:t xml:space="preserve">Hope A (2014). </w:t>
      </w:r>
      <w:proofErr w:type="gramStart"/>
      <w:r w:rsidR="00227ED7" w:rsidRPr="00BF46E5">
        <w:rPr>
          <w:b/>
          <w:i/>
        </w:rPr>
        <w:t>Alcohol</w:t>
      </w:r>
      <w:r w:rsidRPr="00BF46E5">
        <w:rPr>
          <w:b/>
          <w:i/>
        </w:rPr>
        <w:t>’s harm to others in Ireland.</w:t>
      </w:r>
      <w:proofErr w:type="gramEnd"/>
      <w:r w:rsidRPr="00BF46E5">
        <w:rPr>
          <w:b/>
          <w:i/>
        </w:rPr>
        <w:t xml:space="preserve"> Dublin: Health Service Executive</w:t>
      </w:r>
    </w:p>
    <w:p w:rsidR="005965A8" w:rsidRDefault="00F04E58" w:rsidP="005854C8">
      <w:pPr>
        <w:shd w:val="clear" w:color="auto" w:fill="EEECE1" w:themeFill="background2"/>
        <w:spacing w:after="120" w:line="240" w:lineRule="auto"/>
        <w:rPr>
          <w:rFonts w:cs="Lucida Sans Unicode"/>
        </w:rPr>
      </w:pPr>
      <w:r w:rsidRPr="005965A8">
        <w:rPr>
          <w:rFonts w:cs="Lucida Sans Unicode"/>
        </w:rPr>
        <w:t xml:space="preserve">This report introduces the concept of ‘alcohol’s harm to others’ </w:t>
      </w:r>
      <w:r>
        <w:rPr>
          <w:rFonts w:cs="Lucida Sans Unicode"/>
        </w:rPr>
        <w:t xml:space="preserve">in an Irish context. </w:t>
      </w:r>
      <w:r w:rsidR="003E5D9D" w:rsidRPr="005965A8">
        <w:rPr>
          <w:rFonts w:cs="Lucida Sans Unicode"/>
        </w:rPr>
        <w:t xml:space="preserve">This research study confirms that alcohol is causing significant damage across the population, in workplaces and to children in families and carries a substantial economic burden to all in Irish society, at a higher level than comparable societies such as Australia, Canada and America. </w:t>
      </w:r>
    </w:p>
    <w:p w:rsidR="005965A8" w:rsidRPr="005965A8" w:rsidRDefault="005965A8" w:rsidP="005854C8">
      <w:pPr>
        <w:shd w:val="clear" w:color="auto" w:fill="EEECE1" w:themeFill="background2"/>
        <w:spacing w:after="120" w:line="240" w:lineRule="auto"/>
      </w:pPr>
      <w:r w:rsidRPr="005965A8">
        <w:rPr>
          <w:rFonts w:cs="Lucida Sans Unicode"/>
          <w:u w:val="single"/>
        </w:rPr>
        <w:t>Over one in four</w:t>
      </w:r>
      <w:r w:rsidRPr="005965A8">
        <w:rPr>
          <w:rFonts w:cs="Lucida Sans Unicode"/>
        </w:rPr>
        <w:t xml:space="preserve"> people (28%) in the general Irish population reported experiencing at least one or more negative consequences as a result of someone else’s drinking - family problems, passenger with a drunk driver, assault, property vandalised and money problems.  In the workplace, o</w:t>
      </w:r>
      <w:r w:rsidRPr="005965A8">
        <w:rPr>
          <w:rFonts w:cs="Lucida Sans Unicode"/>
          <w:u w:val="single"/>
        </w:rPr>
        <w:t>ne in ten</w:t>
      </w:r>
      <w:r w:rsidRPr="005965A8">
        <w:rPr>
          <w:rFonts w:cs="Lucida Sans Unicode"/>
        </w:rPr>
        <w:t xml:space="preserve"> Irish workers experienced at least one or more negative consequences due to co-workers who were heavy drinkers, such as the ability to do their work was negatively affected, they had to work extra hours and had an accident or close call at work due to co-workers drinking habits.  Overall, </w:t>
      </w:r>
      <w:r w:rsidRPr="005965A8">
        <w:rPr>
          <w:rFonts w:cs="Lucida Sans Unicode"/>
          <w:u w:val="single"/>
        </w:rPr>
        <w:t>one in ten</w:t>
      </w:r>
      <w:r w:rsidRPr="005965A8">
        <w:rPr>
          <w:rFonts w:cs="Lucida Sans Unicode"/>
        </w:rPr>
        <w:t xml:space="preserve"> Irish parents reported that children experienced at least one or more harms in the past 12 months as a result of someone else’s drinking – verbal abuse, left in unsafe situations, witness to serious violence in the home and physical abuse</w:t>
      </w:r>
    </w:p>
    <w:p w:rsidR="003E5D9D" w:rsidRPr="005965A8" w:rsidRDefault="00AA5D6A" w:rsidP="005854C8">
      <w:pPr>
        <w:shd w:val="clear" w:color="auto" w:fill="EEECE1" w:themeFill="background2"/>
        <w:spacing w:after="120" w:line="240" w:lineRule="auto"/>
        <w:rPr>
          <w:rFonts w:cs="Lucida Sans Unicode"/>
          <w:b/>
        </w:rPr>
      </w:pPr>
      <w:r>
        <w:rPr>
          <w:rFonts w:cs="Lucida Sans Unicode"/>
        </w:rPr>
        <w:t>T</w:t>
      </w:r>
      <w:r w:rsidR="003E5D9D" w:rsidRPr="005965A8">
        <w:rPr>
          <w:rFonts w:cs="Lucida Sans Unicode"/>
        </w:rPr>
        <w:t>he results indicate that problem alcohol use can no longer be framed exclusively in the realm of harm to the drinker. In over a quarter of cases</w:t>
      </w:r>
      <w:r>
        <w:rPr>
          <w:rFonts w:cs="Lucida Sans Unicode"/>
        </w:rPr>
        <w:t>,</w:t>
      </w:r>
      <w:r w:rsidR="003E5D9D" w:rsidRPr="005965A8">
        <w:rPr>
          <w:rFonts w:cs="Lucida Sans Unicode"/>
        </w:rPr>
        <w:t xml:space="preserve"> harm to others is documented and in the case of each of two specific situations, one a vulnerable population (children) and the other economic (the workplace)</w:t>
      </w:r>
      <w:r>
        <w:rPr>
          <w:rFonts w:cs="Lucida Sans Unicode"/>
        </w:rPr>
        <w:t>,</w:t>
      </w:r>
      <w:r w:rsidR="003E5D9D" w:rsidRPr="005965A8">
        <w:rPr>
          <w:rFonts w:cs="Lucida Sans Unicode"/>
        </w:rPr>
        <w:t xml:space="preserve"> one in ten report harm to others. While men generally experience more harm from others, in two domains – family and finance-women experience more harm. </w:t>
      </w:r>
    </w:p>
    <w:p w:rsidR="003E5D9D" w:rsidRDefault="00756E59" w:rsidP="00BF46E5">
      <w:pPr>
        <w:spacing w:after="120" w:line="240" w:lineRule="auto"/>
        <w:rPr>
          <w:b/>
          <w:i/>
        </w:rPr>
      </w:pPr>
      <w:r w:rsidRPr="00BF46E5">
        <w:rPr>
          <w:b/>
          <w:i/>
        </w:rPr>
        <w:t xml:space="preserve">Griffin E, </w:t>
      </w:r>
      <w:proofErr w:type="spellStart"/>
      <w:r w:rsidRPr="00BF46E5">
        <w:rPr>
          <w:b/>
          <w:i/>
        </w:rPr>
        <w:t>Arensman</w:t>
      </w:r>
      <w:proofErr w:type="spellEnd"/>
      <w:r w:rsidRPr="00BF46E5">
        <w:rPr>
          <w:b/>
          <w:i/>
        </w:rPr>
        <w:t xml:space="preserve"> E, Wall A</w:t>
      </w:r>
      <w:r w:rsidR="005854C8">
        <w:rPr>
          <w:b/>
          <w:i/>
        </w:rPr>
        <w:t xml:space="preserve"> Corcoran P, Perry I</w:t>
      </w:r>
      <w:r w:rsidR="00BF46E5" w:rsidRPr="00BF46E5">
        <w:rPr>
          <w:b/>
          <w:i/>
        </w:rPr>
        <w:t xml:space="preserve"> (2013). National registry of </w:t>
      </w:r>
      <w:proofErr w:type="gramStart"/>
      <w:r w:rsidR="00BF46E5" w:rsidRPr="00BF46E5">
        <w:rPr>
          <w:b/>
          <w:i/>
        </w:rPr>
        <w:t>Deliberate</w:t>
      </w:r>
      <w:proofErr w:type="gramEnd"/>
      <w:r w:rsidR="00BF46E5" w:rsidRPr="00BF46E5">
        <w:rPr>
          <w:b/>
          <w:i/>
        </w:rPr>
        <w:t xml:space="preserve"> self-harm Annual Report 2012. Cork: National Suicide Research Foundation.</w:t>
      </w:r>
    </w:p>
    <w:p w:rsidR="00BF46E5" w:rsidRPr="00BF46E5" w:rsidRDefault="00BF46E5" w:rsidP="00BF46E5">
      <w:pPr>
        <w:spacing w:after="120" w:line="240" w:lineRule="auto"/>
      </w:pPr>
      <w:r w:rsidRPr="00BF46E5">
        <w:t xml:space="preserve">Alcohol was involved in 38% of all </w:t>
      </w:r>
      <w:r w:rsidR="00AA5D6A">
        <w:t xml:space="preserve">self-harm </w:t>
      </w:r>
      <w:r w:rsidRPr="00BF46E5">
        <w:t>cases. While overall alcohol involvement decreased slightly from 2011, alcohol was significantly more often involved in male episodes of self-harm than females (42% versus 36%, respectively).</w:t>
      </w:r>
    </w:p>
    <w:p w:rsidR="00BF46E5" w:rsidRPr="00BF46E5" w:rsidRDefault="00BF46E5" w:rsidP="00BF46E5">
      <w:pPr>
        <w:spacing w:after="120" w:line="240" w:lineRule="auto"/>
        <w:rPr>
          <w:b/>
          <w:i/>
        </w:rPr>
      </w:pPr>
      <w:proofErr w:type="gramStart"/>
      <w:r>
        <w:rPr>
          <w:b/>
          <w:i/>
        </w:rPr>
        <w:t>National Office for Suicide Prevention (2013).</w:t>
      </w:r>
      <w:proofErr w:type="gramEnd"/>
      <w:r>
        <w:rPr>
          <w:b/>
          <w:i/>
        </w:rPr>
        <w:t xml:space="preserve"> </w:t>
      </w:r>
      <w:proofErr w:type="gramStart"/>
      <w:r>
        <w:rPr>
          <w:b/>
          <w:i/>
        </w:rPr>
        <w:t>Annual report 2012.</w:t>
      </w:r>
      <w:proofErr w:type="gramEnd"/>
      <w:r>
        <w:rPr>
          <w:b/>
          <w:i/>
        </w:rPr>
        <w:t xml:space="preserve"> </w:t>
      </w:r>
      <w:proofErr w:type="gramStart"/>
      <w:r>
        <w:rPr>
          <w:b/>
          <w:i/>
        </w:rPr>
        <w:t>Health Service Executive.</w:t>
      </w:r>
      <w:proofErr w:type="gramEnd"/>
    </w:p>
    <w:p w:rsidR="00756E59" w:rsidRPr="003C3AA1" w:rsidRDefault="00756E59" w:rsidP="00BF46E5">
      <w:pPr>
        <w:autoSpaceDE w:val="0"/>
        <w:autoSpaceDN w:val="0"/>
        <w:adjustRightInd w:val="0"/>
        <w:spacing w:after="120" w:line="240" w:lineRule="auto"/>
        <w:rPr>
          <w:rFonts w:cs="FSJoey-Medium"/>
          <w:u w:val="single"/>
        </w:rPr>
      </w:pPr>
      <w:r w:rsidRPr="003C3AA1">
        <w:rPr>
          <w:rFonts w:cs="FSJoey-Medium"/>
          <w:u w:val="single"/>
        </w:rPr>
        <w:t>Alcohol-Related Self-Harm</w:t>
      </w:r>
      <w:r w:rsidR="00BF46E5" w:rsidRPr="003C3AA1">
        <w:rPr>
          <w:rFonts w:cs="FSJoey-Medium"/>
          <w:u w:val="single"/>
        </w:rPr>
        <w:t xml:space="preserve"> </w:t>
      </w:r>
      <w:r w:rsidRPr="003C3AA1">
        <w:rPr>
          <w:rFonts w:cs="FSJoey-Medium"/>
          <w:u w:val="single"/>
        </w:rPr>
        <w:t>and Seasonality</w:t>
      </w:r>
    </w:p>
    <w:p w:rsidR="00756E59" w:rsidRPr="00BF46E5" w:rsidRDefault="00756E59" w:rsidP="00BF46E5">
      <w:pPr>
        <w:autoSpaceDE w:val="0"/>
        <w:autoSpaceDN w:val="0"/>
        <w:adjustRightInd w:val="0"/>
        <w:spacing w:after="120" w:line="240" w:lineRule="auto"/>
        <w:rPr>
          <w:rFonts w:cs="FSJoey"/>
          <w:color w:val="000000"/>
        </w:rPr>
      </w:pPr>
      <w:r w:rsidRPr="00BF46E5">
        <w:rPr>
          <w:rFonts w:cs="FSJoey"/>
          <w:color w:val="000000"/>
        </w:rPr>
        <w:t>With regard to seasonality and self-harm, overall</w:t>
      </w:r>
      <w:r w:rsidR="00BF46E5" w:rsidRPr="00BF46E5">
        <w:rPr>
          <w:rFonts w:cs="FSJoey"/>
          <w:color w:val="000000"/>
        </w:rPr>
        <w:t xml:space="preserve"> </w:t>
      </w:r>
      <w:r w:rsidRPr="00BF46E5">
        <w:rPr>
          <w:rFonts w:cs="FSJoey"/>
          <w:color w:val="000000"/>
        </w:rPr>
        <w:t>significantly different patterns were found for men and</w:t>
      </w:r>
      <w:r w:rsidR="00BF46E5" w:rsidRPr="00BF46E5">
        <w:rPr>
          <w:rFonts w:cs="FSJoey"/>
          <w:color w:val="000000"/>
        </w:rPr>
        <w:t xml:space="preserve"> </w:t>
      </w:r>
      <w:r w:rsidRPr="00BF46E5">
        <w:rPr>
          <w:rFonts w:cs="FSJoey"/>
          <w:color w:val="000000"/>
        </w:rPr>
        <w:t>women when we analysed self-harm data of patients</w:t>
      </w:r>
      <w:r w:rsidR="00BF46E5" w:rsidRPr="00BF46E5">
        <w:rPr>
          <w:rFonts w:cs="FSJoey"/>
          <w:color w:val="000000"/>
        </w:rPr>
        <w:t xml:space="preserve"> </w:t>
      </w:r>
      <w:r w:rsidRPr="00BF46E5">
        <w:rPr>
          <w:rFonts w:cs="FSJoey"/>
          <w:color w:val="000000"/>
        </w:rPr>
        <w:t>who had not taken alcohol at the time of the self-harm</w:t>
      </w:r>
      <w:r w:rsidR="00BF46E5" w:rsidRPr="00BF46E5">
        <w:rPr>
          <w:rFonts w:cs="FSJoey"/>
          <w:color w:val="000000"/>
        </w:rPr>
        <w:t xml:space="preserve"> </w:t>
      </w:r>
      <w:r w:rsidRPr="00BF46E5">
        <w:rPr>
          <w:rFonts w:cs="FSJoey"/>
          <w:color w:val="000000"/>
        </w:rPr>
        <w:t xml:space="preserve">act. </w:t>
      </w:r>
      <w:proofErr w:type="gramStart"/>
      <w:r w:rsidRPr="00BF46E5">
        <w:rPr>
          <w:rFonts w:cs="FSJoey"/>
          <w:color w:val="000000"/>
        </w:rPr>
        <w:t>A ratio higher than 1 indicates that there were more</w:t>
      </w:r>
      <w:r w:rsidR="00BF46E5" w:rsidRPr="00BF46E5">
        <w:rPr>
          <w:rFonts w:cs="FSJoey"/>
          <w:color w:val="000000"/>
        </w:rPr>
        <w:t xml:space="preserve"> </w:t>
      </w:r>
      <w:r w:rsidRPr="00BF46E5">
        <w:rPr>
          <w:rFonts w:cs="FSJoey"/>
          <w:color w:val="000000"/>
        </w:rPr>
        <w:t>self-harm acts than expected.</w:t>
      </w:r>
      <w:proofErr w:type="gramEnd"/>
      <w:r w:rsidRPr="00BF46E5">
        <w:rPr>
          <w:rFonts w:cs="FSJoey"/>
          <w:color w:val="000000"/>
        </w:rPr>
        <w:t xml:space="preserve"> However, when analysing</w:t>
      </w:r>
      <w:r w:rsidR="00BF46E5" w:rsidRPr="00BF46E5">
        <w:rPr>
          <w:rFonts w:cs="FSJoey"/>
          <w:color w:val="000000"/>
        </w:rPr>
        <w:t xml:space="preserve"> </w:t>
      </w:r>
      <w:r w:rsidRPr="00BF46E5">
        <w:rPr>
          <w:rFonts w:cs="FSJoey"/>
          <w:color w:val="000000"/>
        </w:rPr>
        <w:t>the data based on those who had used alcohol, there</w:t>
      </w:r>
      <w:r w:rsidR="00BF46E5" w:rsidRPr="00BF46E5">
        <w:rPr>
          <w:rFonts w:cs="FSJoey"/>
          <w:color w:val="000000"/>
        </w:rPr>
        <w:t xml:space="preserve"> </w:t>
      </w:r>
      <w:r w:rsidRPr="00BF46E5">
        <w:rPr>
          <w:rFonts w:cs="FSJoey"/>
          <w:color w:val="000000"/>
        </w:rPr>
        <w:t>was a remarkable similarity between the seasonality of</w:t>
      </w:r>
      <w:r w:rsidR="00BF46E5" w:rsidRPr="00BF46E5">
        <w:rPr>
          <w:rFonts w:cs="FSJoey"/>
          <w:color w:val="000000"/>
        </w:rPr>
        <w:t xml:space="preserve"> </w:t>
      </w:r>
      <w:r w:rsidRPr="00BF46E5">
        <w:rPr>
          <w:rFonts w:cs="FSJoey"/>
          <w:color w:val="000000"/>
        </w:rPr>
        <w:t>female and male self-harm in that both genders showed</w:t>
      </w:r>
      <w:r w:rsidR="00BF46E5">
        <w:rPr>
          <w:rFonts w:cs="FSJoey"/>
          <w:color w:val="000000"/>
        </w:rPr>
        <w:t xml:space="preserve"> </w:t>
      </w:r>
      <w:r w:rsidRPr="00BF46E5">
        <w:rPr>
          <w:rFonts w:cs="FSJoey"/>
          <w:color w:val="000000"/>
        </w:rPr>
        <w:t>similar peaks in self-harm in March, July and August.</w:t>
      </w:r>
      <w:r w:rsidR="00BF46E5" w:rsidRPr="00BF46E5">
        <w:rPr>
          <w:rFonts w:cs="FSJoey"/>
          <w:color w:val="000000"/>
        </w:rPr>
        <w:t xml:space="preserve"> </w:t>
      </w:r>
      <w:r w:rsidRPr="00BF46E5">
        <w:rPr>
          <w:rFonts w:cs="FSJoey"/>
          <w:color w:val="000000"/>
        </w:rPr>
        <w:t>Furthermore, for men an additional self-harm peak</w:t>
      </w:r>
      <w:r w:rsidR="00BF46E5" w:rsidRPr="00BF46E5">
        <w:rPr>
          <w:rFonts w:cs="FSJoey"/>
          <w:color w:val="000000"/>
        </w:rPr>
        <w:t xml:space="preserve"> </w:t>
      </w:r>
      <w:r w:rsidRPr="00BF46E5">
        <w:rPr>
          <w:rFonts w:cs="FSJoey"/>
          <w:color w:val="000000"/>
        </w:rPr>
        <w:t>emerged in May when alcohol was involved.</w:t>
      </w:r>
    </w:p>
    <w:p w:rsidR="00BF46E5" w:rsidRDefault="00756E59" w:rsidP="00BF46E5">
      <w:pPr>
        <w:autoSpaceDE w:val="0"/>
        <w:autoSpaceDN w:val="0"/>
        <w:adjustRightInd w:val="0"/>
        <w:spacing w:after="0" w:line="240" w:lineRule="auto"/>
        <w:rPr>
          <w:rFonts w:ascii="FSJoey" w:hAnsi="FSJoey" w:cs="FSJoey"/>
          <w:color w:val="000000"/>
          <w:sz w:val="16"/>
          <w:szCs w:val="16"/>
        </w:rPr>
      </w:pPr>
      <w:r w:rsidRPr="00BF46E5">
        <w:rPr>
          <w:rFonts w:cs="FSJoey-Medium"/>
          <w:b/>
          <w:i/>
        </w:rPr>
        <w:t>My World Survey</w:t>
      </w:r>
      <w:r w:rsidR="00BF46E5">
        <w:rPr>
          <w:rFonts w:cs="FSJoey-Medium"/>
          <w:color w:val="514F54"/>
          <w:u w:val="single"/>
        </w:rPr>
        <w:t xml:space="preserve">   </w:t>
      </w:r>
      <w:hyperlink r:id="rId12" w:history="1">
        <w:r w:rsidR="00BF46E5" w:rsidRPr="00482ED7">
          <w:rPr>
            <w:rStyle w:val="Hyperlink"/>
            <w:rFonts w:ascii="FSJoey" w:hAnsi="FSJoey" w:cs="FSJoey"/>
            <w:sz w:val="16"/>
            <w:szCs w:val="16"/>
          </w:rPr>
          <w:t>http://www.headstrong.ie/sites/default/files/My%20World%20Survey%202012%20Online.pdf</w:t>
        </w:r>
      </w:hyperlink>
    </w:p>
    <w:p w:rsidR="00BF46E5" w:rsidRDefault="00BF46E5" w:rsidP="00BF46E5">
      <w:pPr>
        <w:autoSpaceDE w:val="0"/>
        <w:autoSpaceDN w:val="0"/>
        <w:adjustRightInd w:val="0"/>
        <w:spacing w:after="0" w:line="240" w:lineRule="auto"/>
      </w:pPr>
    </w:p>
    <w:p w:rsidR="00756E59" w:rsidRPr="00AA5D6A" w:rsidRDefault="00756E59" w:rsidP="00756E59">
      <w:pPr>
        <w:autoSpaceDE w:val="0"/>
        <w:autoSpaceDN w:val="0"/>
        <w:adjustRightInd w:val="0"/>
        <w:spacing w:after="0" w:line="240" w:lineRule="auto"/>
        <w:rPr>
          <w:rFonts w:cs="FSJoey"/>
          <w:color w:val="000000"/>
        </w:rPr>
      </w:pPr>
      <w:r w:rsidRPr="00AA5D6A">
        <w:rPr>
          <w:rFonts w:cs="FSJoey"/>
          <w:color w:val="000000"/>
        </w:rPr>
        <w:t>The Headstrong My World Survey was a large scale</w:t>
      </w:r>
      <w:r w:rsidR="00BF46E5" w:rsidRPr="00AA5D6A">
        <w:rPr>
          <w:rFonts w:cs="FSJoey"/>
          <w:color w:val="000000"/>
        </w:rPr>
        <w:t xml:space="preserve"> </w:t>
      </w:r>
      <w:r w:rsidRPr="00AA5D6A">
        <w:rPr>
          <w:rFonts w:cs="FSJoey"/>
          <w:color w:val="000000"/>
        </w:rPr>
        <w:t xml:space="preserve">study of youth mental health </w:t>
      </w:r>
      <w:r w:rsidR="00AA5D6A">
        <w:rPr>
          <w:rFonts w:cs="FSJoey"/>
          <w:color w:val="000000"/>
        </w:rPr>
        <w:t xml:space="preserve">in Ireland, </w:t>
      </w:r>
      <w:r w:rsidRPr="00AA5D6A">
        <w:rPr>
          <w:rFonts w:cs="FSJoey"/>
          <w:color w:val="000000"/>
        </w:rPr>
        <w:t>which surveyed over</w:t>
      </w:r>
      <w:r w:rsidR="00BF46E5" w:rsidRPr="00AA5D6A">
        <w:rPr>
          <w:rFonts w:cs="FSJoey"/>
          <w:color w:val="000000"/>
        </w:rPr>
        <w:t xml:space="preserve"> </w:t>
      </w:r>
      <w:r w:rsidRPr="00AA5D6A">
        <w:rPr>
          <w:rFonts w:cs="FSJoey"/>
          <w:color w:val="000000"/>
        </w:rPr>
        <w:t xml:space="preserve">14,000 </w:t>
      </w:r>
      <w:proofErr w:type="gramStart"/>
      <w:r w:rsidRPr="00AA5D6A">
        <w:rPr>
          <w:rFonts w:cs="FSJoey"/>
          <w:color w:val="000000"/>
        </w:rPr>
        <w:t>people</w:t>
      </w:r>
      <w:proofErr w:type="gramEnd"/>
      <w:r w:rsidRPr="00AA5D6A">
        <w:rPr>
          <w:rFonts w:cs="FSJoey"/>
          <w:color w:val="000000"/>
        </w:rPr>
        <w:t xml:space="preserve"> aged 12-25. The survey reported six</w:t>
      </w:r>
      <w:r w:rsidR="00BF46E5" w:rsidRPr="00AA5D6A">
        <w:rPr>
          <w:rFonts w:cs="FSJoey"/>
          <w:color w:val="000000"/>
        </w:rPr>
        <w:t xml:space="preserve"> </w:t>
      </w:r>
      <w:r w:rsidRPr="00AA5D6A">
        <w:rPr>
          <w:rFonts w:cs="FSJoey"/>
          <w:color w:val="000000"/>
        </w:rPr>
        <w:t>important themes:</w:t>
      </w:r>
    </w:p>
    <w:p w:rsidR="00756E59" w:rsidRPr="00AA5D6A" w:rsidRDefault="00756E59" w:rsidP="00BF46E5">
      <w:pPr>
        <w:pStyle w:val="ListParagraph"/>
        <w:numPr>
          <w:ilvl w:val="0"/>
          <w:numId w:val="25"/>
        </w:numPr>
        <w:autoSpaceDE w:val="0"/>
        <w:autoSpaceDN w:val="0"/>
        <w:adjustRightInd w:val="0"/>
        <w:spacing w:after="0" w:line="240" w:lineRule="auto"/>
        <w:rPr>
          <w:rFonts w:cs="FSJoey"/>
          <w:color w:val="000000"/>
        </w:rPr>
      </w:pPr>
      <w:r w:rsidRPr="00AA5D6A">
        <w:rPr>
          <w:rFonts w:cs="FSJoey"/>
          <w:color w:val="000000"/>
        </w:rPr>
        <w:t>One ‘Good Adult’ in a young person</w:t>
      </w:r>
      <w:r w:rsidR="00AA5D6A">
        <w:rPr>
          <w:rFonts w:cs="FSJoey"/>
          <w:color w:val="000000"/>
        </w:rPr>
        <w:t>’</w:t>
      </w:r>
      <w:r w:rsidRPr="00AA5D6A">
        <w:rPr>
          <w:rFonts w:cs="FSJoey"/>
          <w:color w:val="000000"/>
        </w:rPr>
        <w:t>s life is a key</w:t>
      </w:r>
      <w:r w:rsidR="00BF46E5" w:rsidRPr="00AA5D6A">
        <w:rPr>
          <w:rFonts w:cs="FSJoey"/>
          <w:color w:val="000000"/>
        </w:rPr>
        <w:t xml:space="preserve"> </w:t>
      </w:r>
      <w:r w:rsidRPr="00AA5D6A">
        <w:rPr>
          <w:rFonts w:cs="FSJoey"/>
          <w:color w:val="000000"/>
        </w:rPr>
        <w:t>indicator of young people’s mental health</w:t>
      </w:r>
    </w:p>
    <w:p w:rsidR="00756E59" w:rsidRPr="00AA5D6A" w:rsidRDefault="00756E59" w:rsidP="00BF46E5">
      <w:pPr>
        <w:pStyle w:val="ListParagraph"/>
        <w:numPr>
          <w:ilvl w:val="0"/>
          <w:numId w:val="25"/>
        </w:numPr>
        <w:autoSpaceDE w:val="0"/>
        <w:autoSpaceDN w:val="0"/>
        <w:adjustRightInd w:val="0"/>
        <w:spacing w:after="0" w:line="240" w:lineRule="auto"/>
        <w:rPr>
          <w:rFonts w:cs="FSJoey"/>
          <w:color w:val="000000"/>
          <w:u w:val="single"/>
        </w:rPr>
      </w:pPr>
      <w:r w:rsidRPr="00AA5D6A">
        <w:rPr>
          <w:rFonts w:cs="FSJoey"/>
          <w:color w:val="000000"/>
          <w:u w:val="single"/>
        </w:rPr>
        <w:t>58% of those aged 16 and older reported</w:t>
      </w:r>
      <w:r w:rsidR="00BF46E5" w:rsidRPr="00AA5D6A">
        <w:rPr>
          <w:rFonts w:cs="FSJoey"/>
          <w:color w:val="000000"/>
          <w:u w:val="single"/>
        </w:rPr>
        <w:t xml:space="preserve"> </w:t>
      </w:r>
      <w:r w:rsidRPr="00AA5D6A">
        <w:rPr>
          <w:rFonts w:cs="FSJoey"/>
          <w:color w:val="000000"/>
          <w:u w:val="single"/>
        </w:rPr>
        <w:t>excessive drinking</w:t>
      </w:r>
    </w:p>
    <w:p w:rsidR="00756E59" w:rsidRPr="00AA5D6A" w:rsidRDefault="00756E59" w:rsidP="00BF46E5">
      <w:pPr>
        <w:pStyle w:val="ListParagraph"/>
        <w:numPr>
          <w:ilvl w:val="0"/>
          <w:numId w:val="25"/>
        </w:numPr>
        <w:autoSpaceDE w:val="0"/>
        <w:autoSpaceDN w:val="0"/>
        <w:adjustRightInd w:val="0"/>
        <w:spacing w:after="0" w:line="240" w:lineRule="auto"/>
        <w:rPr>
          <w:rFonts w:cs="FSJoey"/>
          <w:color w:val="000000"/>
        </w:rPr>
      </w:pPr>
      <w:r w:rsidRPr="00AA5D6A">
        <w:rPr>
          <w:rFonts w:cs="FSJoey"/>
          <w:color w:val="000000"/>
        </w:rPr>
        <w:t>Not talking about problems was linked to</w:t>
      </w:r>
      <w:r w:rsidR="00BF46E5" w:rsidRPr="00AA5D6A">
        <w:rPr>
          <w:rFonts w:cs="FSJoey"/>
          <w:color w:val="000000"/>
        </w:rPr>
        <w:t xml:space="preserve"> </w:t>
      </w:r>
      <w:r w:rsidRPr="00AA5D6A">
        <w:rPr>
          <w:rFonts w:cs="FSJoey"/>
          <w:color w:val="000000"/>
        </w:rPr>
        <w:t>suicidal behaviour</w:t>
      </w:r>
    </w:p>
    <w:p w:rsidR="00756E59" w:rsidRPr="00AA5D6A" w:rsidRDefault="00756E59" w:rsidP="00BF46E5">
      <w:pPr>
        <w:pStyle w:val="ListParagraph"/>
        <w:numPr>
          <w:ilvl w:val="0"/>
          <w:numId w:val="25"/>
        </w:numPr>
        <w:autoSpaceDE w:val="0"/>
        <w:autoSpaceDN w:val="0"/>
        <w:adjustRightInd w:val="0"/>
        <w:spacing w:after="0" w:line="240" w:lineRule="auto"/>
        <w:rPr>
          <w:rFonts w:cs="FSJoey"/>
          <w:color w:val="000000"/>
        </w:rPr>
      </w:pPr>
      <w:r w:rsidRPr="00AA5D6A">
        <w:rPr>
          <w:rFonts w:cs="FSJoey"/>
          <w:color w:val="000000"/>
        </w:rPr>
        <w:t>Sharing problems was linked with better</w:t>
      </w:r>
      <w:r w:rsidR="00BF46E5" w:rsidRPr="00AA5D6A">
        <w:rPr>
          <w:rFonts w:cs="FSJoey"/>
          <w:color w:val="000000"/>
        </w:rPr>
        <w:t xml:space="preserve"> </w:t>
      </w:r>
      <w:r w:rsidRPr="00AA5D6A">
        <w:rPr>
          <w:rFonts w:cs="FSJoey"/>
          <w:color w:val="000000"/>
        </w:rPr>
        <w:t>mental health</w:t>
      </w:r>
    </w:p>
    <w:p w:rsidR="00756E59" w:rsidRPr="00AA5D6A" w:rsidRDefault="00756E59" w:rsidP="00BF46E5">
      <w:pPr>
        <w:pStyle w:val="ListParagraph"/>
        <w:numPr>
          <w:ilvl w:val="0"/>
          <w:numId w:val="25"/>
        </w:numPr>
        <w:autoSpaceDE w:val="0"/>
        <w:autoSpaceDN w:val="0"/>
        <w:adjustRightInd w:val="0"/>
        <w:spacing w:after="0" w:line="240" w:lineRule="auto"/>
        <w:rPr>
          <w:rFonts w:cs="FSJoey"/>
          <w:color w:val="000000"/>
        </w:rPr>
      </w:pPr>
      <w:r w:rsidRPr="00AA5D6A">
        <w:rPr>
          <w:rFonts w:cs="FSJoey"/>
          <w:color w:val="000000"/>
        </w:rPr>
        <w:t>Many young people in distress are not seeking help</w:t>
      </w:r>
    </w:p>
    <w:p w:rsidR="00756E59" w:rsidRPr="00AA5D6A" w:rsidRDefault="00756E59" w:rsidP="00BF46E5">
      <w:pPr>
        <w:pStyle w:val="ListParagraph"/>
        <w:numPr>
          <w:ilvl w:val="0"/>
          <w:numId w:val="25"/>
        </w:numPr>
        <w:autoSpaceDE w:val="0"/>
        <w:autoSpaceDN w:val="0"/>
        <w:adjustRightInd w:val="0"/>
        <w:spacing w:after="0" w:line="240" w:lineRule="auto"/>
        <w:rPr>
          <w:rFonts w:cs="FSJoey"/>
          <w:color w:val="000000"/>
        </w:rPr>
      </w:pPr>
      <w:r w:rsidRPr="00AA5D6A">
        <w:rPr>
          <w:rFonts w:cs="FSJoey"/>
          <w:color w:val="000000"/>
        </w:rPr>
        <w:t>Money is a significant stressor.</w:t>
      </w:r>
    </w:p>
    <w:p w:rsidR="00BF46E5" w:rsidRDefault="00BF46E5" w:rsidP="00756E59">
      <w:pPr>
        <w:autoSpaceDE w:val="0"/>
        <w:autoSpaceDN w:val="0"/>
        <w:adjustRightInd w:val="0"/>
        <w:spacing w:after="0" w:line="240" w:lineRule="auto"/>
        <w:rPr>
          <w:rFonts w:ascii="FSJoey" w:hAnsi="FSJoey" w:cs="FSJoey"/>
          <w:color w:val="000000"/>
          <w:sz w:val="20"/>
          <w:szCs w:val="20"/>
        </w:rPr>
      </w:pPr>
    </w:p>
    <w:p w:rsidR="00B10D99" w:rsidRPr="00AA5D6A" w:rsidRDefault="005F6B7E" w:rsidP="005F6B7E">
      <w:pPr>
        <w:rPr>
          <w:b/>
        </w:rPr>
      </w:pPr>
      <w:r w:rsidRPr="005F6B7E">
        <w:rPr>
          <w:b/>
          <w:i/>
        </w:rPr>
        <w:lastRenderedPageBreak/>
        <w:t xml:space="preserve">Power J &amp; Johns C (2013). </w:t>
      </w:r>
      <w:proofErr w:type="gramStart"/>
      <w:r w:rsidR="00B10D99" w:rsidRPr="005F6B7E">
        <w:rPr>
          <w:b/>
          <w:i/>
        </w:rPr>
        <w:t>The efficacy of minimum unit pricing, fiscal and other pricing public policie</w:t>
      </w:r>
      <w:r w:rsidRPr="005F6B7E">
        <w:rPr>
          <w:b/>
          <w:i/>
        </w:rPr>
        <w:t>s for alcohol.</w:t>
      </w:r>
      <w:proofErr w:type="gramEnd"/>
      <w:r w:rsidRPr="005F6B7E">
        <w:rPr>
          <w:b/>
          <w:i/>
        </w:rPr>
        <w:t xml:space="preserve"> </w:t>
      </w:r>
      <w:r w:rsidR="00B10D99" w:rsidRPr="005F6B7E">
        <w:rPr>
          <w:b/>
          <w:i/>
        </w:rPr>
        <w:t>CJP Consu</w:t>
      </w:r>
      <w:r w:rsidRPr="005F6B7E">
        <w:rPr>
          <w:b/>
          <w:i/>
        </w:rPr>
        <w:t xml:space="preserve">ltants </w:t>
      </w:r>
      <w:r w:rsidRPr="00AA5D6A">
        <w:rPr>
          <w:b/>
        </w:rPr>
        <w:t>(For the Department of Health)</w:t>
      </w:r>
    </w:p>
    <w:p w:rsidR="00A41A60" w:rsidRPr="005F6B7E" w:rsidRDefault="00A41A60" w:rsidP="005854C8">
      <w:pPr>
        <w:shd w:val="clear" w:color="auto" w:fill="EEECE1" w:themeFill="background2"/>
        <w:rPr>
          <w:b/>
          <w:i/>
        </w:rPr>
      </w:pPr>
      <w:r w:rsidRPr="003C3AA1">
        <w:rPr>
          <w:rFonts w:ascii="Arial" w:hAnsi="Arial" w:cs="Arial"/>
          <w:sz w:val="21"/>
          <w:szCs w:val="21"/>
          <w:shd w:val="clear" w:color="auto" w:fill="EBEBEB"/>
        </w:rPr>
        <w:t>This report was commissioned from CPJ Consultants by the Department of Health. It sets out the issues relating to hazardous and harmful consumption of alcohol in Ireland. It looks at the international experience and policy response and makes recommendations about how the problems caused by hazardous alcohol consumption can and should be tackled in Ireland, with a specific focus on pricing policies.</w:t>
      </w:r>
      <w:r>
        <w:rPr>
          <w:rFonts w:ascii="Arial" w:hAnsi="Arial" w:cs="Arial"/>
          <w:color w:val="444444"/>
          <w:sz w:val="21"/>
          <w:szCs w:val="21"/>
          <w:shd w:val="clear" w:color="auto" w:fill="EBEBEB"/>
        </w:rPr>
        <w:t xml:space="preserve"> </w:t>
      </w:r>
    </w:p>
    <w:p w:rsidR="00C20ABC" w:rsidRPr="00AA5D6A" w:rsidRDefault="00C20ABC" w:rsidP="00C20ABC">
      <w:pPr>
        <w:autoSpaceDE w:val="0"/>
        <w:autoSpaceDN w:val="0"/>
        <w:adjustRightInd w:val="0"/>
        <w:spacing w:after="0" w:line="240" w:lineRule="auto"/>
        <w:rPr>
          <w:rFonts w:cs="AdvOTf9433e2d"/>
          <w:b/>
        </w:rPr>
      </w:pPr>
      <w:r w:rsidRPr="00BD49D9">
        <w:rPr>
          <w:rFonts w:cs="AdvOT9d60b855.B"/>
          <w:b/>
          <w:i/>
        </w:rPr>
        <w:t xml:space="preserve">Fagan J, Lyons S &amp; Smyth BP (2014). </w:t>
      </w:r>
      <w:proofErr w:type="gramStart"/>
      <w:r w:rsidRPr="00BD49D9">
        <w:rPr>
          <w:rFonts w:cs="AdvOT9d60b855.B"/>
          <w:b/>
          <w:i/>
        </w:rPr>
        <w:t>Alcohol and Alcoholism</w:t>
      </w:r>
      <w:r w:rsidR="00AA5D6A">
        <w:rPr>
          <w:rFonts w:cs="AdvOT9d60b855.B"/>
          <w:b/>
          <w:i/>
        </w:rPr>
        <w:t>,</w:t>
      </w:r>
      <w:r w:rsidRPr="00BD49D9">
        <w:rPr>
          <w:rFonts w:cs="AdvOT9d60b855.B"/>
          <w:b/>
          <w:i/>
        </w:rPr>
        <w:t xml:space="preserve"> pp1-5.</w:t>
      </w:r>
      <w:proofErr w:type="gramEnd"/>
      <w:r w:rsidRPr="00BD49D9">
        <w:rPr>
          <w:rFonts w:cs="AdvOT9d60b855.B"/>
          <w:b/>
          <w:i/>
        </w:rPr>
        <w:t xml:space="preserve"> </w:t>
      </w:r>
      <w:proofErr w:type="spellStart"/>
      <w:proofErr w:type="gramStart"/>
      <w:r w:rsidRPr="00AA5D6A">
        <w:rPr>
          <w:rFonts w:cs="AdvOTf9433e2d"/>
          <w:b/>
        </w:rPr>
        <w:t>doi</w:t>
      </w:r>
      <w:proofErr w:type="spellEnd"/>
      <w:proofErr w:type="gramEnd"/>
      <w:r w:rsidRPr="00AA5D6A">
        <w:rPr>
          <w:rFonts w:cs="AdvOTf9433e2d"/>
          <w:b/>
        </w:rPr>
        <w:t>: 10.1093/</w:t>
      </w:r>
      <w:proofErr w:type="spellStart"/>
      <w:r w:rsidRPr="00AA5D6A">
        <w:rPr>
          <w:rFonts w:cs="AdvOTf9433e2d"/>
          <w:b/>
        </w:rPr>
        <w:t>alcalc</w:t>
      </w:r>
      <w:proofErr w:type="spellEnd"/>
      <w:r w:rsidRPr="00AA5D6A">
        <w:rPr>
          <w:rFonts w:cs="AdvOTf9433e2d"/>
          <w:b/>
        </w:rPr>
        <w:t>/agu015</w:t>
      </w:r>
    </w:p>
    <w:p w:rsidR="00BD49D9" w:rsidRDefault="00BD49D9" w:rsidP="00C20ABC">
      <w:pPr>
        <w:autoSpaceDE w:val="0"/>
        <w:autoSpaceDN w:val="0"/>
        <w:adjustRightInd w:val="0"/>
        <w:spacing w:after="0" w:line="240" w:lineRule="auto"/>
        <w:rPr>
          <w:rFonts w:cs="AdvOT9d60b855.B"/>
        </w:rPr>
      </w:pPr>
    </w:p>
    <w:p w:rsidR="003C3AA1" w:rsidRDefault="00C20ABC" w:rsidP="00C20ABC">
      <w:pPr>
        <w:autoSpaceDE w:val="0"/>
        <w:autoSpaceDN w:val="0"/>
        <w:adjustRightInd w:val="0"/>
        <w:spacing w:after="0" w:line="240" w:lineRule="auto"/>
        <w:rPr>
          <w:rFonts w:cs="AdvOTf9433e2d+20"/>
        </w:rPr>
      </w:pPr>
      <w:r w:rsidRPr="00F34CFE">
        <w:rPr>
          <w:rFonts w:cs="AdvOT9d60b855.B"/>
        </w:rPr>
        <w:t>Abstract</w:t>
      </w:r>
    </w:p>
    <w:p w:rsidR="001621F5" w:rsidRDefault="001621F5" w:rsidP="00C20ABC">
      <w:pPr>
        <w:autoSpaceDE w:val="0"/>
        <w:autoSpaceDN w:val="0"/>
        <w:adjustRightInd w:val="0"/>
        <w:spacing w:after="0" w:line="240" w:lineRule="auto"/>
        <w:rPr>
          <w:rFonts w:cs="AdvOTf9433e2d+20"/>
        </w:rPr>
      </w:pPr>
    </w:p>
    <w:p w:rsidR="00C20ABC" w:rsidRPr="00F34CFE" w:rsidRDefault="00C20ABC" w:rsidP="00C20ABC">
      <w:pPr>
        <w:autoSpaceDE w:val="0"/>
        <w:autoSpaceDN w:val="0"/>
        <w:adjustRightInd w:val="0"/>
        <w:spacing w:after="0" w:line="240" w:lineRule="auto"/>
        <w:rPr>
          <w:rFonts w:cs="AdvOTf9433e2d"/>
        </w:rPr>
      </w:pPr>
      <w:r w:rsidRPr="00F34CFE">
        <w:rPr>
          <w:rFonts w:cs="AdvOT9d60b855.B"/>
        </w:rPr>
        <w:t xml:space="preserve">Aim: </w:t>
      </w:r>
      <w:r w:rsidRPr="00F34CFE">
        <w:rPr>
          <w:rFonts w:cs="AdvOTf9433e2d"/>
        </w:rPr>
        <w:t xml:space="preserve">International research indicates that the role which alcohol plays in accidents tends to be understated in media reports. Evidence suggests that public support for alcohol harm reduction policies would increase if people were better informed about the role of alcohol in serious injuries. We hypothesized that the role of alcohol in Irish accidental deaths is under-reported in the Irish print media. </w:t>
      </w:r>
      <w:r w:rsidRPr="00F34CFE">
        <w:rPr>
          <w:rFonts w:cs="AdvOT9d60b855.B"/>
        </w:rPr>
        <w:t xml:space="preserve">Method: </w:t>
      </w:r>
      <w:r w:rsidRPr="00F34CFE">
        <w:rPr>
          <w:rFonts w:cs="AdvOTf9433e2d"/>
        </w:rPr>
        <w:t>We identified all traumatic and poisoning deaths (excluding suicides) in Ireland during the years 2008 and 2009 where alcohol was mentioned on the death certificate. We conducted an Internet-based search for newspaper reports of these deaths. The content of each report was examined and rated for mention of alcohol</w:t>
      </w:r>
      <w:r w:rsidRPr="00F34CFE">
        <w:rPr>
          <w:rFonts w:cs="AdvOTf9433e2d+20"/>
        </w:rPr>
        <w:t>’</w:t>
      </w:r>
      <w:r w:rsidRPr="00F34CFE">
        <w:rPr>
          <w:rFonts w:cs="AdvOTf9433e2d"/>
        </w:rPr>
        <w:t xml:space="preserve">s possible role in the individual death. </w:t>
      </w:r>
      <w:r w:rsidRPr="00F34CFE">
        <w:rPr>
          <w:rFonts w:cs="AdvOT9d60b855.B"/>
        </w:rPr>
        <w:t xml:space="preserve">Results: </w:t>
      </w:r>
      <w:r w:rsidRPr="00F34CFE">
        <w:rPr>
          <w:rFonts w:cs="AdvOTf9433e2d"/>
        </w:rPr>
        <w:t xml:space="preserve">This study demonstrates the under-reporting in Irish newspapers of the role of alcohol in traumatic and poisoning deaths. Where deaths were reported, the role played by alcohol was generally ignored. </w:t>
      </w:r>
      <w:r w:rsidRPr="00F34CFE">
        <w:rPr>
          <w:rFonts w:cs="AdvOT9d60b855.B"/>
        </w:rPr>
        <w:t xml:space="preserve">Conclusion: </w:t>
      </w:r>
      <w:r w:rsidRPr="00F34CFE">
        <w:rPr>
          <w:rFonts w:cs="AdvOTf9433e2d"/>
        </w:rPr>
        <w:t>This represents a missed opportunity to inform the public about</w:t>
      </w:r>
    </w:p>
    <w:p w:rsidR="00C20ABC" w:rsidRPr="00C20ABC" w:rsidRDefault="00C20ABC" w:rsidP="00C20ABC">
      <w:pPr>
        <w:autoSpaceDE w:val="0"/>
        <w:autoSpaceDN w:val="0"/>
        <w:adjustRightInd w:val="0"/>
        <w:spacing w:after="0" w:line="240" w:lineRule="auto"/>
        <w:rPr>
          <w:rFonts w:eastAsia="Times New Roman" w:cs="Arial"/>
          <w:b/>
          <w:i/>
          <w:color w:val="181818"/>
          <w:lang w:eastAsia="en-IE"/>
        </w:rPr>
      </w:pPr>
      <w:proofErr w:type="gramStart"/>
      <w:r w:rsidRPr="00F34CFE">
        <w:rPr>
          <w:rFonts w:cs="AdvOTf9433e2d"/>
        </w:rPr>
        <w:t>the</w:t>
      </w:r>
      <w:proofErr w:type="gramEnd"/>
      <w:r w:rsidRPr="00F34CFE">
        <w:rPr>
          <w:rFonts w:cs="AdvOTf9433e2d"/>
        </w:rPr>
        <w:t xml:space="preserve"> role of alcohol in these deaths. More accurate information would permit the public to make more informed decisions regarding their own behaviour and regarding their support for alcohol harm-reducing strategies.</w:t>
      </w:r>
    </w:p>
    <w:p w:rsidR="00C20ABC" w:rsidRPr="00C20ABC" w:rsidRDefault="00C20ABC" w:rsidP="00C20ABC">
      <w:pPr>
        <w:spacing w:after="60" w:line="450" w:lineRule="atLeast"/>
        <w:textAlignment w:val="baseline"/>
        <w:outlineLvl w:val="3"/>
        <w:rPr>
          <w:rFonts w:eastAsia="Times New Roman" w:cs="Arial"/>
          <w:b/>
          <w:i/>
          <w:color w:val="181818"/>
          <w:lang w:eastAsia="en-IE"/>
        </w:rPr>
      </w:pPr>
      <w:r>
        <w:rPr>
          <w:rFonts w:eastAsia="Times New Roman" w:cs="Arial"/>
          <w:b/>
          <w:i/>
          <w:color w:val="181818"/>
          <w:lang w:eastAsia="en-IE"/>
        </w:rPr>
        <w:t xml:space="preserve">Dillon A &amp; </w:t>
      </w:r>
      <w:proofErr w:type="spellStart"/>
      <w:r>
        <w:rPr>
          <w:rFonts w:eastAsia="Times New Roman" w:cs="Arial"/>
          <w:b/>
          <w:i/>
          <w:color w:val="181818"/>
          <w:lang w:eastAsia="en-IE"/>
        </w:rPr>
        <w:t>Dohery</w:t>
      </w:r>
      <w:proofErr w:type="spellEnd"/>
      <w:r>
        <w:rPr>
          <w:rFonts w:eastAsia="Times New Roman" w:cs="Arial"/>
          <w:b/>
          <w:i/>
          <w:color w:val="181818"/>
          <w:lang w:eastAsia="en-IE"/>
        </w:rPr>
        <w:t xml:space="preserve"> G. </w:t>
      </w:r>
      <w:proofErr w:type="gramStart"/>
      <w:r>
        <w:rPr>
          <w:rFonts w:eastAsia="Times New Roman" w:cs="Arial"/>
          <w:b/>
          <w:i/>
          <w:color w:val="181818"/>
          <w:lang w:eastAsia="en-IE"/>
        </w:rPr>
        <w:t>( 2014</w:t>
      </w:r>
      <w:proofErr w:type="gramEnd"/>
      <w:r>
        <w:rPr>
          <w:rFonts w:eastAsia="Times New Roman" w:cs="Arial"/>
          <w:b/>
          <w:i/>
          <w:color w:val="181818"/>
          <w:lang w:eastAsia="en-IE"/>
        </w:rPr>
        <w:t xml:space="preserve">).  </w:t>
      </w:r>
      <w:r w:rsidRPr="00C20ABC">
        <w:rPr>
          <w:rFonts w:eastAsia="Times New Roman" w:cs="Arial"/>
          <w:b/>
          <w:i/>
          <w:color w:val="181818"/>
          <w:lang w:eastAsia="en-IE"/>
        </w:rPr>
        <w:t>Alcohol-related gastro problems on the rise</w:t>
      </w:r>
    </w:p>
    <w:p w:rsidR="001621F5" w:rsidRDefault="001621F5" w:rsidP="00C20ABC">
      <w:pPr>
        <w:shd w:val="clear" w:color="auto" w:fill="EBEBEB"/>
        <w:spacing w:after="120" w:line="240" w:lineRule="auto"/>
        <w:textAlignment w:val="baseline"/>
        <w:rPr>
          <w:rFonts w:eastAsia="Times New Roman" w:cs="Arial"/>
          <w:lang w:eastAsia="en-IE"/>
        </w:rPr>
      </w:pPr>
    </w:p>
    <w:p w:rsidR="00C20ABC" w:rsidRPr="00C20ABC" w:rsidRDefault="002561E1" w:rsidP="00C20ABC">
      <w:pPr>
        <w:shd w:val="clear" w:color="auto" w:fill="EBEBEB"/>
        <w:spacing w:after="120" w:line="240" w:lineRule="auto"/>
        <w:textAlignment w:val="baseline"/>
        <w:rPr>
          <w:rFonts w:eastAsia="Times New Roman" w:cs="Arial"/>
          <w:lang w:eastAsia="en-IE"/>
        </w:rPr>
      </w:pPr>
      <w:hyperlink r:id="rId13" w:tgtFrame="_blank" w:history="1">
        <w:r w:rsidR="00C20ABC" w:rsidRPr="00C20ABC">
          <w:rPr>
            <w:rFonts w:eastAsia="Times New Roman" w:cs="Arial"/>
            <w:u w:val="single"/>
            <w:bdr w:val="none" w:sz="0" w:space="0" w:color="auto" w:frame="1"/>
            <w:lang w:eastAsia="en-IE"/>
          </w:rPr>
          <w:t>From Irishhealth.com</w:t>
        </w:r>
      </w:hyperlink>
    </w:p>
    <w:p w:rsidR="00C20ABC" w:rsidRPr="00C20ABC" w:rsidRDefault="00C20ABC" w:rsidP="00C20ABC">
      <w:pPr>
        <w:shd w:val="clear" w:color="auto" w:fill="EBEBEB"/>
        <w:spacing w:after="120" w:line="240" w:lineRule="auto"/>
        <w:textAlignment w:val="baseline"/>
        <w:rPr>
          <w:rFonts w:eastAsia="Times New Roman" w:cs="Arial"/>
          <w:lang w:eastAsia="en-IE"/>
        </w:rPr>
      </w:pPr>
      <w:r w:rsidRPr="00C20ABC">
        <w:rPr>
          <w:rFonts w:eastAsia="Times New Roman" w:cs="Arial"/>
          <w:lang w:eastAsia="en-IE"/>
        </w:rPr>
        <w:t>Excess alcohol consumption can lead to many gastrointestinal symptoms, ranging from reflux and diarrhoea to life-threating conditions such as cancer and liver cirrhosis.</w:t>
      </w:r>
      <w:r w:rsidRPr="00AA5D6A">
        <w:rPr>
          <w:rFonts w:eastAsia="Times New Roman" w:cs="Arial"/>
          <w:lang w:eastAsia="en-IE"/>
        </w:rPr>
        <w:t xml:space="preserve"> </w:t>
      </w:r>
      <w:r w:rsidRPr="00C20ABC">
        <w:rPr>
          <w:rFonts w:eastAsia="Times New Roman" w:cs="Arial"/>
          <w:lang w:eastAsia="en-IE"/>
        </w:rPr>
        <w:t>According to specialist registrar in gastroenterology, Dr Audrey Dillon, and consultant gastroenterologist, Dr Glen Doherty, of St Vincent’s University Hospital in Dublin, alcohol-related gastrointestinal problems can causes diseases ‘that carry significant morbidity and mortality’.</w:t>
      </w:r>
      <w:r w:rsidRPr="00AA5D6A">
        <w:rPr>
          <w:rFonts w:eastAsia="Times New Roman" w:cs="Arial"/>
          <w:lang w:eastAsia="en-IE"/>
        </w:rPr>
        <w:t xml:space="preserve"> </w:t>
      </w:r>
      <w:r w:rsidRPr="00C20ABC">
        <w:rPr>
          <w:rFonts w:eastAsia="Times New Roman" w:cs="Arial"/>
          <w:lang w:eastAsia="en-IE"/>
        </w:rPr>
        <w:t>They pointed out that hospital admissions as a result of alcohol consumption have ‘</w:t>
      </w:r>
      <w:proofErr w:type="gramStart"/>
      <w:r w:rsidRPr="00C20ABC">
        <w:rPr>
          <w:rFonts w:eastAsia="Times New Roman" w:cs="Arial"/>
          <w:lang w:eastAsia="en-IE"/>
        </w:rPr>
        <w:t>risen</w:t>
      </w:r>
      <w:proofErr w:type="gramEnd"/>
      <w:r w:rsidRPr="00C20ABC">
        <w:rPr>
          <w:rFonts w:eastAsia="Times New Roman" w:cs="Arial"/>
          <w:lang w:eastAsia="en-IE"/>
        </w:rPr>
        <w:t xml:space="preserve"> dramatically’ in Ireland. Between 1995 and 2002 alone, they increased by a massive 92%.</w:t>
      </w:r>
      <w:r w:rsidRPr="00AA5D6A">
        <w:rPr>
          <w:rFonts w:eastAsia="Times New Roman" w:cs="Arial"/>
          <w:lang w:eastAsia="en-IE"/>
        </w:rPr>
        <w:t xml:space="preserve"> </w:t>
      </w:r>
      <w:r w:rsidRPr="00C20ABC">
        <w:rPr>
          <w:rFonts w:eastAsia="Times New Roman" w:cs="Arial"/>
          <w:lang w:eastAsia="en-IE"/>
        </w:rPr>
        <w:t>Between 1995 and 2007, alcohol-related liver disease rose by a staggering 190%, ‘with a worrying trend among younger age groups – a 247% increase among 15-34 year olds’.</w:t>
      </w:r>
      <w:r w:rsidRPr="00AA5D6A">
        <w:rPr>
          <w:rFonts w:eastAsia="Times New Roman" w:cs="Arial"/>
          <w:lang w:eastAsia="en-IE"/>
        </w:rPr>
        <w:t xml:space="preserve"> </w:t>
      </w:r>
      <w:r w:rsidRPr="00C20ABC">
        <w:rPr>
          <w:rFonts w:eastAsia="Times New Roman" w:cs="Arial"/>
          <w:lang w:eastAsia="en-IE"/>
        </w:rPr>
        <w:t>“Approximately 10% of all general inpatient hospital costs, 7% of GP costs and up to 30% of emergency department costs are directly attributable to alcohol,” the doctors said.</w:t>
      </w:r>
      <w:r w:rsidRPr="00AA5D6A">
        <w:rPr>
          <w:rFonts w:eastAsia="Times New Roman" w:cs="Arial"/>
          <w:lang w:eastAsia="en-IE"/>
        </w:rPr>
        <w:t xml:space="preserve"> </w:t>
      </w:r>
      <w:r w:rsidRPr="00C20ABC">
        <w:rPr>
          <w:rFonts w:eastAsia="Times New Roman" w:cs="Arial"/>
          <w:lang w:eastAsia="en-IE"/>
        </w:rPr>
        <w:t>Alcohol consumption can affect the oesophagus, stomach, bowel, pancreas and liver. Furthermore, alcohol has been ‘directly linked to cancer of the oral cavity, pharynx, oesophagus, stomach and upper airways’.</w:t>
      </w:r>
      <w:r w:rsidRPr="00AA5D6A">
        <w:rPr>
          <w:rFonts w:eastAsia="Times New Roman" w:cs="Arial"/>
          <w:lang w:eastAsia="en-IE"/>
        </w:rPr>
        <w:t xml:space="preserve"> </w:t>
      </w:r>
      <w:r w:rsidRPr="00C20ABC">
        <w:rPr>
          <w:rFonts w:eastAsia="Times New Roman" w:cs="Arial"/>
          <w:lang w:eastAsia="en-IE"/>
        </w:rPr>
        <w:t>The doctors also pointed out that alcohol liver disease leads to cirrhosis, ‘which carries a significant liver cancer risk’ and alcohol has also been implicated in the risk of breast cancer.</w:t>
      </w:r>
      <w:r w:rsidRPr="00AA5D6A">
        <w:rPr>
          <w:rFonts w:eastAsia="Times New Roman" w:cs="Arial"/>
          <w:lang w:eastAsia="en-IE"/>
        </w:rPr>
        <w:t xml:space="preserve"> </w:t>
      </w:r>
      <w:r w:rsidRPr="00C20ABC">
        <w:rPr>
          <w:rFonts w:eastAsia="Times New Roman" w:cs="Arial"/>
          <w:lang w:eastAsia="en-IE"/>
        </w:rPr>
        <w:t>“As alcohol consumption continues to increase in Ireland, the treatment of the gastrointestinal-related complications will prove challenging,” Dr Dillon and Dr Doherty warned.</w:t>
      </w:r>
      <w:r w:rsidRPr="00AA5D6A">
        <w:rPr>
          <w:rFonts w:eastAsia="Times New Roman" w:cs="Arial"/>
          <w:lang w:eastAsia="en-IE"/>
        </w:rPr>
        <w:t xml:space="preserve"> </w:t>
      </w:r>
    </w:p>
    <w:p w:rsidR="00C20ABC" w:rsidRPr="00C20ABC" w:rsidRDefault="00C20ABC" w:rsidP="00C20ABC">
      <w:pPr>
        <w:shd w:val="clear" w:color="auto" w:fill="EBEBEB"/>
        <w:spacing w:after="120" w:line="240" w:lineRule="auto"/>
        <w:textAlignment w:val="baseline"/>
        <w:rPr>
          <w:rFonts w:eastAsia="Times New Roman" w:cs="Arial"/>
          <w:lang w:eastAsia="en-IE"/>
        </w:rPr>
      </w:pPr>
      <w:r w:rsidRPr="00C20ABC">
        <w:rPr>
          <w:rFonts w:eastAsia="Times New Roman" w:cs="Arial"/>
          <w:lang w:eastAsia="en-IE"/>
        </w:rPr>
        <w:t>They made their comments in </w:t>
      </w:r>
      <w:r w:rsidRPr="00C20ABC">
        <w:rPr>
          <w:rFonts w:eastAsia="Times New Roman" w:cs="Arial"/>
          <w:i/>
          <w:iCs/>
          <w:bdr w:val="none" w:sz="0" w:space="0" w:color="auto" w:frame="1"/>
          <w:lang w:eastAsia="en-IE"/>
        </w:rPr>
        <w:t>Forum (Clinical Focus)</w:t>
      </w:r>
      <w:r w:rsidRPr="00C20ABC">
        <w:rPr>
          <w:rFonts w:eastAsia="Times New Roman" w:cs="Arial"/>
          <w:lang w:eastAsia="en-IE"/>
        </w:rPr>
        <w:t>, the Journal of the Irish College of General Practitioners.</w:t>
      </w:r>
    </w:p>
    <w:p w:rsidR="00032B2C" w:rsidRDefault="00032B2C">
      <w:pPr>
        <w:rPr>
          <w:b/>
        </w:rPr>
      </w:pPr>
    </w:p>
    <w:p w:rsidR="00812297" w:rsidRDefault="00812297" w:rsidP="00812297">
      <w:pPr>
        <w:shd w:val="clear" w:color="auto" w:fill="EBEBEB"/>
        <w:spacing w:after="0" w:line="315" w:lineRule="atLeast"/>
        <w:textAlignment w:val="baseline"/>
        <w:rPr>
          <w:rFonts w:eastAsia="Times New Roman" w:cs="Arial"/>
          <w:b/>
          <w:i/>
          <w:lang w:eastAsia="en-IE"/>
        </w:rPr>
      </w:pPr>
      <w:proofErr w:type="gramStart"/>
      <w:r w:rsidRPr="001621F5">
        <w:rPr>
          <w:rFonts w:eastAsia="Times New Roman" w:cs="Arial"/>
          <w:b/>
          <w:i/>
          <w:lang w:eastAsia="en-IE"/>
        </w:rPr>
        <w:lastRenderedPageBreak/>
        <w:t>Health Research Board (2014).</w:t>
      </w:r>
      <w:proofErr w:type="gramEnd"/>
      <w:r w:rsidRPr="001621F5">
        <w:rPr>
          <w:rFonts w:eastAsia="Times New Roman" w:cs="Arial"/>
          <w:b/>
          <w:i/>
          <w:lang w:eastAsia="en-IE"/>
        </w:rPr>
        <w:t xml:space="preserve"> Treated problems alcohol use in Ireland 2012. </w:t>
      </w:r>
      <w:proofErr w:type="gramStart"/>
      <w:r w:rsidRPr="001621F5">
        <w:rPr>
          <w:rFonts w:eastAsia="Times New Roman" w:cs="Arial"/>
          <w:b/>
          <w:i/>
          <w:lang w:eastAsia="en-IE"/>
        </w:rPr>
        <w:t>National Drug Treatment Board Report.</w:t>
      </w:r>
      <w:proofErr w:type="gramEnd"/>
      <w:r w:rsidRPr="001621F5">
        <w:rPr>
          <w:rFonts w:eastAsia="Times New Roman" w:cs="Arial"/>
          <w:b/>
          <w:i/>
          <w:lang w:eastAsia="en-IE"/>
        </w:rPr>
        <w:t xml:space="preserve"> </w:t>
      </w:r>
    </w:p>
    <w:p w:rsidR="001621F5" w:rsidRPr="001621F5" w:rsidRDefault="001621F5" w:rsidP="00812297">
      <w:pPr>
        <w:shd w:val="clear" w:color="auto" w:fill="EBEBEB"/>
        <w:spacing w:after="0" w:line="315" w:lineRule="atLeast"/>
        <w:textAlignment w:val="baseline"/>
        <w:rPr>
          <w:rFonts w:eastAsia="Times New Roman" w:cs="Arial"/>
          <w:b/>
          <w:i/>
          <w:lang w:eastAsia="en-IE"/>
        </w:rPr>
      </w:pPr>
    </w:p>
    <w:p w:rsidR="00812297" w:rsidRPr="00812297" w:rsidRDefault="00812297" w:rsidP="00812297">
      <w:pPr>
        <w:shd w:val="clear" w:color="auto" w:fill="EBEBEB"/>
        <w:spacing w:after="120" w:line="240" w:lineRule="auto"/>
        <w:textAlignment w:val="baseline"/>
        <w:rPr>
          <w:rFonts w:eastAsia="Times New Roman" w:cs="Arial"/>
          <w:lang w:eastAsia="en-IE"/>
        </w:rPr>
      </w:pPr>
      <w:r w:rsidRPr="00812297">
        <w:rPr>
          <w:rFonts w:eastAsia="Times New Roman" w:cs="Arial"/>
          <w:lang w:eastAsia="en-IE"/>
        </w:rPr>
        <w:t>The </w:t>
      </w:r>
      <w:hyperlink r:id="rId14" w:history="1">
        <w:r w:rsidRPr="00812297">
          <w:rPr>
            <w:rFonts w:eastAsia="Times New Roman" w:cs="Arial"/>
            <w:u w:val="single"/>
            <w:bdr w:val="none" w:sz="0" w:space="0" w:color="auto" w:frame="1"/>
            <w:lang w:eastAsia="en-IE"/>
          </w:rPr>
          <w:t>Health Research Board</w:t>
        </w:r>
      </w:hyperlink>
      <w:r w:rsidRPr="00812297">
        <w:rPr>
          <w:rFonts w:eastAsia="Times New Roman" w:cs="Arial"/>
          <w:lang w:eastAsia="en-IE"/>
        </w:rPr>
        <w:t> report </w:t>
      </w:r>
      <w:r w:rsidRPr="00812297">
        <w:rPr>
          <w:rFonts w:eastAsia="Times New Roman" w:cs="Arial"/>
          <w:i/>
          <w:iCs/>
          <w:bdr w:val="none" w:sz="0" w:space="0" w:color="auto" w:frame="1"/>
          <w:lang w:eastAsia="en-IE"/>
        </w:rPr>
        <w:t>Treated problem alcohol use in </w:t>
      </w:r>
      <w:hyperlink r:id="rId15" w:history="1">
        <w:r w:rsidRPr="00812297">
          <w:rPr>
            <w:rFonts w:eastAsia="Times New Roman" w:cs="Arial"/>
            <w:i/>
            <w:iCs/>
            <w:u w:val="single"/>
            <w:bdr w:val="none" w:sz="0" w:space="0" w:color="auto" w:frame="1"/>
            <w:lang w:eastAsia="en-IE"/>
          </w:rPr>
          <w:t>Ireland</w:t>
        </w:r>
      </w:hyperlink>
      <w:r w:rsidRPr="00812297">
        <w:rPr>
          <w:rFonts w:eastAsia="Times New Roman" w:cs="Arial"/>
          <w:i/>
          <w:iCs/>
          <w:bdr w:val="none" w:sz="0" w:space="0" w:color="auto" w:frame="1"/>
          <w:lang w:eastAsia="en-IE"/>
        </w:rPr>
        <w:t>: figures for 2012 from the National Drug Treatment Reporting System</w:t>
      </w:r>
      <w:r w:rsidRPr="00812297">
        <w:rPr>
          <w:rFonts w:eastAsia="Times New Roman" w:cs="Arial"/>
          <w:lang w:eastAsia="en-IE"/>
        </w:rPr>
        <w:t> </w:t>
      </w:r>
      <w:r w:rsidR="00AA5D6A" w:rsidRPr="001621F5">
        <w:rPr>
          <w:rFonts w:eastAsia="Times New Roman" w:cs="Arial"/>
          <w:lang w:eastAsia="en-IE"/>
        </w:rPr>
        <w:t xml:space="preserve">reported </w:t>
      </w:r>
      <w:r w:rsidRPr="00812297">
        <w:rPr>
          <w:rFonts w:eastAsia="Times New Roman" w:cs="Arial"/>
          <w:lang w:eastAsia="en-IE"/>
        </w:rPr>
        <w:t>more than 40,000 cases were treated for problem alcohol use between 2008 and 2012.</w:t>
      </w:r>
      <w:r w:rsidRPr="001621F5">
        <w:rPr>
          <w:rFonts w:eastAsia="Times New Roman" w:cs="Arial"/>
          <w:lang w:eastAsia="en-IE"/>
        </w:rPr>
        <w:t xml:space="preserve"> </w:t>
      </w:r>
      <w:r w:rsidRPr="00812297">
        <w:rPr>
          <w:rFonts w:eastAsia="Times New Roman" w:cs="Arial"/>
          <w:lang w:eastAsia="en-IE"/>
        </w:rPr>
        <w:t>The total number of cases treated increased from 7,940 in 2008 to 8,604 in 2011 and then decreased to 8,336 in 2012.</w:t>
      </w:r>
      <w:r w:rsidRPr="001621F5">
        <w:rPr>
          <w:rFonts w:eastAsia="Times New Roman" w:cs="Arial"/>
          <w:lang w:eastAsia="en-IE"/>
        </w:rPr>
        <w:t xml:space="preserve"> </w:t>
      </w:r>
      <w:r w:rsidRPr="00812297">
        <w:rPr>
          <w:rFonts w:eastAsia="Times New Roman" w:cs="Arial"/>
          <w:lang w:eastAsia="en-IE"/>
        </w:rPr>
        <w:t>But the number of previously treated cases grew from 3,606 in the first year of the study to 4,212 in 2012. The number of new cases treated was up by almost 18 per cent from 3,833 to 4,520 in 2011. That dropped to 4,028 the following year.</w:t>
      </w:r>
      <w:r w:rsidRPr="001621F5">
        <w:rPr>
          <w:rFonts w:eastAsia="Times New Roman" w:cs="Arial"/>
          <w:lang w:eastAsia="en-IE"/>
        </w:rPr>
        <w:t xml:space="preserve"> </w:t>
      </w:r>
      <w:r w:rsidRPr="00812297">
        <w:rPr>
          <w:rFonts w:eastAsia="Times New Roman" w:cs="Arial"/>
          <w:lang w:eastAsia="en-IE"/>
        </w:rPr>
        <w:t>Two out of three of those presenting for treatment were male and the median age was 40.</w:t>
      </w:r>
      <w:r w:rsidRPr="001621F5">
        <w:rPr>
          <w:rFonts w:eastAsia="Times New Roman" w:cs="Arial"/>
          <w:lang w:eastAsia="en-IE"/>
        </w:rPr>
        <w:t xml:space="preserve"> </w:t>
      </w:r>
      <w:r w:rsidRPr="00812297">
        <w:rPr>
          <w:rFonts w:eastAsia="Times New Roman" w:cs="Arial"/>
          <w:lang w:eastAsia="en-IE"/>
        </w:rPr>
        <w:t>The overall incidence of treated problem alcohol use among 15-64 year olds in Ireland rose from 119.7 per 100,000 of population to 141.2 in 2001 before declining to 125.1 in 2012.</w:t>
      </w:r>
    </w:p>
    <w:p w:rsidR="00812297" w:rsidRPr="00812297" w:rsidRDefault="00812297" w:rsidP="00812297">
      <w:pPr>
        <w:shd w:val="clear" w:color="auto" w:fill="EBEBEB"/>
        <w:spacing w:after="120" w:line="240" w:lineRule="auto"/>
        <w:textAlignment w:val="baseline"/>
        <w:rPr>
          <w:rFonts w:eastAsia="Times New Roman" w:cs="Arial"/>
          <w:lang w:eastAsia="en-IE"/>
        </w:rPr>
      </w:pPr>
      <w:r w:rsidRPr="00812297">
        <w:rPr>
          <w:rFonts w:eastAsia="Times New Roman" w:cs="Arial"/>
          <w:lang w:eastAsia="en-IE"/>
        </w:rPr>
        <w:t>Waterford, Donegal, Sligo, Leitrim and Wexford saw the highest incidence of new cases in the five-year period.</w:t>
      </w:r>
      <w:r w:rsidRPr="001621F5">
        <w:rPr>
          <w:rFonts w:eastAsia="Times New Roman" w:cs="Arial"/>
          <w:lang w:eastAsia="en-IE"/>
        </w:rPr>
        <w:t xml:space="preserve"> </w:t>
      </w:r>
      <w:r w:rsidRPr="00812297">
        <w:rPr>
          <w:rFonts w:eastAsia="Times New Roman" w:cs="Arial"/>
          <w:lang w:eastAsia="en-IE"/>
        </w:rPr>
        <w:t>All of these counties had more than 224 cases per 100,000 of the 15-64 year old population, the study said.</w:t>
      </w:r>
      <w:r w:rsidRPr="001621F5">
        <w:rPr>
          <w:rFonts w:eastAsia="Times New Roman" w:cs="Arial"/>
          <w:lang w:eastAsia="en-IE"/>
        </w:rPr>
        <w:t xml:space="preserve"> </w:t>
      </w:r>
      <w:r w:rsidRPr="00812297">
        <w:rPr>
          <w:rFonts w:eastAsia="Times New Roman" w:cs="Arial"/>
          <w:lang w:eastAsia="en-IE"/>
        </w:rPr>
        <w:t>Incidence was lowest in Clare, Roscommon, Wicklow, Mayo and Meath, where each had fewer than 83 cases per 100,000.</w:t>
      </w:r>
      <w:r w:rsidRPr="001621F5">
        <w:rPr>
          <w:rFonts w:eastAsia="Times New Roman" w:cs="Arial"/>
          <w:lang w:eastAsia="en-IE"/>
        </w:rPr>
        <w:t xml:space="preserve"> </w:t>
      </w:r>
      <w:r w:rsidRPr="00812297">
        <w:rPr>
          <w:rFonts w:eastAsia="Times New Roman" w:cs="Arial"/>
          <w:lang w:eastAsia="en-IE"/>
        </w:rPr>
        <w:t>Incomplete reporting, however, meant that some counties’ figures understated the number of cases presenting for treatment.</w:t>
      </w:r>
    </w:p>
    <w:p w:rsidR="006B107F" w:rsidRPr="006B107F" w:rsidRDefault="006B107F" w:rsidP="006B107F">
      <w:pPr>
        <w:pStyle w:val="NormalWeb"/>
        <w:spacing w:after="120" w:afterAutospacing="0"/>
        <w:rPr>
          <w:rFonts w:asciiTheme="minorHAnsi" w:hAnsiTheme="minorHAnsi"/>
          <w:b/>
          <w:bCs/>
          <w:i/>
          <w:sz w:val="22"/>
          <w:szCs w:val="22"/>
        </w:rPr>
      </w:pPr>
      <w:r w:rsidRPr="006B107F">
        <w:rPr>
          <w:rFonts w:asciiTheme="minorHAnsi" w:hAnsiTheme="minorHAnsi"/>
          <w:b/>
          <w:bCs/>
          <w:i/>
          <w:sz w:val="22"/>
          <w:szCs w:val="22"/>
        </w:rPr>
        <w:t>Drug-related deaths and deaths among drug users in Ireland 2011 figure from the National Drug-related Deaths Index (2014) Health Research Board.</w:t>
      </w:r>
    </w:p>
    <w:p w:rsidR="006B107F" w:rsidRPr="006B107F" w:rsidRDefault="006B107F" w:rsidP="006B107F">
      <w:pPr>
        <w:pStyle w:val="NormalWeb"/>
        <w:spacing w:after="0" w:afterAutospacing="0"/>
        <w:rPr>
          <w:rFonts w:asciiTheme="minorHAnsi" w:hAnsiTheme="minorHAnsi"/>
          <w:bCs/>
          <w:sz w:val="22"/>
          <w:szCs w:val="22"/>
        </w:rPr>
      </w:pPr>
      <w:r w:rsidRPr="006B107F">
        <w:rPr>
          <w:rFonts w:asciiTheme="minorHAnsi" w:hAnsiTheme="minorHAnsi"/>
          <w:bCs/>
          <w:sz w:val="22"/>
          <w:szCs w:val="22"/>
        </w:rPr>
        <w:t>In the eight-year period 2004–2011 a total of 4,606 deaths by drug poisoning and deaths among drug users met the criteria for inclusion in the NDRDI database. Of these deaths, 2,745 were due to poisoning and 1,861 were deaths among drug users (non-poisoning). The annual number of deaths in 2011 increased to 607, compared to 597 in 2010. The 2011 figure is likely to be revised when new data become availabl</w:t>
      </w:r>
      <w:r w:rsidR="00AA5D6A">
        <w:rPr>
          <w:rFonts w:asciiTheme="minorHAnsi" w:hAnsiTheme="minorHAnsi"/>
          <w:bCs/>
          <w:sz w:val="22"/>
          <w:szCs w:val="22"/>
        </w:rPr>
        <w:t>e</w:t>
      </w:r>
      <w:r w:rsidRPr="006B107F">
        <w:rPr>
          <w:rFonts w:asciiTheme="minorHAnsi" w:hAnsiTheme="minorHAnsi"/>
          <w:bCs/>
          <w:sz w:val="22"/>
          <w:szCs w:val="22"/>
        </w:rPr>
        <w:t xml:space="preserve">. The annual number of poisoning deaths increased from 338 in 2010 to 365 in 2011. Males accounted for the majority of deaths in each year since 2004; 72% of all poisoning deaths in 2011 were male. The median age of those who died in 2011 was 39 years, similar to previous years.  </w:t>
      </w:r>
      <w:proofErr w:type="gramStart"/>
      <w:r w:rsidRPr="006B107F">
        <w:rPr>
          <w:rFonts w:asciiTheme="minorHAnsi" w:hAnsiTheme="minorHAnsi"/>
          <w:bCs/>
          <w:sz w:val="22"/>
          <w:szCs w:val="22"/>
        </w:rPr>
        <w:t>Over half (59%) of all poisoning deaths involved more than one substance</w:t>
      </w:r>
      <w:r w:rsidR="00AA5D6A">
        <w:rPr>
          <w:rFonts w:asciiTheme="minorHAnsi" w:hAnsiTheme="minorHAnsi"/>
          <w:bCs/>
          <w:sz w:val="22"/>
          <w:szCs w:val="22"/>
        </w:rPr>
        <w:t xml:space="preserve"> </w:t>
      </w:r>
      <w:r w:rsidRPr="006B107F">
        <w:rPr>
          <w:rFonts w:asciiTheme="minorHAnsi" w:hAnsiTheme="minorHAnsi"/>
          <w:bCs/>
          <w:sz w:val="22"/>
          <w:szCs w:val="22"/>
        </w:rPr>
        <w:t>(polysubstance use).</w:t>
      </w:r>
      <w:proofErr w:type="gramEnd"/>
      <w:r w:rsidRPr="006B107F">
        <w:rPr>
          <w:rFonts w:asciiTheme="minorHAnsi" w:hAnsiTheme="minorHAnsi"/>
          <w:bCs/>
          <w:sz w:val="22"/>
          <w:szCs w:val="22"/>
        </w:rPr>
        <w:t xml:space="preserve">  This represents a 28% increase from 2010 when 168 polysubstance poisonings were recorded compared to 215 in 2011. Alcohol was involved in 37% of poisoning deaths in 2011, more than</w:t>
      </w:r>
      <w:r w:rsidR="00AA5D6A">
        <w:rPr>
          <w:rFonts w:asciiTheme="minorHAnsi" w:hAnsiTheme="minorHAnsi"/>
          <w:bCs/>
          <w:sz w:val="22"/>
          <w:szCs w:val="22"/>
        </w:rPr>
        <w:t xml:space="preserve"> any other substance</w:t>
      </w:r>
      <w:r w:rsidRPr="006B107F">
        <w:rPr>
          <w:rFonts w:asciiTheme="minorHAnsi" w:hAnsiTheme="minorHAnsi"/>
          <w:bCs/>
          <w:sz w:val="22"/>
          <w:szCs w:val="22"/>
        </w:rPr>
        <w:t xml:space="preserve">. Alcohol alone was responsible for 17% of all deaths. </w:t>
      </w:r>
    </w:p>
    <w:p w:rsidR="00DD0C64" w:rsidRDefault="00DD0C64" w:rsidP="006B107F">
      <w:pPr>
        <w:pStyle w:val="NormalWeb"/>
        <w:spacing w:before="0" w:beforeAutospacing="0" w:after="0" w:afterAutospacing="0"/>
        <w:rPr>
          <w:rFonts w:ascii="Verdana" w:hAnsi="Verdana"/>
          <w:b/>
          <w:bCs/>
          <w:color w:val="717171"/>
          <w:sz w:val="17"/>
          <w:szCs w:val="17"/>
        </w:rPr>
      </w:pPr>
    </w:p>
    <w:p w:rsidR="00DD0C64" w:rsidRPr="00DD0C64" w:rsidRDefault="00DD0C64" w:rsidP="00DD0C64">
      <w:pPr>
        <w:pStyle w:val="NormalWeb"/>
        <w:spacing w:before="0" w:beforeAutospacing="0" w:after="120" w:afterAutospacing="0"/>
        <w:rPr>
          <w:rFonts w:asciiTheme="minorHAnsi" w:hAnsiTheme="minorHAnsi"/>
          <w:b/>
          <w:bCs/>
          <w:i/>
          <w:sz w:val="22"/>
          <w:szCs w:val="22"/>
        </w:rPr>
      </w:pPr>
      <w:proofErr w:type="spellStart"/>
      <w:r w:rsidRPr="00DD0C64">
        <w:rPr>
          <w:rFonts w:asciiTheme="minorHAnsi" w:hAnsiTheme="minorHAnsi"/>
          <w:b/>
          <w:bCs/>
          <w:i/>
          <w:sz w:val="22"/>
          <w:szCs w:val="22"/>
        </w:rPr>
        <w:t>Laffoy</w:t>
      </w:r>
      <w:proofErr w:type="spellEnd"/>
      <w:r w:rsidRPr="00DD0C64">
        <w:rPr>
          <w:rFonts w:asciiTheme="minorHAnsi" w:hAnsiTheme="minorHAnsi"/>
          <w:b/>
          <w:bCs/>
          <w:i/>
          <w:sz w:val="22"/>
          <w:szCs w:val="22"/>
        </w:rPr>
        <w:t xml:space="preserve"> M, McCarthy T, Mullen L, Byrne D, Martin J. (2013). Cancer Incidence and Mortality due to alcohol: an Analysis of 10 year data. Irish Medical Journal, 106 (10) 1-3. </w:t>
      </w:r>
    </w:p>
    <w:p w:rsidR="00DD0C64" w:rsidRPr="00DD0C64" w:rsidRDefault="00DD0C64" w:rsidP="00DD0C64">
      <w:pPr>
        <w:pStyle w:val="NormalWeb"/>
        <w:spacing w:before="0" w:beforeAutospacing="0" w:after="120" w:afterAutospacing="0"/>
        <w:rPr>
          <w:rFonts w:asciiTheme="minorHAnsi" w:hAnsiTheme="minorHAnsi"/>
          <w:sz w:val="22"/>
          <w:szCs w:val="22"/>
        </w:rPr>
      </w:pPr>
      <w:r w:rsidRPr="00DD0C64">
        <w:rPr>
          <w:rFonts w:asciiTheme="minorHAnsi" w:hAnsiTheme="minorHAnsi"/>
          <w:bCs/>
          <w:sz w:val="22"/>
          <w:szCs w:val="22"/>
        </w:rPr>
        <w:t>Abstract</w:t>
      </w:r>
    </w:p>
    <w:p w:rsidR="00DD0C64" w:rsidRPr="00DD0C64" w:rsidRDefault="00DD0C64" w:rsidP="00DD0C64">
      <w:pPr>
        <w:pStyle w:val="NormalWeb"/>
        <w:spacing w:before="0" w:beforeAutospacing="0" w:after="120" w:afterAutospacing="0"/>
        <w:rPr>
          <w:rFonts w:asciiTheme="minorHAnsi" w:hAnsiTheme="minorHAnsi"/>
          <w:sz w:val="22"/>
          <w:szCs w:val="22"/>
        </w:rPr>
      </w:pPr>
      <w:r w:rsidRPr="00DD0C64">
        <w:rPr>
          <w:rFonts w:asciiTheme="minorHAnsi" w:hAnsiTheme="minorHAnsi"/>
          <w:sz w:val="22"/>
          <w:szCs w:val="22"/>
        </w:rPr>
        <w:t>Alcohol consumption is causally related to cancer of the upper aero-digestive tract, liver, colon, rectum, female breast and pancreas. The dose response relationship varies for each site. We calculated Ireland’s cancer incidence and mortality attributable to alcohol over a 10-year period. Between 2001 and 2010, 4,585(4.7%) male and 4,593(4.2%) female invasive cancer diagnoses were attributable to alcohol. The greatest risk was for the upper aero-digestive tract where 2,961(52.9%) of these cancers in males and 866(35.2%) in females were attributable to alcohol. Between 2001 and 2010, 2,823(6.7%) of male cancer deaths and 1,700(4.6%) of female cancer deaths were attributable to alcohol. Every year approximately 900 new cancers and 500 cancer deaths are attributable to alcohol. Alcohol is a major cause of cancer after smoking, obesity and physical inactivity. Public awareness of risk must improve. Over half of alcohol related cancers are preventable by adhering to Department of Health alcohol consumption guidelines.</w:t>
      </w:r>
    </w:p>
    <w:p w:rsidR="00812297" w:rsidRDefault="00812297">
      <w:pPr>
        <w:rPr>
          <w:b/>
        </w:rPr>
      </w:pPr>
    </w:p>
    <w:p w:rsidR="00CA3C6A" w:rsidRPr="001279C6" w:rsidRDefault="00CA3C6A">
      <w:pPr>
        <w:rPr>
          <w:b/>
          <w:sz w:val="28"/>
          <w:szCs w:val="28"/>
        </w:rPr>
      </w:pPr>
      <w:r w:rsidRPr="001279C6">
        <w:rPr>
          <w:b/>
          <w:sz w:val="28"/>
          <w:szCs w:val="28"/>
        </w:rPr>
        <w:lastRenderedPageBreak/>
        <w:t>2. Update of International Evidence</w:t>
      </w:r>
    </w:p>
    <w:p w:rsidR="00516B92" w:rsidRPr="001279C6" w:rsidRDefault="00CA3C6A" w:rsidP="001279C6">
      <w:pPr>
        <w:spacing w:after="120"/>
        <w:rPr>
          <w:b/>
          <w:sz w:val="24"/>
          <w:szCs w:val="24"/>
        </w:rPr>
      </w:pPr>
      <w:r w:rsidRPr="001279C6">
        <w:rPr>
          <w:b/>
          <w:sz w:val="24"/>
          <w:szCs w:val="24"/>
        </w:rPr>
        <w:t xml:space="preserve">2.1 </w:t>
      </w:r>
      <w:r w:rsidR="00516B92" w:rsidRPr="001279C6">
        <w:rPr>
          <w:b/>
          <w:sz w:val="24"/>
          <w:szCs w:val="24"/>
        </w:rPr>
        <w:t>Alcohol consumption</w:t>
      </w:r>
    </w:p>
    <w:p w:rsidR="007A4656" w:rsidRPr="001279C6" w:rsidRDefault="00516B92" w:rsidP="001279C6">
      <w:pPr>
        <w:spacing w:after="120"/>
        <w:rPr>
          <w:sz w:val="24"/>
          <w:szCs w:val="24"/>
        </w:rPr>
      </w:pPr>
      <w:r w:rsidRPr="001279C6">
        <w:rPr>
          <w:sz w:val="24"/>
          <w:szCs w:val="24"/>
        </w:rPr>
        <w:t>According to the recent</w:t>
      </w:r>
      <w:r w:rsidR="00672A17" w:rsidRPr="001279C6">
        <w:rPr>
          <w:sz w:val="24"/>
          <w:szCs w:val="24"/>
        </w:rPr>
        <w:t xml:space="preserve"> World Health Organisation report, </w:t>
      </w:r>
      <w:r w:rsidR="00672A17" w:rsidRPr="001279C6">
        <w:rPr>
          <w:i/>
          <w:sz w:val="24"/>
          <w:szCs w:val="24"/>
        </w:rPr>
        <w:t>Global status report on alcohol and health 2014</w:t>
      </w:r>
      <w:r w:rsidR="00672A17" w:rsidRPr="001279C6">
        <w:rPr>
          <w:sz w:val="24"/>
          <w:szCs w:val="24"/>
        </w:rPr>
        <w:t xml:space="preserve">, </w:t>
      </w:r>
      <w:r w:rsidR="00B80E7E" w:rsidRPr="001279C6">
        <w:rPr>
          <w:sz w:val="24"/>
          <w:szCs w:val="24"/>
        </w:rPr>
        <w:t xml:space="preserve">worldwide alcohol consumption in 2010 was equal to 6.2 litres of pure alcohol per person aged 15 years or older. </w:t>
      </w:r>
      <w:r w:rsidR="007A4656" w:rsidRPr="00F04E58">
        <w:rPr>
          <w:b/>
          <w:sz w:val="24"/>
          <w:szCs w:val="24"/>
        </w:rPr>
        <w:t>The WHO European Region continues to have the highest alcohol consumption in the world at 10.9 litres</w:t>
      </w:r>
      <w:r w:rsidR="007A4656" w:rsidRPr="001279C6">
        <w:rPr>
          <w:sz w:val="24"/>
          <w:szCs w:val="24"/>
        </w:rPr>
        <w:t xml:space="preserve"> of pure alcohol per capita (15+ years). Although alcohol consumption declined by 10% since the 2003-2005 </w:t>
      </w:r>
      <w:proofErr w:type="gramStart"/>
      <w:r w:rsidR="007A4656" w:rsidRPr="001279C6">
        <w:rPr>
          <w:sz w:val="24"/>
          <w:szCs w:val="24"/>
        </w:rPr>
        <w:t>period</w:t>
      </w:r>
      <w:proofErr w:type="gramEnd"/>
      <w:r w:rsidR="007A4656" w:rsidRPr="001279C6">
        <w:rPr>
          <w:sz w:val="24"/>
          <w:szCs w:val="24"/>
        </w:rPr>
        <w:t>, the European Region consumes 4.7 litres higher than the world average (6.2 litres).  The WHO Region cons</w:t>
      </w:r>
      <w:r w:rsidR="00B27472" w:rsidRPr="001279C6">
        <w:rPr>
          <w:sz w:val="24"/>
          <w:szCs w:val="24"/>
        </w:rPr>
        <w:t>umes more than a quarter</w:t>
      </w:r>
      <w:r w:rsidR="007A4656" w:rsidRPr="001279C6">
        <w:rPr>
          <w:sz w:val="24"/>
          <w:szCs w:val="24"/>
        </w:rPr>
        <w:t xml:space="preserve"> of the total alcohol consumed worldwide.</w:t>
      </w:r>
    </w:p>
    <w:p w:rsidR="007A4656" w:rsidRPr="001279C6" w:rsidRDefault="00C73F51" w:rsidP="001279C6">
      <w:pPr>
        <w:spacing w:after="120"/>
        <w:rPr>
          <w:sz w:val="24"/>
          <w:szCs w:val="24"/>
        </w:rPr>
      </w:pPr>
      <w:r w:rsidRPr="001279C6">
        <w:rPr>
          <w:sz w:val="24"/>
          <w:szCs w:val="24"/>
        </w:rPr>
        <w:t xml:space="preserve">Alcohol related harm is determined, apart from the environmental factors, by three related dimensions of drinking, the volume of alcohol consumed, </w:t>
      </w:r>
      <w:proofErr w:type="gramStart"/>
      <w:r w:rsidRPr="001279C6">
        <w:rPr>
          <w:sz w:val="24"/>
          <w:szCs w:val="24"/>
        </w:rPr>
        <w:t>the</w:t>
      </w:r>
      <w:proofErr w:type="gramEnd"/>
      <w:r w:rsidRPr="001279C6">
        <w:rPr>
          <w:sz w:val="24"/>
          <w:szCs w:val="24"/>
        </w:rPr>
        <w:t xml:space="preserve"> pattern of drinking and on rare occasions the quality of the alcohol consumed. Alcohol consumption has been identified as a component cause for more than 200 diseases, injuries and other health conditions</w:t>
      </w:r>
      <w:r w:rsidR="00B27472" w:rsidRPr="001279C6">
        <w:rPr>
          <w:sz w:val="24"/>
          <w:szCs w:val="24"/>
        </w:rPr>
        <w:t>,</w:t>
      </w:r>
      <w:r w:rsidRPr="001279C6">
        <w:rPr>
          <w:sz w:val="24"/>
          <w:szCs w:val="24"/>
        </w:rPr>
        <w:t xml:space="preserve"> with ICD-10 codes. </w:t>
      </w:r>
      <w:r w:rsidR="00CF5AAC" w:rsidRPr="001279C6">
        <w:rPr>
          <w:sz w:val="24"/>
          <w:szCs w:val="24"/>
        </w:rPr>
        <w:t xml:space="preserve"> For most disease</w:t>
      </w:r>
      <w:r w:rsidR="00947461" w:rsidRPr="001279C6">
        <w:rPr>
          <w:sz w:val="24"/>
          <w:szCs w:val="24"/>
        </w:rPr>
        <w:t>s</w:t>
      </w:r>
      <w:r w:rsidR="00CF5AAC" w:rsidRPr="001279C6">
        <w:rPr>
          <w:sz w:val="24"/>
          <w:szCs w:val="24"/>
        </w:rPr>
        <w:t xml:space="preserve"> and injuries causally impacted by alcohol, there is a dose-response relationship – </w:t>
      </w:r>
      <w:r w:rsidR="007A4656" w:rsidRPr="001279C6">
        <w:rPr>
          <w:sz w:val="24"/>
          <w:szCs w:val="24"/>
        </w:rPr>
        <w:t xml:space="preserve">in other words, </w:t>
      </w:r>
      <w:r w:rsidR="00CF5AAC" w:rsidRPr="001279C6">
        <w:rPr>
          <w:sz w:val="24"/>
          <w:szCs w:val="24"/>
        </w:rPr>
        <w:t>the higher the consumption of alcohol</w:t>
      </w:r>
      <w:r w:rsidR="001621F5" w:rsidRPr="001279C6">
        <w:rPr>
          <w:sz w:val="24"/>
          <w:szCs w:val="24"/>
        </w:rPr>
        <w:t>,</w:t>
      </w:r>
      <w:r w:rsidR="00CF5AAC" w:rsidRPr="001279C6">
        <w:rPr>
          <w:sz w:val="24"/>
          <w:szCs w:val="24"/>
        </w:rPr>
        <w:t xml:space="preserve"> the larger the risk for these conditions. </w:t>
      </w:r>
    </w:p>
    <w:p w:rsidR="006B0A01" w:rsidRPr="001279C6" w:rsidRDefault="0076657B" w:rsidP="001279C6">
      <w:pPr>
        <w:spacing w:after="120"/>
        <w:rPr>
          <w:sz w:val="24"/>
          <w:szCs w:val="24"/>
        </w:rPr>
      </w:pPr>
      <w:r w:rsidRPr="001279C6">
        <w:rPr>
          <w:sz w:val="24"/>
          <w:szCs w:val="24"/>
        </w:rPr>
        <w:t xml:space="preserve">Factors affecting alcohol consumption and </w:t>
      </w:r>
      <w:r w:rsidR="00646E0D" w:rsidRPr="001279C6">
        <w:rPr>
          <w:sz w:val="24"/>
          <w:szCs w:val="24"/>
        </w:rPr>
        <w:t>alcohol-re</w:t>
      </w:r>
      <w:r w:rsidRPr="001279C6">
        <w:rPr>
          <w:sz w:val="24"/>
          <w:szCs w:val="24"/>
        </w:rPr>
        <w:t>l</w:t>
      </w:r>
      <w:r w:rsidR="00646E0D" w:rsidRPr="001279C6">
        <w:rPr>
          <w:sz w:val="24"/>
          <w:szCs w:val="24"/>
        </w:rPr>
        <w:t>a</w:t>
      </w:r>
      <w:r w:rsidRPr="001279C6">
        <w:rPr>
          <w:sz w:val="24"/>
          <w:szCs w:val="24"/>
        </w:rPr>
        <w:t>ted harm include, age, gender, family risk factors, socioeconomic status, economic development</w:t>
      </w:r>
      <w:r w:rsidR="00947461" w:rsidRPr="001279C6">
        <w:rPr>
          <w:sz w:val="24"/>
          <w:szCs w:val="24"/>
        </w:rPr>
        <w:t>,</w:t>
      </w:r>
      <w:r w:rsidRPr="001279C6">
        <w:rPr>
          <w:sz w:val="24"/>
          <w:szCs w:val="24"/>
        </w:rPr>
        <w:t xml:space="preserve"> culture and alcohol control and </w:t>
      </w:r>
      <w:r w:rsidR="00646E0D" w:rsidRPr="001279C6">
        <w:rPr>
          <w:sz w:val="24"/>
          <w:szCs w:val="24"/>
        </w:rPr>
        <w:t xml:space="preserve">regulation </w:t>
      </w:r>
      <w:r w:rsidR="006B0A01" w:rsidRPr="001279C6">
        <w:rPr>
          <w:sz w:val="24"/>
          <w:szCs w:val="24"/>
        </w:rPr>
        <w:t xml:space="preserve">policies </w:t>
      </w:r>
      <w:r w:rsidR="00646E0D" w:rsidRPr="001279C6">
        <w:rPr>
          <w:sz w:val="24"/>
          <w:szCs w:val="24"/>
        </w:rPr>
        <w:t>(</w:t>
      </w:r>
      <w:proofErr w:type="spellStart"/>
      <w:r w:rsidR="00646E0D" w:rsidRPr="001279C6">
        <w:rPr>
          <w:sz w:val="24"/>
          <w:szCs w:val="24"/>
        </w:rPr>
        <w:t>B</w:t>
      </w:r>
      <w:r w:rsidRPr="001279C6">
        <w:rPr>
          <w:sz w:val="24"/>
          <w:szCs w:val="24"/>
        </w:rPr>
        <w:t>abor</w:t>
      </w:r>
      <w:proofErr w:type="spellEnd"/>
      <w:r w:rsidRPr="001279C6">
        <w:rPr>
          <w:sz w:val="24"/>
          <w:szCs w:val="24"/>
        </w:rPr>
        <w:t xml:space="preserve"> et al 2</w:t>
      </w:r>
      <w:r w:rsidR="00F04E58">
        <w:rPr>
          <w:sz w:val="24"/>
          <w:szCs w:val="24"/>
        </w:rPr>
        <w:t>0</w:t>
      </w:r>
      <w:r w:rsidRPr="001279C6">
        <w:rPr>
          <w:sz w:val="24"/>
          <w:szCs w:val="24"/>
        </w:rPr>
        <w:t>10)</w:t>
      </w:r>
      <w:r w:rsidR="007A4656" w:rsidRPr="001279C6">
        <w:rPr>
          <w:sz w:val="24"/>
          <w:szCs w:val="24"/>
        </w:rPr>
        <w:t xml:space="preserve">. </w:t>
      </w:r>
      <w:r w:rsidR="00390B16" w:rsidRPr="001279C6">
        <w:rPr>
          <w:sz w:val="24"/>
          <w:szCs w:val="24"/>
        </w:rPr>
        <w:t>Children, adolescents and elderly people are typically more vulnerable to alcohol-related harm from a given volume of alcohol than other age groups. Early initiation of alcohol use (before 14 years of age) is a predictor of impaired health status</w:t>
      </w:r>
      <w:r w:rsidR="001621F5" w:rsidRPr="001279C6">
        <w:rPr>
          <w:sz w:val="24"/>
          <w:szCs w:val="24"/>
        </w:rPr>
        <w:t>,</w:t>
      </w:r>
      <w:r w:rsidR="00390B16" w:rsidRPr="001279C6">
        <w:rPr>
          <w:sz w:val="24"/>
          <w:szCs w:val="24"/>
        </w:rPr>
        <w:t xml:space="preserve"> because it is associated with increased risk for alcohol dependence and abuse at later ages,</w:t>
      </w:r>
      <w:r w:rsidR="00B27472" w:rsidRPr="001279C6">
        <w:rPr>
          <w:sz w:val="24"/>
          <w:szCs w:val="24"/>
        </w:rPr>
        <w:t xml:space="preserve"> adverse impacts on brain development, </w:t>
      </w:r>
      <w:r w:rsidR="00390B16" w:rsidRPr="001279C6">
        <w:rPr>
          <w:sz w:val="24"/>
          <w:szCs w:val="24"/>
        </w:rPr>
        <w:t xml:space="preserve">car crashes and other unintentional injuries. </w:t>
      </w:r>
    </w:p>
    <w:p w:rsidR="0061388B" w:rsidRPr="001279C6" w:rsidRDefault="00390B16" w:rsidP="001279C6">
      <w:pPr>
        <w:spacing w:after="120"/>
        <w:rPr>
          <w:sz w:val="24"/>
          <w:szCs w:val="24"/>
        </w:rPr>
      </w:pPr>
      <w:r w:rsidRPr="001279C6">
        <w:rPr>
          <w:sz w:val="24"/>
          <w:szCs w:val="24"/>
        </w:rPr>
        <w:t>As people grow older, their bodies are typically less able to handle the same levels and pattern of alcohol consumption as in previous years, leading to a higher burden from unintentional in</w:t>
      </w:r>
      <w:r w:rsidR="00B27472" w:rsidRPr="001279C6">
        <w:rPr>
          <w:sz w:val="24"/>
          <w:szCs w:val="24"/>
        </w:rPr>
        <w:t>j</w:t>
      </w:r>
      <w:r w:rsidRPr="001279C6">
        <w:rPr>
          <w:sz w:val="24"/>
          <w:szCs w:val="24"/>
        </w:rPr>
        <w:t>ur</w:t>
      </w:r>
      <w:r w:rsidR="00B27472" w:rsidRPr="001279C6">
        <w:rPr>
          <w:sz w:val="24"/>
          <w:szCs w:val="24"/>
        </w:rPr>
        <w:t>i</w:t>
      </w:r>
      <w:r w:rsidRPr="001279C6">
        <w:rPr>
          <w:sz w:val="24"/>
          <w:szCs w:val="24"/>
        </w:rPr>
        <w:t xml:space="preserve">es </w:t>
      </w:r>
      <w:r w:rsidR="0061388B" w:rsidRPr="001279C6">
        <w:rPr>
          <w:sz w:val="24"/>
          <w:szCs w:val="24"/>
        </w:rPr>
        <w:t>such as alcohol-re</w:t>
      </w:r>
      <w:r w:rsidRPr="001279C6">
        <w:rPr>
          <w:sz w:val="24"/>
          <w:szCs w:val="24"/>
        </w:rPr>
        <w:t>l</w:t>
      </w:r>
      <w:r w:rsidR="0061388B" w:rsidRPr="001279C6">
        <w:rPr>
          <w:sz w:val="24"/>
          <w:szCs w:val="24"/>
        </w:rPr>
        <w:t>a</w:t>
      </w:r>
      <w:r w:rsidRPr="001279C6">
        <w:rPr>
          <w:sz w:val="24"/>
          <w:szCs w:val="24"/>
        </w:rPr>
        <w:t>ted fall</w:t>
      </w:r>
      <w:r w:rsidR="0061388B" w:rsidRPr="001279C6">
        <w:rPr>
          <w:sz w:val="24"/>
          <w:szCs w:val="24"/>
        </w:rPr>
        <w:t>s. The alcohol-related burden of disease among older age groups is an increased public health c</w:t>
      </w:r>
      <w:r w:rsidR="006B0A01" w:rsidRPr="001279C6">
        <w:rPr>
          <w:sz w:val="24"/>
          <w:szCs w:val="24"/>
        </w:rPr>
        <w:t xml:space="preserve">oncern for </w:t>
      </w:r>
      <w:proofErr w:type="gramStart"/>
      <w:r w:rsidR="006B0A01" w:rsidRPr="001279C6">
        <w:rPr>
          <w:sz w:val="24"/>
          <w:szCs w:val="24"/>
        </w:rPr>
        <w:t>WHO</w:t>
      </w:r>
      <w:proofErr w:type="gramEnd"/>
      <w:r w:rsidR="0061388B" w:rsidRPr="001279C6">
        <w:rPr>
          <w:sz w:val="24"/>
          <w:szCs w:val="24"/>
        </w:rPr>
        <w:t xml:space="preserve"> because of the rapidly ageing population in many countries worldwide</w:t>
      </w:r>
      <w:r w:rsidR="00B27472" w:rsidRPr="001279C6">
        <w:rPr>
          <w:sz w:val="24"/>
          <w:szCs w:val="24"/>
        </w:rPr>
        <w:t xml:space="preserve"> (WHO 2014)</w:t>
      </w:r>
      <w:r w:rsidR="0061388B" w:rsidRPr="001279C6">
        <w:rPr>
          <w:sz w:val="24"/>
          <w:szCs w:val="24"/>
        </w:rPr>
        <w:t>.</w:t>
      </w:r>
    </w:p>
    <w:p w:rsidR="00390B16" w:rsidRPr="001279C6" w:rsidRDefault="0061388B" w:rsidP="001279C6">
      <w:pPr>
        <w:spacing w:after="120"/>
        <w:rPr>
          <w:sz w:val="24"/>
          <w:szCs w:val="24"/>
        </w:rPr>
      </w:pPr>
      <w:r w:rsidRPr="001279C6">
        <w:rPr>
          <w:sz w:val="24"/>
          <w:szCs w:val="24"/>
        </w:rPr>
        <w:t>Men are less often abstainers, drinking more frequency and in larger quantities, resulting in higher levels of injuries. However,</w:t>
      </w:r>
      <w:r w:rsidR="000569A6" w:rsidRPr="001279C6">
        <w:rPr>
          <w:sz w:val="24"/>
          <w:szCs w:val="24"/>
        </w:rPr>
        <w:t xml:space="preserve"> for women</w:t>
      </w:r>
      <w:r w:rsidR="001621F5" w:rsidRPr="001279C6">
        <w:rPr>
          <w:sz w:val="24"/>
          <w:szCs w:val="24"/>
        </w:rPr>
        <w:t xml:space="preserve"> </w:t>
      </w:r>
      <w:r w:rsidR="000569A6" w:rsidRPr="001279C6">
        <w:rPr>
          <w:sz w:val="24"/>
          <w:szCs w:val="24"/>
        </w:rPr>
        <w:t xml:space="preserve">the same level of consumption leads to more pronounced </w:t>
      </w:r>
      <w:r w:rsidRPr="001279C6">
        <w:rPr>
          <w:sz w:val="24"/>
          <w:szCs w:val="24"/>
        </w:rPr>
        <w:t>health outcomes such as cancers, gastrointestinal diseases or cardiovas</w:t>
      </w:r>
      <w:r w:rsidR="001279C6">
        <w:rPr>
          <w:sz w:val="24"/>
          <w:szCs w:val="24"/>
        </w:rPr>
        <w:t>cular diseases (</w:t>
      </w:r>
      <w:proofErr w:type="spellStart"/>
      <w:r w:rsidR="001279C6">
        <w:rPr>
          <w:sz w:val="24"/>
          <w:szCs w:val="24"/>
        </w:rPr>
        <w:t>Rehm</w:t>
      </w:r>
      <w:proofErr w:type="spellEnd"/>
      <w:r w:rsidR="001279C6">
        <w:rPr>
          <w:sz w:val="24"/>
          <w:szCs w:val="24"/>
        </w:rPr>
        <w:t xml:space="preserve"> et al 2010</w:t>
      </w:r>
      <w:r w:rsidRPr="001279C6">
        <w:rPr>
          <w:sz w:val="24"/>
          <w:szCs w:val="24"/>
        </w:rPr>
        <w:t>).</w:t>
      </w:r>
      <w:r w:rsidR="0076657B" w:rsidRPr="001279C6">
        <w:rPr>
          <w:sz w:val="24"/>
          <w:szCs w:val="24"/>
        </w:rPr>
        <w:t xml:space="preserve"> </w:t>
      </w:r>
    </w:p>
    <w:p w:rsidR="007A4656" w:rsidRPr="001279C6" w:rsidRDefault="000569A6" w:rsidP="001279C6">
      <w:pPr>
        <w:spacing w:after="120"/>
        <w:rPr>
          <w:sz w:val="24"/>
          <w:szCs w:val="24"/>
        </w:rPr>
      </w:pPr>
      <w:r w:rsidRPr="001279C6">
        <w:rPr>
          <w:sz w:val="24"/>
          <w:szCs w:val="24"/>
        </w:rPr>
        <w:t>The p</w:t>
      </w:r>
      <w:r w:rsidR="007A4656" w:rsidRPr="001279C6">
        <w:rPr>
          <w:sz w:val="24"/>
          <w:szCs w:val="24"/>
        </w:rPr>
        <w:t>attern of drinking is also important</w:t>
      </w:r>
      <w:r w:rsidRPr="001279C6">
        <w:rPr>
          <w:sz w:val="24"/>
          <w:szCs w:val="24"/>
        </w:rPr>
        <w:t>.  T</w:t>
      </w:r>
      <w:r w:rsidR="007A4656" w:rsidRPr="001279C6">
        <w:rPr>
          <w:sz w:val="24"/>
          <w:szCs w:val="24"/>
        </w:rPr>
        <w:t xml:space="preserve">he amount of alcohol on a single occasion is important for many acute consequences such as alcohol poisoning, injury and violence. </w:t>
      </w:r>
      <w:r w:rsidR="007A4656" w:rsidRPr="00F04E58">
        <w:rPr>
          <w:b/>
          <w:sz w:val="24"/>
          <w:szCs w:val="24"/>
        </w:rPr>
        <w:t>Heavy episodic drinking</w:t>
      </w:r>
      <w:r w:rsidR="007A4656" w:rsidRPr="001279C6">
        <w:rPr>
          <w:sz w:val="24"/>
          <w:szCs w:val="24"/>
        </w:rPr>
        <w:t xml:space="preserve"> (HED)</w:t>
      </w:r>
      <w:r w:rsidR="00BD2B96" w:rsidRPr="001279C6">
        <w:rPr>
          <w:sz w:val="24"/>
          <w:szCs w:val="24"/>
        </w:rPr>
        <w:t>,</w:t>
      </w:r>
      <w:r w:rsidR="007A4656" w:rsidRPr="001279C6">
        <w:rPr>
          <w:sz w:val="24"/>
          <w:szCs w:val="24"/>
        </w:rPr>
        <w:t xml:space="preserve"> defined by WHO as </w:t>
      </w:r>
      <w:r w:rsidR="00BD2B96" w:rsidRPr="001279C6">
        <w:rPr>
          <w:sz w:val="24"/>
          <w:szCs w:val="24"/>
        </w:rPr>
        <w:t xml:space="preserve">the </w:t>
      </w:r>
      <w:r w:rsidR="007A4656" w:rsidRPr="001279C6">
        <w:rPr>
          <w:sz w:val="24"/>
          <w:szCs w:val="24"/>
        </w:rPr>
        <w:t>consumption of 60 or more grams of pure alcohol (6+ standard drinks in most countries</w:t>
      </w:r>
      <w:r w:rsidR="00386B33" w:rsidRPr="001279C6">
        <w:rPr>
          <w:sz w:val="24"/>
          <w:szCs w:val="24"/>
        </w:rPr>
        <w:t xml:space="preserve"> and in Ireland</w:t>
      </w:r>
      <w:r w:rsidR="007A4656" w:rsidRPr="001279C6">
        <w:rPr>
          <w:sz w:val="24"/>
          <w:szCs w:val="24"/>
        </w:rPr>
        <w:t xml:space="preserve">) on at least one single occasion at least monthly,  </w:t>
      </w:r>
      <w:r w:rsidR="007A4656" w:rsidRPr="00F04E58">
        <w:rPr>
          <w:b/>
          <w:sz w:val="24"/>
          <w:szCs w:val="24"/>
        </w:rPr>
        <w:t>is associated with detrimental consequences</w:t>
      </w:r>
      <w:r w:rsidR="001621F5" w:rsidRPr="00F04E58">
        <w:rPr>
          <w:b/>
          <w:sz w:val="24"/>
          <w:szCs w:val="24"/>
        </w:rPr>
        <w:t>,</w:t>
      </w:r>
      <w:r w:rsidR="007A4656" w:rsidRPr="00F04E58">
        <w:rPr>
          <w:b/>
          <w:sz w:val="24"/>
          <w:szCs w:val="24"/>
        </w:rPr>
        <w:t xml:space="preserve"> even if the </w:t>
      </w:r>
      <w:r w:rsidR="007A4656" w:rsidRPr="00F04E58">
        <w:rPr>
          <w:b/>
          <w:sz w:val="24"/>
          <w:szCs w:val="24"/>
        </w:rPr>
        <w:lastRenderedPageBreak/>
        <w:t>average</w:t>
      </w:r>
      <w:r w:rsidR="007A4656" w:rsidRPr="001279C6">
        <w:rPr>
          <w:sz w:val="24"/>
          <w:szCs w:val="24"/>
        </w:rPr>
        <w:t xml:space="preserve"> </w:t>
      </w:r>
      <w:r w:rsidR="007A4656" w:rsidRPr="00F04E58">
        <w:rPr>
          <w:b/>
          <w:sz w:val="24"/>
          <w:szCs w:val="24"/>
        </w:rPr>
        <w:t>level of alcohol consumption of the person concerned is relatively low</w:t>
      </w:r>
      <w:r w:rsidR="007A4656" w:rsidRPr="001279C6">
        <w:rPr>
          <w:sz w:val="24"/>
          <w:szCs w:val="24"/>
        </w:rPr>
        <w:t>.</w:t>
      </w:r>
      <w:r w:rsidR="006B0A01" w:rsidRPr="001279C6">
        <w:rPr>
          <w:sz w:val="24"/>
          <w:szCs w:val="24"/>
        </w:rPr>
        <w:t xml:space="preserve"> </w:t>
      </w:r>
      <w:r w:rsidR="003247EA" w:rsidRPr="001279C6">
        <w:rPr>
          <w:sz w:val="24"/>
          <w:szCs w:val="24"/>
        </w:rPr>
        <w:t>The prevalence of heavy episodic drink</w:t>
      </w:r>
      <w:r w:rsidR="00386B33" w:rsidRPr="001279C6">
        <w:rPr>
          <w:sz w:val="24"/>
          <w:szCs w:val="24"/>
        </w:rPr>
        <w:t>ing (HED) worldwide was 7.5%</w:t>
      </w:r>
      <w:r w:rsidR="00947461" w:rsidRPr="001279C6">
        <w:rPr>
          <w:sz w:val="24"/>
          <w:szCs w:val="24"/>
        </w:rPr>
        <w:t>,</w:t>
      </w:r>
      <w:r w:rsidR="00386B33" w:rsidRPr="001279C6">
        <w:rPr>
          <w:sz w:val="24"/>
          <w:szCs w:val="24"/>
        </w:rPr>
        <w:t xml:space="preserve"> however,</w:t>
      </w:r>
      <w:r w:rsidR="003247EA" w:rsidRPr="001279C6">
        <w:rPr>
          <w:sz w:val="24"/>
          <w:szCs w:val="24"/>
        </w:rPr>
        <w:t xml:space="preserve"> in the WHO Eu</w:t>
      </w:r>
      <w:r w:rsidR="00517C57" w:rsidRPr="001279C6">
        <w:rPr>
          <w:sz w:val="24"/>
          <w:szCs w:val="24"/>
        </w:rPr>
        <w:t>r</w:t>
      </w:r>
      <w:r w:rsidR="003247EA" w:rsidRPr="001279C6">
        <w:rPr>
          <w:sz w:val="24"/>
          <w:szCs w:val="24"/>
        </w:rPr>
        <w:t xml:space="preserve">opean Region </w:t>
      </w:r>
      <w:r w:rsidR="00386B33" w:rsidRPr="001279C6">
        <w:rPr>
          <w:sz w:val="24"/>
          <w:szCs w:val="24"/>
        </w:rPr>
        <w:t xml:space="preserve">HED </w:t>
      </w:r>
      <w:r w:rsidR="003247EA" w:rsidRPr="001279C6">
        <w:rPr>
          <w:sz w:val="24"/>
          <w:szCs w:val="24"/>
        </w:rPr>
        <w:t>was 16.5%</w:t>
      </w:r>
      <w:r w:rsidR="00BD2B96" w:rsidRPr="001279C6">
        <w:rPr>
          <w:sz w:val="24"/>
          <w:szCs w:val="24"/>
        </w:rPr>
        <w:t xml:space="preserve"> (Table</w:t>
      </w:r>
      <w:r w:rsidR="001279C6">
        <w:rPr>
          <w:sz w:val="24"/>
          <w:szCs w:val="24"/>
        </w:rPr>
        <w:t xml:space="preserve"> 1</w:t>
      </w:r>
      <w:r w:rsidR="00517C57" w:rsidRPr="001279C6">
        <w:rPr>
          <w:sz w:val="24"/>
          <w:szCs w:val="24"/>
        </w:rPr>
        <w:t>)</w:t>
      </w:r>
      <w:r w:rsidR="003247EA" w:rsidRPr="001279C6">
        <w:rPr>
          <w:sz w:val="24"/>
          <w:szCs w:val="24"/>
        </w:rPr>
        <w:t xml:space="preserve">.  </w:t>
      </w:r>
      <w:r w:rsidR="008161A4" w:rsidRPr="001279C6">
        <w:rPr>
          <w:sz w:val="24"/>
          <w:szCs w:val="24"/>
        </w:rPr>
        <w:t xml:space="preserve">The overall prevalence of </w:t>
      </w:r>
      <w:r w:rsidR="003247EA" w:rsidRPr="001279C6">
        <w:rPr>
          <w:sz w:val="24"/>
          <w:szCs w:val="24"/>
        </w:rPr>
        <w:t xml:space="preserve">heavy </w:t>
      </w:r>
      <w:r w:rsidR="008161A4" w:rsidRPr="001279C6">
        <w:rPr>
          <w:sz w:val="24"/>
          <w:szCs w:val="24"/>
        </w:rPr>
        <w:t xml:space="preserve">episodic drinking in Ireland was 39%, which was higher for males (53%) than females (25.5%), based on the information provided in the recent WHO report (WHO 2014).  </w:t>
      </w:r>
      <w:r w:rsidR="00517C57" w:rsidRPr="001279C6">
        <w:rPr>
          <w:sz w:val="24"/>
          <w:szCs w:val="24"/>
        </w:rPr>
        <w:t xml:space="preserve">When </w:t>
      </w:r>
      <w:r w:rsidR="008161A4" w:rsidRPr="001279C6">
        <w:rPr>
          <w:sz w:val="24"/>
          <w:szCs w:val="24"/>
        </w:rPr>
        <w:t>Ireland was compared with</w:t>
      </w:r>
      <w:r w:rsidR="00517C57" w:rsidRPr="001279C6">
        <w:rPr>
          <w:sz w:val="24"/>
          <w:szCs w:val="24"/>
        </w:rPr>
        <w:t xml:space="preserve"> the EU28 countries, </w:t>
      </w:r>
      <w:r w:rsidR="00517C57" w:rsidRPr="00F04E58">
        <w:rPr>
          <w:b/>
          <w:sz w:val="24"/>
          <w:szCs w:val="24"/>
        </w:rPr>
        <w:t>the prevalence of HED among males</w:t>
      </w:r>
      <w:r w:rsidR="008161A4" w:rsidRPr="00F04E58">
        <w:rPr>
          <w:b/>
          <w:sz w:val="24"/>
          <w:szCs w:val="24"/>
        </w:rPr>
        <w:t xml:space="preserve"> in Ireland</w:t>
      </w:r>
      <w:r w:rsidR="00517C57" w:rsidRPr="00F04E58">
        <w:rPr>
          <w:b/>
          <w:sz w:val="24"/>
          <w:szCs w:val="24"/>
        </w:rPr>
        <w:t xml:space="preserve"> ranked third highest</w:t>
      </w:r>
      <w:r w:rsidR="001621F5" w:rsidRPr="00F04E58">
        <w:rPr>
          <w:b/>
          <w:sz w:val="24"/>
          <w:szCs w:val="24"/>
        </w:rPr>
        <w:t xml:space="preserve"> in Europe</w:t>
      </w:r>
      <w:r w:rsidR="00517C57" w:rsidRPr="00F04E58">
        <w:rPr>
          <w:b/>
          <w:sz w:val="24"/>
          <w:szCs w:val="24"/>
        </w:rPr>
        <w:t xml:space="preserve"> </w:t>
      </w:r>
      <w:r w:rsidR="00517C57" w:rsidRPr="001279C6">
        <w:rPr>
          <w:sz w:val="24"/>
          <w:szCs w:val="24"/>
        </w:rPr>
        <w:t>after Au</w:t>
      </w:r>
      <w:r w:rsidR="00BD2B96" w:rsidRPr="001279C6">
        <w:rPr>
          <w:sz w:val="24"/>
          <w:szCs w:val="24"/>
        </w:rPr>
        <w:t>stria and Czech Republic (Appendix</w:t>
      </w:r>
      <w:r w:rsidR="001279C6" w:rsidRPr="001279C6">
        <w:rPr>
          <w:sz w:val="24"/>
          <w:szCs w:val="24"/>
        </w:rPr>
        <w:t xml:space="preserve"> 1</w:t>
      </w:r>
      <w:r w:rsidR="00517C57" w:rsidRPr="001279C6">
        <w:rPr>
          <w:sz w:val="24"/>
          <w:szCs w:val="24"/>
        </w:rPr>
        <w:t xml:space="preserve">). For </w:t>
      </w:r>
      <w:r w:rsidR="00517C57" w:rsidRPr="00F04E58">
        <w:rPr>
          <w:b/>
          <w:sz w:val="24"/>
          <w:szCs w:val="24"/>
        </w:rPr>
        <w:t xml:space="preserve">females, the prevalence of HED </w:t>
      </w:r>
      <w:r w:rsidR="008161A4" w:rsidRPr="00F04E58">
        <w:rPr>
          <w:b/>
          <w:sz w:val="24"/>
          <w:szCs w:val="24"/>
        </w:rPr>
        <w:t xml:space="preserve">in Ireland </w:t>
      </w:r>
      <w:r w:rsidR="00517C57" w:rsidRPr="00F04E58">
        <w:rPr>
          <w:b/>
          <w:sz w:val="24"/>
          <w:szCs w:val="24"/>
        </w:rPr>
        <w:t>ranked seco</w:t>
      </w:r>
      <w:r w:rsidR="00BD2B96" w:rsidRPr="00F04E58">
        <w:rPr>
          <w:b/>
          <w:sz w:val="24"/>
          <w:szCs w:val="24"/>
        </w:rPr>
        <w:t xml:space="preserve">nd highest </w:t>
      </w:r>
      <w:r w:rsidR="00BD2B96" w:rsidRPr="001279C6">
        <w:rPr>
          <w:sz w:val="24"/>
          <w:szCs w:val="24"/>
        </w:rPr>
        <w:t>after Austria (Appendix</w:t>
      </w:r>
      <w:r w:rsidR="001279C6" w:rsidRPr="001279C6">
        <w:rPr>
          <w:sz w:val="24"/>
          <w:szCs w:val="24"/>
        </w:rPr>
        <w:t xml:space="preserve"> 2</w:t>
      </w:r>
      <w:r w:rsidR="00517C57" w:rsidRPr="001279C6">
        <w:rPr>
          <w:sz w:val="24"/>
          <w:szCs w:val="24"/>
        </w:rPr>
        <w:t xml:space="preserve">). </w:t>
      </w:r>
    </w:p>
    <w:p w:rsidR="0076657B" w:rsidRPr="001279C6" w:rsidRDefault="00F04E58" w:rsidP="001279C6">
      <w:pPr>
        <w:spacing w:after="120"/>
        <w:rPr>
          <w:b/>
          <w:sz w:val="24"/>
          <w:szCs w:val="24"/>
        </w:rPr>
      </w:pPr>
      <w:r>
        <w:rPr>
          <w:b/>
          <w:sz w:val="24"/>
          <w:szCs w:val="24"/>
        </w:rPr>
        <w:t xml:space="preserve">2.2 </w:t>
      </w:r>
      <w:r w:rsidR="0076657B" w:rsidRPr="001279C6">
        <w:rPr>
          <w:b/>
          <w:sz w:val="24"/>
          <w:szCs w:val="24"/>
        </w:rPr>
        <w:t>Alcohol-related harms</w:t>
      </w:r>
    </w:p>
    <w:p w:rsidR="00C35503" w:rsidRPr="001279C6" w:rsidRDefault="006B0A01" w:rsidP="001279C6">
      <w:pPr>
        <w:spacing w:after="120"/>
        <w:rPr>
          <w:sz w:val="24"/>
          <w:szCs w:val="24"/>
        </w:rPr>
      </w:pPr>
      <w:r w:rsidRPr="001279C6">
        <w:rPr>
          <w:sz w:val="24"/>
          <w:szCs w:val="24"/>
        </w:rPr>
        <w:t>There is increasing awareness of the significant impact of harmful use of alcohol</w:t>
      </w:r>
      <w:r w:rsidR="00C804D7" w:rsidRPr="001279C6">
        <w:rPr>
          <w:rStyle w:val="FootnoteReference"/>
          <w:sz w:val="24"/>
          <w:szCs w:val="24"/>
        </w:rPr>
        <w:footnoteReference w:id="1"/>
      </w:r>
      <w:r w:rsidRPr="001279C6">
        <w:rPr>
          <w:sz w:val="24"/>
          <w:szCs w:val="24"/>
        </w:rPr>
        <w:t xml:space="preserve"> not only on individuals, but also on global public health.  </w:t>
      </w:r>
      <w:r w:rsidR="00C35503" w:rsidRPr="001279C6">
        <w:rPr>
          <w:sz w:val="24"/>
          <w:szCs w:val="24"/>
        </w:rPr>
        <w:t xml:space="preserve">The harmful use of </w:t>
      </w:r>
      <w:r w:rsidR="00C35503" w:rsidRPr="00F04E58">
        <w:rPr>
          <w:b/>
          <w:sz w:val="24"/>
          <w:szCs w:val="24"/>
        </w:rPr>
        <w:t>alcohol ranks among the top five risk factors for disease, disability and death</w:t>
      </w:r>
      <w:r w:rsidR="00C35503" w:rsidRPr="001279C6">
        <w:rPr>
          <w:sz w:val="24"/>
          <w:szCs w:val="24"/>
        </w:rPr>
        <w:t xml:space="preserve"> throughout the world. It is a causal factor in more than 200 diseases and injury conditions. Drinking alcohol is associated with a risk of developing such health problems as alcohol dependence, liver cirrhosis, cancer and injuries and more recently </w:t>
      </w:r>
      <w:r w:rsidRPr="001279C6">
        <w:rPr>
          <w:sz w:val="24"/>
          <w:szCs w:val="24"/>
        </w:rPr>
        <w:t xml:space="preserve">linked </w:t>
      </w:r>
      <w:r w:rsidR="00C35503" w:rsidRPr="001279C6">
        <w:rPr>
          <w:sz w:val="24"/>
          <w:szCs w:val="24"/>
        </w:rPr>
        <w:t xml:space="preserve">to infectious diseases (tuberculosis, HIV/AIDS). </w:t>
      </w:r>
    </w:p>
    <w:p w:rsidR="003247EA" w:rsidRPr="001279C6" w:rsidRDefault="00681635" w:rsidP="001279C6">
      <w:pPr>
        <w:spacing w:after="120"/>
        <w:rPr>
          <w:sz w:val="24"/>
          <w:szCs w:val="24"/>
        </w:rPr>
      </w:pPr>
      <w:r w:rsidRPr="001279C6">
        <w:rPr>
          <w:sz w:val="24"/>
          <w:szCs w:val="24"/>
        </w:rPr>
        <w:t>Overall</w:t>
      </w:r>
      <w:r w:rsidR="000569A6" w:rsidRPr="001279C6">
        <w:rPr>
          <w:sz w:val="24"/>
          <w:szCs w:val="24"/>
        </w:rPr>
        <w:t xml:space="preserve"> worldwide</w:t>
      </w:r>
      <w:r w:rsidRPr="001279C6">
        <w:rPr>
          <w:sz w:val="24"/>
          <w:szCs w:val="24"/>
        </w:rPr>
        <w:t xml:space="preserve">, about 3.3 million </w:t>
      </w:r>
      <w:r w:rsidR="000569A6" w:rsidRPr="001279C6">
        <w:rPr>
          <w:sz w:val="24"/>
          <w:szCs w:val="24"/>
        </w:rPr>
        <w:t>deaths in 2012 were</w:t>
      </w:r>
      <w:r w:rsidRPr="001279C6">
        <w:rPr>
          <w:sz w:val="24"/>
          <w:szCs w:val="24"/>
        </w:rPr>
        <w:t xml:space="preserve"> estimated to have been ca</w:t>
      </w:r>
      <w:r w:rsidR="00E02B4F" w:rsidRPr="001279C6">
        <w:rPr>
          <w:sz w:val="24"/>
          <w:szCs w:val="24"/>
        </w:rPr>
        <w:t>u</w:t>
      </w:r>
      <w:r w:rsidRPr="001279C6">
        <w:rPr>
          <w:sz w:val="24"/>
          <w:szCs w:val="24"/>
        </w:rPr>
        <w:t>sed by alcohol consumption</w:t>
      </w:r>
      <w:r w:rsidR="00090603" w:rsidRPr="001279C6">
        <w:rPr>
          <w:sz w:val="24"/>
          <w:szCs w:val="24"/>
        </w:rPr>
        <w:t xml:space="preserve">, after taking into account the beneficial effects of low-risk patterns of alcohol consumption on some diseases. </w:t>
      </w:r>
      <w:r w:rsidRPr="001279C6">
        <w:rPr>
          <w:sz w:val="24"/>
          <w:szCs w:val="24"/>
        </w:rPr>
        <w:t>This corre</w:t>
      </w:r>
      <w:r w:rsidR="00BD2B96" w:rsidRPr="001279C6">
        <w:rPr>
          <w:sz w:val="24"/>
          <w:szCs w:val="24"/>
        </w:rPr>
        <w:t>sponds to 5.9% of all deaths (</w:t>
      </w:r>
      <w:r w:rsidRPr="00F04E58">
        <w:rPr>
          <w:b/>
          <w:sz w:val="24"/>
          <w:szCs w:val="24"/>
        </w:rPr>
        <w:t>one in ev</w:t>
      </w:r>
      <w:r w:rsidR="00E02B4F" w:rsidRPr="00F04E58">
        <w:rPr>
          <w:b/>
          <w:sz w:val="24"/>
          <w:szCs w:val="24"/>
        </w:rPr>
        <w:t>e</w:t>
      </w:r>
      <w:r w:rsidRPr="00F04E58">
        <w:rPr>
          <w:b/>
          <w:sz w:val="24"/>
          <w:szCs w:val="24"/>
        </w:rPr>
        <w:t>ry twenty deaths</w:t>
      </w:r>
      <w:r w:rsidR="00BD2B96" w:rsidRPr="00F04E58">
        <w:rPr>
          <w:b/>
          <w:sz w:val="24"/>
          <w:szCs w:val="24"/>
        </w:rPr>
        <w:t>)</w:t>
      </w:r>
      <w:r w:rsidRPr="00F04E58">
        <w:rPr>
          <w:b/>
          <w:sz w:val="24"/>
          <w:szCs w:val="24"/>
        </w:rPr>
        <w:t xml:space="preserve"> in the world</w:t>
      </w:r>
      <w:r w:rsidR="006B0A01" w:rsidRPr="00F04E58">
        <w:rPr>
          <w:b/>
          <w:sz w:val="24"/>
          <w:szCs w:val="24"/>
        </w:rPr>
        <w:t xml:space="preserve"> each year</w:t>
      </w:r>
      <w:r w:rsidRPr="001279C6">
        <w:rPr>
          <w:sz w:val="24"/>
          <w:szCs w:val="24"/>
        </w:rPr>
        <w:t xml:space="preserve"> (7.6% for men, 4% for women)</w:t>
      </w:r>
      <w:r w:rsidR="00E02B4F" w:rsidRPr="001279C6">
        <w:rPr>
          <w:sz w:val="24"/>
          <w:szCs w:val="24"/>
        </w:rPr>
        <w:t>. T</w:t>
      </w:r>
      <w:r w:rsidR="009A13D1" w:rsidRPr="001279C6">
        <w:rPr>
          <w:sz w:val="24"/>
          <w:szCs w:val="24"/>
        </w:rPr>
        <w:t>he highest numbers of deaths were</w:t>
      </w:r>
      <w:r w:rsidR="00E02B4F" w:rsidRPr="001279C6">
        <w:rPr>
          <w:sz w:val="24"/>
          <w:szCs w:val="24"/>
        </w:rPr>
        <w:t xml:space="preserve"> from cardiovascular diseases, followed by injuries (especially unintentional injuries), gastrointestinal diseases (mainly liver cirrhosis) and cancers. The WHO European </w:t>
      </w:r>
      <w:r w:rsidR="00C804D7" w:rsidRPr="001279C6">
        <w:rPr>
          <w:sz w:val="24"/>
          <w:szCs w:val="24"/>
        </w:rPr>
        <w:t xml:space="preserve">Region </w:t>
      </w:r>
      <w:r w:rsidR="00E02B4F" w:rsidRPr="001279C6">
        <w:rPr>
          <w:sz w:val="24"/>
          <w:szCs w:val="24"/>
        </w:rPr>
        <w:t>has the highest proportion of alcohol-attributable deaths relative to all deaths in the world. This is not surprising, as alcohol consumption</w:t>
      </w:r>
      <w:r w:rsidR="00BD2B96" w:rsidRPr="001279C6">
        <w:rPr>
          <w:sz w:val="24"/>
          <w:szCs w:val="24"/>
        </w:rPr>
        <w:t xml:space="preserve"> in the </w:t>
      </w:r>
      <w:r w:rsidR="007B7CDC" w:rsidRPr="001279C6">
        <w:rPr>
          <w:sz w:val="24"/>
          <w:szCs w:val="24"/>
        </w:rPr>
        <w:t xml:space="preserve">European </w:t>
      </w:r>
      <w:r w:rsidR="00BD2B96" w:rsidRPr="001279C6">
        <w:rPr>
          <w:sz w:val="24"/>
          <w:szCs w:val="24"/>
        </w:rPr>
        <w:t>region</w:t>
      </w:r>
      <w:r w:rsidR="00E02B4F" w:rsidRPr="001279C6">
        <w:rPr>
          <w:sz w:val="24"/>
          <w:szCs w:val="24"/>
        </w:rPr>
        <w:t xml:space="preserve"> is also the highest in the world.</w:t>
      </w:r>
      <w:r w:rsidR="003247EA" w:rsidRPr="001279C6">
        <w:rPr>
          <w:sz w:val="24"/>
          <w:szCs w:val="24"/>
        </w:rPr>
        <w:t xml:space="preserve">  </w:t>
      </w:r>
    </w:p>
    <w:p w:rsidR="00E02B4F" w:rsidRPr="001279C6" w:rsidRDefault="00E02B4F" w:rsidP="001279C6">
      <w:pPr>
        <w:spacing w:after="120"/>
        <w:rPr>
          <w:sz w:val="24"/>
          <w:szCs w:val="24"/>
        </w:rPr>
      </w:pPr>
      <w:r w:rsidRPr="001279C6">
        <w:rPr>
          <w:sz w:val="24"/>
          <w:szCs w:val="24"/>
        </w:rPr>
        <w:t>In 2012, 5.1% of the global burden of disease and injury, as measured by DALYs</w:t>
      </w:r>
      <w:r w:rsidRPr="001279C6">
        <w:rPr>
          <w:rStyle w:val="FootnoteReference"/>
          <w:sz w:val="24"/>
          <w:szCs w:val="24"/>
        </w:rPr>
        <w:footnoteReference w:id="2"/>
      </w:r>
      <w:r w:rsidR="00881A9A" w:rsidRPr="001279C6">
        <w:rPr>
          <w:sz w:val="24"/>
          <w:szCs w:val="24"/>
        </w:rPr>
        <w:t xml:space="preserve">, was attributable to alcohol. About a quarter </w:t>
      </w:r>
      <w:r w:rsidR="00090603" w:rsidRPr="001279C6">
        <w:rPr>
          <w:sz w:val="24"/>
          <w:szCs w:val="24"/>
        </w:rPr>
        <w:t>of all alcohol-attributable DALY</w:t>
      </w:r>
      <w:r w:rsidR="00881A9A" w:rsidRPr="001279C6">
        <w:rPr>
          <w:sz w:val="24"/>
          <w:szCs w:val="24"/>
        </w:rPr>
        <w:t xml:space="preserve">s were due to neuropsychiatric disorders compared with 4% for all alcohol-attributable deaths. This is mainly due to Alcohol use disorders (AUDs) which cause more disability than mortality compared to others chronic diseases.  </w:t>
      </w:r>
      <w:r w:rsidR="00090603" w:rsidRPr="0012000F">
        <w:rPr>
          <w:sz w:val="24"/>
          <w:szCs w:val="24"/>
        </w:rPr>
        <w:t xml:space="preserve">Alcohol consumption causes more deaths and greater burden of disease in the </w:t>
      </w:r>
      <w:r w:rsidR="00C804D7" w:rsidRPr="0012000F">
        <w:rPr>
          <w:sz w:val="24"/>
          <w:szCs w:val="24"/>
        </w:rPr>
        <w:t xml:space="preserve">WHO </w:t>
      </w:r>
      <w:r w:rsidR="00090603" w:rsidRPr="0012000F">
        <w:rPr>
          <w:sz w:val="24"/>
          <w:szCs w:val="24"/>
        </w:rPr>
        <w:t>European region</w:t>
      </w:r>
      <w:r w:rsidR="00090603" w:rsidRPr="001279C6">
        <w:rPr>
          <w:sz w:val="24"/>
          <w:szCs w:val="24"/>
        </w:rPr>
        <w:t xml:space="preserve"> than in any other region of the world. </w:t>
      </w:r>
      <w:r w:rsidR="00881A9A" w:rsidRPr="001279C6">
        <w:rPr>
          <w:sz w:val="24"/>
          <w:szCs w:val="24"/>
        </w:rPr>
        <w:t xml:space="preserve">In the European Region and particularly in high-income countries within Europe, there is a much higher alcohol-attributable disease burden compared to alcohol-attributable deaths because of the disabling impact of AUDs.  </w:t>
      </w:r>
    </w:p>
    <w:p w:rsidR="001279C6" w:rsidRDefault="001279C6" w:rsidP="009A13D1">
      <w:pPr>
        <w:spacing w:after="0" w:line="240" w:lineRule="auto"/>
      </w:pPr>
    </w:p>
    <w:p w:rsidR="009A13D1" w:rsidRDefault="009A13D1" w:rsidP="009A13D1">
      <w:pPr>
        <w:spacing w:after="0" w:line="240" w:lineRule="auto"/>
      </w:pPr>
      <w:proofErr w:type="gramStart"/>
      <w:r>
        <w:lastRenderedPageBreak/>
        <w:t>Table 3: Summary of total consumption, harmful drinking pattern (HED) and burden of disease for the WHO European Region and the World.</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2410"/>
        <w:gridCol w:w="2613"/>
      </w:tblGrid>
      <w:tr w:rsidR="009A13D1" w:rsidTr="00DD19B7">
        <w:tc>
          <w:tcPr>
            <w:tcW w:w="4219" w:type="dxa"/>
            <w:tcBorders>
              <w:top w:val="single" w:sz="4" w:space="0" w:color="auto"/>
              <w:bottom w:val="single" w:sz="4" w:space="0" w:color="auto"/>
            </w:tcBorders>
          </w:tcPr>
          <w:p w:rsidR="009A13D1" w:rsidRDefault="009A13D1" w:rsidP="00DD19B7"/>
        </w:tc>
        <w:tc>
          <w:tcPr>
            <w:tcW w:w="2410" w:type="dxa"/>
            <w:tcBorders>
              <w:top w:val="single" w:sz="4" w:space="0" w:color="auto"/>
              <w:bottom w:val="single" w:sz="4" w:space="0" w:color="auto"/>
            </w:tcBorders>
          </w:tcPr>
          <w:p w:rsidR="009A13D1" w:rsidRDefault="009A13D1" w:rsidP="00DD19B7">
            <w:pPr>
              <w:jc w:val="center"/>
            </w:pPr>
            <w:r>
              <w:t>World</w:t>
            </w:r>
          </w:p>
        </w:tc>
        <w:tc>
          <w:tcPr>
            <w:tcW w:w="2613" w:type="dxa"/>
            <w:tcBorders>
              <w:top w:val="single" w:sz="4" w:space="0" w:color="auto"/>
              <w:bottom w:val="single" w:sz="4" w:space="0" w:color="auto"/>
            </w:tcBorders>
          </w:tcPr>
          <w:p w:rsidR="009A13D1" w:rsidRDefault="009A13D1" w:rsidP="00DD19B7">
            <w:pPr>
              <w:jc w:val="center"/>
            </w:pPr>
            <w:r>
              <w:t>WHO Euro Region</w:t>
            </w:r>
          </w:p>
        </w:tc>
      </w:tr>
      <w:tr w:rsidR="009A13D1" w:rsidTr="00DD19B7">
        <w:tc>
          <w:tcPr>
            <w:tcW w:w="4219" w:type="dxa"/>
            <w:tcBorders>
              <w:top w:val="single" w:sz="4" w:space="0" w:color="auto"/>
            </w:tcBorders>
          </w:tcPr>
          <w:p w:rsidR="009A13D1" w:rsidRDefault="009A13D1" w:rsidP="00DD19B7">
            <w:r>
              <w:t>Total alcohol per capita consumption (15+ years) litres of pure alcohol</w:t>
            </w:r>
          </w:p>
        </w:tc>
        <w:tc>
          <w:tcPr>
            <w:tcW w:w="2410" w:type="dxa"/>
            <w:tcBorders>
              <w:top w:val="single" w:sz="4" w:space="0" w:color="auto"/>
            </w:tcBorders>
          </w:tcPr>
          <w:p w:rsidR="009A13D1" w:rsidRDefault="009A13D1" w:rsidP="00DD19B7">
            <w:pPr>
              <w:jc w:val="center"/>
            </w:pPr>
          </w:p>
          <w:p w:rsidR="009A13D1" w:rsidRDefault="009A13D1" w:rsidP="00DD19B7">
            <w:pPr>
              <w:jc w:val="center"/>
            </w:pPr>
            <w:r>
              <w:t>6.2 litres</w:t>
            </w:r>
          </w:p>
        </w:tc>
        <w:tc>
          <w:tcPr>
            <w:tcW w:w="2613" w:type="dxa"/>
            <w:tcBorders>
              <w:top w:val="single" w:sz="4" w:space="0" w:color="auto"/>
            </w:tcBorders>
          </w:tcPr>
          <w:p w:rsidR="009A13D1" w:rsidRDefault="009A13D1" w:rsidP="00DD19B7">
            <w:pPr>
              <w:jc w:val="center"/>
            </w:pPr>
          </w:p>
          <w:p w:rsidR="009A13D1" w:rsidRDefault="009A13D1" w:rsidP="00DD19B7">
            <w:pPr>
              <w:jc w:val="center"/>
            </w:pPr>
            <w:r>
              <w:t>10.9 litres</w:t>
            </w:r>
          </w:p>
        </w:tc>
      </w:tr>
      <w:tr w:rsidR="009A13D1" w:rsidTr="00DD19B7">
        <w:tc>
          <w:tcPr>
            <w:tcW w:w="4219" w:type="dxa"/>
          </w:tcPr>
          <w:p w:rsidR="009A13D1" w:rsidRDefault="009A13D1" w:rsidP="00DD19B7"/>
          <w:p w:rsidR="009A13D1" w:rsidRDefault="009A13D1" w:rsidP="00DD19B7">
            <w:r>
              <w:t>Prevalence of Heavy episodic drinking (HED) (percentage)</w:t>
            </w:r>
          </w:p>
        </w:tc>
        <w:tc>
          <w:tcPr>
            <w:tcW w:w="2410" w:type="dxa"/>
          </w:tcPr>
          <w:p w:rsidR="009A13D1" w:rsidRDefault="009A13D1" w:rsidP="00DD19B7">
            <w:pPr>
              <w:jc w:val="center"/>
            </w:pPr>
            <w:r>
              <w:t>`</w:t>
            </w:r>
          </w:p>
          <w:p w:rsidR="009A13D1" w:rsidRDefault="009A13D1" w:rsidP="00DD19B7">
            <w:pPr>
              <w:jc w:val="center"/>
            </w:pPr>
            <w:r>
              <w:t>7.5%</w:t>
            </w:r>
          </w:p>
        </w:tc>
        <w:tc>
          <w:tcPr>
            <w:tcW w:w="2613" w:type="dxa"/>
          </w:tcPr>
          <w:p w:rsidR="009A13D1" w:rsidRDefault="009A13D1" w:rsidP="00DD19B7">
            <w:pPr>
              <w:jc w:val="center"/>
            </w:pPr>
          </w:p>
          <w:p w:rsidR="009A13D1" w:rsidRDefault="009A13D1" w:rsidP="00DD19B7">
            <w:pPr>
              <w:jc w:val="center"/>
            </w:pPr>
            <w:r>
              <w:t>16.5%</w:t>
            </w:r>
          </w:p>
        </w:tc>
      </w:tr>
      <w:tr w:rsidR="009A13D1" w:rsidTr="00DD19B7">
        <w:tc>
          <w:tcPr>
            <w:tcW w:w="4219" w:type="dxa"/>
          </w:tcPr>
          <w:p w:rsidR="009A13D1" w:rsidRDefault="009A13D1" w:rsidP="00DD19B7"/>
          <w:p w:rsidR="009A13D1" w:rsidRDefault="009A13D1" w:rsidP="00DD19B7">
            <w:r>
              <w:t>Alcohol-related Deaths</w:t>
            </w:r>
          </w:p>
          <w:p w:rsidR="009A13D1" w:rsidRDefault="009A13D1" w:rsidP="00DD19B7">
            <w:r>
              <w:t>Alcohol-attributable factions (AAFs) for all-cause deaths - % of all deaths</w:t>
            </w:r>
          </w:p>
        </w:tc>
        <w:tc>
          <w:tcPr>
            <w:tcW w:w="2410" w:type="dxa"/>
          </w:tcPr>
          <w:p w:rsidR="009A13D1" w:rsidRDefault="009A13D1" w:rsidP="00DD19B7">
            <w:pPr>
              <w:jc w:val="center"/>
            </w:pPr>
          </w:p>
          <w:p w:rsidR="009A13D1" w:rsidRDefault="009A13D1" w:rsidP="00DD19B7">
            <w:pPr>
              <w:jc w:val="center"/>
            </w:pPr>
            <w:r>
              <w:t>5.9%</w:t>
            </w:r>
          </w:p>
          <w:p w:rsidR="009A13D1" w:rsidRDefault="009A13D1" w:rsidP="00DD19B7">
            <w:pPr>
              <w:jc w:val="center"/>
            </w:pPr>
            <w:r>
              <w:t>(3.3 million deaths per year)</w:t>
            </w:r>
          </w:p>
        </w:tc>
        <w:tc>
          <w:tcPr>
            <w:tcW w:w="2613" w:type="dxa"/>
          </w:tcPr>
          <w:p w:rsidR="009A13D1" w:rsidRDefault="009A13D1" w:rsidP="00DD19B7">
            <w:pPr>
              <w:jc w:val="center"/>
            </w:pPr>
          </w:p>
          <w:p w:rsidR="009A13D1" w:rsidRDefault="009A13D1" w:rsidP="00DD19B7">
            <w:pPr>
              <w:jc w:val="center"/>
            </w:pPr>
            <w:r>
              <w:t>13.3%</w:t>
            </w:r>
          </w:p>
        </w:tc>
      </w:tr>
      <w:tr w:rsidR="009A13D1" w:rsidTr="00DD19B7">
        <w:tc>
          <w:tcPr>
            <w:tcW w:w="4219" w:type="dxa"/>
            <w:tcBorders>
              <w:bottom w:val="single" w:sz="4" w:space="0" w:color="auto"/>
            </w:tcBorders>
          </w:tcPr>
          <w:p w:rsidR="009A13D1" w:rsidRDefault="009A13D1" w:rsidP="00DD19B7"/>
          <w:p w:rsidR="009A13D1" w:rsidRDefault="009A13D1" w:rsidP="00DD19B7">
            <w:r>
              <w:t>Burden of Disease</w:t>
            </w:r>
          </w:p>
          <w:p w:rsidR="009A13D1" w:rsidRDefault="009A13D1" w:rsidP="00DD19B7">
            <w:r>
              <w:t>Alcohol-attributable fractions (AAFs) for all-cause DALYs - % of all global DALYs</w:t>
            </w:r>
          </w:p>
        </w:tc>
        <w:tc>
          <w:tcPr>
            <w:tcW w:w="2410" w:type="dxa"/>
            <w:tcBorders>
              <w:bottom w:val="single" w:sz="4" w:space="0" w:color="auto"/>
            </w:tcBorders>
          </w:tcPr>
          <w:p w:rsidR="009A13D1" w:rsidRDefault="009A13D1" w:rsidP="00DD19B7">
            <w:pPr>
              <w:jc w:val="center"/>
            </w:pPr>
          </w:p>
          <w:p w:rsidR="009A13D1" w:rsidRDefault="009A13D1" w:rsidP="00DD19B7">
            <w:pPr>
              <w:jc w:val="center"/>
            </w:pPr>
          </w:p>
          <w:p w:rsidR="009A13D1" w:rsidRDefault="009A13D1" w:rsidP="00DD19B7">
            <w:pPr>
              <w:jc w:val="center"/>
            </w:pPr>
            <w:r>
              <w:t>5.1%</w:t>
            </w:r>
          </w:p>
          <w:p w:rsidR="009A13D1" w:rsidRDefault="009A13D1" w:rsidP="00DD19B7">
            <w:pPr>
              <w:jc w:val="center"/>
            </w:pPr>
            <w:r>
              <w:t>(139,000 DALYs)</w:t>
            </w:r>
          </w:p>
        </w:tc>
        <w:tc>
          <w:tcPr>
            <w:tcW w:w="2613" w:type="dxa"/>
            <w:tcBorders>
              <w:bottom w:val="single" w:sz="4" w:space="0" w:color="auto"/>
            </w:tcBorders>
          </w:tcPr>
          <w:p w:rsidR="009A13D1" w:rsidRDefault="009A13D1" w:rsidP="00DD19B7">
            <w:pPr>
              <w:jc w:val="center"/>
            </w:pPr>
          </w:p>
          <w:p w:rsidR="009A13D1" w:rsidRDefault="009A13D1" w:rsidP="00DD19B7">
            <w:pPr>
              <w:jc w:val="center"/>
            </w:pPr>
          </w:p>
          <w:p w:rsidR="009A13D1" w:rsidRDefault="009A13D1" w:rsidP="00DD19B7">
            <w:pPr>
              <w:jc w:val="center"/>
            </w:pPr>
            <w:r>
              <w:t>12.8%</w:t>
            </w:r>
          </w:p>
        </w:tc>
      </w:tr>
    </w:tbl>
    <w:p w:rsidR="006E54AF" w:rsidRDefault="006E54AF"/>
    <w:p w:rsidR="00881A9A" w:rsidRPr="001279C6" w:rsidRDefault="00090603" w:rsidP="001279C6">
      <w:pPr>
        <w:spacing w:after="120"/>
        <w:rPr>
          <w:sz w:val="24"/>
          <w:szCs w:val="24"/>
        </w:rPr>
      </w:pPr>
      <w:r w:rsidRPr="001279C6">
        <w:rPr>
          <w:sz w:val="24"/>
          <w:szCs w:val="24"/>
        </w:rPr>
        <w:t>It is import</w:t>
      </w:r>
      <w:r w:rsidR="009A13D1" w:rsidRPr="001279C6">
        <w:rPr>
          <w:sz w:val="24"/>
          <w:szCs w:val="24"/>
        </w:rPr>
        <w:t>ant</w:t>
      </w:r>
      <w:r w:rsidRPr="001279C6">
        <w:rPr>
          <w:sz w:val="24"/>
          <w:szCs w:val="24"/>
        </w:rPr>
        <w:t xml:space="preserve"> to note that </w:t>
      </w:r>
      <w:r w:rsidRPr="0012000F">
        <w:rPr>
          <w:b/>
          <w:sz w:val="24"/>
          <w:szCs w:val="24"/>
        </w:rPr>
        <w:t>harmful use of alcohol kills or disables people at a relatively young age,</w:t>
      </w:r>
      <w:r w:rsidRPr="001279C6">
        <w:rPr>
          <w:sz w:val="24"/>
          <w:szCs w:val="24"/>
        </w:rPr>
        <w:t xml:space="preserve"> resulting in the loss of many years of life to death and disability. </w:t>
      </w:r>
      <w:r w:rsidR="00F56116" w:rsidRPr="001279C6">
        <w:rPr>
          <w:sz w:val="24"/>
          <w:szCs w:val="24"/>
        </w:rPr>
        <w:t>Among all groups starting f</w:t>
      </w:r>
      <w:r w:rsidRPr="001279C6">
        <w:rPr>
          <w:sz w:val="24"/>
          <w:szCs w:val="24"/>
        </w:rPr>
        <w:t>r</w:t>
      </w:r>
      <w:r w:rsidR="00F56116" w:rsidRPr="001279C6">
        <w:rPr>
          <w:sz w:val="24"/>
          <w:szCs w:val="24"/>
        </w:rPr>
        <w:t>om</w:t>
      </w:r>
      <w:r w:rsidR="00AE2FC3" w:rsidRPr="001279C6">
        <w:rPr>
          <w:sz w:val="24"/>
          <w:szCs w:val="24"/>
        </w:rPr>
        <w:t xml:space="preserve"> 15 years old, alcohol-</w:t>
      </w:r>
      <w:r w:rsidR="00881A9A" w:rsidRPr="001279C6">
        <w:rPr>
          <w:sz w:val="24"/>
          <w:szCs w:val="24"/>
        </w:rPr>
        <w:t>attributable deaths are highes</w:t>
      </w:r>
      <w:r w:rsidR="00F56116" w:rsidRPr="001279C6">
        <w:rPr>
          <w:sz w:val="24"/>
          <w:szCs w:val="24"/>
        </w:rPr>
        <w:t>t</w:t>
      </w:r>
      <w:r w:rsidR="00881A9A" w:rsidRPr="001279C6">
        <w:rPr>
          <w:sz w:val="24"/>
          <w:szCs w:val="24"/>
        </w:rPr>
        <w:t xml:space="preserve"> in the European region</w:t>
      </w:r>
      <w:r w:rsidR="00F56116" w:rsidRPr="001279C6">
        <w:rPr>
          <w:sz w:val="24"/>
          <w:szCs w:val="24"/>
        </w:rPr>
        <w:t xml:space="preserve">. Within the </w:t>
      </w:r>
      <w:r w:rsidR="00C804D7" w:rsidRPr="001279C6">
        <w:rPr>
          <w:sz w:val="24"/>
          <w:szCs w:val="24"/>
        </w:rPr>
        <w:t xml:space="preserve">WHO </w:t>
      </w:r>
      <w:r w:rsidR="00F56116" w:rsidRPr="001279C6">
        <w:rPr>
          <w:sz w:val="24"/>
          <w:szCs w:val="24"/>
        </w:rPr>
        <w:t xml:space="preserve">European Region, those aged 20-39 years have the highest proportion of alcohol deaths (one in four) and </w:t>
      </w:r>
      <w:r w:rsidR="00BD2B96" w:rsidRPr="001279C6">
        <w:rPr>
          <w:sz w:val="24"/>
          <w:szCs w:val="24"/>
        </w:rPr>
        <w:t xml:space="preserve">for the 15-19 age </w:t>
      </w:r>
      <w:proofErr w:type="gramStart"/>
      <w:r w:rsidR="00BD2B96" w:rsidRPr="001279C6">
        <w:rPr>
          <w:sz w:val="24"/>
          <w:szCs w:val="24"/>
        </w:rPr>
        <w:t>group</w:t>
      </w:r>
      <w:proofErr w:type="gramEnd"/>
      <w:r w:rsidR="00BD2B96" w:rsidRPr="001279C6">
        <w:rPr>
          <w:sz w:val="24"/>
          <w:szCs w:val="24"/>
        </w:rPr>
        <w:t xml:space="preserve"> is one in five</w:t>
      </w:r>
      <w:r w:rsidRPr="001279C6">
        <w:rPr>
          <w:sz w:val="24"/>
          <w:szCs w:val="24"/>
        </w:rPr>
        <w:t xml:space="preserve">. While worldwide </w:t>
      </w:r>
      <w:r w:rsidR="00F56116" w:rsidRPr="001279C6">
        <w:rPr>
          <w:sz w:val="24"/>
          <w:szCs w:val="24"/>
        </w:rPr>
        <w:t>alcohol-attributable deaths are highest w</w:t>
      </w:r>
      <w:r w:rsidRPr="001279C6">
        <w:rPr>
          <w:sz w:val="24"/>
          <w:szCs w:val="24"/>
        </w:rPr>
        <w:t>i</w:t>
      </w:r>
      <w:r w:rsidR="00F56116" w:rsidRPr="001279C6">
        <w:rPr>
          <w:sz w:val="24"/>
          <w:szCs w:val="24"/>
        </w:rPr>
        <w:t>thin the population aged 40-49 years.</w:t>
      </w:r>
    </w:p>
    <w:p w:rsidR="009A13D1" w:rsidRPr="001279C6" w:rsidRDefault="009A13D1" w:rsidP="001279C6">
      <w:pPr>
        <w:spacing w:after="120"/>
        <w:rPr>
          <w:b/>
          <w:sz w:val="24"/>
          <w:szCs w:val="24"/>
        </w:rPr>
      </w:pPr>
      <w:r w:rsidRPr="001279C6">
        <w:rPr>
          <w:b/>
          <w:sz w:val="24"/>
          <w:szCs w:val="24"/>
        </w:rPr>
        <w:t>Alcohol’s harm to others</w:t>
      </w:r>
    </w:p>
    <w:p w:rsidR="009A13D1" w:rsidRPr="001279C6" w:rsidRDefault="009A13D1" w:rsidP="001279C6">
      <w:pPr>
        <w:spacing w:after="120"/>
        <w:rPr>
          <w:sz w:val="24"/>
          <w:szCs w:val="24"/>
        </w:rPr>
      </w:pPr>
      <w:r w:rsidRPr="001279C6">
        <w:rPr>
          <w:sz w:val="24"/>
          <w:szCs w:val="24"/>
        </w:rPr>
        <w:t>Harmful use of alcohol results in significant health, social and economic burden on society at large.  Alcohol consumption can have both health and social consequences for others around the drinker, such as family member, friends, co-workers and strangers. The types of harm to individuals around the drinker include injury, neglect or abuse, default on social role, property damage, toxic effects and loss of amenity or piece of mind. The WHO has identified alcohol’s harm to others as a priority research area to enable furth</w:t>
      </w:r>
      <w:r w:rsidR="007B7CDC" w:rsidRPr="001279C6">
        <w:rPr>
          <w:sz w:val="24"/>
          <w:szCs w:val="24"/>
        </w:rPr>
        <w:t>er burden of diseases studies</w:t>
      </w:r>
      <w:r w:rsidRPr="001279C6">
        <w:rPr>
          <w:sz w:val="24"/>
          <w:szCs w:val="24"/>
        </w:rPr>
        <w:t xml:space="preserve"> include this significant area of alcohol-related harm, which is currently not included. </w:t>
      </w:r>
    </w:p>
    <w:p w:rsidR="00090603" w:rsidRPr="001279C6" w:rsidRDefault="00090603" w:rsidP="001279C6">
      <w:pPr>
        <w:spacing w:after="120"/>
        <w:rPr>
          <w:sz w:val="24"/>
          <w:szCs w:val="24"/>
        </w:rPr>
      </w:pPr>
      <w:r w:rsidRPr="001279C6">
        <w:rPr>
          <w:sz w:val="24"/>
          <w:szCs w:val="24"/>
        </w:rPr>
        <w:t xml:space="preserve">Alcohol related harm imposes significant social and economic cost in society in three main categories – </w:t>
      </w:r>
      <w:r w:rsidRPr="001279C6">
        <w:rPr>
          <w:sz w:val="24"/>
          <w:szCs w:val="24"/>
          <w:u w:val="single"/>
        </w:rPr>
        <w:t>direct cost</w:t>
      </w:r>
      <w:r w:rsidR="00C804D7" w:rsidRPr="001279C6">
        <w:rPr>
          <w:sz w:val="24"/>
          <w:szCs w:val="24"/>
          <w:u w:val="single"/>
        </w:rPr>
        <w:t>s</w:t>
      </w:r>
      <w:r w:rsidRPr="001279C6">
        <w:rPr>
          <w:sz w:val="24"/>
          <w:szCs w:val="24"/>
        </w:rPr>
        <w:t xml:space="preserve"> mainly born</w:t>
      </w:r>
      <w:r w:rsidR="007B7CDC" w:rsidRPr="001279C6">
        <w:rPr>
          <w:sz w:val="24"/>
          <w:szCs w:val="24"/>
        </w:rPr>
        <w:t>e</w:t>
      </w:r>
      <w:r w:rsidRPr="001279C6">
        <w:rPr>
          <w:sz w:val="24"/>
          <w:szCs w:val="24"/>
        </w:rPr>
        <w:t xml:space="preserve"> by government such as cost to the health </w:t>
      </w:r>
      <w:r w:rsidR="0096073E" w:rsidRPr="001279C6">
        <w:rPr>
          <w:sz w:val="24"/>
          <w:szCs w:val="24"/>
        </w:rPr>
        <w:t>care, criminal justice</w:t>
      </w:r>
      <w:r w:rsidRPr="001279C6">
        <w:rPr>
          <w:sz w:val="24"/>
          <w:szCs w:val="24"/>
        </w:rPr>
        <w:t xml:space="preserve"> and the welfare system</w:t>
      </w:r>
      <w:r w:rsidR="0096073E" w:rsidRPr="001279C6">
        <w:rPr>
          <w:sz w:val="24"/>
          <w:szCs w:val="24"/>
        </w:rPr>
        <w:t>s</w:t>
      </w:r>
      <w:r w:rsidRPr="001279C6">
        <w:rPr>
          <w:sz w:val="24"/>
          <w:szCs w:val="24"/>
        </w:rPr>
        <w:t xml:space="preserve">. </w:t>
      </w:r>
      <w:r w:rsidRPr="001279C6">
        <w:rPr>
          <w:sz w:val="24"/>
          <w:szCs w:val="24"/>
          <w:u w:val="single"/>
        </w:rPr>
        <w:t>Indirect co</w:t>
      </w:r>
      <w:r w:rsidR="00C804D7" w:rsidRPr="001279C6">
        <w:rPr>
          <w:sz w:val="24"/>
          <w:szCs w:val="24"/>
          <w:u w:val="single"/>
        </w:rPr>
        <w:t>sts</w:t>
      </w:r>
      <w:r w:rsidR="00C804D7" w:rsidRPr="001279C6">
        <w:rPr>
          <w:sz w:val="24"/>
          <w:szCs w:val="24"/>
        </w:rPr>
        <w:t xml:space="preserve"> such as lost productivity due</w:t>
      </w:r>
      <w:r w:rsidRPr="001279C6">
        <w:rPr>
          <w:sz w:val="24"/>
          <w:szCs w:val="24"/>
        </w:rPr>
        <w:t xml:space="preserve"> to absenteeism, unemployment, decreased output, reduced earnings potential and lost working years due to premature pension or death, mainly born</w:t>
      </w:r>
      <w:r w:rsidR="007B7CDC" w:rsidRPr="001279C6">
        <w:rPr>
          <w:sz w:val="24"/>
          <w:szCs w:val="24"/>
        </w:rPr>
        <w:t>e</w:t>
      </w:r>
      <w:r w:rsidRPr="001279C6">
        <w:rPr>
          <w:sz w:val="24"/>
          <w:szCs w:val="24"/>
        </w:rPr>
        <w:t xml:space="preserve"> by society at large. The third category is </w:t>
      </w:r>
      <w:r w:rsidRPr="001279C6">
        <w:rPr>
          <w:sz w:val="24"/>
          <w:szCs w:val="24"/>
          <w:u w:val="single"/>
        </w:rPr>
        <w:t>intangible costs</w:t>
      </w:r>
      <w:r w:rsidRPr="001279C6">
        <w:rPr>
          <w:sz w:val="24"/>
          <w:szCs w:val="24"/>
        </w:rPr>
        <w:t>, generally poorly measured, such as the pain and suffering and more generally diminished quality of life. The intangible c</w:t>
      </w:r>
      <w:r w:rsidR="0096073E" w:rsidRPr="001279C6">
        <w:rPr>
          <w:sz w:val="24"/>
          <w:szCs w:val="24"/>
        </w:rPr>
        <w:t>osts are mainly born</w:t>
      </w:r>
      <w:r w:rsidR="007B7CDC" w:rsidRPr="001279C6">
        <w:rPr>
          <w:sz w:val="24"/>
          <w:szCs w:val="24"/>
        </w:rPr>
        <w:t>e</w:t>
      </w:r>
      <w:r w:rsidR="0096073E" w:rsidRPr="001279C6">
        <w:rPr>
          <w:sz w:val="24"/>
          <w:szCs w:val="24"/>
        </w:rPr>
        <w:t xml:space="preserve"> by </w:t>
      </w:r>
      <w:r w:rsidRPr="001279C6">
        <w:rPr>
          <w:sz w:val="24"/>
          <w:szCs w:val="24"/>
        </w:rPr>
        <w:t>drinkers as well as their families and potentially by others linked to the drinker.</w:t>
      </w:r>
      <w:r w:rsidR="00F73A85" w:rsidRPr="001279C6">
        <w:rPr>
          <w:sz w:val="24"/>
          <w:szCs w:val="24"/>
        </w:rPr>
        <w:t xml:space="preserve"> </w:t>
      </w:r>
      <w:r w:rsidR="00EF61AB" w:rsidRPr="001279C6">
        <w:rPr>
          <w:sz w:val="24"/>
          <w:szCs w:val="24"/>
        </w:rPr>
        <w:t xml:space="preserve">Alcohol-attributable </w:t>
      </w:r>
      <w:r w:rsidRPr="001279C6">
        <w:rPr>
          <w:sz w:val="24"/>
          <w:szCs w:val="24"/>
        </w:rPr>
        <w:t>cost</w:t>
      </w:r>
      <w:r w:rsidR="00EF61AB" w:rsidRPr="001279C6">
        <w:rPr>
          <w:sz w:val="24"/>
          <w:szCs w:val="24"/>
        </w:rPr>
        <w:t>s</w:t>
      </w:r>
      <w:r w:rsidRPr="001279C6">
        <w:rPr>
          <w:sz w:val="24"/>
          <w:szCs w:val="24"/>
        </w:rPr>
        <w:t xml:space="preserve"> have been estimated at about </w:t>
      </w:r>
      <w:r w:rsidR="009A13D1" w:rsidRPr="001279C6">
        <w:rPr>
          <w:b/>
          <w:sz w:val="24"/>
          <w:szCs w:val="24"/>
        </w:rPr>
        <w:t>€</w:t>
      </w:r>
      <w:r w:rsidRPr="001279C6">
        <w:rPr>
          <w:b/>
          <w:sz w:val="24"/>
          <w:szCs w:val="24"/>
        </w:rPr>
        <w:t xml:space="preserve">125 billion </w:t>
      </w:r>
      <w:r w:rsidR="009A13D1" w:rsidRPr="001279C6">
        <w:rPr>
          <w:b/>
          <w:sz w:val="24"/>
          <w:szCs w:val="24"/>
        </w:rPr>
        <w:t>per year</w:t>
      </w:r>
      <w:r w:rsidR="009A13D1" w:rsidRPr="001279C6">
        <w:rPr>
          <w:sz w:val="24"/>
          <w:szCs w:val="24"/>
        </w:rPr>
        <w:t xml:space="preserve"> </w:t>
      </w:r>
      <w:r w:rsidRPr="001279C6">
        <w:rPr>
          <w:sz w:val="24"/>
          <w:szCs w:val="24"/>
        </w:rPr>
        <w:t>in the European Union</w:t>
      </w:r>
      <w:r w:rsidR="00F73A85" w:rsidRPr="001279C6">
        <w:rPr>
          <w:sz w:val="24"/>
          <w:szCs w:val="24"/>
        </w:rPr>
        <w:t xml:space="preserve"> (EU)</w:t>
      </w:r>
      <w:r w:rsidRPr="001279C6">
        <w:rPr>
          <w:sz w:val="24"/>
          <w:szCs w:val="24"/>
        </w:rPr>
        <w:t xml:space="preserve"> in 2003 (Anderson et al 2006). </w:t>
      </w:r>
      <w:r w:rsidR="00F73A85" w:rsidRPr="001279C6">
        <w:rPr>
          <w:sz w:val="24"/>
          <w:szCs w:val="24"/>
        </w:rPr>
        <w:t xml:space="preserve">In addition, the estimated intangible costs </w:t>
      </w:r>
      <w:r w:rsidR="00002636" w:rsidRPr="001279C6">
        <w:rPr>
          <w:sz w:val="24"/>
          <w:szCs w:val="24"/>
        </w:rPr>
        <w:t>were</w:t>
      </w:r>
      <w:r w:rsidR="00F73A85" w:rsidRPr="001279C6">
        <w:rPr>
          <w:sz w:val="24"/>
          <w:szCs w:val="24"/>
        </w:rPr>
        <w:t xml:space="preserve"> 270 billion in the E</w:t>
      </w:r>
      <w:r w:rsidR="00BD2B96" w:rsidRPr="001279C6">
        <w:rPr>
          <w:sz w:val="24"/>
          <w:szCs w:val="24"/>
        </w:rPr>
        <w:t>uropean Union</w:t>
      </w:r>
      <w:r w:rsidR="00F73A85" w:rsidRPr="001279C6">
        <w:rPr>
          <w:sz w:val="24"/>
          <w:szCs w:val="24"/>
        </w:rPr>
        <w:t>.</w:t>
      </w:r>
    </w:p>
    <w:p w:rsidR="009E5917" w:rsidRPr="001279C6" w:rsidRDefault="0012000F" w:rsidP="001279C6">
      <w:pPr>
        <w:spacing w:after="120"/>
        <w:rPr>
          <w:b/>
          <w:sz w:val="24"/>
          <w:szCs w:val="24"/>
        </w:rPr>
      </w:pPr>
      <w:r>
        <w:rPr>
          <w:b/>
          <w:sz w:val="24"/>
          <w:szCs w:val="24"/>
        </w:rPr>
        <w:lastRenderedPageBreak/>
        <w:t xml:space="preserve">2.3 </w:t>
      </w:r>
      <w:r w:rsidR="009E5917" w:rsidRPr="001279C6">
        <w:rPr>
          <w:b/>
          <w:sz w:val="24"/>
          <w:szCs w:val="24"/>
        </w:rPr>
        <w:t>Evidence of effectiveness</w:t>
      </w:r>
    </w:p>
    <w:p w:rsidR="009E5917" w:rsidRPr="001279C6" w:rsidRDefault="009E5917" w:rsidP="001279C6">
      <w:pPr>
        <w:spacing w:after="120"/>
        <w:rPr>
          <w:sz w:val="24"/>
          <w:szCs w:val="24"/>
        </w:rPr>
      </w:pPr>
      <w:r w:rsidRPr="0012000F">
        <w:rPr>
          <w:b/>
          <w:sz w:val="24"/>
          <w:szCs w:val="24"/>
        </w:rPr>
        <w:t xml:space="preserve">The extent and nature of </w:t>
      </w:r>
      <w:r w:rsidR="00002636" w:rsidRPr="0012000F">
        <w:rPr>
          <w:b/>
          <w:sz w:val="24"/>
          <w:szCs w:val="24"/>
        </w:rPr>
        <w:t xml:space="preserve">the </w:t>
      </w:r>
      <w:r w:rsidRPr="0012000F">
        <w:rPr>
          <w:b/>
          <w:sz w:val="24"/>
          <w:szCs w:val="24"/>
        </w:rPr>
        <w:t>alcohol-attributable disease burden and social harms provides a solid rationale for implementing effective alcohol policies by governments</w:t>
      </w:r>
      <w:r w:rsidRPr="001279C6">
        <w:rPr>
          <w:sz w:val="24"/>
          <w:szCs w:val="24"/>
        </w:rPr>
        <w:t xml:space="preserve">. The </w:t>
      </w:r>
      <w:r w:rsidR="00002636" w:rsidRPr="001279C6">
        <w:rPr>
          <w:sz w:val="24"/>
          <w:szCs w:val="24"/>
        </w:rPr>
        <w:t xml:space="preserve">WHO </w:t>
      </w:r>
      <w:r w:rsidRPr="001279C6">
        <w:rPr>
          <w:sz w:val="24"/>
          <w:szCs w:val="24"/>
        </w:rPr>
        <w:t>Global strategy to reduce harmfu</w:t>
      </w:r>
      <w:r w:rsidR="00002636" w:rsidRPr="001279C6">
        <w:rPr>
          <w:sz w:val="24"/>
          <w:szCs w:val="24"/>
        </w:rPr>
        <w:t>l use of alcohol identifie</w:t>
      </w:r>
      <w:r w:rsidR="009A13D1" w:rsidRPr="001279C6">
        <w:rPr>
          <w:sz w:val="24"/>
          <w:szCs w:val="24"/>
        </w:rPr>
        <w:t>s</w:t>
      </w:r>
      <w:r w:rsidR="00002636" w:rsidRPr="001279C6">
        <w:rPr>
          <w:sz w:val="24"/>
          <w:szCs w:val="24"/>
        </w:rPr>
        <w:t xml:space="preserve"> </w:t>
      </w:r>
      <w:r w:rsidRPr="001279C6">
        <w:rPr>
          <w:sz w:val="24"/>
          <w:szCs w:val="24"/>
        </w:rPr>
        <w:t xml:space="preserve">guiding principles for </w:t>
      </w:r>
      <w:r w:rsidR="00002636" w:rsidRPr="001279C6">
        <w:rPr>
          <w:sz w:val="24"/>
          <w:szCs w:val="24"/>
        </w:rPr>
        <w:t xml:space="preserve">the </w:t>
      </w:r>
      <w:r w:rsidRPr="001279C6">
        <w:rPr>
          <w:sz w:val="24"/>
          <w:szCs w:val="24"/>
        </w:rPr>
        <w:t>development and implementation of alcohol po</w:t>
      </w:r>
      <w:r w:rsidR="00002636" w:rsidRPr="001279C6">
        <w:rPr>
          <w:sz w:val="24"/>
          <w:szCs w:val="24"/>
        </w:rPr>
        <w:t>lices at all levels</w:t>
      </w:r>
      <w:r w:rsidRPr="001279C6">
        <w:rPr>
          <w:sz w:val="24"/>
          <w:szCs w:val="24"/>
        </w:rPr>
        <w:t xml:space="preserve">. </w:t>
      </w:r>
      <w:r w:rsidR="00002636" w:rsidRPr="001279C6">
        <w:rPr>
          <w:sz w:val="24"/>
          <w:szCs w:val="24"/>
        </w:rPr>
        <w:t xml:space="preserve">One of the key guiding principles is </w:t>
      </w:r>
      <w:r w:rsidRPr="001279C6">
        <w:rPr>
          <w:sz w:val="24"/>
          <w:szCs w:val="24"/>
        </w:rPr>
        <w:t>that alcohol policies should be based on the best</w:t>
      </w:r>
      <w:r w:rsidR="00002636" w:rsidRPr="001279C6">
        <w:rPr>
          <w:sz w:val="24"/>
          <w:szCs w:val="24"/>
        </w:rPr>
        <w:t xml:space="preserve"> available evidence </w:t>
      </w:r>
      <w:r w:rsidR="00BD2B96" w:rsidRPr="001279C6">
        <w:rPr>
          <w:sz w:val="24"/>
          <w:szCs w:val="24"/>
        </w:rPr>
        <w:t xml:space="preserve">and </w:t>
      </w:r>
      <w:r w:rsidRPr="001279C6">
        <w:rPr>
          <w:sz w:val="24"/>
          <w:szCs w:val="24"/>
        </w:rPr>
        <w:t>that public health should be given ‘proper deference’ in relation to competing interest</w:t>
      </w:r>
      <w:r w:rsidR="00BD2B96" w:rsidRPr="001279C6">
        <w:rPr>
          <w:sz w:val="24"/>
          <w:szCs w:val="24"/>
        </w:rPr>
        <w:t>s</w:t>
      </w:r>
      <w:r w:rsidRPr="001279C6">
        <w:rPr>
          <w:sz w:val="24"/>
          <w:szCs w:val="24"/>
        </w:rPr>
        <w:t xml:space="preserve">. </w:t>
      </w:r>
      <w:r w:rsidR="00BE205A">
        <w:rPr>
          <w:sz w:val="24"/>
          <w:szCs w:val="24"/>
        </w:rPr>
        <w:t xml:space="preserve"> </w:t>
      </w:r>
      <w:r w:rsidRPr="001279C6">
        <w:rPr>
          <w:sz w:val="24"/>
          <w:szCs w:val="24"/>
        </w:rPr>
        <w:t>A substantial body of knowledge has accumulated during recent years on the feasibility, effectiveness and cost effectiveness of different policy options shown to reduc</w:t>
      </w:r>
      <w:r w:rsidR="00002636" w:rsidRPr="001279C6">
        <w:rPr>
          <w:sz w:val="24"/>
          <w:szCs w:val="24"/>
        </w:rPr>
        <w:t>e alcohol-related harm</w:t>
      </w:r>
      <w:r w:rsidRPr="001279C6">
        <w:rPr>
          <w:sz w:val="24"/>
          <w:szCs w:val="24"/>
        </w:rPr>
        <w:t>.</w:t>
      </w:r>
      <w:r w:rsidR="00002636" w:rsidRPr="001279C6">
        <w:rPr>
          <w:sz w:val="24"/>
          <w:szCs w:val="24"/>
        </w:rPr>
        <w:t xml:space="preserve">  The WHO report affirms that</w:t>
      </w:r>
    </w:p>
    <w:p w:rsidR="00002636" w:rsidRDefault="009E5917" w:rsidP="007B7CDC">
      <w:r>
        <w:t>“</w:t>
      </w:r>
      <w:r w:rsidRPr="00767640">
        <w:rPr>
          <w:i/>
        </w:rPr>
        <w:t>The accumulated research findings indicate that population-based policy options - such as the use of taxation to regulate the demand for alcohol, restrictions on alcohol availability and implementing bans on alcohol advertising – are the best buys in reducing the harmful use of alcohol as they are highly cost-effective in reducing alcohol</w:t>
      </w:r>
      <w:r>
        <w:rPr>
          <w:i/>
        </w:rPr>
        <w:t>-</w:t>
      </w:r>
      <w:r w:rsidRPr="00767640">
        <w:rPr>
          <w:i/>
        </w:rPr>
        <w:t>attributable deaths and disability at population level</w:t>
      </w:r>
      <w:r w:rsidR="00002636">
        <w:t xml:space="preserve"> “ </w:t>
      </w:r>
    </w:p>
    <w:p w:rsidR="009E5917" w:rsidRPr="00002636" w:rsidRDefault="00002636" w:rsidP="00002636">
      <w:pPr>
        <w:jc w:val="right"/>
        <w:rPr>
          <w:i/>
        </w:rPr>
      </w:pPr>
      <w:r>
        <w:t>(</w:t>
      </w:r>
      <w:r w:rsidRPr="00002636">
        <w:rPr>
          <w:i/>
        </w:rPr>
        <w:t>Chisholm et al 20</w:t>
      </w:r>
      <w:r w:rsidR="001279C6">
        <w:rPr>
          <w:i/>
        </w:rPr>
        <w:t>04; Anderson et al 2009; WHO 201</w:t>
      </w:r>
      <w:r w:rsidRPr="00002636">
        <w:rPr>
          <w:i/>
        </w:rPr>
        <w:t>1)</w:t>
      </w:r>
    </w:p>
    <w:p w:rsidR="0071699E" w:rsidRPr="001279C6" w:rsidRDefault="009E5917" w:rsidP="001279C6">
      <w:pPr>
        <w:pStyle w:val="Default"/>
        <w:spacing w:after="120" w:line="276" w:lineRule="auto"/>
        <w:rPr>
          <w:rFonts w:asciiTheme="minorHAnsi" w:hAnsiTheme="minorHAnsi"/>
        </w:rPr>
      </w:pPr>
      <w:r w:rsidRPr="001279C6">
        <w:rPr>
          <w:rFonts w:asciiTheme="minorHAnsi" w:hAnsiTheme="minorHAnsi"/>
        </w:rPr>
        <w:t xml:space="preserve">There is also strong evidence of effectiveness for certain measures against </w:t>
      </w:r>
      <w:proofErr w:type="spellStart"/>
      <w:r w:rsidRPr="001279C6">
        <w:rPr>
          <w:rFonts w:asciiTheme="minorHAnsi" w:hAnsiTheme="minorHAnsi"/>
        </w:rPr>
        <w:t>drink</w:t>
      </w:r>
      <w:proofErr w:type="spellEnd"/>
      <w:r w:rsidRPr="001279C6">
        <w:rPr>
          <w:rFonts w:asciiTheme="minorHAnsi" w:hAnsiTheme="minorHAnsi"/>
        </w:rPr>
        <w:t>-driving such as setting low BAC limits and enforcing them by</w:t>
      </w:r>
      <w:r w:rsidR="00002636" w:rsidRPr="001279C6">
        <w:rPr>
          <w:rFonts w:asciiTheme="minorHAnsi" w:hAnsiTheme="minorHAnsi"/>
        </w:rPr>
        <w:t xml:space="preserve"> random breath testing (</w:t>
      </w:r>
      <w:proofErr w:type="spellStart"/>
      <w:r w:rsidR="00002636" w:rsidRPr="001279C6">
        <w:rPr>
          <w:rFonts w:asciiTheme="minorHAnsi" w:hAnsiTheme="minorHAnsi"/>
        </w:rPr>
        <w:t>Babor</w:t>
      </w:r>
      <w:proofErr w:type="spellEnd"/>
      <w:r w:rsidR="00002636" w:rsidRPr="001279C6">
        <w:rPr>
          <w:rFonts w:asciiTheme="minorHAnsi" w:hAnsiTheme="minorHAnsi"/>
        </w:rPr>
        <w:t xml:space="preserve"> </w:t>
      </w:r>
      <w:r w:rsidRPr="001279C6">
        <w:rPr>
          <w:rFonts w:asciiTheme="minorHAnsi" w:hAnsiTheme="minorHAnsi"/>
        </w:rPr>
        <w:t>et al 2010). Screening and brief interventions for hazardous and harmful drinking have a good cost-effectiveness profile, although their implementation requires more resources than are needed for population-based measures (Chisholm et al 2004; Anderson et al 2012).   There is some evidence of effectiveness of multicomponent community interventions (Holder et al 2000</w:t>
      </w:r>
      <w:r w:rsidR="00F93ECA" w:rsidRPr="001279C6">
        <w:rPr>
          <w:rFonts w:asciiTheme="minorHAnsi" w:hAnsiTheme="minorHAnsi"/>
        </w:rPr>
        <w:t>;</w:t>
      </w:r>
      <w:r w:rsidRPr="001279C6">
        <w:rPr>
          <w:rFonts w:asciiTheme="minorHAnsi" w:hAnsiTheme="minorHAnsi"/>
        </w:rPr>
        <w:t xml:space="preserve"> </w:t>
      </w:r>
      <w:proofErr w:type="spellStart"/>
      <w:r w:rsidRPr="001279C6">
        <w:rPr>
          <w:rFonts w:asciiTheme="minorHAnsi" w:hAnsiTheme="minorHAnsi"/>
        </w:rPr>
        <w:t>Wagenaar</w:t>
      </w:r>
      <w:proofErr w:type="spellEnd"/>
      <w:r w:rsidRPr="001279C6">
        <w:rPr>
          <w:rFonts w:asciiTheme="minorHAnsi" w:hAnsiTheme="minorHAnsi"/>
        </w:rPr>
        <w:t xml:space="preserve"> et al 2000; </w:t>
      </w:r>
      <w:proofErr w:type="spellStart"/>
      <w:r w:rsidRPr="001279C6">
        <w:rPr>
          <w:rFonts w:asciiTheme="minorHAnsi" w:hAnsiTheme="minorHAnsi"/>
        </w:rPr>
        <w:t>Ramstedt</w:t>
      </w:r>
      <w:proofErr w:type="spellEnd"/>
      <w:r w:rsidRPr="001279C6">
        <w:rPr>
          <w:rFonts w:asciiTheme="minorHAnsi" w:hAnsiTheme="minorHAnsi"/>
        </w:rPr>
        <w:t xml:space="preserve"> et al 2013).</w:t>
      </w:r>
      <w:r w:rsidR="008770D3" w:rsidRPr="001279C6">
        <w:rPr>
          <w:rFonts w:asciiTheme="minorHAnsi" w:hAnsiTheme="minorHAnsi"/>
        </w:rPr>
        <w:t xml:space="preserve">  </w:t>
      </w:r>
      <w:r w:rsidR="0071699E" w:rsidRPr="001279C6">
        <w:rPr>
          <w:rFonts w:asciiTheme="minorHAnsi" w:hAnsiTheme="minorHAnsi"/>
        </w:rPr>
        <w:t xml:space="preserve">The </w:t>
      </w:r>
      <w:r w:rsidR="00CA672E" w:rsidRPr="001279C6">
        <w:rPr>
          <w:rFonts w:asciiTheme="minorHAnsi" w:hAnsiTheme="minorHAnsi"/>
        </w:rPr>
        <w:t xml:space="preserve">recent </w:t>
      </w:r>
      <w:r w:rsidR="0071699E" w:rsidRPr="001279C6">
        <w:rPr>
          <w:rFonts w:asciiTheme="minorHAnsi" w:hAnsiTheme="minorHAnsi"/>
        </w:rPr>
        <w:t>research evidence on the effectiv</w:t>
      </w:r>
      <w:r w:rsidR="00BD2B96" w:rsidRPr="001279C6">
        <w:rPr>
          <w:rFonts w:asciiTheme="minorHAnsi" w:hAnsiTheme="minorHAnsi"/>
        </w:rPr>
        <w:t>eness of minimum unit pricing in</w:t>
      </w:r>
      <w:r w:rsidR="0071699E" w:rsidRPr="001279C6">
        <w:rPr>
          <w:rFonts w:asciiTheme="minorHAnsi" w:hAnsiTheme="minorHAnsi"/>
        </w:rPr>
        <w:t xml:space="preserve"> reducing consumption and harm has received much attention</w:t>
      </w:r>
      <w:r w:rsidR="00AD45E0" w:rsidRPr="001279C6">
        <w:rPr>
          <w:rFonts w:asciiTheme="minorHAnsi" w:hAnsiTheme="minorHAnsi"/>
        </w:rPr>
        <w:t xml:space="preserve"> (</w:t>
      </w:r>
      <w:r w:rsidR="00CA672E" w:rsidRPr="001279C6">
        <w:rPr>
          <w:rFonts w:asciiTheme="minorHAnsi" w:hAnsiTheme="minorHAnsi"/>
        </w:rPr>
        <w:t xml:space="preserve">Zhao et al 2012; Zhao et al 2013; </w:t>
      </w:r>
      <w:r w:rsidR="0012000F">
        <w:rPr>
          <w:rFonts w:asciiTheme="minorHAnsi" w:hAnsiTheme="minorHAnsi"/>
        </w:rPr>
        <w:t>Holmes et al 2014</w:t>
      </w:r>
      <w:r w:rsidR="00CA672E" w:rsidRPr="001279C6">
        <w:rPr>
          <w:rFonts w:asciiTheme="minorHAnsi" w:hAnsiTheme="minorHAnsi"/>
        </w:rPr>
        <w:t>)</w:t>
      </w:r>
      <w:r w:rsidR="00F93ECA" w:rsidRPr="001279C6">
        <w:rPr>
          <w:rFonts w:asciiTheme="minorHAnsi" w:hAnsiTheme="minorHAnsi"/>
        </w:rPr>
        <w:t xml:space="preserve">. </w:t>
      </w:r>
    </w:p>
    <w:p w:rsidR="00BE205A" w:rsidRDefault="00BE205A" w:rsidP="001279C6">
      <w:pPr>
        <w:spacing w:after="120"/>
        <w:rPr>
          <w:b/>
          <w:sz w:val="24"/>
          <w:szCs w:val="24"/>
        </w:rPr>
      </w:pPr>
    </w:p>
    <w:p w:rsidR="009E5917" w:rsidRPr="001279C6" w:rsidRDefault="0012000F" w:rsidP="001279C6">
      <w:pPr>
        <w:spacing w:after="120"/>
        <w:rPr>
          <w:b/>
          <w:sz w:val="24"/>
          <w:szCs w:val="24"/>
        </w:rPr>
      </w:pPr>
      <w:r>
        <w:rPr>
          <w:b/>
          <w:sz w:val="24"/>
          <w:szCs w:val="24"/>
        </w:rPr>
        <w:t xml:space="preserve">2.4 </w:t>
      </w:r>
      <w:r w:rsidR="00790E54" w:rsidRPr="001279C6">
        <w:rPr>
          <w:b/>
          <w:sz w:val="24"/>
          <w:szCs w:val="24"/>
        </w:rPr>
        <w:t>Global m</w:t>
      </w:r>
      <w:r w:rsidR="009E5917" w:rsidRPr="001279C6">
        <w:rPr>
          <w:b/>
          <w:sz w:val="24"/>
          <w:szCs w:val="24"/>
        </w:rPr>
        <w:t>onito</w:t>
      </w:r>
      <w:r w:rsidR="00790E54" w:rsidRPr="001279C6">
        <w:rPr>
          <w:b/>
          <w:sz w:val="24"/>
          <w:szCs w:val="24"/>
        </w:rPr>
        <w:t>ring framework</w:t>
      </w:r>
    </w:p>
    <w:p w:rsidR="009E5917" w:rsidRPr="001279C6" w:rsidRDefault="009E5917" w:rsidP="001279C6">
      <w:pPr>
        <w:spacing w:after="120"/>
        <w:rPr>
          <w:sz w:val="24"/>
          <w:szCs w:val="24"/>
        </w:rPr>
      </w:pPr>
      <w:r w:rsidRPr="001279C6">
        <w:rPr>
          <w:sz w:val="24"/>
          <w:szCs w:val="24"/>
        </w:rPr>
        <w:t xml:space="preserve">As a follow on from the UN Political Declaration on Non-Communicable Diseases (NCD) in 2011 where harmful use of alcohol was identified at a key risk factor, along with tobacco use, an unhealthy diet and lack of physical activity, one alcohol-related voluntary global target was recommended </w:t>
      </w:r>
    </w:p>
    <w:p w:rsidR="009E5917" w:rsidRDefault="009E5917" w:rsidP="00BE205A">
      <w:pPr>
        <w:spacing w:after="120"/>
        <w:jc w:val="center"/>
        <w:rPr>
          <w:i/>
        </w:rPr>
      </w:pPr>
      <w:r>
        <w:rPr>
          <w:i/>
        </w:rPr>
        <w:t>“</w:t>
      </w:r>
      <w:proofErr w:type="gramStart"/>
      <w:r w:rsidRPr="00C26FDC">
        <w:rPr>
          <w:i/>
        </w:rPr>
        <w:t>at</w:t>
      </w:r>
      <w:proofErr w:type="gramEnd"/>
      <w:r w:rsidRPr="00C26FDC">
        <w:rPr>
          <w:i/>
        </w:rPr>
        <w:t xml:space="preserve"> least 10% relative reduction in the harmful use of alcohol with</w:t>
      </w:r>
      <w:r w:rsidR="00F93ECA">
        <w:rPr>
          <w:i/>
        </w:rPr>
        <w:t>in</w:t>
      </w:r>
      <w:r w:rsidRPr="00C26FDC">
        <w:rPr>
          <w:i/>
        </w:rPr>
        <w:t xml:space="preserve"> the national context”</w:t>
      </w:r>
    </w:p>
    <w:p w:rsidR="009E5917" w:rsidRPr="001279C6" w:rsidRDefault="009E5917" w:rsidP="00BE205A">
      <w:pPr>
        <w:spacing w:after="120"/>
        <w:rPr>
          <w:sz w:val="24"/>
          <w:szCs w:val="24"/>
        </w:rPr>
      </w:pPr>
      <w:r w:rsidRPr="001279C6">
        <w:rPr>
          <w:sz w:val="24"/>
          <w:szCs w:val="24"/>
        </w:rPr>
        <w:t xml:space="preserve">In addition, </w:t>
      </w:r>
      <w:r w:rsidR="00790E54" w:rsidRPr="001279C6">
        <w:rPr>
          <w:sz w:val="24"/>
          <w:szCs w:val="24"/>
        </w:rPr>
        <w:t xml:space="preserve">the </w:t>
      </w:r>
      <w:r w:rsidRPr="001279C6">
        <w:rPr>
          <w:sz w:val="24"/>
          <w:szCs w:val="24"/>
        </w:rPr>
        <w:t>following three</w:t>
      </w:r>
      <w:r w:rsidR="005854C8">
        <w:rPr>
          <w:sz w:val="24"/>
          <w:szCs w:val="24"/>
        </w:rPr>
        <w:t xml:space="preserve"> alcohol-</w:t>
      </w:r>
      <w:r w:rsidRPr="001279C6">
        <w:rPr>
          <w:sz w:val="24"/>
          <w:szCs w:val="24"/>
        </w:rPr>
        <w:t>related indicators</w:t>
      </w:r>
      <w:r w:rsidR="00790E54" w:rsidRPr="001279C6">
        <w:rPr>
          <w:sz w:val="24"/>
          <w:szCs w:val="24"/>
        </w:rPr>
        <w:t xml:space="preserve"> </w:t>
      </w:r>
      <w:r w:rsidR="00BD2B96" w:rsidRPr="001279C6">
        <w:rPr>
          <w:sz w:val="24"/>
          <w:szCs w:val="24"/>
        </w:rPr>
        <w:t xml:space="preserve">for monitoring </w:t>
      </w:r>
      <w:r w:rsidR="00790E54" w:rsidRPr="001279C6">
        <w:rPr>
          <w:sz w:val="24"/>
          <w:szCs w:val="24"/>
        </w:rPr>
        <w:t>were identif</w:t>
      </w:r>
      <w:r w:rsidR="002F2AA8" w:rsidRPr="001279C6">
        <w:rPr>
          <w:sz w:val="24"/>
          <w:szCs w:val="24"/>
        </w:rPr>
        <w:t>i</w:t>
      </w:r>
      <w:r w:rsidR="00790E54" w:rsidRPr="001279C6">
        <w:rPr>
          <w:sz w:val="24"/>
          <w:szCs w:val="24"/>
        </w:rPr>
        <w:t>ed</w:t>
      </w:r>
    </w:p>
    <w:p w:rsidR="009E5917" w:rsidRPr="00BE205A" w:rsidRDefault="009E5917" w:rsidP="00BE205A">
      <w:pPr>
        <w:pStyle w:val="ListParagraph"/>
        <w:numPr>
          <w:ilvl w:val="0"/>
          <w:numId w:val="2"/>
        </w:numPr>
        <w:spacing w:after="120"/>
      </w:pPr>
      <w:r w:rsidRPr="00BE205A">
        <w:t>Total alcohol per capita (aged 15+ years) consumption per year</w:t>
      </w:r>
    </w:p>
    <w:p w:rsidR="009E5917" w:rsidRPr="00BE205A" w:rsidRDefault="009E5917" w:rsidP="00BE205A">
      <w:pPr>
        <w:pStyle w:val="ListParagraph"/>
        <w:numPr>
          <w:ilvl w:val="0"/>
          <w:numId w:val="2"/>
        </w:numPr>
        <w:spacing w:after="120"/>
      </w:pPr>
      <w:r w:rsidRPr="00BE205A">
        <w:t>Age-standardized prevalence of heavy episodic drinking among adolescents and adults</w:t>
      </w:r>
    </w:p>
    <w:p w:rsidR="009E5917" w:rsidRPr="00BE205A" w:rsidRDefault="009E5917" w:rsidP="00BE205A">
      <w:pPr>
        <w:pStyle w:val="ListParagraph"/>
        <w:numPr>
          <w:ilvl w:val="0"/>
          <w:numId w:val="2"/>
        </w:numPr>
        <w:spacing w:after="120"/>
      </w:pPr>
      <w:r w:rsidRPr="00BE205A">
        <w:t>Alcohol-related morbidity and mortality among adolescents and adults.</w:t>
      </w:r>
    </w:p>
    <w:p w:rsidR="009E5917" w:rsidRPr="001279C6" w:rsidRDefault="00790E54" w:rsidP="001279C6">
      <w:pPr>
        <w:spacing w:after="120"/>
        <w:rPr>
          <w:sz w:val="24"/>
          <w:szCs w:val="24"/>
        </w:rPr>
      </w:pPr>
      <w:r w:rsidRPr="001279C6">
        <w:rPr>
          <w:sz w:val="24"/>
          <w:szCs w:val="24"/>
        </w:rPr>
        <w:t xml:space="preserve">For achieving the voluntary target on alcohol, the Global Action Pan for the prevention and control of NCDs proposed that Member States reduce the harmful use of alcohol through </w:t>
      </w:r>
      <w:r w:rsidRPr="001279C6">
        <w:rPr>
          <w:sz w:val="24"/>
          <w:szCs w:val="24"/>
        </w:rPr>
        <w:lastRenderedPageBreak/>
        <w:t xml:space="preserve">the development and implementation, as appropriate, of comprehensive and </w:t>
      </w:r>
      <w:proofErr w:type="spellStart"/>
      <w:r w:rsidRPr="001279C6">
        <w:rPr>
          <w:sz w:val="24"/>
          <w:szCs w:val="24"/>
        </w:rPr>
        <w:t>multisectoral</w:t>
      </w:r>
      <w:proofErr w:type="spellEnd"/>
      <w:r w:rsidRPr="001279C6">
        <w:rPr>
          <w:sz w:val="24"/>
          <w:szCs w:val="24"/>
        </w:rPr>
        <w:t xml:space="preserve"> national policies and prog</w:t>
      </w:r>
      <w:r w:rsidR="00F93ECA" w:rsidRPr="001279C6">
        <w:rPr>
          <w:sz w:val="24"/>
          <w:szCs w:val="24"/>
        </w:rPr>
        <w:t>r</w:t>
      </w:r>
      <w:r w:rsidRPr="001279C6">
        <w:rPr>
          <w:sz w:val="24"/>
          <w:szCs w:val="24"/>
        </w:rPr>
        <w:t>ammes</w:t>
      </w:r>
      <w:r w:rsidR="007B7CDC" w:rsidRPr="001279C6">
        <w:rPr>
          <w:sz w:val="24"/>
          <w:szCs w:val="24"/>
        </w:rPr>
        <w:t>,</w:t>
      </w:r>
      <w:r w:rsidRPr="001279C6">
        <w:rPr>
          <w:sz w:val="24"/>
          <w:szCs w:val="24"/>
        </w:rPr>
        <w:t xml:space="preserve"> as outlined</w:t>
      </w:r>
      <w:r w:rsidR="00F93ECA" w:rsidRPr="001279C6">
        <w:rPr>
          <w:sz w:val="24"/>
          <w:szCs w:val="24"/>
        </w:rPr>
        <w:t xml:space="preserve"> </w:t>
      </w:r>
      <w:r w:rsidRPr="001279C6">
        <w:rPr>
          <w:sz w:val="24"/>
          <w:szCs w:val="24"/>
        </w:rPr>
        <w:t>in the Global strategy to reduce the harmful use of alcohol.</w:t>
      </w:r>
    </w:p>
    <w:p w:rsidR="00032B2C" w:rsidRDefault="00032B2C">
      <w:pPr>
        <w:rPr>
          <w:b/>
        </w:rPr>
      </w:pPr>
      <w:r>
        <w:rPr>
          <w:b/>
        </w:rPr>
        <w:br w:type="page"/>
      </w:r>
    </w:p>
    <w:p w:rsidR="00594EAF" w:rsidRPr="00BE205A" w:rsidRDefault="007B7CDC">
      <w:pPr>
        <w:rPr>
          <w:b/>
          <w:sz w:val="28"/>
          <w:szCs w:val="28"/>
        </w:rPr>
      </w:pPr>
      <w:r w:rsidRPr="00BE205A">
        <w:rPr>
          <w:b/>
          <w:sz w:val="28"/>
          <w:szCs w:val="28"/>
        </w:rPr>
        <w:lastRenderedPageBreak/>
        <w:t xml:space="preserve">3. </w:t>
      </w:r>
      <w:r w:rsidR="00F67E64" w:rsidRPr="00BE205A">
        <w:rPr>
          <w:b/>
          <w:sz w:val="28"/>
          <w:szCs w:val="28"/>
        </w:rPr>
        <w:t>Regulation of alcohol marketing</w:t>
      </w:r>
    </w:p>
    <w:p w:rsidR="009B7E17" w:rsidRPr="00BE205A" w:rsidRDefault="0012000F" w:rsidP="00BE205A">
      <w:pPr>
        <w:spacing w:after="120"/>
        <w:rPr>
          <w:b/>
          <w:sz w:val="24"/>
          <w:szCs w:val="24"/>
        </w:rPr>
      </w:pPr>
      <w:r>
        <w:rPr>
          <w:b/>
          <w:sz w:val="24"/>
          <w:szCs w:val="24"/>
        </w:rPr>
        <w:t xml:space="preserve">3.1 </w:t>
      </w:r>
      <w:r w:rsidR="009B7E17" w:rsidRPr="00BE205A">
        <w:rPr>
          <w:b/>
          <w:sz w:val="24"/>
          <w:szCs w:val="24"/>
        </w:rPr>
        <w:t>Rational</w:t>
      </w:r>
      <w:r w:rsidR="009A13D1" w:rsidRPr="00BE205A">
        <w:rPr>
          <w:b/>
          <w:sz w:val="24"/>
          <w:szCs w:val="24"/>
        </w:rPr>
        <w:t>e</w:t>
      </w:r>
    </w:p>
    <w:p w:rsidR="0025423C" w:rsidRPr="00BE205A" w:rsidRDefault="00DE11DF" w:rsidP="00BE205A">
      <w:pPr>
        <w:spacing w:after="120"/>
        <w:rPr>
          <w:b/>
          <w:sz w:val="24"/>
          <w:szCs w:val="24"/>
        </w:rPr>
      </w:pPr>
      <w:r w:rsidRPr="00BE205A">
        <w:rPr>
          <w:sz w:val="24"/>
          <w:szCs w:val="24"/>
        </w:rPr>
        <w:t>Alcohol use is</w:t>
      </w:r>
      <w:r w:rsidR="0053766D" w:rsidRPr="00BE205A">
        <w:rPr>
          <w:sz w:val="24"/>
          <w:szCs w:val="24"/>
        </w:rPr>
        <w:t xml:space="preserve"> the leading cause of</w:t>
      </w:r>
      <w:r w:rsidR="007C3F21" w:rsidRPr="00BE205A">
        <w:rPr>
          <w:sz w:val="24"/>
          <w:szCs w:val="24"/>
        </w:rPr>
        <w:t xml:space="preserve"> death and disability for young people</w:t>
      </w:r>
      <w:r w:rsidR="00735B45" w:rsidRPr="00BE205A">
        <w:rPr>
          <w:sz w:val="24"/>
          <w:szCs w:val="24"/>
        </w:rPr>
        <w:t xml:space="preserve"> between the ages of 15-24 years (Gore et al 2011)</w:t>
      </w:r>
      <w:r w:rsidR="0053766D" w:rsidRPr="00BE205A">
        <w:rPr>
          <w:sz w:val="24"/>
          <w:szCs w:val="24"/>
        </w:rPr>
        <w:t xml:space="preserve">. </w:t>
      </w:r>
      <w:r w:rsidR="00735B45" w:rsidRPr="00BE205A">
        <w:rPr>
          <w:rFonts w:cs="Arial"/>
          <w:color w:val="000000"/>
          <w:sz w:val="24"/>
          <w:szCs w:val="24"/>
          <w:shd w:val="clear" w:color="auto" w:fill="FFFFFF"/>
        </w:rPr>
        <w:t>Alcohol can alter the</w:t>
      </w:r>
      <w:r w:rsidR="0025423C" w:rsidRPr="00BE205A">
        <w:rPr>
          <w:rFonts w:cs="Arial"/>
          <w:color w:val="000000"/>
          <w:sz w:val="24"/>
          <w:szCs w:val="24"/>
          <w:shd w:val="clear" w:color="auto" w:fill="FFFFFF"/>
        </w:rPr>
        <w:t xml:space="preserve"> </w:t>
      </w:r>
      <w:r w:rsidR="00735B45" w:rsidRPr="00BE205A">
        <w:rPr>
          <w:rFonts w:cs="Arial"/>
          <w:color w:val="000000"/>
          <w:sz w:val="24"/>
          <w:szCs w:val="24"/>
          <w:shd w:val="clear" w:color="auto" w:fill="FFFFFF"/>
        </w:rPr>
        <w:t>young developing brain</w:t>
      </w:r>
      <w:r w:rsidR="0025423C" w:rsidRPr="00BE205A">
        <w:rPr>
          <w:rFonts w:cs="Arial"/>
          <w:color w:val="000000"/>
          <w:sz w:val="24"/>
          <w:szCs w:val="24"/>
          <w:shd w:val="clear" w:color="auto" w:fill="FFFFFF"/>
        </w:rPr>
        <w:t xml:space="preserve">, potentially affecting both brain structure and function. This may cause cognitive or learning problems and/or make the brain more prone to alcohol dependence. This is especially a risk when people start drinking </w:t>
      </w:r>
      <w:r w:rsidR="009A13D1" w:rsidRPr="00BE205A">
        <w:rPr>
          <w:rFonts w:cs="Arial"/>
          <w:color w:val="000000"/>
          <w:sz w:val="24"/>
          <w:szCs w:val="24"/>
          <w:shd w:val="clear" w:color="auto" w:fill="FFFFFF"/>
        </w:rPr>
        <w:t xml:space="preserve">at a </w:t>
      </w:r>
      <w:r w:rsidR="0025423C" w:rsidRPr="00BE205A">
        <w:rPr>
          <w:rFonts w:cs="Arial"/>
          <w:color w:val="000000"/>
          <w:sz w:val="24"/>
          <w:szCs w:val="24"/>
          <w:shd w:val="clear" w:color="auto" w:fill="FFFFFF"/>
        </w:rPr>
        <w:t xml:space="preserve">young </w:t>
      </w:r>
      <w:r w:rsidR="009A13D1" w:rsidRPr="00BE205A">
        <w:rPr>
          <w:rFonts w:cs="Arial"/>
          <w:color w:val="000000"/>
          <w:sz w:val="24"/>
          <w:szCs w:val="24"/>
          <w:shd w:val="clear" w:color="auto" w:fill="FFFFFF"/>
        </w:rPr>
        <w:t xml:space="preserve">age </w:t>
      </w:r>
      <w:r w:rsidR="0025423C" w:rsidRPr="00BE205A">
        <w:rPr>
          <w:rFonts w:cs="Arial"/>
          <w:color w:val="000000"/>
          <w:sz w:val="24"/>
          <w:szCs w:val="24"/>
          <w:shd w:val="clear" w:color="auto" w:fill="FFFFFF"/>
        </w:rPr>
        <w:t>and drink heavily</w:t>
      </w:r>
      <w:r w:rsidR="007C3F21" w:rsidRPr="00BE205A">
        <w:rPr>
          <w:rFonts w:cs="Arial"/>
          <w:color w:val="000000"/>
          <w:sz w:val="24"/>
          <w:szCs w:val="24"/>
          <w:shd w:val="clear" w:color="auto" w:fill="FFFFFF"/>
        </w:rPr>
        <w:t xml:space="preserve"> (US</w:t>
      </w:r>
      <w:r w:rsidR="00CF1B18" w:rsidRPr="00BE205A">
        <w:rPr>
          <w:rFonts w:cs="Arial"/>
          <w:color w:val="000000"/>
          <w:sz w:val="24"/>
          <w:szCs w:val="24"/>
          <w:shd w:val="clear" w:color="auto" w:fill="FFFFFF"/>
        </w:rPr>
        <w:t xml:space="preserve"> </w:t>
      </w:r>
      <w:r w:rsidR="007C3F21" w:rsidRPr="00BE205A">
        <w:rPr>
          <w:rFonts w:cs="Arial"/>
          <w:color w:val="000000"/>
          <w:sz w:val="24"/>
          <w:szCs w:val="24"/>
          <w:shd w:val="clear" w:color="auto" w:fill="FFFFFF"/>
        </w:rPr>
        <w:t>Surgeon</w:t>
      </w:r>
      <w:r w:rsidR="00CF1B18" w:rsidRPr="00BE205A">
        <w:rPr>
          <w:rFonts w:cs="Arial"/>
          <w:color w:val="000000"/>
          <w:sz w:val="24"/>
          <w:szCs w:val="24"/>
          <w:shd w:val="clear" w:color="auto" w:fill="FFFFFF"/>
        </w:rPr>
        <w:t xml:space="preserve"> General Report 2007)</w:t>
      </w:r>
      <w:r w:rsidR="0025423C" w:rsidRPr="00BE205A">
        <w:rPr>
          <w:rFonts w:cs="Arial"/>
          <w:color w:val="000000"/>
          <w:sz w:val="24"/>
          <w:szCs w:val="24"/>
          <w:shd w:val="clear" w:color="auto" w:fill="FFFFFF"/>
        </w:rPr>
        <w:t>.</w:t>
      </w:r>
      <w:r w:rsidR="009B7E17" w:rsidRPr="00BE205A">
        <w:rPr>
          <w:rFonts w:cs="Arial"/>
          <w:color w:val="000000"/>
          <w:sz w:val="24"/>
          <w:szCs w:val="24"/>
          <w:shd w:val="clear" w:color="auto" w:fill="FFFFFF"/>
        </w:rPr>
        <w:t xml:space="preserve"> </w:t>
      </w:r>
      <w:r w:rsidR="009B7E17" w:rsidRPr="00BE205A">
        <w:rPr>
          <w:sz w:val="24"/>
          <w:szCs w:val="24"/>
        </w:rPr>
        <w:t xml:space="preserve">Exposure to alcohol marketing decreases the age that adolescents start to drink and increases the amount </w:t>
      </w:r>
      <w:r w:rsidR="007B7CDC" w:rsidRPr="00BE205A">
        <w:rPr>
          <w:sz w:val="24"/>
          <w:szCs w:val="24"/>
        </w:rPr>
        <w:t xml:space="preserve">that </w:t>
      </w:r>
      <w:r w:rsidR="009B7E17" w:rsidRPr="00BE205A">
        <w:rPr>
          <w:sz w:val="24"/>
          <w:szCs w:val="24"/>
        </w:rPr>
        <w:t>adolescents who already drink consume. The Irish Government has given international commitments to protect young people from the pressure to drinking and to reduce exposure to alcohol marketing (WHO 1995-2011).Therefore, protecting children from exposure to alcohol marking is an important public health goal</w:t>
      </w:r>
      <w:r w:rsidR="00BD2B96" w:rsidRPr="00BE205A">
        <w:rPr>
          <w:sz w:val="24"/>
          <w:szCs w:val="24"/>
        </w:rPr>
        <w:t xml:space="preserve"> for Ireland</w:t>
      </w:r>
      <w:r w:rsidR="009B7E17" w:rsidRPr="00BE205A">
        <w:rPr>
          <w:sz w:val="24"/>
          <w:szCs w:val="24"/>
        </w:rPr>
        <w:t xml:space="preserve">.  </w:t>
      </w:r>
    </w:p>
    <w:p w:rsidR="009A13D1" w:rsidRPr="00BE205A" w:rsidRDefault="0012000F" w:rsidP="00BE205A">
      <w:pPr>
        <w:spacing w:after="120"/>
        <w:rPr>
          <w:b/>
          <w:sz w:val="24"/>
          <w:szCs w:val="24"/>
        </w:rPr>
      </w:pPr>
      <w:r>
        <w:rPr>
          <w:b/>
          <w:sz w:val="24"/>
          <w:szCs w:val="24"/>
        </w:rPr>
        <w:t xml:space="preserve">3.2 </w:t>
      </w:r>
      <w:r w:rsidR="009B7E17" w:rsidRPr="00BE205A">
        <w:rPr>
          <w:b/>
          <w:sz w:val="24"/>
          <w:szCs w:val="24"/>
        </w:rPr>
        <w:t>Research Evidence</w:t>
      </w:r>
      <w:r w:rsidR="009A13D1" w:rsidRPr="00BE205A">
        <w:rPr>
          <w:b/>
          <w:sz w:val="24"/>
          <w:szCs w:val="24"/>
        </w:rPr>
        <w:t xml:space="preserve"> on effects of alcohol marketing</w:t>
      </w:r>
    </w:p>
    <w:p w:rsidR="009B7E17" w:rsidRPr="00BE205A" w:rsidRDefault="00CA16A1" w:rsidP="00BE205A">
      <w:pPr>
        <w:spacing w:after="120"/>
        <w:rPr>
          <w:sz w:val="24"/>
          <w:szCs w:val="24"/>
        </w:rPr>
      </w:pPr>
      <w:r w:rsidRPr="00BE205A">
        <w:rPr>
          <w:sz w:val="24"/>
          <w:szCs w:val="24"/>
        </w:rPr>
        <w:t>There is compelling evidence that alcohol marketing is having an effect on young people’s drinking</w:t>
      </w:r>
      <w:r w:rsidR="009B7E17" w:rsidRPr="00BE205A">
        <w:rPr>
          <w:sz w:val="24"/>
          <w:szCs w:val="24"/>
        </w:rPr>
        <w:t>.  This evidence base has grown</w:t>
      </w:r>
      <w:r w:rsidRPr="00BE205A">
        <w:rPr>
          <w:sz w:val="24"/>
          <w:szCs w:val="24"/>
        </w:rPr>
        <w:t xml:space="preserve"> and the quality of the research design </w:t>
      </w:r>
      <w:r w:rsidR="009A13D1" w:rsidRPr="00BE205A">
        <w:rPr>
          <w:sz w:val="24"/>
          <w:szCs w:val="24"/>
        </w:rPr>
        <w:t xml:space="preserve">has </w:t>
      </w:r>
      <w:r w:rsidRPr="00BE205A">
        <w:rPr>
          <w:sz w:val="24"/>
          <w:szCs w:val="24"/>
        </w:rPr>
        <w:t xml:space="preserve">expanded. Numerous longitudinal studies have found that </w:t>
      </w:r>
      <w:r w:rsidRPr="0012000F">
        <w:rPr>
          <w:b/>
          <w:sz w:val="24"/>
          <w:szCs w:val="24"/>
        </w:rPr>
        <w:t>young people who are exposed to alcohol marketing are more likely to start drinking, or if already drinking, to drink more</w:t>
      </w:r>
      <w:r w:rsidRPr="00BE205A">
        <w:rPr>
          <w:sz w:val="24"/>
          <w:szCs w:val="24"/>
        </w:rPr>
        <w:t xml:space="preserve"> (Anderson et al 2009)</w:t>
      </w:r>
      <w:r w:rsidR="009A13D1" w:rsidRPr="00BE205A">
        <w:rPr>
          <w:sz w:val="24"/>
          <w:szCs w:val="24"/>
        </w:rPr>
        <w:t>. These findings</w:t>
      </w:r>
      <w:r w:rsidR="00784A93" w:rsidRPr="00BE205A">
        <w:rPr>
          <w:sz w:val="24"/>
          <w:szCs w:val="24"/>
        </w:rPr>
        <w:t xml:space="preserve"> </w:t>
      </w:r>
      <w:r w:rsidR="009A13D1" w:rsidRPr="00BE205A">
        <w:rPr>
          <w:sz w:val="24"/>
          <w:szCs w:val="24"/>
        </w:rPr>
        <w:t>have</w:t>
      </w:r>
      <w:r w:rsidR="00BD2B96" w:rsidRPr="00BE205A">
        <w:rPr>
          <w:sz w:val="24"/>
          <w:szCs w:val="24"/>
        </w:rPr>
        <w:t xml:space="preserve"> been </w:t>
      </w:r>
      <w:r w:rsidR="00784A93" w:rsidRPr="00BE205A">
        <w:rPr>
          <w:sz w:val="24"/>
          <w:szCs w:val="24"/>
        </w:rPr>
        <w:t xml:space="preserve">endorsed by </w:t>
      </w:r>
      <w:r w:rsidR="00784A93" w:rsidRPr="00BE205A">
        <w:rPr>
          <w:rFonts w:cs="Lucida Sans Unicode"/>
          <w:sz w:val="24"/>
          <w:szCs w:val="24"/>
        </w:rPr>
        <w:t>the Scientific Group of the European Alcohol and Health Forum</w:t>
      </w:r>
      <w:r w:rsidR="00735B45" w:rsidRPr="00BE205A">
        <w:rPr>
          <w:sz w:val="24"/>
          <w:szCs w:val="24"/>
        </w:rPr>
        <w:t xml:space="preserve">. </w:t>
      </w:r>
      <w:r w:rsidR="009B7E17" w:rsidRPr="00BE205A">
        <w:rPr>
          <w:sz w:val="24"/>
          <w:szCs w:val="24"/>
        </w:rPr>
        <w:t xml:space="preserve">A summary of some of the key findings </w:t>
      </w:r>
      <w:r w:rsidR="006E54AF" w:rsidRPr="00BE205A">
        <w:rPr>
          <w:sz w:val="24"/>
          <w:szCs w:val="24"/>
        </w:rPr>
        <w:t xml:space="preserve">from the systematic review </w:t>
      </w:r>
      <w:r w:rsidR="00BE205A" w:rsidRPr="00BE205A">
        <w:rPr>
          <w:sz w:val="24"/>
          <w:szCs w:val="24"/>
        </w:rPr>
        <w:t>are provided in Appendix 3</w:t>
      </w:r>
      <w:r w:rsidR="009B7E17" w:rsidRPr="00BE205A">
        <w:rPr>
          <w:sz w:val="24"/>
          <w:szCs w:val="24"/>
        </w:rPr>
        <w:t xml:space="preserve">. </w:t>
      </w:r>
      <w:r w:rsidR="00735B45" w:rsidRPr="00BE205A">
        <w:rPr>
          <w:sz w:val="24"/>
          <w:szCs w:val="24"/>
        </w:rPr>
        <w:t>Since that systematic review</w:t>
      </w:r>
      <w:r w:rsidR="009B7E17" w:rsidRPr="00BE205A">
        <w:rPr>
          <w:sz w:val="24"/>
          <w:szCs w:val="24"/>
        </w:rPr>
        <w:t>,</w:t>
      </w:r>
      <w:r w:rsidR="00735B45" w:rsidRPr="00BE205A">
        <w:rPr>
          <w:sz w:val="24"/>
          <w:szCs w:val="24"/>
        </w:rPr>
        <w:t xml:space="preserve"> </w:t>
      </w:r>
      <w:r w:rsidR="009B7E17" w:rsidRPr="00BE205A">
        <w:rPr>
          <w:sz w:val="24"/>
          <w:szCs w:val="24"/>
        </w:rPr>
        <w:t xml:space="preserve">more </w:t>
      </w:r>
      <w:r w:rsidR="00735B45" w:rsidRPr="00BE205A">
        <w:rPr>
          <w:sz w:val="24"/>
          <w:szCs w:val="24"/>
        </w:rPr>
        <w:t>studies continue to confirm</w:t>
      </w:r>
      <w:r w:rsidR="009B7E17" w:rsidRPr="00BE205A">
        <w:rPr>
          <w:sz w:val="24"/>
          <w:szCs w:val="24"/>
        </w:rPr>
        <w:t xml:space="preserve"> and expand</w:t>
      </w:r>
      <w:r w:rsidR="00735B45" w:rsidRPr="00BE205A">
        <w:rPr>
          <w:sz w:val="24"/>
          <w:szCs w:val="24"/>
        </w:rPr>
        <w:t xml:space="preserve"> the findings</w:t>
      </w:r>
      <w:r w:rsidR="009B7E17" w:rsidRPr="00BE205A">
        <w:rPr>
          <w:sz w:val="24"/>
          <w:szCs w:val="24"/>
        </w:rPr>
        <w:t>, in particular related to alcohol branded sports sponsorship and new digital media</w:t>
      </w:r>
      <w:r w:rsidR="00735B45" w:rsidRPr="00BE205A">
        <w:rPr>
          <w:sz w:val="24"/>
          <w:szCs w:val="24"/>
        </w:rPr>
        <w:t xml:space="preserve">. </w:t>
      </w:r>
    </w:p>
    <w:p w:rsidR="00CA16A1" w:rsidRPr="00BE205A" w:rsidRDefault="00CA16A1" w:rsidP="00BE205A">
      <w:pPr>
        <w:spacing w:after="120"/>
        <w:rPr>
          <w:sz w:val="24"/>
          <w:szCs w:val="24"/>
        </w:rPr>
      </w:pPr>
      <w:r w:rsidRPr="00BE205A">
        <w:rPr>
          <w:sz w:val="24"/>
          <w:szCs w:val="24"/>
        </w:rPr>
        <w:t xml:space="preserve">A longitudinal study in Scotland   </w:t>
      </w:r>
      <w:r w:rsidR="009402B5" w:rsidRPr="00BE205A">
        <w:rPr>
          <w:sz w:val="24"/>
          <w:szCs w:val="24"/>
        </w:rPr>
        <w:t>reported that i</w:t>
      </w:r>
      <w:r w:rsidRPr="00BE205A">
        <w:rPr>
          <w:sz w:val="24"/>
          <w:szCs w:val="24"/>
        </w:rPr>
        <w:t xml:space="preserve">nvolvement with alcohol marketing at baseline (12-14 </w:t>
      </w:r>
      <w:proofErr w:type="spellStart"/>
      <w:r w:rsidRPr="00BE205A">
        <w:rPr>
          <w:sz w:val="24"/>
          <w:szCs w:val="24"/>
        </w:rPr>
        <w:t>yrs</w:t>
      </w:r>
      <w:proofErr w:type="spellEnd"/>
      <w:r w:rsidRPr="00BE205A">
        <w:rPr>
          <w:sz w:val="24"/>
          <w:szCs w:val="24"/>
        </w:rPr>
        <w:t xml:space="preserve">) was predictive of both uptake of drinking and increased frequency of drinking at follow-up (14-16 </w:t>
      </w:r>
      <w:proofErr w:type="spellStart"/>
      <w:r w:rsidRPr="00BE205A">
        <w:rPr>
          <w:sz w:val="24"/>
          <w:szCs w:val="24"/>
        </w:rPr>
        <w:t>yrs</w:t>
      </w:r>
      <w:proofErr w:type="spellEnd"/>
      <w:r w:rsidRPr="00BE205A">
        <w:rPr>
          <w:sz w:val="24"/>
          <w:szCs w:val="24"/>
        </w:rPr>
        <w:t>). Awareness of marketing at baseline was also associated with an increased fre</w:t>
      </w:r>
      <w:r w:rsidR="000F2F05">
        <w:rPr>
          <w:sz w:val="24"/>
          <w:szCs w:val="24"/>
        </w:rPr>
        <w:t>quency of drinking at follow-up</w:t>
      </w:r>
      <w:r w:rsidRPr="00BE205A">
        <w:rPr>
          <w:sz w:val="24"/>
          <w:szCs w:val="24"/>
        </w:rPr>
        <w:t xml:space="preserve"> (Gordon et al 2010)</w:t>
      </w:r>
      <w:r w:rsidR="000F2F05">
        <w:rPr>
          <w:sz w:val="24"/>
          <w:szCs w:val="24"/>
        </w:rPr>
        <w:t>.</w:t>
      </w:r>
      <w:r w:rsidRPr="00BE205A">
        <w:rPr>
          <w:sz w:val="24"/>
          <w:szCs w:val="24"/>
        </w:rPr>
        <w:t xml:space="preserve"> This dose-response relationship is also consistent with that found with awareness of tobacco marketing and tobacco consumption among young people (Davis et al 2008). </w:t>
      </w:r>
      <w:r w:rsidR="00565011" w:rsidRPr="00BE205A">
        <w:rPr>
          <w:sz w:val="24"/>
          <w:szCs w:val="24"/>
        </w:rPr>
        <w:t xml:space="preserve">Grenard et al (2013) showed that exposure to alcohol advertising and liking of those ads in early adolescence had a significant influence on the severity of alcohol related problems later in adolescence, which was mediated by growth in alcohol </w:t>
      </w:r>
      <w:r w:rsidR="00402624" w:rsidRPr="00BE205A">
        <w:rPr>
          <w:sz w:val="24"/>
          <w:szCs w:val="24"/>
        </w:rPr>
        <w:t xml:space="preserve">use </w:t>
      </w:r>
      <w:r w:rsidR="00565011" w:rsidRPr="00BE205A">
        <w:rPr>
          <w:sz w:val="24"/>
          <w:szCs w:val="24"/>
        </w:rPr>
        <w:t xml:space="preserve">in the intervening years.  </w:t>
      </w:r>
    </w:p>
    <w:p w:rsidR="001B6BB4" w:rsidRPr="00BE205A" w:rsidRDefault="00CA16A1" w:rsidP="00BE205A">
      <w:pPr>
        <w:spacing w:after="120"/>
        <w:rPr>
          <w:sz w:val="24"/>
          <w:szCs w:val="24"/>
        </w:rPr>
      </w:pPr>
      <w:r w:rsidRPr="00BE205A">
        <w:rPr>
          <w:rFonts w:cs="Times New Roman"/>
          <w:sz w:val="24"/>
          <w:szCs w:val="24"/>
        </w:rPr>
        <w:t>Adolescence is a time where social engagement, communication, independence and self-expression are key developmental issues through such areas as sport, music and dance.  These same lifestyle areas are increasingly used by the alcohol industry to promote pro alcohol lifestyles</w:t>
      </w:r>
      <w:r w:rsidR="00505067" w:rsidRPr="00BE205A">
        <w:rPr>
          <w:rFonts w:cs="Times New Roman"/>
          <w:sz w:val="24"/>
          <w:szCs w:val="24"/>
        </w:rPr>
        <w:t xml:space="preserve"> (Hope 2013)</w:t>
      </w:r>
      <w:r w:rsidRPr="00BE205A">
        <w:rPr>
          <w:rFonts w:cs="Times New Roman"/>
          <w:sz w:val="24"/>
          <w:szCs w:val="24"/>
        </w:rPr>
        <w:t xml:space="preserve">.  </w:t>
      </w:r>
      <w:r w:rsidR="00E11490" w:rsidRPr="00BE205A">
        <w:rPr>
          <w:sz w:val="24"/>
          <w:szCs w:val="24"/>
        </w:rPr>
        <w:t xml:space="preserve">Although alcohol marketing may not be aimed at underage drinkers, they are nevertheless exposed to </w:t>
      </w:r>
      <w:r w:rsidR="00CB6FC3" w:rsidRPr="00BE205A">
        <w:rPr>
          <w:sz w:val="24"/>
          <w:szCs w:val="24"/>
        </w:rPr>
        <w:t>and affected by it. Adolescents</w:t>
      </w:r>
      <w:r w:rsidR="00E11490" w:rsidRPr="00BE205A">
        <w:rPr>
          <w:sz w:val="24"/>
          <w:szCs w:val="24"/>
        </w:rPr>
        <w:t xml:space="preserve"> are highly susceptible to image appeals because of their preoccupation wi</w:t>
      </w:r>
      <w:r w:rsidR="00402624" w:rsidRPr="00BE205A">
        <w:rPr>
          <w:sz w:val="24"/>
          <w:szCs w:val="24"/>
        </w:rPr>
        <w:t xml:space="preserve">th personal image and identity </w:t>
      </w:r>
      <w:r w:rsidR="00E11490" w:rsidRPr="00BE205A">
        <w:rPr>
          <w:sz w:val="24"/>
          <w:szCs w:val="24"/>
        </w:rPr>
        <w:t>(McClure to al 2013).</w:t>
      </w:r>
      <w:r w:rsidR="009402B5" w:rsidRPr="00BE205A">
        <w:rPr>
          <w:sz w:val="24"/>
          <w:szCs w:val="24"/>
        </w:rPr>
        <w:t xml:space="preserve"> </w:t>
      </w:r>
    </w:p>
    <w:p w:rsidR="00C95DB7" w:rsidRPr="00BE205A" w:rsidRDefault="00C95DB7" w:rsidP="00BE205A">
      <w:pPr>
        <w:spacing w:after="120"/>
        <w:rPr>
          <w:sz w:val="24"/>
          <w:szCs w:val="24"/>
        </w:rPr>
      </w:pPr>
      <w:r w:rsidRPr="0012000F">
        <w:rPr>
          <w:b/>
          <w:sz w:val="24"/>
          <w:szCs w:val="24"/>
        </w:rPr>
        <w:lastRenderedPageBreak/>
        <w:t xml:space="preserve">Alcohol </w:t>
      </w:r>
      <w:r w:rsidR="003A6684" w:rsidRPr="0012000F">
        <w:rPr>
          <w:b/>
          <w:sz w:val="24"/>
          <w:szCs w:val="24"/>
        </w:rPr>
        <w:t>is marketed</w:t>
      </w:r>
      <w:r w:rsidR="00277A9F" w:rsidRPr="0012000F">
        <w:rPr>
          <w:b/>
          <w:sz w:val="24"/>
          <w:szCs w:val="24"/>
        </w:rPr>
        <w:t xml:space="preserve"> through an integrated mix of </w:t>
      </w:r>
      <w:r w:rsidR="009402B5" w:rsidRPr="0012000F">
        <w:rPr>
          <w:b/>
          <w:sz w:val="24"/>
          <w:szCs w:val="24"/>
        </w:rPr>
        <w:t xml:space="preserve">marketing </w:t>
      </w:r>
      <w:r w:rsidR="00277A9F" w:rsidRPr="0012000F">
        <w:rPr>
          <w:b/>
          <w:sz w:val="24"/>
          <w:szCs w:val="24"/>
        </w:rPr>
        <w:t>strategies</w:t>
      </w:r>
      <w:r w:rsidR="00277A9F" w:rsidRPr="00BE205A">
        <w:rPr>
          <w:sz w:val="24"/>
          <w:szCs w:val="24"/>
        </w:rPr>
        <w:t xml:space="preserve"> </w:t>
      </w:r>
      <w:r w:rsidR="009A61FD" w:rsidRPr="00BE205A">
        <w:rPr>
          <w:sz w:val="24"/>
          <w:szCs w:val="24"/>
        </w:rPr>
        <w:t xml:space="preserve">including </w:t>
      </w:r>
      <w:r w:rsidR="009C1205" w:rsidRPr="00BE205A">
        <w:rPr>
          <w:sz w:val="24"/>
          <w:szCs w:val="24"/>
        </w:rPr>
        <w:t>broadcast (TV, radio), o</w:t>
      </w:r>
      <w:r w:rsidR="003A6684" w:rsidRPr="00BE205A">
        <w:rPr>
          <w:sz w:val="24"/>
          <w:szCs w:val="24"/>
        </w:rPr>
        <w:t>utdoors (</w:t>
      </w:r>
      <w:r w:rsidR="009A61FD" w:rsidRPr="00BE205A">
        <w:rPr>
          <w:sz w:val="24"/>
          <w:szCs w:val="24"/>
        </w:rPr>
        <w:t>billboards, posters</w:t>
      </w:r>
      <w:r w:rsidR="003A6684" w:rsidRPr="00BE205A">
        <w:rPr>
          <w:sz w:val="24"/>
          <w:szCs w:val="24"/>
        </w:rPr>
        <w:t>)</w:t>
      </w:r>
      <w:r w:rsidR="009A61FD" w:rsidRPr="00BE205A">
        <w:rPr>
          <w:sz w:val="24"/>
          <w:szCs w:val="24"/>
        </w:rPr>
        <w:t xml:space="preserve">, </w:t>
      </w:r>
      <w:r w:rsidR="003A6684" w:rsidRPr="00BE205A">
        <w:rPr>
          <w:sz w:val="24"/>
          <w:szCs w:val="24"/>
        </w:rPr>
        <w:t>print (newspapers/</w:t>
      </w:r>
      <w:r w:rsidR="00942D19" w:rsidRPr="00BE205A">
        <w:rPr>
          <w:sz w:val="24"/>
          <w:szCs w:val="24"/>
        </w:rPr>
        <w:t>magazines</w:t>
      </w:r>
      <w:r w:rsidR="003A6684" w:rsidRPr="00BE205A">
        <w:rPr>
          <w:sz w:val="24"/>
          <w:szCs w:val="24"/>
        </w:rPr>
        <w:t>)</w:t>
      </w:r>
      <w:r w:rsidR="00942D19" w:rsidRPr="00BE205A">
        <w:rPr>
          <w:sz w:val="24"/>
          <w:szCs w:val="24"/>
        </w:rPr>
        <w:t>,</w:t>
      </w:r>
      <w:r w:rsidR="003A6684" w:rsidRPr="00BE205A">
        <w:rPr>
          <w:sz w:val="24"/>
          <w:szCs w:val="24"/>
        </w:rPr>
        <w:t xml:space="preserve"> sponsorship</w:t>
      </w:r>
      <w:r w:rsidR="009A61FD" w:rsidRPr="00BE205A">
        <w:rPr>
          <w:sz w:val="24"/>
          <w:szCs w:val="24"/>
        </w:rPr>
        <w:t>,</w:t>
      </w:r>
      <w:r w:rsidR="00942D19" w:rsidRPr="00BE205A">
        <w:rPr>
          <w:sz w:val="24"/>
          <w:szCs w:val="24"/>
        </w:rPr>
        <w:t xml:space="preserve"> merchand</w:t>
      </w:r>
      <w:r w:rsidR="00565011" w:rsidRPr="00BE205A">
        <w:rPr>
          <w:sz w:val="24"/>
          <w:szCs w:val="24"/>
        </w:rPr>
        <w:t>ise</w:t>
      </w:r>
      <w:r w:rsidR="009A61FD" w:rsidRPr="00BE205A">
        <w:rPr>
          <w:sz w:val="24"/>
          <w:szCs w:val="24"/>
        </w:rPr>
        <w:t>, special price offers, product placement, package/produc</w:t>
      </w:r>
      <w:r w:rsidR="009C1205" w:rsidRPr="00BE205A">
        <w:rPr>
          <w:sz w:val="24"/>
          <w:szCs w:val="24"/>
        </w:rPr>
        <w:t>t design and</w:t>
      </w:r>
      <w:r w:rsidR="003A6684" w:rsidRPr="00BE205A">
        <w:rPr>
          <w:sz w:val="24"/>
          <w:szCs w:val="24"/>
        </w:rPr>
        <w:t xml:space="preserve"> new digital media (</w:t>
      </w:r>
      <w:r w:rsidR="009C1205" w:rsidRPr="00BE205A">
        <w:rPr>
          <w:sz w:val="24"/>
          <w:szCs w:val="24"/>
        </w:rPr>
        <w:t>SNS</w:t>
      </w:r>
      <w:r w:rsidR="003A6684" w:rsidRPr="00BE205A">
        <w:rPr>
          <w:sz w:val="24"/>
          <w:szCs w:val="24"/>
        </w:rPr>
        <w:t xml:space="preserve">, </w:t>
      </w:r>
      <w:r w:rsidR="0034754F" w:rsidRPr="00BE205A">
        <w:rPr>
          <w:sz w:val="24"/>
          <w:szCs w:val="24"/>
        </w:rPr>
        <w:t>SME texting</w:t>
      </w:r>
      <w:r w:rsidR="003A6684" w:rsidRPr="00BE205A">
        <w:rPr>
          <w:sz w:val="24"/>
          <w:szCs w:val="24"/>
        </w:rPr>
        <w:t>)</w:t>
      </w:r>
      <w:r w:rsidR="00942D19" w:rsidRPr="00BE205A">
        <w:rPr>
          <w:sz w:val="24"/>
          <w:szCs w:val="24"/>
        </w:rPr>
        <w:t>.</w:t>
      </w:r>
      <w:r w:rsidRPr="00BE205A">
        <w:rPr>
          <w:sz w:val="24"/>
          <w:szCs w:val="24"/>
        </w:rPr>
        <w:t xml:space="preserve"> </w:t>
      </w:r>
      <w:r w:rsidR="009271B7" w:rsidRPr="00BE205A">
        <w:rPr>
          <w:sz w:val="24"/>
          <w:szCs w:val="24"/>
        </w:rPr>
        <w:t xml:space="preserve"> A Scottish study</w:t>
      </w:r>
      <w:r w:rsidR="00231C45" w:rsidRPr="00BE205A">
        <w:rPr>
          <w:sz w:val="24"/>
          <w:szCs w:val="24"/>
        </w:rPr>
        <w:t>,</w:t>
      </w:r>
      <w:r w:rsidR="009271B7" w:rsidRPr="00BE205A">
        <w:rPr>
          <w:sz w:val="24"/>
          <w:szCs w:val="24"/>
        </w:rPr>
        <w:t xml:space="preserve"> </w:t>
      </w:r>
      <w:r w:rsidR="00231C45" w:rsidRPr="00BE205A">
        <w:rPr>
          <w:sz w:val="24"/>
          <w:szCs w:val="24"/>
        </w:rPr>
        <w:t>using cross-sectional</w:t>
      </w:r>
      <w:r w:rsidR="009402B5" w:rsidRPr="00BE205A">
        <w:rPr>
          <w:sz w:val="24"/>
          <w:szCs w:val="24"/>
        </w:rPr>
        <w:t xml:space="preserve"> data</w:t>
      </w:r>
      <w:r w:rsidR="00231C45" w:rsidRPr="00BE205A">
        <w:rPr>
          <w:sz w:val="24"/>
          <w:szCs w:val="24"/>
        </w:rPr>
        <w:t xml:space="preserve">, </w:t>
      </w:r>
      <w:r w:rsidR="009271B7" w:rsidRPr="00BE205A">
        <w:rPr>
          <w:sz w:val="24"/>
          <w:szCs w:val="24"/>
        </w:rPr>
        <w:t>examined the cumulative impact of alcohol marketing on youth (12-14 years)</w:t>
      </w:r>
      <w:r w:rsidR="0034754F" w:rsidRPr="00BE205A">
        <w:rPr>
          <w:sz w:val="24"/>
          <w:szCs w:val="24"/>
        </w:rPr>
        <w:t xml:space="preserve"> on </w:t>
      </w:r>
      <w:r w:rsidR="004B6FA9" w:rsidRPr="00BE205A">
        <w:rPr>
          <w:sz w:val="24"/>
          <w:szCs w:val="24"/>
        </w:rPr>
        <w:t>drinking behaviour</w:t>
      </w:r>
      <w:r w:rsidR="009271B7" w:rsidRPr="00BE205A">
        <w:rPr>
          <w:sz w:val="24"/>
          <w:szCs w:val="24"/>
        </w:rPr>
        <w:t xml:space="preserve"> (Gordon et al 2011)</w:t>
      </w:r>
      <w:r w:rsidR="004B6FA9" w:rsidRPr="00BE205A">
        <w:rPr>
          <w:sz w:val="24"/>
          <w:szCs w:val="24"/>
        </w:rPr>
        <w:t xml:space="preserve">. </w:t>
      </w:r>
      <w:r w:rsidR="00231C45" w:rsidRPr="00BE205A">
        <w:rPr>
          <w:sz w:val="24"/>
          <w:szCs w:val="24"/>
        </w:rPr>
        <w:t xml:space="preserve">Fifteen different types of alcohol marketing were examined including TV, print, outdoors, sponsorship, price promotions and new digital media. </w:t>
      </w:r>
      <w:r w:rsidR="00DD0E31" w:rsidRPr="00BE205A">
        <w:rPr>
          <w:sz w:val="24"/>
          <w:szCs w:val="24"/>
        </w:rPr>
        <w:t xml:space="preserve">Two-thirds or more </w:t>
      </w:r>
      <w:r w:rsidR="00CD7FE8" w:rsidRPr="00BE205A">
        <w:rPr>
          <w:sz w:val="24"/>
          <w:szCs w:val="24"/>
        </w:rPr>
        <w:t xml:space="preserve">of </w:t>
      </w:r>
      <w:r w:rsidR="00DD0E31" w:rsidRPr="00BE205A">
        <w:rPr>
          <w:sz w:val="24"/>
          <w:szCs w:val="24"/>
        </w:rPr>
        <w:t xml:space="preserve">the youth </w:t>
      </w:r>
      <w:r w:rsidR="001520E3" w:rsidRPr="00BE205A">
        <w:rPr>
          <w:sz w:val="24"/>
          <w:szCs w:val="24"/>
        </w:rPr>
        <w:t xml:space="preserve">(12-14 year olds) </w:t>
      </w:r>
      <w:r w:rsidR="00DD0E31" w:rsidRPr="00BE205A">
        <w:rPr>
          <w:sz w:val="24"/>
          <w:szCs w:val="24"/>
        </w:rPr>
        <w:t xml:space="preserve">were aware of </w:t>
      </w:r>
      <w:r w:rsidR="00CD7FE8" w:rsidRPr="00BE205A">
        <w:rPr>
          <w:sz w:val="24"/>
          <w:szCs w:val="24"/>
        </w:rPr>
        <w:t>ad</w:t>
      </w:r>
      <w:r w:rsidR="00DD0E31" w:rsidRPr="00BE205A">
        <w:rPr>
          <w:sz w:val="24"/>
          <w:szCs w:val="24"/>
        </w:rPr>
        <w:t>verts</w:t>
      </w:r>
      <w:r w:rsidR="00CD7FE8" w:rsidRPr="00BE205A">
        <w:rPr>
          <w:sz w:val="24"/>
          <w:szCs w:val="24"/>
        </w:rPr>
        <w:t xml:space="preserve"> on TV, clothing with alcohol brands and sponsorship of sports by alcohol brands</w:t>
      </w:r>
      <w:r w:rsidR="00DD0E31" w:rsidRPr="00BE205A">
        <w:rPr>
          <w:sz w:val="24"/>
          <w:szCs w:val="24"/>
        </w:rPr>
        <w:t xml:space="preserve">. </w:t>
      </w:r>
      <w:r w:rsidR="00CD7FE8" w:rsidRPr="00BE205A">
        <w:rPr>
          <w:sz w:val="24"/>
          <w:szCs w:val="24"/>
        </w:rPr>
        <w:t xml:space="preserve"> </w:t>
      </w:r>
      <w:r w:rsidR="00DD0E31" w:rsidRPr="00BE205A">
        <w:rPr>
          <w:sz w:val="24"/>
          <w:szCs w:val="24"/>
        </w:rPr>
        <w:t xml:space="preserve">Adolescents who had had an alcoholic drink were aware of significantly more alcohol marketing channels than adolescents who never drank. </w:t>
      </w:r>
      <w:r w:rsidR="00AC245E" w:rsidRPr="00BE205A">
        <w:rPr>
          <w:sz w:val="24"/>
          <w:szCs w:val="24"/>
        </w:rPr>
        <w:t>There was a significant relationship</w:t>
      </w:r>
      <w:r w:rsidR="004B6FA9" w:rsidRPr="00BE205A">
        <w:rPr>
          <w:sz w:val="24"/>
          <w:szCs w:val="24"/>
        </w:rPr>
        <w:t xml:space="preserve"> between awareness of and involvement with alcohol marketin</w:t>
      </w:r>
      <w:r w:rsidR="00AC245E" w:rsidRPr="00BE205A">
        <w:rPr>
          <w:sz w:val="24"/>
          <w:szCs w:val="24"/>
        </w:rPr>
        <w:t>g and drinking behaviour</w:t>
      </w:r>
      <w:r w:rsidR="004B6FA9" w:rsidRPr="00BE205A">
        <w:rPr>
          <w:sz w:val="24"/>
          <w:szCs w:val="24"/>
        </w:rPr>
        <w:t xml:space="preserve"> </w:t>
      </w:r>
      <w:r w:rsidR="00AC245E" w:rsidRPr="00BE205A">
        <w:rPr>
          <w:sz w:val="24"/>
          <w:szCs w:val="24"/>
        </w:rPr>
        <w:t>(</w:t>
      </w:r>
      <w:proofErr w:type="gramStart"/>
      <w:r w:rsidR="0034754F" w:rsidRPr="00BE205A">
        <w:rPr>
          <w:sz w:val="24"/>
          <w:szCs w:val="24"/>
        </w:rPr>
        <w:t>Gordon  et</w:t>
      </w:r>
      <w:proofErr w:type="gramEnd"/>
      <w:r w:rsidR="0034754F" w:rsidRPr="00BE205A">
        <w:rPr>
          <w:sz w:val="24"/>
          <w:szCs w:val="24"/>
        </w:rPr>
        <w:t xml:space="preserve"> al 2011).</w:t>
      </w:r>
      <w:r w:rsidR="00466874" w:rsidRPr="00BE205A">
        <w:rPr>
          <w:sz w:val="24"/>
          <w:szCs w:val="24"/>
        </w:rPr>
        <w:t xml:space="preserve">  </w:t>
      </w:r>
    </w:p>
    <w:p w:rsidR="009402B5" w:rsidRPr="00BE205A" w:rsidRDefault="009402B5" w:rsidP="00BE205A">
      <w:pPr>
        <w:spacing w:after="120"/>
        <w:rPr>
          <w:sz w:val="24"/>
          <w:szCs w:val="24"/>
        </w:rPr>
      </w:pPr>
      <w:r w:rsidRPr="00BE205A">
        <w:rPr>
          <w:sz w:val="24"/>
          <w:szCs w:val="24"/>
        </w:rPr>
        <w:t>A s</w:t>
      </w:r>
      <w:r w:rsidR="002E4DF3" w:rsidRPr="00BE205A">
        <w:rPr>
          <w:sz w:val="24"/>
          <w:szCs w:val="24"/>
        </w:rPr>
        <w:t>ignif</w:t>
      </w:r>
      <w:r w:rsidR="002F61D1" w:rsidRPr="00BE205A">
        <w:rPr>
          <w:sz w:val="24"/>
          <w:szCs w:val="24"/>
        </w:rPr>
        <w:t xml:space="preserve">icant </w:t>
      </w:r>
      <w:r w:rsidR="00CC65FA" w:rsidRPr="00BE205A">
        <w:rPr>
          <w:sz w:val="24"/>
          <w:szCs w:val="24"/>
        </w:rPr>
        <w:t>association</w:t>
      </w:r>
      <w:r w:rsidR="002E4DF3" w:rsidRPr="00BE205A">
        <w:rPr>
          <w:sz w:val="24"/>
          <w:szCs w:val="24"/>
        </w:rPr>
        <w:t xml:space="preserve"> were found between ownership of alcohol–branded merchandise and binge drinking</w:t>
      </w:r>
      <w:r w:rsidR="00CC65FA" w:rsidRPr="00BE205A">
        <w:rPr>
          <w:sz w:val="24"/>
          <w:szCs w:val="24"/>
        </w:rPr>
        <w:t xml:space="preserve"> which occurred through (mediated) both drinker identify and brand allegiance, identified by </w:t>
      </w:r>
      <w:r w:rsidR="00AC245E" w:rsidRPr="00BE205A">
        <w:rPr>
          <w:sz w:val="24"/>
          <w:szCs w:val="24"/>
        </w:rPr>
        <w:t xml:space="preserve">the </w:t>
      </w:r>
      <w:r w:rsidR="00CC65FA" w:rsidRPr="00BE205A">
        <w:rPr>
          <w:sz w:val="24"/>
          <w:szCs w:val="24"/>
        </w:rPr>
        <w:t>researchers as marketing-specific cognitions,  cognitions that marketers aim to cultivate in the consumer (McClure et al 2013).</w:t>
      </w:r>
      <w:r w:rsidR="002E4DF3" w:rsidRPr="00BE205A">
        <w:rPr>
          <w:sz w:val="24"/>
          <w:szCs w:val="24"/>
        </w:rPr>
        <w:t xml:space="preserve"> </w:t>
      </w:r>
      <w:r w:rsidRPr="00BE205A">
        <w:rPr>
          <w:sz w:val="24"/>
          <w:szCs w:val="24"/>
        </w:rPr>
        <w:t>While exposure to all forms of marketing are associated with drinking by young people, more active engagement, such as owning merchandise and downloading screensavers were shown to be  stronger predictors of drinking. Early alcohol brand allegiance was related to not only drinking and future intention to drink</w:t>
      </w:r>
      <w:r w:rsidR="007B7CDC" w:rsidRPr="00BE205A">
        <w:rPr>
          <w:sz w:val="24"/>
          <w:szCs w:val="24"/>
        </w:rPr>
        <w:t>,</w:t>
      </w:r>
      <w:r w:rsidRPr="00BE205A">
        <w:rPr>
          <w:sz w:val="24"/>
          <w:szCs w:val="24"/>
        </w:rPr>
        <w:t xml:space="preserve"> but also consuming larger quantities (Lin et al 2012)</w:t>
      </w:r>
      <w:r w:rsidR="00452A9B" w:rsidRPr="00BE205A">
        <w:rPr>
          <w:sz w:val="24"/>
          <w:szCs w:val="24"/>
        </w:rPr>
        <w:t>.  Exposure to alcohol consumption in movies was associated with youth binge drinking and was little influenced by cultural difference between six counties in Europe (</w:t>
      </w:r>
      <w:proofErr w:type="spellStart"/>
      <w:r w:rsidR="00452A9B" w:rsidRPr="00BE205A">
        <w:rPr>
          <w:sz w:val="24"/>
          <w:szCs w:val="24"/>
        </w:rPr>
        <w:t>Hanewinkel</w:t>
      </w:r>
      <w:proofErr w:type="spellEnd"/>
      <w:r w:rsidR="00452A9B" w:rsidRPr="00BE205A">
        <w:rPr>
          <w:sz w:val="24"/>
          <w:szCs w:val="24"/>
        </w:rPr>
        <w:t xml:space="preserve"> et al 2012).</w:t>
      </w:r>
    </w:p>
    <w:p w:rsidR="00C95DB7" w:rsidRPr="00BE205A" w:rsidRDefault="00C95DB7" w:rsidP="00BE205A">
      <w:pPr>
        <w:spacing w:after="120"/>
        <w:rPr>
          <w:sz w:val="24"/>
          <w:szCs w:val="24"/>
        </w:rPr>
      </w:pPr>
      <w:r w:rsidRPr="00BE205A">
        <w:rPr>
          <w:sz w:val="24"/>
          <w:szCs w:val="24"/>
        </w:rPr>
        <w:t xml:space="preserve">Examining the different marketing areas in isolation </w:t>
      </w:r>
      <w:r w:rsidR="00523A78" w:rsidRPr="00BE205A">
        <w:rPr>
          <w:sz w:val="24"/>
          <w:szCs w:val="24"/>
        </w:rPr>
        <w:t>while useful</w:t>
      </w:r>
      <w:r w:rsidR="00565011" w:rsidRPr="00BE205A">
        <w:rPr>
          <w:sz w:val="24"/>
          <w:szCs w:val="24"/>
        </w:rPr>
        <w:t>,</w:t>
      </w:r>
      <w:r w:rsidR="00523A78" w:rsidRPr="00BE205A">
        <w:rPr>
          <w:sz w:val="24"/>
          <w:szCs w:val="24"/>
        </w:rPr>
        <w:t xml:space="preserve"> </w:t>
      </w:r>
      <w:r w:rsidRPr="00BE205A">
        <w:rPr>
          <w:sz w:val="24"/>
          <w:szCs w:val="24"/>
        </w:rPr>
        <w:t>underestimates the power of modern marketing</w:t>
      </w:r>
      <w:r w:rsidR="00523A78" w:rsidRPr="00BE205A">
        <w:rPr>
          <w:sz w:val="24"/>
          <w:szCs w:val="24"/>
        </w:rPr>
        <w:t xml:space="preserve">. </w:t>
      </w:r>
      <w:r w:rsidR="00AC245E" w:rsidRPr="00BE205A">
        <w:rPr>
          <w:sz w:val="24"/>
          <w:szCs w:val="24"/>
        </w:rPr>
        <w:t>A</w:t>
      </w:r>
      <w:r w:rsidR="009A13D1" w:rsidRPr="00BE205A">
        <w:rPr>
          <w:sz w:val="24"/>
          <w:szCs w:val="24"/>
        </w:rPr>
        <w:t>lcohol is marketed using multiple</w:t>
      </w:r>
      <w:r w:rsidR="00AC245E" w:rsidRPr="00BE205A">
        <w:rPr>
          <w:sz w:val="24"/>
          <w:szCs w:val="24"/>
        </w:rPr>
        <w:t xml:space="preserve"> channels of communications</w:t>
      </w:r>
      <w:r w:rsidR="009402B5" w:rsidRPr="00BE205A">
        <w:rPr>
          <w:sz w:val="24"/>
          <w:szCs w:val="24"/>
        </w:rPr>
        <w:t xml:space="preserve"> (integrated marketing)</w:t>
      </w:r>
      <w:proofErr w:type="gramStart"/>
      <w:r w:rsidR="00AC245E" w:rsidRPr="00BE205A">
        <w:rPr>
          <w:sz w:val="24"/>
          <w:szCs w:val="24"/>
        </w:rPr>
        <w:t>,</w:t>
      </w:r>
      <w:proofErr w:type="gramEnd"/>
      <w:r w:rsidR="00AC245E" w:rsidRPr="00BE205A">
        <w:rPr>
          <w:sz w:val="24"/>
          <w:szCs w:val="24"/>
        </w:rPr>
        <w:t xml:space="preserve"> therefore the </w:t>
      </w:r>
      <w:r w:rsidR="00AC245E" w:rsidRPr="0012000F">
        <w:rPr>
          <w:b/>
          <w:sz w:val="24"/>
          <w:szCs w:val="24"/>
        </w:rPr>
        <w:t xml:space="preserve">impact of the cumulative exposure to alcohol marketing is more powerful than </w:t>
      </w:r>
      <w:r w:rsidR="00565011" w:rsidRPr="0012000F">
        <w:rPr>
          <w:b/>
          <w:sz w:val="24"/>
          <w:szCs w:val="24"/>
        </w:rPr>
        <w:t xml:space="preserve">just </w:t>
      </w:r>
      <w:r w:rsidR="00AC245E" w:rsidRPr="0012000F">
        <w:rPr>
          <w:b/>
          <w:sz w:val="24"/>
          <w:szCs w:val="24"/>
        </w:rPr>
        <w:t>individual channels</w:t>
      </w:r>
      <w:r w:rsidR="00AC245E" w:rsidRPr="00BE205A">
        <w:rPr>
          <w:sz w:val="24"/>
          <w:szCs w:val="24"/>
        </w:rPr>
        <w:t>.</w:t>
      </w:r>
    </w:p>
    <w:p w:rsidR="00AC245E" w:rsidRPr="00BE205A" w:rsidRDefault="00565011" w:rsidP="00BE205A">
      <w:pPr>
        <w:spacing w:after="120"/>
        <w:rPr>
          <w:b/>
          <w:sz w:val="24"/>
          <w:szCs w:val="24"/>
        </w:rPr>
      </w:pPr>
      <w:r w:rsidRPr="00BE205A">
        <w:rPr>
          <w:b/>
          <w:sz w:val="24"/>
          <w:szCs w:val="24"/>
        </w:rPr>
        <w:t xml:space="preserve">Alcohol branded </w:t>
      </w:r>
      <w:r w:rsidR="00AC245E" w:rsidRPr="00BE205A">
        <w:rPr>
          <w:b/>
          <w:sz w:val="24"/>
          <w:szCs w:val="24"/>
        </w:rPr>
        <w:t>Sports sponsorship</w:t>
      </w:r>
    </w:p>
    <w:p w:rsidR="00402624" w:rsidRPr="00BE205A" w:rsidRDefault="00452A9B" w:rsidP="00BE205A">
      <w:pPr>
        <w:spacing w:after="120"/>
        <w:rPr>
          <w:sz w:val="24"/>
          <w:szCs w:val="24"/>
        </w:rPr>
      </w:pPr>
      <w:r w:rsidRPr="00BE205A">
        <w:rPr>
          <w:sz w:val="24"/>
          <w:szCs w:val="24"/>
        </w:rPr>
        <w:t xml:space="preserve">Alcohol marketing is not confined </w:t>
      </w:r>
      <w:r w:rsidR="003E65E8" w:rsidRPr="00BE205A">
        <w:rPr>
          <w:sz w:val="24"/>
          <w:szCs w:val="24"/>
        </w:rPr>
        <w:t>to formal commercial advertisements</w:t>
      </w:r>
      <w:r w:rsidR="009A13D1" w:rsidRPr="00BE205A">
        <w:rPr>
          <w:sz w:val="24"/>
          <w:szCs w:val="24"/>
        </w:rPr>
        <w:t>.  T</w:t>
      </w:r>
      <w:r w:rsidRPr="00BE205A">
        <w:rPr>
          <w:sz w:val="24"/>
          <w:szCs w:val="24"/>
        </w:rPr>
        <w:t xml:space="preserve">he area of alcohol branded sports sponsorship illustrates the </w:t>
      </w:r>
      <w:r w:rsidRPr="0012000F">
        <w:rPr>
          <w:b/>
          <w:sz w:val="24"/>
          <w:szCs w:val="24"/>
        </w:rPr>
        <w:t xml:space="preserve">saturation exposure of </w:t>
      </w:r>
      <w:r w:rsidR="009C1205" w:rsidRPr="0012000F">
        <w:rPr>
          <w:b/>
          <w:sz w:val="24"/>
          <w:szCs w:val="24"/>
        </w:rPr>
        <w:t xml:space="preserve">alcohol </w:t>
      </w:r>
      <w:r w:rsidRPr="0012000F">
        <w:rPr>
          <w:b/>
          <w:sz w:val="24"/>
          <w:szCs w:val="24"/>
        </w:rPr>
        <w:t>product placement during sporting events</w:t>
      </w:r>
      <w:r w:rsidRPr="00BE205A">
        <w:rPr>
          <w:sz w:val="24"/>
          <w:szCs w:val="24"/>
        </w:rPr>
        <w:t xml:space="preserve">. </w:t>
      </w:r>
      <w:r w:rsidR="00933A81" w:rsidRPr="00BE205A">
        <w:rPr>
          <w:sz w:val="24"/>
          <w:szCs w:val="24"/>
        </w:rPr>
        <w:t>A study on the extent of marketing strategies during a telev</w:t>
      </w:r>
      <w:r w:rsidR="00EC5A0F" w:rsidRPr="00BE205A">
        <w:rPr>
          <w:sz w:val="24"/>
          <w:szCs w:val="24"/>
        </w:rPr>
        <w:t xml:space="preserve">ised </w:t>
      </w:r>
      <w:r w:rsidR="00EC5A0F" w:rsidRPr="00BE205A">
        <w:rPr>
          <w:sz w:val="24"/>
          <w:szCs w:val="24"/>
          <w:u w:val="single"/>
        </w:rPr>
        <w:t>sports series</w:t>
      </w:r>
      <w:r w:rsidR="00EC5A0F" w:rsidRPr="00BE205A">
        <w:rPr>
          <w:sz w:val="24"/>
          <w:szCs w:val="24"/>
        </w:rPr>
        <w:t xml:space="preserve"> concluded that, sport is increasingly used</w:t>
      </w:r>
      <w:r w:rsidR="0094577B" w:rsidRPr="00BE205A">
        <w:rPr>
          <w:sz w:val="24"/>
          <w:szCs w:val="24"/>
        </w:rPr>
        <w:t xml:space="preserve"> </w:t>
      </w:r>
      <w:r w:rsidR="00EC5A0F" w:rsidRPr="00BE205A">
        <w:rPr>
          <w:sz w:val="24"/>
          <w:szCs w:val="24"/>
        </w:rPr>
        <w:t>as a vehicle for the promotion of ‘risky consumption’ products (Lindsay et al 2013). The researchers examined the marketing for alcoholic beverages, gambling products and un</w:t>
      </w:r>
      <w:r w:rsidR="00264A2F" w:rsidRPr="00BE205A">
        <w:rPr>
          <w:sz w:val="24"/>
          <w:szCs w:val="24"/>
        </w:rPr>
        <w:t>healthy food</w:t>
      </w:r>
      <w:r w:rsidR="009B0D80" w:rsidRPr="00BE205A">
        <w:rPr>
          <w:sz w:val="24"/>
          <w:szCs w:val="24"/>
        </w:rPr>
        <w:t>s</w:t>
      </w:r>
      <w:r w:rsidR="00264A2F" w:rsidRPr="00BE205A">
        <w:rPr>
          <w:sz w:val="24"/>
          <w:szCs w:val="24"/>
        </w:rPr>
        <w:t xml:space="preserve"> </w:t>
      </w:r>
      <w:r w:rsidR="0094577B" w:rsidRPr="00BE205A">
        <w:rPr>
          <w:sz w:val="24"/>
          <w:szCs w:val="24"/>
        </w:rPr>
        <w:t>during</w:t>
      </w:r>
      <w:r w:rsidR="00EC5A0F" w:rsidRPr="00BE205A">
        <w:rPr>
          <w:sz w:val="24"/>
          <w:szCs w:val="24"/>
        </w:rPr>
        <w:t xml:space="preserve"> the televised coverage of </w:t>
      </w:r>
      <w:r w:rsidR="0075317D" w:rsidRPr="00BE205A">
        <w:rPr>
          <w:sz w:val="24"/>
          <w:szCs w:val="24"/>
        </w:rPr>
        <w:t>Australian National Rug</w:t>
      </w:r>
      <w:r w:rsidR="0094577B" w:rsidRPr="00BE205A">
        <w:rPr>
          <w:sz w:val="24"/>
          <w:szCs w:val="24"/>
        </w:rPr>
        <w:t xml:space="preserve">by League series. </w:t>
      </w:r>
      <w:r w:rsidR="00264A2F" w:rsidRPr="00BE205A">
        <w:rPr>
          <w:sz w:val="24"/>
          <w:szCs w:val="24"/>
        </w:rPr>
        <w:t xml:space="preserve">Out of a total of 360 minutes, </w:t>
      </w:r>
      <w:r w:rsidR="0094577B" w:rsidRPr="00BE205A">
        <w:rPr>
          <w:sz w:val="24"/>
          <w:szCs w:val="24"/>
        </w:rPr>
        <w:t xml:space="preserve">200 minutes of incidental alcohol marketing </w:t>
      </w:r>
      <w:r w:rsidR="009C1205" w:rsidRPr="00BE205A">
        <w:rPr>
          <w:sz w:val="24"/>
          <w:szCs w:val="24"/>
        </w:rPr>
        <w:t xml:space="preserve">took place during the three games, </w:t>
      </w:r>
      <w:r w:rsidR="0094577B" w:rsidRPr="00BE205A">
        <w:rPr>
          <w:sz w:val="24"/>
          <w:szCs w:val="24"/>
        </w:rPr>
        <w:t>which wa</w:t>
      </w:r>
      <w:r w:rsidR="0075317D" w:rsidRPr="00BE205A">
        <w:rPr>
          <w:sz w:val="24"/>
          <w:szCs w:val="24"/>
        </w:rPr>
        <w:t>s much higher than for</w:t>
      </w:r>
      <w:r w:rsidR="0094577B" w:rsidRPr="00BE205A">
        <w:rPr>
          <w:sz w:val="24"/>
          <w:szCs w:val="24"/>
        </w:rPr>
        <w:t xml:space="preserve"> gambling (26 mins) or unhealthy foods (</w:t>
      </w:r>
      <w:r w:rsidR="0075317D" w:rsidRPr="00BE205A">
        <w:rPr>
          <w:sz w:val="24"/>
          <w:szCs w:val="24"/>
        </w:rPr>
        <w:t xml:space="preserve">8 mins) marketing. </w:t>
      </w:r>
      <w:r w:rsidR="007C6C61" w:rsidRPr="00BE205A">
        <w:rPr>
          <w:sz w:val="24"/>
          <w:szCs w:val="24"/>
        </w:rPr>
        <w:t xml:space="preserve">This equates to 11.3 episodes per minute. </w:t>
      </w:r>
      <w:r w:rsidR="0075317D" w:rsidRPr="00BE205A">
        <w:rPr>
          <w:sz w:val="24"/>
          <w:szCs w:val="24"/>
        </w:rPr>
        <w:t>Over one-third (37%) was ‘</w:t>
      </w:r>
      <w:r w:rsidR="0075317D" w:rsidRPr="0012000F">
        <w:rPr>
          <w:sz w:val="24"/>
          <w:szCs w:val="24"/>
          <w:u w:val="single"/>
        </w:rPr>
        <w:t>on field’</w:t>
      </w:r>
      <w:r w:rsidR="0075317D" w:rsidRPr="00BE205A">
        <w:rPr>
          <w:sz w:val="24"/>
          <w:szCs w:val="24"/>
        </w:rPr>
        <w:t xml:space="preserve"> </w:t>
      </w:r>
      <w:r w:rsidR="00264A2F" w:rsidRPr="00BE205A">
        <w:rPr>
          <w:sz w:val="24"/>
          <w:szCs w:val="24"/>
        </w:rPr>
        <w:t xml:space="preserve">alcohol </w:t>
      </w:r>
      <w:r w:rsidR="0075317D" w:rsidRPr="00BE205A">
        <w:rPr>
          <w:sz w:val="24"/>
          <w:szCs w:val="24"/>
        </w:rPr>
        <w:t>marketing such as banners</w:t>
      </w:r>
      <w:r w:rsidR="009A13D1" w:rsidRPr="00BE205A">
        <w:rPr>
          <w:sz w:val="24"/>
          <w:szCs w:val="24"/>
        </w:rPr>
        <w:t>,</w:t>
      </w:r>
      <w:r w:rsidR="0075317D" w:rsidRPr="00BE205A">
        <w:rPr>
          <w:sz w:val="24"/>
          <w:szCs w:val="24"/>
        </w:rPr>
        <w:t xml:space="preserve"> display boards, paddings surrounding the goal posts, painted logos on the field, players uniform. The </w:t>
      </w:r>
      <w:r w:rsidR="0075317D" w:rsidRPr="0012000F">
        <w:rPr>
          <w:sz w:val="24"/>
          <w:szCs w:val="24"/>
          <w:u w:val="single"/>
        </w:rPr>
        <w:t>off-field</w:t>
      </w:r>
      <w:r w:rsidR="0075317D" w:rsidRPr="00BE205A">
        <w:rPr>
          <w:sz w:val="24"/>
          <w:szCs w:val="24"/>
        </w:rPr>
        <w:t xml:space="preserve"> alcohol marketing included brand signage in coaching area, towels, chairs</w:t>
      </w:r>
      <w:r w:rsidR="00852E91" w:rsidRPr="00BE205A">
        <w:rPr>
          <w:sz w:val="24"/>
          <w:szCs w:val="24"/>
        </w:rPr>
        <w:t>,</w:t>
      </w:r>
      <w:r w:rsidR="0075317D" w:rsidRPr="00BE205A">
        <w:rPr>
          <w:sz w:val="24"/>
          <w:szCs w:val="24"/>
        </w:rPr>
        <w:t xml:space="preserve"> drink coolers and in </w:t>
      </w:r>
      <w:r w:rsidR="009A13D1" w:rsidRPr="00BE205A">
        <w:rPr>
          <w:sz w:val="24"/>
          <w:szCs w:val="24"/>
        </w:rPr>
        <w:t xml:space="preserve">the </w:t>
      </w:r>
      <w:r w:rsidR="0075317D" w:rsidRPr="00BE205A">
        <w:rPr>
          <w:sz w:val="24"/>
          <w:szCs w:val="24"/>
        </w:rPr>
        <w:t xml:space="preserve">team dressing rooms. For about two thirds of </w:t>
      </w:r>
      <w:r w:rsidR="0075317D" w:rsidRPr="00BE205A">
        <w:rPr>
          <w:sz w:val="24"/>
          <w:szCs w:val="24"/>
        </w:rPr>
        <w:lastRenderedPageBreak/>
        <w:t>the television</w:t>
      </w:r>
      <w:r w:rsidR="009C1205" w:rsidRPr="00BE205A">
        <w:rPr>
          <w:sz w:val="24"/>
          <w:szCs w:val="24"/>
        </w:rPr>
        <w:t xml:space="preserve"> broadcast, the marketing for a</w:t>
      </w:r>
      <w:r w:rsidR="0075317D" w:rsidRPr="00BE205A">
        <w:rPr>
          <w:sz w:val="24"/>
          <w:szCs w:val="24"/>
        </w:rPr>
        <w:t>t least o</w:t>
      </w:r>
      <w:r w:rsidR="009A13D1" w:rsidRPr="00BE205A">
        <w:rPr>
          <w:sz w:val="24"/>
          <w:szCs w:val="24"/>
        </w:rPr>
        <w:t>ne ‘risky’ product, most notably</w:t>
      </w:r>
      <w:r w:rsidR="0075317D" w:rsidRPr="00BE205A">
        <w:rPr>
          <w:sz w:val="24"/>
          <w:szCs w:val="24"/>
        </w:rPr>
        <w:t xml:space="preserve"> alcohol was visible</w:t>
      </w:r>
      <w:r w:rsidR="00A362D5" w:rsidRPr="00BE205A">
        <w:rPr>
          <w:sz w:val="24"/>
          <w:szCs w:val="24"/>
        </w:rPr>
        <w:t xml:space="preserve">. The commercial break advertisements accounted for </w:t>
      </w:r>
      <w:r w:rsidR="009B0D80" w:rsidRPr="00BE205A">
        <w:rPr>
          <w:sz w:val="24"/>
          <w:szCs w:val="24"/>
        </w:rPr>
        <w:t xml:space="preserve">less than 1% of episodes, representing </w:t>
      </w:r>
      <w:r w:rsidR="00A362D5" w:rsidRPr="00BE205A">
        <w:rPr>
          <w:sz w:val="24"/>
          <w:szCs w:val="24"/>
        </w:rPr>
        <w:t>just over 7% of the marketing</w:t>
      </w:r>
      <w:r w:rsidR="009B0D80" w:rsidRPr="00BE205A">
        <w:rPr>
          <w:sz w:val="24"/>
          <w:szCs w:val="24"/>
        </w:rPr>
        <w:t xml:space="preserve"> time for all three products</w:t>
      </w:r>
      <w:r w:rsidR="00A362D5" w:rsidRPr="00BE205A">
        <w:rPr>
          <w:sz w:val="24"/>
          <w:szCs w:val="24"/>
        </w:rPr>
        <w:t>. This illustrates that embedded marketing strategies can be extensive</w:t>
      </w:r>
      <w:r w:rsidR="006F354C" w:rsidRPr="00BE205A">
        <w:rPr>
          <w:sz w:val="24"/>
          <w:szCs w:val="24"/>
        </w:rPr>
        <w:t xml:space="preserve"> in sports programmes and is similar to product placement in </w:t>
      </w:r>
      <w:r w:rsidR="00852E91" w:rsidRPr="00BE205A">
        <w:rPr>
          <w:sz w:val="24"/>
          <w:szCs w:val="24"/>
        </w:rPr>
        <w:t>television programmes, movies, video games and online product placement.</w:t>
      </w:r>
      <w:r w:rsidR="00264A2F" w:rsidRPr="00BE205A">
        <w:rPr>
          <w:sz w:val="24"/>
          <w:szCs w:val="24"/>
        </w:rPr>
        <w:t xml:space="preserve">  </w:t>
      </w:r>
    </w:p>
    <w:p w:rsidR="00402624" w:rsidRPr="00BE205A" w:rsidRDefault="00402624" w:rsidP="00BE205A">
      <w:pPr>
        <w:spacing w:after="120"/>
        <w:rPr>
          <w:sz w:val="24"/>
          <w:szCs w:val="24"/>
        </w:rPr>
      </w:pPr>
    </w:p>
    <w:p w:rsidR="007C6C61" w:rsidRPr="00BE205A" w:rsidRDefault="00A50CC0" w:rsidP="00BE205A">
      <w:pPr>
        <w:spacing w:after="120"/>
        <w:rPr>
          <w:sz w:val="24"/>
          <w:szCs w:val="24"/>
        </w:rPr>
      </w:pPr>
      <w:r w:rsidRPr="00BE205A">
        <w:rPr>
          <w:sz w:val="24"/>
          <w:szCs w:val="24"/>
        </w:rPr>
        <w:t xml:space="preserve"> </w:t>
      </w:r>
      <w:r w:rsidR="00264A2F" w:rsidRPr="00BE205A">
        <w:rPr>
          <w:sz w:val="24"/>
          <w:szCs w:val="24"/>
        </w:rPr>
        <w:t>A</w:t>
      </w:r>
      <w:r w:rsidR="00277A9F" w:rsidRPr="00BE205A">
        <w:rPr>
          <w:sz w:val="24"/>
          <w:szCs w:val="24"/>
        </w:rPr>
        <w:t xml:space="preserve">n </w:t>
      </w:r>
      <w:r w:rsidR="00264A2F" w:rsidRPr="00BE205A">
        <w:rPr>
          <w:sz w:val="24"/>
          <w:szCs w:val="24"/>
        </w:rPr>
        <w:t xml:space="preserve">analysis of </w:t>
      </w:r>
      <w:r w:rsidR="00277A9F" w:rsidRPr="00BE205A">
        <w:rPr>
          <w:sz w:val="24"/>
          <w:szCs w:val="24"/>
        </w:rPr>
        <w:t xml:space="preserve">six televised English Professional Football recorded visual alcohol references </w:t>
      </w:r>
      <w:r w:rsidR="009A13D1" w:rsidRPr="00BE205A">
        <w:rPr>
          <w:sz w:val="24"/>
          <w:szCs w:val="24"/>
        </w:rPr>
        <w:t xml:space="preserve">at a frequency of </w:t>
      </w:r>
      <w:r w:rsidR="00277A9F" w:rsidRPr="00BE205A">
        <w:rPr>
          <w:sz w:val="24"/>
          <w:szCs w:val="24"/>
        </w:rPr>
        <w:t>near</w:t>
      </w:r>
      <w:r w:rsidR="00827EEE" w:rsidRPr="00BE205A">
        <w:rPr>
          <w:sz w:val="24"/>
          <w:szCs w:val="24"/>
        </w:rPr>
        <w:t xml:space="preserve">ly </w:t>
      </w:r>
      <w:r w:rsidR="00277A9F" w:rsidRPr="00BE205A">
        <w:rPr>
          <w:sz w:val="24"/>
          <w:szCs w:val="24"/>
        </w:rPr>
        <w:t xml:space="preserve">two </w:t>
      </w:r>
      <w:r w:rsidR="00827EEE" w:rsidRPr="00BE205A">
        <w:rPr>
          <w:sz w:val="24"/>
          <w:szCs w:val="24"/>
        </w:rPr>
        <w:t>per minute</w:t>
      </w:r>
      <w:r w:rsidR="00277A9F" w:rsidRPr="00BE205A">
        <w:rPr>
          <w:sz w:val="24"/>
          <w:szCs w:val="24"/>
        </w:rPr>
        <w:t xml:space="preserve"> </w:t>
      </w:r>
      <w:r w:rsidR="00827EEE" w:rsidRPr="00BE205A">
        <w:rPr>
          <w:sz w:val="24"/>
          <w:szCs w:val="24"/>
        </w:rPr>
        <w:t>during the broadcast of the</w:t>
      </w:r>
      <w:r w:rsidR="00277A9F" w:rsidRPr="00BE205A">
        <w:rPr>
          <w:sz w:val="24"/>
          <w:szCs w:val="24"/>
        </w:rPr>
        <w:t xml:space="preserve"> games</w:t>
      </w:r>
      <w:r w:rsidR="009C1205" w:rsidRPr="00BE205A">
        <w:rPr>
          <w:sz w:val="24"/>
          <w:szCs w:val="24"/>
        </w:rPr>
        <w:t>,</w:t>
      </w:r>
      <w:r w:rsidR="00277A9F" w:rsidRPr="00BE205A">
        <w:rPr>
          <w:sz w:val="24"/>
          <w:szCs w:val="24"/>
        </w:rPr>
        <w:t xml:space="preserve"> while verbal references and formal commercial adver</w:t>
      </w:r>
      <w:r w:rsidR="009A13D1" w:rsidRPr="00BE205A">
        <w:rPr>
          <w:sz w:val="24"/>
          <w:szCs w:val="24"/>
        </w:rPr>
        <w:t>tisements accounted for less than</w:t>
      </w:r>
      <w:r w:rsidR="00277A9F" w:rsidRPr="00BE205A">
        <w:rPr>
          <w:sz w:val="24"/>
          <w:szCs w:val="24"/>
        </w:rPr>
        <w:t xml:space="preserve"> 1% of broadcast time. </w:t>
      </w:r>
      <w:r w:rsidR="00827EEE" w:rsidRPr="00BE205A">
        <w:rPr>
          <w:sz w:val="24"/>
          <w:szCs w:val="24"/>
        </w:rPr>
        <w:t xml:space="preserve">The visual alcohol references included billboards alongside </w:t>
      </w:r>
      <w:r w:rsidR="009A13D1" w:rsidRPr="00BE205A">
        <w:rPr>
          <w:sz w:val="24"/>
          <w:szCs w:val="24"/>
        </w:rPr>
        <w:t xml:space="preserve">the </w:t>
      </w:r>
      <w:r w:rsidR="00827EEE" w:rsidRPr="00BE205A">
        <w:rPr>
          <w:sz w:val="24"/>
          <w:szCs w:val="24"/>
        </w:rPr>
        <w:t>field of play, on the field of play, on-screen around replays, substitutions</w:t>
      </w:r>
      <w:r w:rsidR="009C1205" w:rsidRPr="00BE205A">
        <w:rPr>
          <w:sz w:val="24"/>
          <w:szCs w:val="24"/>
        </w:rPr>
        <w:t xml:space="preserve"> and score updates.  The researchers </w:t>
      </w:r>
      <w:r w:rsidR="00827EEE" w:rsidRPr="00BE205A">
        <w:rPr>
          <w:sz w:val="24"/>
          <w:szCs w:val="24"/>
        </w:rPr>
        <w:t xml:space="preserve">concluded that the frequently repeated nature of such momentary </w:t>
      </w:r>
      <w:proofErr w:type="gramStart"/>
      <w:r w:rsidR="00827EEE" w:rsidRPr="00BE205A">
        <w:rPr>
          <w:sz w:val="24"/>
          <w:szCs w:val="24"/>
        </w:rPr>
        <w:t>glimpses</w:t>
      </w:r>
      <w:r w:rsidR="00264A2F" w:rsidRPr="00BE205A">
        <w:rPr>
          <w:sz w:val="24"/>
          <w:szCs w:val="24"/>
        </w:rPr>
        <w:t>,</w:t>
      </w:r>
      <w:proofErr w:type="gramEnd"/>
      <w:r w:rsidR="00827EEE" w:rsidRPr="00BE205A">
        <w:rPr>
          <w:sz w:val="24"/>
          <w:szCs w:val="24"/>
        </w:rPr>
        <w:t xml:space="preserve"> may combine to have a greater effect than single instances of formal commercials (Graham &amp; Adams 2013)</w:t>
      </w:r>
      <w:r w:rsidR="009C1205" w:rsidRPr="00BE205A">
        <w:rPr>
          <w:sz w:val="24"/>
          <w:szCs w:val="24"/>
        </w:rPr>
        <w:t>. An examination of</w:t>
      </w:r>
      <w:r w:rsidR="00452A9B" w:rsidRPr="00BE205A">
        <w:rPr>
          <w:sz w:val="24"/>
          <w:szCs w:val="24"/>
        </w:rPr>
        <w:t xml:space="preserve"> embedded alcohol visuals during</w:t>
      </w:r>
      <w:r w:rsidR="005A7E51" w:rsidRPr="00BE205A">
        <w:rPr>
          <w:sz w:val="24"/>
          <w:szCs w:val="24"/>
        </w:rPr>
        <w:t xml:space="preserve"> </w:t>
      </w:r>
      <w:r w:rsidR="009C1205" w:rsidRPr="00BE205A">
        <w:rPr>
          <w:sz w:val="24"/>
          <w:szCs w:val="24"/>
        </w:rPr>
        <w:t xml:space="preserve">the EURO2012 international soccer </w:t>
      </w:r>
      <w:proofErr w:type="gramStart"/>
      <w:r w:rsidR="009B0D80" w:rsidRPr="00BE205A">
        <w:rPr>
          <w:sz w:val="24"/>
          <w:szCs w:val="24"/>
        </w:rPr>
        <w:t>matches</w:t>
      </w:r>
      <w:r w:rsidR="00264A2F" w:rsidRPr="00BE205A">
        <w:rPr>
          <w:sz w:val="24"/>
          <w:szCs w:val="24"/>
        </w:rPr>
        <w:t>,</w:t>
      </w:r>
      <w:proofErr w:type="gramEnd"/>
      <w:r w:rsidR="00264A2F" w:rsidRPr="00BE205A">
        <w:rPr>
          <w:sz w:val="24"/>
          <w:szCs w:val="24"/>
        </w:rPr>
        <w:t xml:space="preserve"> showed that</w:t>
      </w:r>
      <w:r w:rsidR="005A7E51" w:rsidRPr="00BE205A">
        <w:rPr>
          <w:sz w:val="24"/>
          <w:szCs w:val="24"/>
        </w:rPr>
        <w:t xml:space="preserve"> more than one </w:t>
      </w:r>
      <w:r w:rsidR="00951BBE" w:rsidRPr="00BE205A">
        <w:rPr>
          <w:sz w:val="24"/>
          <w:szCs w:val="24"/>
        </w:rPr>
        <w:t xml:space="preserve">per minute </w:t>
      </w:r>
      <w:r w:rsidR="005A7E51" w:rsidRPr="00BE205A">
        <w:rPr>
          <w:sz w:val="24"/>
          <w:szCs w:val="24"/>
        </w:rPr>
        <w:t xml:space="preserve">visual </w:t>
      </w:r>
      <w:r w:rsidR="00951BBE" w:rsidRPr="00BE205A">
        <w:rPr>
          <w:sz w:val="24"/>
          <w:szCs w:val="24"/>
        </w:rPr>
        <w:t xml:space="preserve">alcohol </w:t>
      </w:r>
      <w:r w:rsidR="005A7E51" w:rsidRPr="00BE205A">
        <w:rPr>
          <w:sz w:val="24"/>
          <w:szCs w:val="24"/>
        </w:rPr>
        <w:t>reference</w:t>
      </w:r>
      <w:r w:rsidR="00951BBE" w:rsidRPr="00BE205A">
        <w:rPr>
          <w:sz w:val="24"/>
          <w:szCs w:val="24"/>
        </w:rPr>
        <w:t>s were</w:t>
      </w:r>
      <w:r w:rsidR="009C1205" w:rsidRPr="00BE205A">
        <w:rPr>
          <w:sz w:val="24"/>
          <w:szCs w:val="24"/>
        </w:rPr>
        <w:t xml:space="preserve"> identified</w:t>
      </w:r>
      <w:r w:rsidR="005A7E51" w:rsidRPr="00BE205A">
        <w:rPr>
          <w:sz w:val="24"/>
          <w:szCs w:val="24"/>
        </w:rPr>
        <w:t xml:space="preserve"> (Adams et al 2014). </w:t>
      </w:r>
      <w:r w:rsidR="00F27F6C" w:rsidRPr="00BE205A">
        <w:rPr>
          <w:sz w:val="24"/>
          <w:szCs w:val="24"/>
        </w:rPr>
        <w:t xml:space="preserve"> </w:t>
      </w:r>
      <w:r w:rsidR="00DF0413" w:rsidRPr="00BE205A">
        <w:rPr>
          <w:sz w:val="24"/>
          <w:szCs w:val="24"/>
        </w:rPr>
        <w:t>A longitudinal study investigating the association between</w:t>
      </w:r>
      <w:r w:rsidR="00F27F6C" w:rsidRPr="00BE205A">
        <w:rPr>
          <w:sz w:val="24"/>
          <w:szCs w:val="24"/>
        </w:rPr>
        <w:t xml:space="preserve"> alcohol branded sports sponsorship </w:t>
      </w:r>
      <w:r w:rsidR="00DF0413" w:rsidRPr="00BE205A">
        <w:rPr>
          <w:sz w:val="24"/>
          <w:szCs w:val="24"/>
        </w:rPr>
        <w:t>and youth drinking among</w:t>
      </w:r>
      <w:r w:rsidR="00F27F6C" w:rsidRPr="00BE205A">
        <w:rPr>
          <w:sz w:val="24"/>
          <w:szCs w:val="24"/>
        </w:rPr>
        <w:t xml:space="preserve"> 14 year olds </w:t>
      </w:r>
      <w:r w:rsidR="00DF0413" w:rsidRPr="00BE205A">
        <w:rPr>
          <w:sz w:val="24"/>
          <w:szCs w:val="24"/>
        </w:rPr>
        <w:t xml:space="preserve">in four European countries (N=6,650) found </w:t>
      </w:r>
      <w:r w:rsidR="009A13D1" w:rsidRPr="00BE205A">
        <w:rPr>
          <w:sz w:val="24"/>
          <w:szCs w:val="24"/>
        </w:rPr>
        <w:t xml:space="preserve">that </w:t>
      </w:r>
      <w:r w:rsidR="00A341C9" w:rsidRPr="00BE205A">
        <w:rPr>
          <w:sz w:val="24"/>
          <w:szCs w:val="24"/>
        </w:rPr>
        <w:t>adolescents</w:t>
      </w:r>
      <w:r w:rsidR="00DF0413" w:rsidRPr="00BE205A">
        <w:rPr>
          <w:sz w:val="24"/>
          <w:szCs w:val="24"/>
        </w:rPr>
        <w:t xml:space="preserve"> who were exposed to alcohol branded sports </w:t>
      </w:r>
      <w:r w:rsidR="00F27F6C" w:rsidRPr="00BE205A">
        <w:rPr>
          <w:sz w:val="24"/>
          <w:szCs w:val="24"/>
        </w:rPr>
        <w:t>were more likely to consume alcohol more frequently.</w:t>
      </w:r>
      <w:r w:rsidR="00A341C9" w:rsidRPr="00BE205A">
        <w:rPr>
          <w:sz w:val="24"/>
          <w:szCs w:val="24"/>
        </w:rPr>
        <w:t xml:space="preserve"> Exposure</w:t>
      </w:r>
      <w:r w:rsidR="00F27F6C" w:rsidRPr="00BE205A">
        <w:rPr>
          <w:sz w:val="24"/>
          <w:szCs w:val="24"/>
        </w:rPr>
        <w:t xml:space="preserve"> also indirectly influenced alcohol expectancies, in other words increased their expectation that alcohol will make them feel more positive because of exposure to alcohol branded sports sponsorship and therefore more likely to drink (de </w:t>
      </w:r>
      <w:proofErr w:type="spellStart"/>
      <w:r w:rsidR="00F27F6C" w:rsidRPr="00BE205A">
        <w:rPr>
          <w:sz w:val="24"/>
          <w:szCs w:val="24"/>
        </w:rPr>
        <w:t>Bruijn</w:t>
      </w:r>
      <w:proofErr w:type="spellEnd"/>
      <w:r w:rsidR="00F27F6C" w:rsidRPr="00BE205A">
        <w:rPr>
          <w:sz w:val="24"/>
          <w:szCs w:val="24"/>
        </w:rPr>
        <w:t xml:space="preserve"> 2012</w:t>
      </w:r>
      <w:r w:rsidR="0012000F">
        <w:rPr>
          <w:sz w:val="24"/>
          <w:szCs w:val="24"/>
        </w:rPr>
        <w:t>a</w:t>
      </w:r>
      <w:r w:rsidR="00F27F6C" w:rsidRPr="00BE205A">
        <w:rPr>
          <w:sz w:val="24"/>
          <w:szCs w:val="24"/>
        </w:rPr>
        <w:t>).</w:t>
      </w:r>
    </w:p>
    <w:p w:rsidR="00A341C9" w:rsidRPr="00BE205A" w:rsidRDefault="00A341C9" w:rsidP="00BE205A">
      <w:pPr>
        <w:spacing w:after="120"/>
        <w:rPr>
          <w:rFonts w:ascii="Times New Roman" w:hAnsi="Times New Roman" w:cs="Times New Roman"/>
          <w:b/>
          <w:sz w:val="24"/>
          <w:szCs w:val="24"/>
        </w:rPr>
      </w:pPr>
    </w:p>
    <w:p w:rsidR="00951BBE" w:rsidRPr="00BE205A" w:rsidRDefault="00951BBE" w:rsidP="00BE205A">
      <w:pPr>
        <w:spacing w:after="120"/>
        <w:rPr>
          <w:rFonts w:cs="Times New Roman"/>
          <w:b/>
          <w:sz w:val="24"/>
          <w:szCs w:val="24"/>
        </w:rPr>
      </w:pPr>
      <w:r w:rsidRPr="00BE205A">
        <w:rPr>
          <w:rFonts w:cs="Times New Roman"/>
          <w:b/>
          <w:sz w:val="24"/>
          <w:szCs w:val="24"/>
        </w:rPr>
        <w:t>Digital media</w:t>
      </w:r>
    </w:p>
    <w:p w:rsidR="00951BBE" w:rsidRPr="00BE205A" w:rsidRDefault="00951BBE" w:rsidP="00BE205A">
      <w:pPr>
        <w:spacing w:after="120"/>
        <w:rPr>
          <w:rFonts w:cs="Times New Roman"/>
          <w:sz w:val="24"/>
          <w:szCs w:val="24"/>
        </w:rPr>
      </w:pPr>
      <w:r w:rsidRPr="00BE205A">
        <w:rPr>
          <w:rFonts w:cs="Times New Roman"/>
          <w:sz w:val="24"/>
          <w:szCs w:val="24"/>
        </w:rPr>
        <w:t>The advance of alcohol marketin</w:t>
      </w:r>
      <w:r w:rsidR="009C1205" w:rsidRPr="00BE205A">
        <w:rPr>
          <w:rFonts w:cs="Times New Roman"/>
          <w:sz w:val="24"/>
          <w:szCs w:val="24"/>
        </w:rPr>
        <w:t>g into social networking sites (SNS)</w:t>
      </w:r>
      <w:r w:rsidRPr="00BE205A">
        <w:rPr>
          <w:rFonts w:cs="Times New Roman"/>
          <w:sz w:val="24"/>
          <w:szCs w:val="24"/>
        </w:rPr>
        <w:t>, a technology widely used by young people in their daily lives</w:t>
      </w:r>
      <w:r w:rsidR="007B7CDC" w:rsidRPr="00BE205A">
        <w:rPr>
          <w:rFonts w:cs="Times New Roman"/>
          <w:sz w:val="24"/>
          <w:szCs w:val="24"/>
        </w:rPr>
        <w:t>,</w:t>
      </w:r>
      <w:r w:rsidRPr="00BE205A">
        <w:rPr>
          <w:rFonts w:cs="Times New Roman"/>
          <w:sz w:val="24"/>
          <w:szCs w:val="24"/>
        </w:rPr>
        <w:t xml:space="preserve"> further extends the risk of exposure to pro alcohol environments</w:t>
      </w:r>
      <w:r w:rsidR="009B0D80" w:rsidRPr="00BE205A">
        <w:rPr>
          <w:rFonts w:cs="Times New Roman"/>
          <w:sz w:val="24"/>
          <w:szCs w:val="24"/>
        </w:rPr>
        <w:t xml:space="preserve"> and youth drinking</w:t>
      </w:r>
      <w:r w:rsidRPr="00BE205A">
        <w:rPr>
          <w:rFonts w:cs="Times New Roman"/>
          <w:sz w:val="24"/>
          <w:szCs w:val="24"/>
        </w:rPr>
        <w:t xml:space="preserve">. A European study, involving over 9,000 children from four countries, reported that the higher the exposure of 14 year olds to online alcohol marketing, the higher the risk of binge drinking, </w:t>
      </w:r>
      <w:r w:rsidR="001931F3" w:rsidRPr="00BE205A">
        <w:rPr>
          <w:sz w:val="24"/>
          <w:szCs w:val="24"/>
        </w:rPr>
        <w:t>indicating a dose response effect</w:t>
      </w:r>
      <w:r w:rsidRPr="00BE205A">
        <w:rPr>
          <w:rFonts w:cs="Times New Roman"/>
          <w:sz w:val="24"/>
          <w:szCs w:val="24"/>
        </w:rPr>
        <w:t xml:space="preserve"> (de </w:t>
      </w:r>
      <w:proofErr w:type="spellStart"/>
      <w:r w:rsidRPr="00BE205A">
        <w:rPr>
          <w:rFonts w:cs="Times New Roman"/>
          <w:sz w:val="24"/>
          <w:szCs w:val="24"/>
        </w:rPr>
        <w:t>Bruijn</w:t>
      </w:r>
      <w:proofErr w:type="spellEnd"/>
      <w:r w:rsidRPr="00BE205A">
        <w:rPr>
          <w:rFonts w:cs="Times New Roman"/>
          <w:sz w:val="24"/>
          <w:szCs w:val="24"/>
        </w:rPr>
        <w:t>, 2012</w:t>
      </w:r>
      <w:r w:rsidR="0012000F">
        <w:rPr>
          <w:rFonts w:cs="Times New Roman"/>
          <w:sz w:val="24"/>
          <w:szCs w:val="24"/>
        </w:rPr>
        <w:t>b</w:t>
      </w:r>
      <w:r w:rsidRPr="00BE205A">
        <w:rPr>
          <w:rFonts w:cs="Times New Roman"/>
          <w:sz w:val="24"/>
          <w:szCs w:val="24"/>
        </w:rPr>
        <w:t xml:space="preserve">).  </w:t>
      </w:r>
    </w:p>
    <w:p w:rsidR="00A341C9" w:rsidRPr="00BE205A" w:rsidRDefault="001D0659" w:rsidP="00BE205A">
      <w:pPr>
        <w:spacing w:after="120"/>
        <w:rPr>
          <w:sz w:val="24"/>
          <w:szCs w:val="24"/>
        </w:rPr>
      </w:pPr>
      <w:r w:rsidRPr="0012000F">
        <w:rPr>
          <w:b/>
          <w:sz w:val="24"/>
          <w:szCs w:val="24"/>
        </w:rPr>
        <w:t>SNS is changing the dynamics of alcohol c</w:t>
      </w:r>
      <w:r w:rsidR="005006F2" w:rsidRPr="0012000F">
        <w:rPr>
          <w:b/>
          <w:sz w:val="24"/>
          <w:szCs w:val="24"/>
        </w:rPr>
        <w:t>ultures</w:t>
      </w:r>
      <w:r w:rsidRPr="0012000F">
        <w:rPr>
          <w:b/>
          <w:sz w:val="24"/>
          <w:szCs w:val="24"/>
        </w:rPr>
        <w:t xml:space="preserve"> in significant ways and </w:t>
      </w:r>
      <w:r w:rsidR="009A13D1" w:rsidRPr="0012000F">
        <w:rPr>
          <w:b/>
          <w:sz w:val="24"/>
          <w:szCs w:val="24"/>
        </w:rPr>
        <w:t xml:space="preserve">is </w:t>
      </w:r>
      <w:r w:rsidRPr="0012000F">
        <w:rPr>
          <w:b/>
          <w:sz w:val="24"/>
          <w:szCs w:val="24"/>
        </w:rPr>
        <w:t>shaping young people’s alcohol use</w:t>
      </w:r>
      <w:r w:rsidRPr="00BE205A">
        <w:rPr>
          <w:sz w:val="24"/>
          <w:szCs w:val="24"/>
        </w:rPr>
        <w:t>.</w:t>
      </w:r>
      <w:r w:rsidR="00951BBE" w:rsidRPr="00BE205A">
        <w:rPr>
          <w:sz w:val="24"/>
          <w:szCs w:val="24"/>
        </w:rPr>
        <w:t xml:space="preserve"> There are several studies which have reported on e</w:t>
      </w:r>
      <w:r w:rsidR="001C1871" w:rsidRPr="00BE205A">
        <w:rPr>
          <w:sz w:val="24"/>
          <w:szCs w:val="24"/>
        </w:rPr>
        <w:t>xposure of children and adolescents to alcohol marketing on social media sites</w:t>
      </w:r>
      <w:r w:rsidR="00951BBE" w:rsidRPr="00BE205A">
        <w:rPr>
          <w:sz w:val="24"/>
          <w:szCs w:val="24"/>
        </w:rPr>
        <w:t>.</w:t>
      </w:r>
      <w:r w:rsidR="00160698" w:rsidRPr="00BE205A">
        <w:rPr>
          <w:sz w:val="24"/>
          <w:szCs w:val="24"/>
        </w:rPr>
        <w:t xml:space="preserve"> In</w:t>
      </w:r>
      <w:r w:rsidR="001F3715" w:rsidRPr="00BE205A">
        <w:rPr>
          <w:sz w:val="24"/>
          <w:szCs w:val="24"/>
        </w:rPr>
        <w:t xml:space="preserve"> the UK, F</w:t>
      </w:r>
      <w:r w:rsidR="009E4EBA" w:rsidRPr="00BE205A">
        <w:rPr>
          <w:sz w:val="24"/>
          <w:szCs w:val="24"/>
        </w:rPr>
        <w:t>acebook was identified as the social media site with the highest reach</w:t>
      </w:r>
      <w:r w:rsidR="007B7CDC" w:rsidRPr="00BE205A">
        <w:rPr>
          <w:sz w:val="24"/>
          <w:szCs w:val="24"/>
        </w:rPr>
        <w:t>,</w:t>
      </w:r>
      <w:r w:rsidR="009E4EBA" w:rsidRPr="00BE205A">
        <w:rPr>
          <w:sz w:val="24"/>
          <w:szCs w:val="24"/>
        </w:rPr>
        <w:t xml:space="preserve"> closely followed by YouTube</w:t>
      </w:r>
      <w:r w:rsidR="001F3715" w:rsidRPr="00BE205A">
        <w:rPr>
          <w:sz w:val="24"/>
          <w:szCs w:val="24"/>
        </w:rPr>
        <w:t>.</w:t>
      </w:r>
      <w:r w:rsidR="009E4EBA" w:rsidRPr="00BE205A">
        <w:rPr>
          <w:sz w:val="24"/>
          <w:szCs w:val="24"/>
        </w:rPr>
        <w:t xml:space="preserve"> </w:t>
      </w:r>
      <w:r w:rsidR="001C1871" w:rsidRPr="00BE205A">
        <w:rPr>
          <w:sz w:val="24"/>
          <w:szCs w:val="24"/>
        </w:rPr>
        <w:t xml:space="preserve"> </w:t>
      </w:r>
      <w:r w:rsidR="00951BBE" w:rsidRPr="00BE205A">
        <w:rPr>
          <w:sz w:val="24"/>
          <w:szCs w:val="24"/>
        </w:rPr>
        <w:t>The study demonstrated the</w:t>
      </w:r>
      <w:r w:rsidR="00160698" w:rsidRPr="00BE205A">
        <w:rPr>
          <w:sz w:val="24"/>
          <w:szCs w:val="24"/>
        </w:rPr>
        <w:t xml:space="preserve"> potential for high exposure of children and young people to alcohol marketing through social media websites. </w:t>
      </w:r>
      <w:r w:rsidR="001F3715" w:rsidRPr="00BE205A">
        <w:rPr>
          <w:sz w:val="24"/>
          <w:szCs w:val="24"/>
        </w:rPr>
        <w:t xml:space="preserve">Marketer-generated brand </w:t>
      </w:r>
      <w:proofErr w:type="gramStart"/>
      <w:r w:rsidR="001F3715" w:rsidRPr="00BE205A">
        <w:rPr>
          <w:sz w:val="24"/>
          <w:szCs w:val="24"/>
        </w:rPr>
        <w:t xml:space="preserve">presence on </w:t>
      </w:r>
      <w:r w:rsidR="009E4EBA" w:rsidRPr="00BE205A">
        <w:rPr>
          <w:sz w:val="24"/>
          <w:szCs w:val="24"/>
        </w:rPr>
        <w:t xml:space="preserve">the </w:t>
      </w:r>
      <w:r w:rsidR="001F3715" w:rsidRPr="00BE205A">
        <w:rPr>
          <w:sz w:val="24"/>
          <w:szCs w:val="24"/>
        </w:rPr>
        <w:t xml:space="preserve">five alcohol brands </w:t>
      </w:r>
      <w:r w:rsidR="009E4EBA" w:rsidRPr="00BE205A">
        <w:rPr>
          <w:sz w:val="24"/>
          <w:szCs w:val="24"/>
        </w:rPr>
        <w:t xml:space="preserve">studied </w:t>
      </w:r>
      <w:r w:rsidR="001F3715" w:rsidRPr="00BE205A">
        <w:rPr>
          <w:sz w:val="24"/>
          <w:szCs w:val="24"/>
        </w:rPr>
        <w:t>were</w:t>
      </w:r>
      <w:proofErr w:type="gramEnd"/>
      <w:r w:rsidR="001F3715" w:rsidRPr="00BE205A">
        <w:rPr>
          <w:sz w:val="24"/>
          <w:szCs w:val="24"/>
        </w:rPr>
        <w:t xml:space="preserve"> identified on Facebook, YouTube and Twitter</w:t>
      </w:r>
      <w:r w:rsidR="009E4EBA" w:rsidRPr="00BE205A">
        <w:rPr>
          <w:sz w:val="24"/>
          <w:szCs w:val="24"/>
        </w:rPr>
        <w:t xml:space="preserve"> with varying levels of user engagement (</w:t>
      </w:r>
      <w:proofErr w:type="spellStart"/>
      <w:r w:rsidR="009E4EBA" w:rsidRPr="00BE205A">
        <w:rPr>
          <w:sz w:val="24"/>
          <w:szCs w:val="24"/>
        </w:rPr>
        <w:t>Winpenny</w:t>
      </w:r>
      <w:proofErr w:type="spellEnd"/>
      <w:r w:rsidR="009E4EBA" w:rsidRPr="00BE205A">
        <w:rPr>
          <w:sz w:val="24"/>
          <w:szCs w:val="24"/>
        </w:rPr>
        <w:t xml:space="preserve"> et al 2014)</w:t>
      </w:r>
      <w:r w:rsidR="00264A2F" w:rsidRPr="00BE205A">
        <w:rPr>
          <w:sz w:val="24"/>
          <w:szCs w:val="24"/>
        </w:rPr>
        <w:t>.</w:t>
      </w:r>
      <w:r w:rsidR="009E4EBA" w:rsidRPr="00BE205A">
        <w:rPr>
          <w:sz w:val="24"/>
          <w:szCs w:val="24"/>
        </w:rPr>
        <w:t xml:space="preserve"> </w:t>
      </w:r>
      <w:r w:rsidR="001F3715" w:rsidRPr="00BE205A">
        <w:rPr>
          <w:sz w:val="24"/>
          <w:szCs w:val="24"/>
        </w:rPr>
        <w:t xml:space="preserve"> </w:t>
      </w:r>
      <w:r w:rsidR="00160698" w:rsidRPr="00BE205A">
        <w:rPr>
          <w:sz w:val="24"/>
          <w:szCs w:val="24"/>
        </w:rPr>
        <w:t xml:space="preserve">While Facebook has an age restriction in place, the study reported 39% of boys and 48% of girls aged 6-14 accessed Facebook during </w:t>
      </w:r>
      <w:r w:rsidR="00160698" w:rsidRPr="00BE205A">
        <w:rPr>
          <w:sz w:val="24"/>
          <w:szCs w:val="24"/>
        </w:rPr>
        <w:lastRenderedPageBreak/>
        <w:t>the study period</w:t>
      </w:r>
      <w:r w:rsidR="00951BBE" w:rsidRPr="00BE205A">
        <w:rPr>
          <w:sz w:val="24"/>
          <w:szCs w:val="24"/>
        </w:rPr>
        <w:t>,</w:t>
      </w:r>
      <w:r w:rsidR="00160698" w:rsidRPr="00BE205A">
        <w:rPr>
          <w:sz w:val="24"/>
          <w:szCs w:val="24"/>
        </w:rPr>
        <w:t xml:space="preserve"> suggesting that children </w:t>
      </w:r>
      <w:r w:rsidR="0053766D" w:rsidRPr="00BE205A">
        <w:rPr>
          <w:sz w:val="24"/>
          <w:szCs w:val="24"/>
        </w:rPr>
        <w:t>provide false ages t</w:t>
      </w:r>
      <w:r w:rsidR="004316FB" w:rsidRPr="00BE205A">
        <w:rPr>
          <w:sz w:val="24"/>
          <w:szCs w:val="24"/>
        </w:rPr>
        <w:t>o</w:t>
      </w:r>
      <w:r w:rsidR="00160698" w:rsidRPr="00BE205A">
        <w:rPr>
          <w:sz w:val="24"/>
          <w:szCs w:val="24"/>
        </w:rPr>
        <w:t xml:space="preserve"> access Facebook.  While in most cases </w:t>
      </w:r>
      <w:r w:rsidR="0053766D" w:rsidRPr="00BE205A">
        <w:rPr>
          <w:sz w:val="24"/>
          <w:szCs w:val="24"/>
        </w:rPr>
        <w:t>with YouTube and Twitter access was possible</w:t>
      </w:r>
      <w:r w:rsidR="00160698" w:rsidRPr="00BE205A">
        <w:rPr>
          <w:sz w:val="24"/>
          <w:szCs w:val="24"/>
        </w:rPr>
        <w:t xml:space="preserve"> by all ages.</w:t>
      </w:r>
      <w:r w:rsidR="009B0D80" w:rsidRPr="00BE205A">
        <w:rPr>
          <w:sz w:val="24"/>
          <w:szCs w:val="24"/>
        </w:rPr>
        <w:t xml:space="preserve"> Young people in Ireland are no different</w:t>
      </w:r>
      <w:r w:rsidR="00F27F6C" w:rsidRPr="00BE205A">
        <w:rPr>
          <w:sz w:val="24"/>
          <w:szCs w:val="24"/>
        </w:rPr>
        <w:t xml:space="preserve">, </w:t>
      </w:r>
      <w:r w:rsidR="009B0D80" w:rsidRPr="00BE205A">
        <w:rPr>
          <w:sz w:val="24"/>
          <w:szCs w:val="24"/>
        </w:rPr>
        <w:t>with significant numbers</w:t>
      </w:r>
      <w:r w:rsidR="00F27F6C" w:rsidRPr="00BE205A">
        <w:rPr>
          <w:sz w:val="24"/>
          <w:szCs w:val="24"/>
        </w:rPr>
        <w:t xml:space="preserve"> (82%)</w:t>
      </w:r>
      <w:r w:rsidR="009B0D80" w:rsidRPr="00BE205A">
        <w:rPr>
          <w:sz w:val="24"/>
          <w:szCs w:val="24"/>
        </w:rPr>
        <w:t xml:space="preserve"> of 13-16</w:t>
      </w:r>
      <w:r w:rsidR="00F27F6C" w:rsidRPr="00BE205A">
        <w:rPr>
          <w:sz w:val="24"/>
          <w:szCs w:val="24"/>
        </w:rPr>
        <w:t xml:space="preserve"> year olds with a profile on social network sites, which is higher than the European average.</w:t>
      </w:r>
      <w:r w:rsidR="009B0D80" w:rsidRPr="00BE205A">
        <w:rPr>
          <w:sz w:val="24"/>
          <w:szCs w:val="24"/>
        </w:rPr>
        <w:t xml:space="preserve"> (</w:t>
      </w:r>
      <w:hyperlink r:id="rId16" w:history="1">
        <w:r w:rsidR="00F27F6C" w:rsidRPr="00BE205A">
          <w:rPr>
            <w:rFonts w:eastAsiaTheme="minorEastAsia" w:hAnsi="Calibri"/>
            <w:i/>
            <w:iCs/>
            <w:color w:val="0070C0"/>
            <w:kern w:val="24"/>
            <w:sz w:val="24"/>
            <w:szCs w:val="24"/>
            <w:u w:val="single"/>
            <w:lang w:eastAsia="en-IE"/>
          </w:rPr>
          <w:t>www.eukidsonline.net</w:t>
        </w:r>
      </w:hyperlink>
      <w:r w:rsidR="00F27F6C" w:rsidRPr="00BE205A">
        <w:rPr>
          <w:rFonts w:eastAsiaTheme="minorEastAsia" w:hAnsi="Calibri"/>
          <w:i/>
          <w:iCs/>
          <w:color w:val="0070C0"/>
          <w:kern w:val="24"/>
          <w:sz w:val="24"/>
          <w:szCs w:val="24"/>
          <w:lang w:eastAsia="en-IE"/>
        </w:rPr>
        <w:t>)</w:t>
      </w:r>
      <w:r w:rsidR="009B0D80" w:rsidRPr="00BE205A">
        <w:rPr>
          <w:sz w:val="24"/>
          <w:szCs w:val="24"/>
        </w:rPr>
        <w:t>.</w:t>
      </w:r>
      <w:r w:rsidR="00F27F6C" w:rsidRPr="00BE205A">
        <w:rPr>
          <w:rFonts w:eastAsiaTheme="minorEastAsia" w:hAnsi="Calibri"/>
          <w:i/>
          <w:iCs/>
          <w:color w:val="0070C0"/>
          <w:kern w:val="24"/>
          <w:sz w:val="24"/>
          <w:szCs w:val="24"/>
        </w:rPr>
        <w:t xml:space="preserve"> </w:t>
      </w:r>
      <w:r w:rsidR="00A341C9" w:rsidRPr="00BE205A">
        <w:rPr>
          <w:sz w:val="24"/>
          <w:szCs w:val="24"/>
        </w:rPr>
        <w:t xml:space="preserve">Jernigan &amp; </w:t>
      </w:r>
      <w:proofErr w:type="spellStart"/>
      <w:r w:rsidR="00A341C9" w:rsidRPr="00BE205A">
        <w:rPr>
          <w:sz w:val="24"/>
          <w:szCs w:val="24"/>
        </w:rPr>
        <w:t>Rushman</w:t>
      </w:r>
      <w:proofErr w:type="spellEnd"/>
      <w:r w:rsidR="00A341C9" w:rsidRPr="00BE205A">
        <w:rPr>
          <w:sz w:val="24"/>
          <w:szCs w:val="24"/>
        </w:rPr>
        <w:t xml:space="preserve"> (2013) reported that user activity on Facebook for the 15 alcohol brands most popular among US youth has grown dramatically in the last num</w:t>
      </w:r>
      <w:r w:rsidR="009A13D1" w:rsidRPr="00BE205A">
        <w:rPr>
          <w:sz w:val="24"/>
          <w:szCs w:val="24"/>
        </w:rPr>
        <w:t>ber of years.  However, protection</w:t>
      </w:r>
      <w:r w:rsidR="00A341C9" w:rsidRPr="00BE205A">
        <w:rPr>
          <w:sz w:val="24"/>
          <w:szCs w:val="24"/>
        </w:rPr>
        <w:t xml:space="preserve"> against youth exposure to alcohol marketing on social media sites is considered weak. The researchers found </w:t>
      </w:r>
      <w:r w:rsidR="00A341C9" w:rsidRPr="0012000F">
        <w:rPr>
          <w:b/>
          <w:sz w:val="24"/>
          <w:szCs w:val="24"/>
        </w:rPr>
        <w:t xml:space="preserve">no alcohol branded sites using any kind of age verification from a third </w:t>
      </w:r>
      <w:proofErr w:type="gramStart"/>
      <w:r w:rsidR="00A341C9" w:rsidRPr="0012000F">
        <w:rPr>
          <w:b/>
          <w:sz w:val="24"/>
          <w:szCs w:val="24"/>
        </w:rPr>
        <w:t>party</w:t>
      </w:r>
      <w:r w:rsidR="00A341C9" w:rsidRPr="00BE205A">
        <w:rPr>
          <w:sz w:val="24"/>
          <w:szCs w:val="24"/>
        </w:rPr>
        <w:t>,</w:t>
      </w:r>
      <w:proofErr w:type="gramEnd"/>
      <w:r w:rsidR="00A341C9" w:rsidRPr="00BE205A">
        <w:rPr>
          <w:sz w:val="24"/>
          <w:szCs w:val="24"/>
        </w:rPr>
        <w:t xml:space="preserve"> they all rely on the individual user to report accurate information. </w:t>
      </w:r>
    </w:p>
    <w:p w:rsidR="00AE0257" w:rsidRPr="00BE205A" w:rsidRDefault="002C03BC" w:rsidP="00BE205A">
      <w:pPr>
        <w:spacing w:after="120"/>
        <w:rPr>
          <w:sz w:val="24"/>
          <w:szCs w:val="24"/>
        </w:rPr>
      </w:pPr>
      <w:r w:rsidRPr="00BE205A">
        <w:rPr>
          <w:rFonts w:cs="Times New Roman"/>
          <w:sz w:val="24"/>
          <w:szCs w:val="24"/>
        </w:rPr>
        <w:t>The alcohol industry’s drive to use SNS, blurs the line between user-generated and industry marketing materials</w:t>
      </w:r>
      <w:r w:rsidR="000801DF" w:rsidRPr="00BE205A">
        <w:rPr>
          <w:rFonts w:cs="Times New Roman"/>
          <w:sz w:val="24"/>
          <w:szCs w:val="24"/>
        </w:rPr>
        <w:t xml:space="preserve">. </w:t>
      </w:r>
      <w:r w:rsidR="008C161D" w:rsidRPr="00BE205A">
        <w:rPr>
          <w:rFonts w:cs="Times New Roman"/>
          <w:sz w:val="24"/>
          <w:szCs w:val="24"/>
        </w:rPr>
        <w:t>An illustration of this blur</w:t>
      </w:r>
      <w:r w:rsidR="00A341C9" w:rsidRPr="00BE205A">
        <w:rPr>
          <w:rFonts w:cs="Times New Roman"/>
          <w:sz w:val="24"/>
          <w:szCs w:val="24"/>
        </w:rPr>
        <w:t>ring</w:t>
      </w:r>
      <w:r w:rsidR="008C161D" w:rsidRPr="00BE205A">
        <w:rPr>
          <w:rFonts w:cs="Times New Roman"/>
          <w:sz w:val="24"/>
          <w:szCs w:val="24"/>
        </w:rPr>
        <w:t>, as reported by Bradshaw (2011),</w:t>
      </w:r>
      <w:r w:rsidR="00AE0257" w:rsidRPr="00BE205A">
        <w:rPr>
          <w:sz w:val="24"/>
          <w:szCs w:val="24"/>
        </w:rPr>
        <w:t xml:space="preserve"> </w:t>
      </w:r>
      <w:r w:rsidR="00A341C9" w:rsidRPr="00BE205A">
        <w:rPr>
          <w:sz w:val="24"/>
          <w:szCs w:val="24"/>
        </w:rPr>
        <w:t xml:space="preserve">is </w:t>
      </w:r>
      <w:r w:rsidR="00AE0257" w:rsidRPr="00BE205A">
        <w:rPr>
          <w:sz w:val="24"/>
          <w:szCs w:val="24"/>
        </w:rPr>
        <w:t>the Diageo’s ad</w:t>
      </w:r>
      <w:r w:rsidR="008C161D" w:rsidRPr="00BE205A">
        <w:rPr>
          <w:sz w:val="24"/>
          <w:szCs w:val="24"/>
        </w:rPr>
        <w:t>vertising deal with Facebook,</w:t>
      </w:r>
      <w:r w:rsidR="00AE0257" w:rsidRPr="00BE205A">
        <w:rPr>
          <w:sz w:val="24"/>
          <w:szCs w:val="24"/>
        </w:rPr>
        <w:t xml:space="preserve"> described by Vice Presiden</w:t>
      </w:r>
      <w:r w:rsidR="008544E1" w:rsidRPr="00BE205A">
        <w:rPr>
          <w:sz w:val="24"/>
          <w:szCs w:val="24"/>
        </w:rPr>
        <w:t xml:space="preserve">t </w:t>
      </w:r>
      <w:r w:rsidR="00AE0257" w:rsidRPr="00BE205A">
        <w:rPr>
          <w:sz w:val="24"/>
          <w:szCs w:val="24"/>
        </w:rPr>
        <w:t>of Global Marketing at Diageo</w:t>
      </w:r>
      <w:r w:rsidR="008C161D" w:rsidRPr="00BE205A">
        <w:rPr>
          <w:sz w:val="24"/>
          <w:szCs w:val="24"/>
        </w:rPr>
        <w:t>,</w:t>
      </w:r>
      <w:r w:rsidR="00AE0257" w:rsidRPr="00BE205A">
        <w:rPr>
          <w:sz w:val="24"/>
          <w:szCs w:val="24"/>
        </w:rPr>
        <w:t xml:space="preserve"> </w:t>
      </w:r>
    </w:p>
    <w:p w:rsidR="00AE0257" w:rsidRDefault="00AE0257" w:rsidP="008544E1">
      <w:pPr>
        <w:ind w:left="426"/>
        <w:rPr>
          <w:i/>
        </w:rPr>
      </w:pPr>
      <w:r w:rsidRPr="008544E1">
        <w:rPr>
          <w:i/>
        </w:rPr>
        <w:t>“</w:t>
      </w:r>
      <w:proofErr w:type="spellStart"/>
      <w:proofErr w:type="gramStart"/>
      <w:r w:rsidRPr="008544E1">
        <w:rPr>
          <w:i/>
        </w:rPr>
        <w:t>facebook</w:t>
      </w:r>
      <w:proofErr w:type="spellEnd"/>
      <w:proofErr w:type="gramEnd"/>
      <w:r w:rsidRPr="008544E1">
        <w:rPr>
          <w:i/>
        </w:rPr>
        <w:t xml:space="preserve"> are working with us to make sure that we are not only fan collecting but that </w:t>
      </w:r>
      <w:r w:rsidRPr="008544E1">
        <w:rPr>
          <w:i/>
          <w:u w:val="single"/>
        </w:rPr>
        <w:t>they are actively engaged and driving advocacy for our brands.</w:t>
      </w:r>
      <w:r w:rsidRPr="008544E1">
        <w:rPr>
          <w:i/>
        </w:rPr>
        <w:t xml:space="preserve"> We are looking for increased customer engagement and increases in sales and shares</w:t>
      </w:r>
      <w:r w:rsidR="008544E1" w:rsidRPr="008544E1">
        <w:rPr>
          <w:i/>
        </w:rPr>
        <w:t>”</w:t>
      </w:r>
    </w:p>
    <w:p w:rsidR="00AE0257" w:rsidRDefault="008544E1" w:rsidP="008544E1">
      <w:pPr>
        <w:jc w:val="right"/>
      </w:pPr>
      <w:r>
        <w:t>K</w:t>
      </w:r>
      <w:r w:rsidR="00AE0257">
        <w:t xml:space="preserve">athy Parker, Senior VP of Global Marketing Diageo </w:t>
      </w:r>
      <w:r w:rsidR="00AE0257" w:rsidRPr="00032B2C">
        <w:t>(</w:t>
      </w:r>
      <w:r w:rsidRPr="00032B2C">
        <w:t xml:space="preserve">Bradshaw </w:t>
      </w:r>
      <w:r w:rsidR="00AE0257" w:rsidRPr="00032B2C">
        <w:t>2011).</w:t>
      </w:r>
    </w:p>
    <w:p w:rsidR="001931F3" w:rsidRPr="00BE205A" w:rsidRDefault="00A341C9" w:rsidP="001931F3">
      <w:pPr>
        <w:rPr>
          <w:sz w:val="24"/>
          <w:szCs w:val="24"/>
        </w:rPr>
      </w:pPr>
      <w:r w:rsidRPr="00BE205A">
        <w:rPr>
          <w:sz w:val="24"/>
          <w:szCs w:val="24"/>
        </w:rPr>
        <w:t>Diageo’s</w:t>
      </w:r>
      <w:r w:rsidR="001931F3" w:rsidRPr="00BE205A">
        <w:rPr>
          <w:sz w:val="24"/>
          <w:szCs w:val="24"/>
        </w:rPr>
        <w:t xml:space="preserve"> engagement with Facebook resulted in a 20% increase in sales of fiv</w:t>
      </w:r>
      <w:r w:rsidRPr="00BE205A">
        <w:rPr>
          <w:sz w:val="24"/>
          <w:szCs w:val="24"/>
        </w:rPr>
        <w:t>e of their key brands in the US</w:t>
      </w:r>
      <w:r w:rsidR="001931F3" w:rsidRPr="00BE205A">
        <w:rPr>
          <w:sz w:val="24"/>
          <w:szCs w:val="24"/>
        </w:rPr>
        <w:t xml:space="preserve">.  </w:t>
      </w:r>
      <w:r w:rsidRPr="00BE205A">
        <w:rPr>
          <w:sz w:val="24"/>
          <w:szCs w:val="24"/>
        </w:rPr>
        <w:t xml:space="preserve">In the UK, </w:t>
      </w:r>
      <w:r w:rsidR="000801DF" w:rsidRPr="00BE205A">
        <w:rPr>
          <w:rFonts w:cs="Times New Roman"/>
          <w:sz w:val="24"/>
          <w:szCs w:val="24"/>
        </w:rPr>
        <w:t>Nicholls (2012) identified a number of distinct marketing methods used by alcohol brands when usin</w:t>
      </w:r>
      <w:r w:rsidRPr="00BE205A">
        <w:rPr>
          <w:rFonts w:cs="Times New Roman"/>
          <w:sz w:val="24"/>
          <w:szCs w:val="24"/>
        </w:rPr>
        <w:t>g social media such as real-world</w:t>
      </w:r>
      <w:r w:rsidR="000801DF" w:rsidRPr="00BE205A">
        <w:rPr>
          <w:rFonts w:cs="Times New Roman"/>
          <w:sz w:val="24"/>
          <w:szCs w:val="24"/>
        </w:rPr>
        <w:t xml:space="preserve"> tie-ins, interactive games, competitions and time specific suggestions to drink.  He highlighted the fact that </w:t>
      </w:r>
      <w:r w:rsidR="000801DF" w:rsidRPr="0012000F">
        <w:rPr>
          <w:rFonts w:cs="Times New Roman"/>
          <w:b/>
          <w:sz w:val="24"/>
          <w:szCs w:val="24"/>
        </w:rPr>
        <w:t>social media goes further than any previous communication platform in blurring the boundaries between unidirectional advertising messages, consumer interaction and broader social activities.</w:t>
      </w:r>
    </w:p>
    <w:p w:rsidR="001931F3" w:rsidRPr="00BE205A" w:rsidRDefault="001931F3" w:rsidP="001931F3">
      <w:pPr>
        <w:rPr>
          <w:sz w:val="24"/>
          <w:szCs w:val="24"/>
        </w:rPr>
      </w:pPr>
      <w:r w:rsidRPr="00BE205A">
        <w:rPr>
          <w:sz w:val="24"/>
          <w:szCs w:val="24"/>
        </w:rPr>
        <w:t xml:space="preserve">According to </w:t>
      </w:r>
      <w:proofErr w:type="spellStart"/>
      <w:r w:rsidRPr="00BE205A">
        <w:rPr>
          <w:sz w:val="24"/>
          <w:szCs w:val="24"/>
        </w:rPr>
        <w:t>McCreannor</w:t>
      </w:r>
      <w:proofErr w:type="spellEnd"/>
      <w:r w:rsidRPr="00BE205A">
        <w:rPr>
          <w:sz w:val="24"/>
          <w:szCs w:val="24"/>
        </w:rPr>
        <w:t xml:space="preserve"> et al (2013) high levels of alcohol related material on SNS posted by users and frequent, on-going engagement with such materials by large audiences </w:t>
      </w:r>
      <w:r w:rsidRPr="0012000F">
        <w:rPr>
          <w:b/>
          <w:sz w:val="24"/>
          <w:szCs w:val="24"/>
        </w:rPr>
        <w:t xml:space="preserve">intensifies </w:t>
      </w:r>
      <w:r w:rsidR="00366A7D" w:rsidRPr="0012000F">
        <w:rPr>
          <w:b/>
          <w:sz w:val="24"/>
          <w:szCs w:val="24"/>
        </w:rPr>
        <w:t xml:space="preserve">the </w:t>
      </w:r>
      <w:r w:rsidRPr="0012000F">
        <w:rPr>
          <w:b/>
          <w:sz w:val="24"/>
          <w:szCs w:val="24"/>
        </w:rPr>
        <w:t>norms of intoxication and entrenc</w:t>
      </w:r>
      <w:r w:rsidR="00A341C9" w:rsidRPr="0012000F">
        <w:rPr>
          <w:b/>
          <w:sz w:val="24"/>
          <w:szCs w:val="24"/>
        </w:rPr>
        <w:t xml:space="preserve">hes </w:t>
      </w:r>
      <w:r w:rsidR="00366A7D" w:rsidRPr="0012000F">
        <w:rPr>
          <w:b/>
          <w:sz w:val="24"/>
          <w:szCs w:val="24"/>
        </w:rPr>
        <w:t>‘</w:t>
      </w:r>
      <w:proofErr w:type="spellStart"/>
      <w:r w:rsidR="00A341C9" w:rsidRPr="0012000F">
        <w:rPr>
          <w:b/>
          <w:sz w:val="24"/>
          <w:szCs w:val="24"/>
        </w:rPr>
        <w:t>intoxigenic</w:t>
      </w:r>
      <w:proofErr w:type="spellEnd"/>
      <w:r w:rsidR="00366A7D" w:rsidRPr="0012000F">
        <w:rPr>
          <w:b/>
          <w:sz w:val="24"/>
          <w:szCs w:val="24"/>
        </w:rPr>
        <w:t>’</w:t>
      </w:r>
      <w:r w:rsidR="00A341C9" w:rsidRPr="0012000F">
        <w:rPr>
          <w:b/>
          <w:sz w:val="24"/>
          <w:szCs w:val="24"/>
        </w:rPr>
        <w:t xml:space="preserve"> environments</w:t>
      </w:r>
      <w:r w:rsidRPr="00BE205A">
        <w:rPr>
          <w:sz w:val="24"/>
          <w:szCs w:val="24"/>
        </w:rPr>
        <w:t xml:space="preserve">. </w:t>
      </w:r>
      <w:r w:rsidR="002C03BC" w:rsidRPr="00BE205A">
        <w:rPr>
          <w:sz w:val="24"/>
          <w:szCs w:val="24"/>
        </w:rPr>
        <w:t xml:space="preserve">An example is the </w:t>
      </w:r>
      <w:r w:rsidR="00520CCA" w:rsidRPr="00BE205A">
        <w:rPr>
          <w:sz w:val="24"/>
          <w:szCs w:val="24"/>
        </w:rPr>
        <w:t>recent ‘</w:t>
      </w:r>
      <w:proofErr w:type="spellStart"/>
      <w:r w:rsidR="00520CCA" w:rsidRPr="00BE205A">
        <w:rPr>
          <w:sz w:val="24"/>
          <w:szCs w:val="24"/>
        </w:rPr>
        <w:t>NEK</w:t>
      </w:r>
      <w:r w:rsidRPr="00BE205A">
        <w:rPr>
          <w:sz w:val="24"/>
          <w:szCs w:val="24"/>
        </w:rPr>
        <w:t>no</w:t>
      </w:r>
      <w:r w:rsidR="002C03BC" w:rsidRPr="00BE205A">
        <w:rPr>
          <w:sz w:val="24"/>
          <w:szCs w:val="24"/>
        </w:rPr>
        <w:t>mination</w:t>
      </w:r>
      <w:proofErr w:type="spellEnd"/>
      <w:r w:rsidR="002C03BC" w:rsidRPr="00BE205A">
        <w:rPr>
          <w:sz w:val="24"/>
          <w:szCs w:val="24"/>
        </w:rPr>
        <w:t>’ games, evi</w:t>
      </w:r>
      <w:r w:rsidR="0045199B" w:rsidRPr="00BE205A">
        <w:rPr>
          <w:sz w:val="24"/>
          <w:szCs w:val="24"/>
        </w:rPr>
        <w:t xml:space="preserve">dent in Ireland and elsewhere, </w:t>
      </w:r>
      <w:r w:rsidR="002C03BC" w:rsidRPr="00BE205A">
        <w:rPr>
          <w:sz w:val="24"/>
          <w:szCs w:val="24"/>
        </w:rPr>
        <w:t>where</w:t>
      </w:r>
      <w:r w:rsidRPr="00BE205A">
        <w:rPr>
          <w:sz w:val="24"/>
          <w:szCs w:val="24"/>
        </w:rPr>
        <w:t xml:space="preserve"> SNS environments</w:t>
      </w:r>
      <w:r w:rsidR="002C03BC" w:rsidRPr="00BE205A">
        <w:rPr>
          <w:sz w:val="24"/>
          <w:szCs w:val="24"/>
        </w:rPr>
        <w:t xml:space="preserve"> were </w:t>
      </w:r>
      <w:r w:rsidR="00366A7D" w:rsidRPr="00BE205A">
        <w:rPr>
          <w:sz w:val="24"/>
          <w:szCs w:val="24"/>
        </w:rPr>
        <w:t>used to dare others to engage in</w:t>
      </w:r>
      <w:r w:rsidR="002C03BC" w:rsidRPr="00BE205A">
        <w:rPr>
          <w:sz w:val="24"/>
          <w:szCs w:val="24"/>
        </w:rPr>
        <w:t xml:space="preserve"> reckless and dangerous drinking games</w:t>
      </w:r>
      <w:r w:rsidR="00A341C9" w:rsidRPr="00BE205A">
        <w:rPr>
          <w:sz w:val="24"/>
          <w:szCs w:val="24"/>
        </w:rPr>
        <w:t>, with tragic consequences</w:t>
      </w:r>
      <w:r w:rsidR="00366A7D" w:rsidRPr="00BE205A">
        <w:rPr>
          <w:sz w:val="24"/>
          <w:szCs w:val="24"/>
        </w:rPr>
        <w:t>, demonstrating</w:t>
      </w:r>
      <w:r w:rsidRPr="00BE205A">
        <w:rPr>
          <w:sz w:val="24"/>
          <w:szCs w:val="24"/>
        </w:rPr>
        <w:t xml:space="preserve"> the serious risks posed for adolescents and young people.</w:t>
      </w:r>
    </w:p>
    <w:p w:rsidR="00D25E77" w:rsidRPr="00BE205A" w:rsidRDefault="00830CCE">
      <w:pPr>
        <w:rPr>
          <w:sz w:val="24"/>
          <w:szCs w:val="24"/>
        </w:rPr>
      </w:pPr>
      <w:r w:rsidRPr="00BE205A">
        <w:rPr>
          <w:sz w:val="24"/>
          <w:szCs w:val="24"/>
        </w:rPr>
        <w:t xml:space="preserve">A recent </w:t>
      </w:r>
      <w:r w:rsidRPr="00BE205A">
        <w:rPr>
          <w:sz w:val="24"/>
          <w:szCs w:val="24"/>
          <w:u w:val="single"/>
        </w:rPr>
        <w:t>study in Ireland</w:t>
      </w:r>
      <w:r w:rsidR="008544E1" w:rsidRPr="00BE205A">
        <w:rPr>
          <w:sz w:val="24"/>
          <w:szCs w:val="24"/>
          <w:u w:val="single"/>
        </w:rPr>
        <w:t>,</w:t>
      </w:r>
      <w:r w:rsidRPr="00BE205A">
        <w:rPr>
          <w:sz w:val="24"/>
          <w:szCs w:val="24"/>
        </w:rPr>
        <w:t xml:space="preserve"> </w:t>
      </w:r>
      <w:r w:rsidR="008544E1" w:rsidRPr="00BE205A">
        <w:rPr>
          <w:sz w:val="24"/>
          <w:szCs w:val="24"/>
        </w:rPr>
        <w:t xml:space="preserve">commissioned by Alcohol Action Ireland, </w:t>
      </w:r>
      <w:r w:rsidRPr="00BE205A">
        <w:rPr>
          <w:sz w:val="24"/>
          <w:szCs w:val="24"/>
        </w:rPr>
        <w:t>ex</w:t>
      </w:r>
      <w:r w:rsidR="0053766D" w:rsidRPr="00BE205A">
        <w:rPr>
          <w:sz w:val="24"/>
          <w:szCs w:val="24"/>
        </w:rPr>
        <w:t xml:space="preserve">amined </w:t>
      </w:r>
      <w:r w:rsidRPr="00BE205A">
        <w:rPr>
          <w:sz w:val="24"/>
          <w:szCs w:val="24"/>
        </w:rPr>
        <w:t xml:space="preserve">alcohol </w:t>
      </w:r>
      <w:r w:rsidR="008544E1" w:rsidRPr="00BE205A">
        <w:rPr>
          <w:sz w:val="24"/>
          <w:szCs w:val="24"/>
        </w:rPr>
        <w:t>marketing exposure among Irish a</w:t>
      </w:r>
      <w:r w:rsidRPr="00BE205A">
        <w:rPr>
          <w:sz w:val="24"/>
          <w:szCs w:val="24"/>
        </w:rPr>
        <w:t>dolescents</w:t>
      </w:r>
      <w:r w:rsidR="00594263" w:rsidRPr="00BE205A">
        <w:rPr>
          <w:sz w:val="24"/>
          <w:szCs w:val="24"/>
        </w:rPr>
        <w:t xml:space="preserve"> </w:t>
      </w:r>
      <w:r w:rsidRPr="00BE205A">
        <w:rPr>
          <w:sz w:val="24"/>
          <w:szCs w:val="24"/>
        </w:rPr>
        <w:t>(13-17 years) using a proportional str</w:t>
      </w:r>
      <w:r w:rsidR="00594263" w:rsidRPr="00BE205A">
        <w:rPr>
          <w:sz w:val="24"/>
          <w:szCs w:val="24"/>
        </w:rPr>
        <w:t>atified sample in three regions</w:t>
      </w:r>
      <w:r w:rsidR="00A341C9" w:rsidRPr="00BE205A">
        <w:rPr>
          <w:sz w:val="24"/>
          <w:szCs w:val="24"/>
        </w:rPr>
        <w:t xml:space="preserve"> (N=</w:t>
      </w:r>
      <w:r w:rsidR="007E006A" w:rsidRPr="00BE205A">
        <w:rPr>
          <w:sz w:val="24"/>
          <w:szCs w:val="24"/>
        </w:rPr>
        <w:t>686)</w:t>
      </w:r>
      <w:r w:rsidR="00594263" w:rsidRPr="00BE205A">
        <w:rPr>
          <w:sz w:val="24"/>
          <w:szCs w:val="24"/>
        </w:rPr>
        <w:t xml:space="preserve"> (</w:t>
      </w:r>
      <w:r w:rsidR="00EC5BE5" w:rsidRPr="00BE205A">
        <w:rPr>
          <w:sz w:val="24"/>
          <w:szCs w:val="24"/>
        </w:rPr>
        <w:t>AAI personal communication</w:t>
      </w:r>
      <w:r w:rsidR="00594263" w:rsidRPr="00BE205A">
        <w:rPr>
          <w:sz w:val="24"/>
          <w:szCs w:val="24"/>
        </w:rPr>
        <w:t>)</w:t>
      </w:r>
      <w:r w:rsidR="00FB487C" w:rsidRPr="00BE205A">
        <w:rPr>
          <w:sz w:val="24"/>
          <w:szCs w:val="24"/>
        </w:rPr>
        <w:t>.</w:t>
      </w:r>
      <w:r w:rsidR="003E65E8" w:rsidRPr="00BE205A">
        <w:rPr>
          <w:sz w:val="24"/>
          <w:szCs w:val="24"/>
        </w:rPr>
        <w:t xml:space="preserve"> </w:t>
      </w:r>
      <w:r w:rsidR="00EC5BE5" w:rsidRPr="00BE205A">
        <w:rPr>
          <w:sz w:val="24"/>
          <w:szCs w:val="24"/>
        </w:rPr>
        <w:t>The findings showed h</w:t>
      </w:r>
      <w:r w:rsidR="0053766D" w:rsidRPr="00BE205A">
        <w:rPr>
          <w:sz w:val="24"/>
          <w:szCs w:val="24"/>
        </w:rPr>
        <w:t xml:space="preserve">ighest exposure </w:t>
      </w:r>
      <w:r w:rsidR="00EC5BE5" w:rsidRPr="00BE205A">
        <w:rPr>
          <w:sz w:val="24"/>
          <w:szCs w:val="24"/>
        </w:rPr>
        <w:t xml:space="preserve">to alcohol marketing </w:t>
      </w:r>
      <w:r w:rsidR="00594263" w:rsidRPr="00BE205A">
        <w:rPr>
          <w:sz w:val="24"/>
          <w:szCs w:val="24"/>
        </w:rPr>
        <w:t xml:space="preserve">was in </w:t>
      </w:r>
      <w:r w:rsidR="00D25E77" w:rsidRPr="00BE205A">
        <w:rPr>
          <w:sz w:val="24"/>
          <w:szCs w:val="24"/>
        </w:rPr>
        <w:t>off</w:t>
      </w:r>
      <w:r w:rsidR="001F23D9" w:rsidRPr="00BE205A">
        <w:rPr>
          <w:sz w:val="24"/>
          <w:szCs w:val="24"/>
        </w:rPr>
        <w:t>-</w:t>
      </w:r>
      <w:r w:rsidR="00D25E77" w:rsidRPr="00BE205A">
        <w:rPr>
          <w:sz w:val="24"/>
          <w:szCs w:val="24"/>
        </w:rPr>
        <w:t xml:space="preserve">line </w:t>
      </w:r>
      <w:r w:rsidR="007E006A" w:rsidRPr="00BE205A">
        <w:rPr>
          <w:sz w:val="24"/>
          <w:szCs w:val="24"/>
        </w:rPr>
        <w:t xml:space="preserve">(traditional) </w:t>
      </w:r>
      <w:r w:rsidR="00D25E77" w:rsidRPr="00BE205A">
        <w:rPr>
          <w:sz w:val="24"/>
          <w:szCs w:val="24"/>
        </w:rPr>
        <w:t>alcohol marketing</w:t>
      </w:r>
      <w:r w:rsidR="0053766D" w:rsidRPr="00BE205A">
        <w:rPr>
          <w:sz w:val="24"/>
          <w:szCs w:val="24"/>
        </w:rPr>
        <w:t xml:space="preserve"> (91%)</w:t>
      </w:r>
      <w:r w:rsidR="00D25E77" w:rsidRPr="00BE205A">
        <w:rPr>
          <w:sz w:val="24"/>
          <w:szCs w:val="24"/>
        </w:rPr>
        <w:t>, followed by</w:t>
      </w:r>
      <w:r w:rsidR="00FB487C" w:rsidRPr="00BE205A">
        <w:rPr>
          <w:sz w:val="24"/>
          <w:szCs w:val="24"/>
        </w:rPr>
        <w:t xml:space="preserve"> online (77%) and ownership of a</w:t>
      </w:r>
      <w:r w:rsidR="00D25E77" w:rsidRPr="00BE205A">
        <w:rPr>
          <w:sz w:val="24"/>
          <w:szCs w:val="24"/>
        </w:rPr>
        <w:t xml:space="preserve">lcohol branded merchandise (61%), </w:t>
      </w:r>
      <w:proofErr w:type="gramStart"/>
      <w:r w:rsidR="00D25E77" w:rsidRPr="00BE205A">
        <w:rPr>
          <w:sz w:val="24"/>
          <w:szCs w:val="24"/>
        </w:rPr>
        <w:t>based</w:t>
      </w:r>
      <w:proofErr w:type="gramEnd"/>
      <w:r w:rsidR="00D25E77" w:rsidRPr="00BE205A">
        <w:rPr>
          <w:sz w:val="24"/>
          <w:szCs w:val="24"/>
        </w:rPr>
        <w:t xml:space="preserve"> </w:t>
      </w:r>
      <w:r w:rsidR="00594263" w:rsidRPr="00BE205A">
        <w:rPr>
          <w:sz w:val="24"/>
          <w:szCs w:val="24"/>
        </w:rPr>
        <w:t>on previo</w:t>
      </w:r>
      <w:r w:rsidR="008544E1" w:rsidRPr="00BE205A">
        <w:rPr>
          <w:sz w:val="24"/>
          <w:szCs w:val="24"/>
        </w:rPr>
        <w:t>us week exposure. The top four o</w:t>
      </w:r>
      <w:r w:rsidR="007B7CDC" w:rsidRPr="00BE205A">
        <w:rPr>
          <w:sz w:val="24"/>
          <w:szCs w:val="24"/>
        </w:rPr>
        <w:t>ff-line exposure media</w:t>
      </w:r>
      <w:r w:rsidR="00594263" w:rsidRPr="00BE205A">
        <w:rPr>
          <w:sz w:val="24"/>
          <w:szCs w:val="24"/>
        </w:rPr>
        <w:t xml:space="preserve"> were TV, outdoor, </w:t>
      </w:r>
      <w:r w:rsidR="00594263" w:rsidRPr="00BE205A">
        <w:rPr>
          <w:sz w:val="24"/>
          <w:szCs w:val="24"/>
        </w:rPr>
        <w:lastRenderedPageBreak/>
        <w:t xml:space="preserve">newspapers and public transport. </w:t>
      </w:r>
      <w:r w:rsidR="00D25E77" w:rsidRPr="00BE205A">
        <w:rPr>
          <w:sz w:val="24"/>
          <w:szCs w:val="24"/>
        </w:rPr>
        <w:t xml:space="preserve"> Online engagement wit</w:t>
      </w:r>
      <w:r w:rsidR="00594263" w:rsidRPr="00BE205A">
        <w:rPr>
          <w:sz w:val="24"/>
          <w:szCs w:val="24"/>
        </w:rPr>
        <w:t>h alcohol marketing was reported</w:t>
      </w:r>
      <w:r w:rsidR="00D25E77" w:rsidRPr="00BE205A">
        <w:rPr>
          <w:sz w:val="24"/>
          <w:szCs w:val="24"/>
        </w:rPr>
        <w:t xml:space="preserve"> </w:t>
      </w:r>
      <w:r w:rsidR="001F23D9" w:rsidRPr="00BE205A">
        <w:rPr>
          <w:sz w:val="24"/>
          <w:szCs w:val="24"/>
        </w:rPr>
        <w:t xml:space="preserve">by adolescents </w:t>
      </w:r>
      <w:r w:rsidR="00D25E77" w:rsidRPr="00BE205A">
        <w:rPr>
          <w:sz w:val="24"/>
          <w:szCs w:val="24"/>
        </w:rPr>
        <w:t>for</w:t>
      </w:r>
      <w:r w:rsidR="008544E1" w:rsidRPr="00BE205A">
        <w:rPr>
          <w:sz w:val="24"/>
          <w:szCs w:val="24"/>
        </w:rPr>
        <w:t xml:space="preserve"> -</w:t>
      </w:r>
      <w:r w:rsidR="00D25E77" w:rsidRPr="00BE205A">
        <w:rPr>
          <w:sz w:val="24"/>
          <w:szCs w:val="24"/>
        </w:rPr>
        <w:t xml:space="preserve"> pop-up alcohol ads</w:t>
      </w:r>
      <w:r w:rsidR="00594263" w:rsidRPr="00BE205A">
        <w:rPr>
          <w:sz w:val="24"/>
          <w:szCs w:val="24"/>
        </w:rPr>
        <w:t>, invite to ‘like’ an alcohol brand or event sponsored by an alcohol brand</w:t>
      </w:r>
      <w:r w:rsidR="001F23D9" w:rsidRPr="00BE205A">
        <w:rPr>
          <w:sz w:val="24"/>
          <w:szCs w:val="24"/>
        </w:rPr>
        <w:t xml:space="preserve"> and received an online </w:t>
      </w:r>
      <w:r w:rsidR="003E65E8" w:rsidRPr="00BE205A">
        <w:rPr>
          <w:sz w:val="24"/>
          <w:szCs w:val="24"/>
        </w:rPr>
        <w:t>quiz’s</w:t>
      </w:r>
      <w:r w:rsidR="001F23D9" w:rsidRPr="00BE205A">
        <w:rPr>
          <w:sz w:val="24"/>
          <w:szCs w:val="24"/>
        </w:rPr>
        <w:t xml:space="preserve"> about alcohol or drinking. Children who owned</w:t>
      </w:r>
      <w:r w:rsidR="003E65E8" w:rsidRPr="00BE205A">
        <w:rPr>
          <w:sz w:val="24"/>
          <w:szCs w:val="24"/>
        </w:rPr>
        <w:t xml:space="preserve"> alcohol branded merchandise were</w:t>
      </w:r>
      <w:r w:rsidR="001F23D9" w:rsidRPr="00BE205A">
        <w:rPr>
          <w:sz w:val="24"/>
          <w:szCs w:val="24"/>
        </w:rPr>
        <w:t xml:space="preserve"> more likel</w:t>
      </w:r>
      <w:r w:rsidR="001E2B3E" w:rsidRPr="00BE205A">
        <w:rPr>
          <w:sz w:val="24"/>
          <w:szCs w:val="24"/>
        </w:rPr>
        <w:t>y to enga</w:t>
      </w:r>
      <w:r w:rsidR="001F23D9" w:rsidRPr="00BE205A">
        <w:rPr>
          <w:sz w:val="24"/>
          <w:szCs w:val="24"/>
        </w:rPr>
        <w:t>ge in drinking,</w:t>
      </w:r>
      <w:r w:rsidR="003E65E8" w:rsidRPr="00BE205A">
        <w:rPr>
          <w:sz w:val="24"/>
          <w:szCs w:val="24"/>
        </w:rPr>
        <w:t xml:space="preserve"> binge drinking and drunkenness</w:t>
      </w:r>
      <w:r w:rsidR="008544E1" w:rsidRPr="00BE205A">
        <w:rPr>
          <w:sz w:val="24"/>
          <w:szCs w:val="24"/>
        </w:rPr>
        <w:t>, which were</w:t>
      </w:r>
      <w:r w:rsidR="003E65E8" w:rsidRPr="00BE205A">
        <w:rPr>
          <w:sz w:val="24"/>
          <w:szCs w:val="24"/>
        </w:rPr>
        <w:t xml:space="preserve"> similar </w:t>
      </w:r>
      <w:r w:rsidR="002C03BC" w:rsidRPr="00BE205A">
        <w:rPr>
          <w:sz w:val="24"/>
          <w:szCs w:val="24"/>
        </w:rPr>
        <w:t>to findings elsewhere</w:t>
      </w:r>
      <w:r w:rsidR="008544E1" w:rsidRPr="00BE205A">
        <w:rPr>
          <w:sz w:val="24"/>
          <w:szCs w:val="24"/>
        </w:rPr>
        <w:t xml:space="preserve"> (</w:t>
      </w:r>
      <w:r w:rsidR="003E65E8" w:rsidRPr="00BE205A">
        <w:rPr>
          <w:sz w:val="24"/>
          <w:szCs w:val="24"/>
        </w:rPr>
        <w:t>McClur</w:t>
      </w:r>
      <w:r w:rsidR="008544E1" w:rsidRPr="00BE205A">
        <w:rPr>
          <w:sz w:val="24"/>
          <w:szCs w:val="24"/>
        </w:rPr>
        <w:t>e et al 2013 and Lin et al 2012)</w:t>
      </w:r>
      <w:r w:rsidR="003E65E8" w:rsidRPr="00BE205A">
        <w:rPr>
          <w:sz w:val="24"/>
          <w:szCs w:val="24"/>
        </w:rPr>
        <w:t>.</w:t>
      </w:r>
      <w:r w:rsidR="001F23D9" w:rsidRPr="00BE205A">
        <w:rPr>
          <w:sz w:val="24"/>
          <w:szCs w:val="24"/>
        </w:rPr>
        <w:t xml:space="preserve"> Intention to drink in </w:t>
      </w:r>
      <w:r w:rsidR="001E2B3E" w:rsidRPr="00BE205A">
        <w:rPr>
          <w:sz w:val="24"/>
          <w:szCs w:val="24"/>
        </w:rPr>
        <w:t xml:space="preserve">the </w:t>
      </w:r>
      <w:r w:rsidR="001F23D9" w:rsidRPr="00BE205A">
        <w:rPr>
          <w:sz w:val="24"/>
          <w:szCs w:val="24"/>
        </w:rPr>
        <w:t xml:space="preserve">next year was also predicted by exposure to online marketing. </w:t>
      </w:r>
      <w:r w:rsidR="001E2B3E" w:rsidRPr="00BE205A">
        <w:rPr>
          <w:sz w:val="24"/>
          <w:szCs w:val="24"/>
        </w:rPr>
        <w:t xml:space="preserve"> </w:t>
      </w:r>
    </w:p>
    <w:p w:rsidR="00CB6FC3" w:rsidRPr="00BE205A" w:rsidRDefault="00CB6FC3" w:rsidP="00CB6FC3">
      <w:pPr>
        <w:rPr>
          <w:sz w:val="24"/>
          <w:szCs w:val="24"/>
        </w:rPr>
      </w:pPr>
      <w:r w:rsidRPr="00BE205A">
        <w:rPr>
          <w:sz w:val="24"/>
          <w:szCs w:val="24"/>
        </w:rPr>
        <w:t xml:space="preserve">There is a </w:t>
      </w:r>
      <w:r w:rsidRPr="0012000F">
        <w:rPr>
          <w:b/>
          <w:sz w:val="24"/>
          <w:szCs w:val="24"/>
        </w:rPr>
        <w:t>strong body of research evidence which shows that exposure to alcohol marketing, whether it is on TV, online, in movies, in public places or alcohol branded sports sponsorship, predicts future youth drinking.</w:t>
      </w:r>
      <w:r w:rsidR="009C1205" w:rsidRPr="00BE205A">
        <w:rPr>
          <w:sz w:val="24"/>
          <w:szCs w:val="24"/>
        </w:rPr>
        <w:t xml:space="preserve">  The effects</w:t>
      </w:r>
      <w:r w:rsidRPr="00BE205A">
        <w:rPr>
          <w:sz w:val="24"/>
          <w:szCs w:val="24"/>
        </w:rPr>
        <w:t xml:space="preserve"> of alcohol marke</w:t>
      </w:r>
      <w:r w:rsidR="009C1205" w:rsidRPr="00BE205A">
        <w:rPr>
          <w:sz w:val="24"/>
          <w:szCs w:val="24"/>
        </w:rPr>
        <w:t>tin</w:t>
      </w:r>
      <w:r w:rsidR="007E006A" w:rsidRPr="00BE205A">
        <w:rPr>
          <w:sz w:val="24"/>
          <w:szCs w:val="24"/>
        </w:rPr>
        <w:t xml:space="preserve">g on young people’s drinking are </w:t>
      </w:r>
      <w:r w:rsidR="009C1205" w:rsidRPr="00BE205A">
        <w:rPr>
          <w:sz w:val="24"/>
          <w:szCs w:val="24"/>
        </w:rPr>
        <w:t>similar to that</w:t>
      </w:r>
      <w:r w:rsidRPr="00BE205A">
        <w:rPr>
          <w:sz w:val="24"/>
          <w:szCs w:val="24"/>
        </w:rPr>
        <w:t xml:space="preserve"> shown for tobacco (Lovato et al 2004) and food marketing (Hastings et al 2005).</w:t>
      </w:r>
    </w:p>
    <w:p w:rsidR="00CA16A1" w:rsidRPr="00BE205A" w:rsidRDefault="00CA16A1" w:rsidP="00CA16A1">
      <w:pPr>
        <w:spacing w:after="120"/>
        <w:rPr>
          <w:rFonts w:cs="Times New Roman"/>
          <w:sz w:val="24"/>
          <w:szCs w:val="24"/>
        </w:rPr>
      </w:pPr>
      <w:r w:rsidRPr="00BE205A">
        <w:rPr>
          <w:rFonts w:cs="Times New Roman"/>
          <w:sz w:val="24"/>
          <w:szCs w:val="24"/>
        </w:rPr>
        <w:t>Collective responsibility is necessary if the burden from alcohol is to be reduced, so that current and future adolescents can live healthy and productive lives. The public health experience which radically changed tobacco policy shows what can be achieved.</w:t>
      </w:r>
    </w:p>
    <w:p w:rsidR="0012000F" w:rsidRDefault="0012000F">
      <w:pPr>
        <w:rPr>
          <w:b/>
        </w:rPr>
      </w:pPr>
    </w:p>
    <w:p w:rsidR="001520E3" w:rsidRPr="00BE205A" w:rsidRDefault="00D9509C" w:rsidP="00BE205A">
      <w:pPr>
        <w:spacing w:after="120"/>
        <w:rPr>
          <w:b/>
          <w:sz w:val="24"/>
          <w:szCs w:val="24"/>
        </w:rPr>
      </w:pPr>
      <w:r>
        <w:rPr>
          <w:b/>
          <w:sz w:val="24"/>
          <w:szCs w:val="24"/>
        </w:rPr>
        <w:t xml:space="preserve">3.3 </w:t>
      </w:r>
      <w:r w:rsidR="001520E3" w:rsidRPr="00BE205A">
        <w:rPr>
          <w:b/>
          <w:sz w:val="24"/>
          <w:szCs w:val="24"/>
        </w:rPr>
        <w:t>Regulation and Enforcement</w:t>
      </w:r>
    </w:p>
    <w:p w:rsidR="006C2538" w:rsidRPr="00BE205A" w:rsidRDefault="001520E3" w:rsidP="00BE205A">
      <w:pPr>
        <w:spacing w:after="120"/>
        <w:rPr>
          <w:sz w:val="24"/>
          <w:szCs w:val="24"/>
        </w:rPr>
      </w:pPr>
      <w:r w:rsidRPr="00BE205A">
        <w:rPr>
          <w:sz w:val="24"/>
          <w:szCs w:val="24"/>
        </w:rPr>
        <w:t>Give</w:t>
      </w:r>
      <w:r w:rsidR="00084AA9" w:rsidRPr="00BE205A">
        <w:rPr>
          <w:sz w:val="24"/>
          <w:szCs w:val="24"/>
        </w:rPr>
        <w:t xml:space="preserve">n the </w:t>
      </w:r>
      <w:r w:rsidR="0084428A" w:rsidRPr="00BE205A">
        <w:rPr>
          <w:sz w:val="24"/>
          <w:szCs w:val="24"/>
        </w:rPr>
        <w:t xml:space="preserve">evidence that exposure to alcohol marketing </w:t>
      </w:r>
      <w:r w:rsidR="006C2538" w:rsidRPr="00BE205A">
        <w:rPr>
          <w:rFonts w:cs="Arial"/>
          <w:color w:val="252525"/>
          <w:sz w:val="24"/>
          <w:szCs w:val="24"/>
          <w:shd w:val="clear" w:color="auto" w:fill="FFFFFF"/>
        </w:rPr>
        <w:t>has</w:t>
      </w:r>
      <w:r w:rsidR="00260DB9" w:rsidRPr="00BE205A">
        <w:rPr>
          <w:rFonts w:cs="Arial"/>
          <w:color w:val="252525"/>
          <w:sz w:val="24"/>
          <w:szCs w:val="24"/>
          <w:shd w:val="clear" w:color="auto" w:fill="FFFFFF"/>
        </w:rPr>
        <w:t xml:space="preserve"> a significant impact on the</w:t>
      </w:r>
      <w:r w:rsidR="006C2538" w:rsidRPr="00BE205A">
        <w:rPr>
          <w:rFonts w:cs="Arial"/>
          <w:color w:val="252525"/>
          <w:sz w:val="24"/>
          <w:szCs w:val="24"/>
          <w:shd w:val="clear" w:color="auto" w:fill="FFFFFF"/>
        </w:rPr>
        <w:t xml:space="preserve"> decisions</w:t>
      </w:r>
      <w:r w:rsidR="00260DB9" w:rsidRPr="00BE205A">
        <w:rPr>
          <w:rFonts w:cs="Arial"/>
          <w:color w:val="252525"/>
          <w:sz w:val="24"/>
          <w:szCs w:val="24"/>
          <w:shd w:val="clear" w:color="auto" w:fill="FFFFFF"/>
        </w:rPr>
        <w:t xml:space="preserve"> of young people</w:t>
      </w:r>
      <w:r w:rsidR="006C2538" w:rsidRPr="00BE205A">
        <w:rPr>
          <w:rFonts w:cs="Arial"/>
          <w:color w:val="252525"/>
          <w:sz w:val="24"/>
          <w:szCs w:val="24"/>
          <w:shd w:val="clear" w:color="auto" w:fill="FFFFFF"/>
        </w:rPr>
        <w:t xml:space="preserve"> to drink</w:t>
      </w:r>
      <w:r w:rsidR="006C2538" w:rsidRPr="00BE205A">
        <w:rPr>
          <w:sz w:val="24"/>
          <w:szCs w:val="24"/>
        </w:rPr>
        <w:t xml:space="preserve">, </w:t>
      </w:r>
      <w:r w:rsidRPr="00BE205A">
        <w:rPr>
          <w:sz w:val="24"/>
          <w:szCs w:val="24"/>
        </w:rPr>
        <w:t>stringen</w:t>
      </w:r>
      <w:r w:rsidR="002E4DF3" w:rsidRPr="00BE205A">
        <w:rPr>
          <w:sz w:val="24"/>
          <w:szCs w:val="24"/>
        </w:rPr>
        <w:t xml:space="preserve">t </w:t>
      </w:r>
      <w:r w:rsidR="0084428A" w:rsidRPr="00BE205A">
        <w:rPr>
          <w:sz w:val="24"/>
          <w:szCs w:val="24"/>
        </w:rPr>
        <w:t>statutory</w:t>
      </w:r>
      <w:r w:rsidR="0043729E" w:rsidRPr="00BE205A">
        <w:rPr>
          <w:sz w:val="24"/>
          <w:szCs w:val="24"/>
        </w:rPr>
        <w:t xml:space="preserve"> </w:t>
      </w:r>
      <w:r w:rsidR="002E4DF3" w:rsidRPr="00BE205A">
        <w:rPr>
          <w:sz w:val="24"/>
          <w:szCs w:val="24"/>
        </w:rPr>
        <w:t>regulation</w:t>
      </w:r>
      <w:r w:rsidR="0043729E" w:rsidRPr="00BE205A">
        <w:rPr>
          <w:sz w:val="24"/>
          <w:szCs w:val="24"/>
        </w:rPr>
        <w:t xml:space="preserve">s </w:t>
      </w:r>
      <w:r w:rsidRPr="00BE205A">
        <w:rPr>
          <w:sz w:val="24"/>
          <w:szCs w:val="24"/>
        </w:rPr>
        <w:t>a</w:t>
      </w:r>
      <w:r w:rsidR="00084AA9" w:rsidRPr="00BE205A">
        <w:rPr>
          <w:sz w:val="24"/>
          <w:szCs w:val="24"/>
        </w:rPr>
        <w:t xml:space="preserve">re required to protect children from these significant risks and </w:t>
      </w:r>
      <w:r w:rsidR="00F04234" w:rsidRPr="00BE205A">
        <w:rPr>
          <w:sz w:val="24"/>
          <w:szCs w:val="24"/>
        </w:rPr>
        <w:t xml:space="preserve">negative </w:t>
      </w:r>
      <w:r w:rsidR="00084AA9" w:rsidRPr="00BE205A">
        <w:rPr>
          <w:sz w:val="24"/>
          <w:szCs w:val="24"/>
        </w:rPr>
        <w:t>consequences</w:t>
      </w:r>
      <w:r w:rsidR="006C2538" w:rsidRPr="00BE205A">
        <w:rPr>
          <w:sz w:val="24"/>
          <w:szCs w:val="24"/>
        </w:rPr>
        <w:t xml:space="preserve"> some of which result in serious disability</w:t>
      </w:r>
      <w:r w:rsidR="00084AA9" w:rsidRPr="00BE205A">
        <w:rPr>
          <w:sz w:val="24"/>
          <w:szCs w:val="24"/>
        </w:rPr>
        <w:t>.</w:t>
      </w:r>
      <w:r w:rsidR="00F04234" w:rsidRPr="00BE205A">
        <w:rPr>
          <w:sz w:val="24"/>
          <w:szCs w:val="24"/>
        </w:rPr>
        <w:t xml:space="preserve"> </w:t>
      </w:r>
      <w:r w:rsidR="00260DB9" w:rsidRPr="00BE205A">
        <w:rPr>
          <w:sz w:val="24"/>
          <w:szCs w:val="24"/>
        </w:rPr>
        <w:t>Alcohol is marketed</w:t>
      </w:r>
      <w:r w:rsidR="00F04234" w:rsidRPr="00BE205A">
        <w:rPr>
          <w:sz w:val="24"/>
          <w:szCs w:val="24"/>
        </w:rPr>
        <w:t xml:space="preserve"> through multiple channels</w:t>
      </w:r>
      <w:r w:rsidR="002A213E" w:rsidRPr="00BE205A">
        <w:rPr>
          <w:sz w:val="24"/>
          <w:szCs w:val="24"/>
        </w:rPr>
        <w:t xml:space="preserve"> and </w:t>
      </w:r>
      <w:r w:rsidR="00260DB9" w:rsidRPr="00BE205A">
        <w:rPr>
          <w:sz w:val="24"/>
          <w:szCs w:val="24"/>
        </w:rPr>
        <w:t>the marketing campaigns create</w:t>
      </w:r>
      <w:r w:rsidR="002A213E" w:rsidRPr="00BE205A">
        <w:rPr>
          <w:sz w:val="24"/>
          <w:szCs w:val="24"/>
        </w:rPr>
        <w:t xml:space="preserve"> pro drinking stimuli</w:t>
      </w:r>
      <w:r w:rsidR="00097F6F" w:rsidRPr="00BE205A">
        <w:rPr>
          <w:sz w:val="24"/>
          <w:szCs w:val="24"/>
        </w:rPr>
        <w:t xml:space="preserve">. Children are most at </w:t>
      </w:r>
      <w:r w:rsidR="006C2538" w:rsidRPr="00BE205A">
        <w:rPr>
          <w:sz w:val="24"/>
          <w:szCs w:val="24"/>
        </w:rPr>
        <w:t xml:space="preserve">high </w:t>
      </w:r>
      <w:r w:rsidR="00097F6F" w:rsidRPr="00BE205A">
        <w:rPr>
          <w:sz w:val="24"/>
          <w:szCs w:val="24"/>
        </w:rPr>
        <w:t xml:space="preserve">risk </w:t>
      </w:r>
      <w:r w:rsidR="0053120A" w:rsidRPr="00BE205A">
        <w:rPr>
          <w:sz w:val="24"/>
          <w:szCs w:val="24"/>
        </w:rPr>
        <w:t>of indiscriminate exposure</w:t>
      </w:r>
      <w:r w:rsidR="00097F6F" w:rsidRPr="00BE205A">
        <w:rPr>
          <w:sz w:val="24"/>
          <w:szCs w:val="24"/>
        </w:rPr>
        <w:t xml:space="preserve"> </w:t>
      </w:r>
      <w:r w:rsidR="0053120A" w:rsidRPr="00BE205A">
        <w:rPr>
          <w:sz w:val="24"/>
          <w:szCs w:val="24"/>
        </w:rPr>
        <w:t>to alcohol marketing</w:t>
      </w:r>
      <w:r w:rsidR="006C2538" w:rsidRPr="00BE205A">
        <w:rPr>
          <w:sz w:val="24"/>
          <w:szCs w:val="24"/>
        </w:rPr>
        <w:t xml:space="preserve"> in three key areas:-</w:t>
      </w:r>
    </w:p>
    <w:p w:rsidR="006C2538" w:rsidRPr="00BE205A" w:rsidRDefault="00097F6F" w:rsidP="00BE205A">
      <w:pPr>
        <w:pStyle w:val="ListParagraph"/>
        <w:numPr>
          <w:ilvl w:val="0"/>
          <w:numId w:val="12"/>
        </w:numPr>
        <w:spacing w:after="120"/>
        <w:rPr>
          <w:sz w:val="24"/>
          <w:szCs w:val="24"/>
        </w:rPr>
      </w:pPr>
      <w:r w:rsidRPr="00BE205A">
        <w:rPr>
          <w:sz w:val="24"/>
          <w:szCs w:val="24"/>
        </w:rPr>
        <w:t xml:space="preserve">the </w:t>
      </w:r>
      <w:r w:rsidRPr="00BE205A">
        <w:rPr>
          <w:sz w:val="24"/>
          <w:szCs w:val="24"/>
          <w:u w:val="single"/>
        </w:rPr>
        <w:t>public domain</w:t>
      </w:r>
      <w:r w:rsidRPr="00BE205A">
        <w:rPr>
          <w:sz w:val="24"/>
          <w:szCs w:val="24"/>
        </w:rPr>
        <w:t xml:space="preserve"> (outdoors)</w:t>
      </w:r>
      <w:r w:rsidR="006C2538" w:rsidRPr="00BE205A">
        <w:rPr>
          <w:sz w:val="24"/>
          <w:szCs w:val="24"/>
        </w:rPr>
        <w:t>,</w:t>
      </w:r>
      <w:r w:rsidRPr="00BE205A">
        <w:rPr>
          <w:sz w:val="24"/>
          <w:szCs w:val="24"/>
        </w:rPr>
        <w:t xml:space="preserve"> such as billboards, public transport and sporting</w:t>
      </w:r>
      <w:r w:rsidR="006C2538" w:rsidRPr="00BE205A">
        <w:rPr>
          <w:sz w:val="24"/>
          <w:szCs w:val="24"/>
        </w:rPr>
        <w:t xml:space="preserve"> events,</w:t>
      </w:r>
    </w:p>
    <w:p w:rsidR="006C2538" w:rsidRPr="00BE205A" w:rsidRDefault="002A213E" w:rsidP="00BE205A">
      <w:pPr>
        <w:pStyle w:val="ListParagraph"/>
        <w:numPr>
          <w:ilvl w:val="0"/>
          <w:numId w:val="12"/>
        </w:numPr>
        <w:spacing w:after="120"/>
        <w:rPr>
          <w:sz w:val="24"/>
          <w:szCs w:val="24"/>
        </w:rPr>
      </w:pPr>
      <w:r w:rsidRPr="00BE205A">
        <w:rPr>
          <w:sz w:val="24"/>
          <w:szCs w:val="24"/>
        </w:rPr>
        <w:t xml:space="preserve">on </w:t>
      </w:r>
      <w:r w:rsidRPr="00BE205A">
        <w:rPr>
          <w:sz w:val="24"/>
          <w:szCs w:val="24"/>
          <w:u w:val="single"/>
        </w:rPr>
        <w:t>TV</w:t>
      </w:r>
      <w:r w:rsidR="00EC0643" w:rsidRPr="00BE205A">
        <w:rPr>
          <w:sz w:val="24"/>
          <w:szCs w:val="24"/>
        </w:rPr>
        <w:t>,</w:t>
      </w:r>
      <w:r w:rsidRPr="00BE205A">
        <w:rPr>
          <w:sz w:val="24"/>
          <w:szCs w:val="24"/>
        </w:rPr>
        <w:t xml:space="preserve"> </w:t>
      </w:r>
      <w:r w:rsidR="00097F6F" w:rsidRPr="00BE205A">
        <w:rPr>
          <w:sz w:val="24"/>
          <w:szCs w:val="24"/>
        </w:rPr>
        <w:t xml:space="preserve">be </w:t>
      </w:r>
      <w:r w:rsidR="00EC0643" w:rsidRPr="00BE205A">
        <w:rPr>
          <w:sz w:val="24"/>
          <w:szCs w:val="24"/>
        </w:rPr>
        <w:t xml:space="preserve">it </w:t>
      </w:r>
      <w:r w:rsidR="00260DB9" w:rsidRPr="00BE205A">
        <w:rPr>
          <w:sz w:val="24"/>
          <w:szCs w:val="24"/>
        </w:rPr>
        <w:t xml:space="preserve">from </w:t>
      </w:r>
      <w:r w:rsidR="00097F6F" w:rsidRPr="00BE205A">
        <w:rPr>
          <w:sz w:val="24"/>
          <w:szCs w:val="24"/>
        </w:rPr>
        <w:t>direct commercials or product placement across a range of programmes</w:t>
      </w:r>
      <w:r w:rsidR="0053120A" w:rsidRPr="00BE205A">
        <w:rPr>
          <w:sz w:val="24"/>
          <w:szCs w:val="24"/>
        </w:rPr>
        <w:t>, with sports programmes</w:t>
      </w:r>
      <w:r w:rsidR="00EC0643" w:rsidRPr="00BE205A">
        <w:rPr>
          <w:sz w:val="24"/>
          <w:szCs w:val="24"/>
        </w:rPr>
        <w:t xml:space="preserve"> </w:t>
      </w:r>
      <w:r w:rsidR="0053120A" w:rsidRPr="00BE205A">
        <w:rPr>
          <w:sz w:val="24"/>
          <w:szCs w:val="24"/>
        </w:rPr>
        <w:t>carrying a high risk of saturation exposure</w:t>
      </w:r>
      <w:r w:rsidR="00EC0643" w:rsidRPr="00BE205A">
        <w:rPr>
          <w:sz w:val="24"/>
          <w:szCs w:val="24"/>
        </w:rPr>
        <w:t>,</w:t>
      </w:r>
      <w:r w:rsidRPr="00BE205A">
        <w:rPr>
          <w:sz w:val="24"/>
          <w:szCs w:val="24"/>
        </w:rPr>
        <w:t xml:space="preserve"> </w:t>
      </w:r>
    </w:p>
    <w:p w:rsidR="006C2538" w:rsidRPr="00BE205A" w:rsidRDefault="0053120A" w:rsidP="00BE205A">
      <w:pPr>
        <w:pStyle w:val="ListParagraph"/>
        <w:numPr>
          <w:ilvl w:val="0"/>
          <w:numId w:val="12"/>
        </w:numPr>
        <w:spacing w:after="120"/>
        <w:rPr>
          <w:sz w:val="24"/>
          <w:szCs w:val="24"/>
        </w:rPr>
      </w:pPr>
      <w:proofErr w:type="gramStart"/>
      <w:r w:rsidRPr="00BE205A">
        <w:rPr>
          <w:sz w:val="24"/>
          <w:szCs w:val="24"/>
        </w:rPr>
        <w:t>the</w:t>
      </w:r>
      <w:proofErr w:type="gramEnd"/>
      <w:r w:rsidRPr="00BE205A">
        <w:rPr>
          <w:sz w:val="24"/>
          <w:szCs w:val="24"/>
        </w:rPr>
        <w:t xml:space="preserve"> new </w:t>
      </w:r>
      <w:r w:rsidRPr="00BE205A">
        <w:rPr>
          <w:sz w:val="24"/>
          <w:szCs w:val="24"/>
          <w:u w:val="single"/>
        </w:rPr>
        <w:t>digital media</w:t>
      </w:r>
      <w:r w:rsidRPr="00BE205A">
        <w:rPr>
          <w:sz w:val="24"/>
          <w:szCs w:val="24"/>
        </w:rPr>
        <w:t>, in particular social network sites</w:t>
      </w:r>
      <w:r w:rsidR="00260DB9" w:rsidRPr="00BE205A">
        <w:rPr>
          <w:sz w:val="24"/>
          <w:szCs w:val="24"/>
        </w:rPr>
        <w:t>,</w:t>
      </w:r>
      <w:r w:rsidR="006C2538" w:rsidRPr="00BE205A">
        <w:rPr>
          <w:sz w:val="24"/>
          <w:szCs w:val="24"/>
        </w:rPr>
        <w:t xml:space="preserve"> which </w:t>
      </w:r>
      <w:r w:rsidR="00260DB9" w:rsidRPr="00BE205A">
        <w:rPr>
          <w:sz w:val="24"/>
          <w:szCs w:val="24"/>
        </w:rPr>
        <w:t>are</w:t>
      </w:r>
      <w:r w:rsidRPr="00BE205A">
        <w:rPr>
          <w:sz w:val="24"/>
          <w:szCs w:val="24"/>
        </w:rPr>
        <w:t xml:space="preserve"> the </w:t>
      </w:r>
      <w:r w:rsidR="00260DB9" w:rsidRPr="00BE205A">
        <w:rPr>
          <w:sz w:val="24"/>
          <w:szCs w:val="24"/>
        </w:rPr>
        <w:t>focus</w:t>
      </w:r>
      <w:r w:rsidRPr="00BE205A">
        <w:rPr>
          <w:sz w:val="24"/>
          <w:szCs w:val="24"/>
        </w:rPr>
        <w:t xml:space="preserve"> of social engagement for most adolescents</w:t>
      </w:r>
      <w:r w:rsidR="006C2538" w:rsidRPr="00BE205A">
        <w:rPr>
          <w:sz w:val="24"/>
          <w:szCs w:val="24"/>
        </w:rPr>
        <w:t xml:space="preserve">.  It is now </w:t>
      </w:r>
      <w:r w:rsidR="002A213E" w:rsidRPr="00BE205A">
        <w:rPr>
          <w:sz w:val="24"/>
          <w:szCs w:val="24"/>
        </w:rPr>
        <w:t xml:space="preserve">the platform </w:t>
      </w:r>
      <w:r w:rsidR="006C2538" w:rsidRPr="00BE205A">
        <w:rPr>
          <w:sz w:val="24"/>
          <w:szCs w:val="24"/>
        </w:rPr>
        <w:t xml:space="preserve">where </w:t>
      </w:r>
      <w:r w:rsidR="002A213E" w:rsidRPr="00BE205A">
        <w:rPr>
          <w:sz w:val="24"/>
          <w:szCs w:val="24"/>
        </w:rPr>
        <w:t xml:space="preserve">alcohol commercial companies </w:t>
      </w:r>
      <w:r w:rsidR="006C2538" w:rsidRPr="00BE205A">
        <w:rPr>
          <w:sz w:val="24"/>
          <w:szCs w:val="24"/>
        </w:rPr>
        <w:t>engage with social media users</w:t>
      </w:r>
      <w:r w:rsidR="00260DB9" w:rsidRPr="00BE205A">
        <w:rPr>
          <w:sz w:val="24"/>
          <w:szCs w:val="24"/>
        </w:rPr>
        <w:t>,</w:t>
      </w:r>
      <w:r w:rsidR="006C2538" w:rsidRPr="00BE205A">
        <w:rPr>
          <w:sz w:val="24"/>
          <w:szCs w:val="24"/>
        </w:rPr>
        <w:t xml:space="preserve"> providing</w:t>
      </w:r>
      <w:r w:rsidRPr="00BE205A">
        <w:rPr>
          <w:sz w:val="24"/>
          <w:szCs w:val="24"/>
        </w:rPr>
        <w:t xml:space="preserve"> a l</w:t>
      </w:r>
      <w:r w:rsidR="00EC0643" w:rsidRPr="00BE205A">
        <w:rPr>
          <w:sz w:val="24"/>
          <w:szCs w:val="24"/>
        </w:rPr>
        <w:t>ethal</w:t>
      </w:r>
      <w:r w:rsidRPr="00BE205A">
        <w:rPr>
          <w:sz w:val="24"/>
          <w:szCs w:val="24"/>
        </w:rPr>
        <w:t xml:space="preserve"> cocktail </w:t>
      </w:r>
      <w:r w:rsidR="002A213E" w:rsidRPr="00BE205A">
        <w:rPr>
          <w:sz w:val="24"/>
          <w:szCs w:val="24"/>
        </w:rPr>
        <w:t xml:space="preserve">for embedded alcohol marketing and where the </w:t>
      </w:r>
      <w:r w:rsidR="007B7CDC" w:rsidRPr="00BE205A">
        <w:rPr>
          <w:sz w:val="24"/>
          <w:szCs w:val="24"/>
        </w:rPr>
        <w:t xml:space="preserve">media </w:t>
      </w:r>
      <w:r w:rsidR="002A213E" w:rsidRPr="00BE205A">
        <w:rPr>
          <w:sz w:val="24"/>
          <w:szCs w:val="24"/>
        </w:rPr>
        <w:t xml:space="preserve">user </w:t>
      </w:r>
      <w:r w:rsidR="006C2538" w:rsidRPr="00BE205A">
        <w:rPr>
          <w:sz w:val="24"/>
          <w:szCs w:val="24"/>
        </w:rPr>
        <w:t>has</w:t>
      </w:r>
      <w:r w:rsidR="00EC0643" w:rsidRPr="00BE205A">
        <w:rPr>
          <w:sz w:val="24"/>
          <w:szCs w:val="24"/>
        </w:rPr>
        <w:t xml:space="preserve"> </w:t>
      </w:r>
      <w:r w:rsidR="00260DB9" w:rsidRPr="00BE205A">
        <w:rPr>
          <w:sz w:val="24"/>
          <w:szCs w:val="24"/>
        </w:rPr>
        <w:t xml:space="preserve">in effect </w:t>
      </w:r>
      <w:r w:rsidR="002A213E" w:rsidRPr="00BE205A">
        <w:rPr>
          <w:sz w:val="24"/>
          <w:szCs w:val="24"/>
        </w:rPr>
        <w:t>becom</w:t>
      </w:r>
      <w:r w:rsidR="00EC0643" w:rsidRPr="00BE205A">
        <w:rPr>
          <w:sz w:val="24"/>
          <w:szCs w:val="24"/>
        </w:rPr>
        <w:t>e</w:t>
      </w:r>
      <w:r w:rsidR="002A213E" w:rsidRPr="00BE205A">
        <w:rPr>
          <w:sz w:val="24"/>
          <w:szCs w:val="24"/>
        </w:rPr>
        <w:t xml:space="preserve"> a </w:t>
      </w:r>
      <w:r w:rsidR="00260DB9" w:rsidRPr="00BE205A">
        <w:rPr>
          <w:sz w:val="24"/>
          <w:szCs w:val="24"/>
        </w:rPr>
        <w:t>‘</w:t>
      </w:r>
      <w:r w:rsidR="002A213E" w:rsidRPr="00BE205A">
        <w:rPr>
          <w:sz w:val="24"/>
          <w:szCs w:val="24"/>
        </w:rPr>
        <w:t>marketer</w:t>
      </w:r>
      <w:r w:rsidR="00260DB9" w:rsidRPr="00BE205A">
        <w:rPr>
          <w:sz w:val="24"/>
          <w:szCs w:val="24"/>
        </w:rPr>
        <w:t>’</w:t>
      </w:r>
      <w:r w:rsidR="002A213E" w:rsidRPr="00BE205A">
        <w:rPr>
          <w:sz w:val="24"/>
          <w:szCs w:val="24"/>
        </w:rPr>
        <w:t xml:space="preserve"> for the alcohol industry.</w:t>
      </w:r>
      <w:r w:rsidR="00EC0643" w:rsidRPr="00BE205A">
        <w:rPr>
          <w:sz w:val="24"/>
          <w:szCs w:val="24"/>
        </w:rPr>
        <w:t xml:space="preserve">  </w:t>
      </w:r>
    </w:p>
    <w:p w:rsidR="00084AA9" w:rsidRPr="00BE205A" w:rsidRDefault="00EC0643" w:rsidP="00BE205A">
      <w:pPr>
        <w:spacing w:after="120"/>
        <w:rPr>
          <w:sz w:val="24"/>
          <w:szCs w:val="24"/>
        </w:rPr>
      </w:pPr>
      <w:r w:rsidRPr="0012000F">
        <w:rPr>
          <w:b/>
          <w:sz w:val="24"/>
          <w:szCs w:val="24"/>
        </w:rPr>
        <w:t xml:space="preserve">The cumulative effect of </w:t>
      </w:r>
      <w:r w:rsidR="006C2538" w:rsidRPr="0012000F">
        <w:rPr>
          <w:b/>
          <w:sz w:val="24"/>
          <w:szCs w:val="24"/>
        </w:rPr>
        <w:t>young people’s exposure in</w:t>
      </w:r>
      <w:r w:rsidR="00426645" w:rsidRPr="0012000F">
        <w:rPr>
          <w:b/>
          <w:sz w:val="24"/>
          <w:szCs w:val="24"/>
        </w:rPr>
        <w:t xml:space="preserve"> </w:t>
      </w:r>
      <w:r w:rsidRPr="0012000F">
        <w:rPr>
          <w:b/>
          <w:sz w:val="24"/>
          <w:szCs w:val="24"/>
        </w:rPr>
        <w:t>these major areas of alcohol marketing creates a pro alcohol culture among young people</w:t>
      </w:r>
      <w:r w:rsidR="00260DB9" w:rsidRPr="0012000F">
        <w:rPr>
          <w:b/>
          <w:sz w:val="24"/>
          <w:szCs w:val="24"/>
        </w:rPr>
        <w:t>,</w:t>
      </w:r>
      <w:r w:rsidRPr="0012000F">
        <w:rPr>
          <w:b/>
          <w:sz w:val="24"/>
          <w:szCs w:val="24"/>
        </w:rPr>
        <w:t xml:space="preserve"> who are</w:t>
      </w:r>
      <w:r w:rsidR="00426645" w:rsidRPr="0012000F">
        <w:rPr>
          <w:b/>
          <w:sz w:val="24"/>
          <w:szCs w:val="24"/>
        </w:rPr>
        <w:t xml:space="preserve"> susceptible</w:t>
      </w:r>
      <w:r w:rsidRPr="0012000F">
        <w:rPr>
          <w:b/>
          <w:sz w:val="24"/>
          <w:szCs w:val="24"/>
        </w:rPr>
        <w:t xml:space="preserve"> to risk and harm</w:t>
      </w:r>
      <w:r w:rsidRPr="00BE205A">
        <w:rPr>
          <w:sz w:val="24"/>
          <w:szCs w:val="24"/>
        </w:rPr>
        <w:t>.</w:t>
      </w:r>
    </w:p>
    <w:p w:rsidR="0012000F" w:rsidRDefault="0012000F" w:rsidP="00BE205A">
      <w:pPr>
        <w:spacing w:after="120"/>
        <w:rPr>
          <w:b/>
          <w:sz w:val="24"/>
          <w:szCs w:val="24"/>
        </w:rPr>
      </w:pPr>
    </w:p>
    <w:p w:rsidR="0012000F" w:rsidRDefault="0012000F" w:rsidP="00BE205A">
      <w:pPr>
        <w:spacing w:after="120"/>
        <w:rPr>
          <w:b/>
          <w:sz w:val="24"/>
          <w:szCs w:val="24"/>
        </w:rPr>
      </w:pPr>
    </w:p>
    <w:p w:rsidR="00260DB9" w:rsidRPr="00BE205A" w:rsidRDefault="00260DB9" w:rsidP="00BE205A">
      <w:pPr>
        <w:spacing w:after="120"/>
        <w:rPr>
          <w:b/>
          <w:sz w:val="24"/>
          <w:szCs w:val="24"/>
        </w:rPr>
      </w:pPr>
      <w:r w:rsidRPr="00BE205A">
        <w:rPr>
          <w:b/>
          <w:sz w:val="24"/>
          <w:szCs w:val="24"/>
        </w:rPr>
        <w:lastRenderedPageBreak/>
        <w:t>Best Practice</w:t>
      </w:r>
    </w:p>
    <w:p w:rsidR="00B24134" w:rsidRPr="00BE205A" w:rsidRDefault="00F04234" w:rsidP="00BE205A">
      <w:pPr>
        <w:spacing w:after="120"/>
        <w:rPr>
          <w:sz w:val="24"/>
          <w:szCs w:val="24"/>
        </w:rPr>
      </w:pPr>
      <w:r w:rsidRPr="00BE205A">
        <w:rPr>
          <w:sz w:val="24"/>
          <w:szCs w:val="24"/>
        </w:rPr>
        <w:t xml:space="preserve">A </w:t>
      </w:r>
      <w:r w:rsidR="00EC0643" w:rsidRPr="00BE205A">
        <w:rPr>
          <w:sz w:val="24"/>
          <w:szCs w:val="24"/>
        </w:rPr>
        <w:t>proposed F</w:t>
      </w:r>
      <w:r w:rsidRPr="00BE205A">
        <w:rPr>
          <w:sz w:val="24"/>
          <w:szCs w:val="24"/>
        </w:rPr>
        <w:t xml:space="preserve">ramework for </w:t>
      </w:r>
      <w:r w:rsidR="00260DB9" w:rsidRPr="00BE205A">
        <w:rPr>
          <w:sz w:val="24"/>
          <w:szCs w:val="24"/>
        </w:rPr>
        <w:t xml:space="preserve">Alcohol </w:t>
      </w:r>
      <w:r w:rsidR="00B24134" w:rsidRPr="00BE205A">
        <w:rPr>
          <w:sz w:val="24"/>
          <w:szCs w:val="24"/>
        </w:rPr>
        <w:t>Regulation and Enforcement</w:t>
      </w:r>
      <w:r w:rsidRPr="00BE205A">
        <w:rPr>
          <w:sz w:val="24"/>
          <w:szCs w:val="24"/>
        </w:rPr>
        <w:t xml:space="preserve"> could include the following elements:</w:t>
      </w:r>
    </w:p>
    <w:p w:rsidR="00B24134" w:rsidRPr="00BE205A" w:rsidRDefault="00D95013" w:rsidP="00BE205A">
      <w:pPr>
        <w:pStyle w:val="ListParagraph"/>
        <w:numPr>
          <w:ilvl w:val="0"/>
          <w:numId w:val="10"/>
        </w:numPr>
        <w:spacing w:after="120"/>
        <w:contextualSpacing w:val="0"/>
        <w:rPr>
          <w:sz w:val="24"/>
          <w:szCs w:val="24"/>
        </w:rPr>
      </w:pPr>
      <w:r w:rsidRPr="00BE205A">
        <w:rPr>
          <w:b/>
          <w:sz w:val="24"/>
          <w:szCs w:val="24"/>
          <w:u w:val="single"/>
        </w:rPr>
        <w:t>Clear p</w:t>
      </w:r>
      <w:r w:rsidR="00B24134" w:rsidRPr="00BE205A">
        <w:rPr>
          <w:b/>
          <w:sz w:val="24"/>
          <w:szCs w:val="24"/>
          <w:u w:val="single"/>
        </w:rPr>
        <w:t>ublic health object</w:t>
      </w:r>
      <w:r w:rsidR="00260DB9" w:rsidRPr="00BE205A">
        <w:rPr>
          <w:b/>
          <w:sz w:val="24"/>
          <w:szCs w:val="24"/>
          <w:u w:val="single"/>
        </w:rPr>
        <w:t>ives</w:t>
      </w:r>
      <w:r w:rsidR="00B24134" w:rsidRPr="00BE205A">
        <w:rPr>
          <w:sz w:val="24"/>
          <w:szCs w:val="24"/>
        </w:rPr>
        <w:t xml:space="preserve"> – to protect public health and provide greater protection for children and young people</w:t>
      </w:r>
      <w:r w:rsidR="00260DB9" w:rsidRPr="00BE205A">
        <w:rPr>
          <w:sz w:val="24"/>
          <w:szCs w:val="24"/>
        </w:rPr>
        <w:t>,</w:t>
      </w:r>
      <w:r w:rsidR="00B24134" w:rsidRPr="00BE205A">
        <w:rPr>
          <w:sz w:val="24"/>
          <w:szCs w:val="24"/>
        </w:rPr>
        <w:t xml:space="preserve"> by reducing the exposure of children and you</w:t>
      </w:r>
      <w:r w:rsidR="005854C8">
        <w:rPr>
          <w:sz w:val="24"/>
          <w:szCs w:val="24"/>
        </w:rPr>
        <w:t>ng</w:t>
      </w:r>
      <w:r w:rsidR="00B24134" w:rsidRPr="00BE205A">
        <w:rPr>
          <w:sz w:val="24"/>
          <w:szCs w:val="24"/>
        </w:rPr>
        <w:t xml:space="preserve"> people to alcohol marketing.</w:t>
      </w:r>
    </w:p>
    <w:p w:rsidR="00836F6A" w:rsidRPr="00BE205A" w:rsidRDefault="00836F6A" w:rsidP="00BE205A">
      <w:pPr>
        <w:pStyle w:val="ListParagraph"/>
        <w:numPr>
          <w:ilvl w:val="0"/>
          <w:numId w:val="10"/>
        </w:numPr>
        <w:spacing w:after="120"/>
        <w:contextualSpacing w:val="0"/>
        <w:rPr>
          <w:sz w:val="24"/>
          <w:szCs w:val="24"/>
        </w:rPr>
      </w:pPr>
      <w:r w:rsidRPr="00BE205A">
        <w:rPr>
          <w:b/>
          <w:sz w:val="24"/>
          <w:szCs w:val="24"/>
          <w:u w:val="single"/>
        </w:rPr>
        <w:t>Precautionary approa</w:t>
      </w:r>
      <w:r w:rsidR="00D95013" w:rsidRPr="00BE205A">
        <w:rPr>
          <w:b/>
          <w:sz w:val="24"/>
          <w:szCs w:val="24"/>
          <w:u w:val="single"/>
        </w:rPr>
        <w:t>ch</w:t>
      </w:r>
      <w:r w:rsidRPr="00BE205A">
        <w:rPr>
          <w:sz w:val="24"/>
          <w:szCs w:val="24"/>
        </w:rPr>
        <w:t xml:space="preserve"> – </w:t>
      </w:r>
      <w:r w:rsidR="00D95013" w:rsidRPr="00BE205A">
        <w:rPr>
          <w:sz w:val="24"/>
          <w:szCs w:val="24"/>
        </w:rPr>
        <w:t xml:space="preserve">recognising that society has a </w:t>
      </w:r>
      <w:r w:rsidRPr="00BE205A">
        <w:rPr>
          <w:sz w:val="24"/>
          <w:szCs w:val="24"/>
        </w:rPr>
        <w:t>social responsibility to prevent and protect children from exposure to risk to their health and well-being, even when full scientific certainly has not be</w:t>
      </w:r>
      <w:r w:rsidR="00D95013" w:rsidRPr="00BE205A">
        <w:rPr>
          <w:sz w:val="24"/>
          <w:szCs w:val="24"/>
        </w:rPr>
        <w:t>en</w:t>
      </w:r>
      <w:r w:rsidRPr="00BE205A">
        <w:rPr>
          <w:sz w:val="24"/>
          <w:szCs w:val="24"/>
        </w:rPr>
        <w:t xml:space="preserve"> agreed by all.</w:t>
      </w:r>
    </w:p>
    <w:p w:rsidR="003B0029" w:rsidRPr="00BE205A" w:rsidRDefault="00B24134" w:rsidP="00BE205A">
      <w:pPr>
        <w:pStyle w:val="ListParagraph"/>
        <w:numPr>
          <w:ilvl w:val="0"/>
          <w:numId w:val="10"/>
        </w:numPr>
        <w:spacing w:after="120"/>
        <w:contextualSpacing w:val="0"/>
        <w:rPr>
          <w:sz w:val="24"/>
          <w:szCs w:val="24"/>
        </w:rPr>
      </w:pPr>
      <w:r w:rsidRPr="00BE205A">
        <w:rPr>
          <w:b/>
          <w:sz w:val="24"/>
          <w:szCs w:val="24"/>
          <w:u w:val="single"/>
        </w:rPr>
        <w:t>T</w:t>
      </w:r>
      <w:r w:rsidR="00D95013" w:rsidRPr="00BE205A">
        <w:rPr>
          <w:b/>
          <w:sz w:val="24"/>
          <w:szCs w:val="24"/>
          <w:u w:val="single"/>
        </w:rPr>
        <w:t>ransparency</w:t>
      </w:r>
      <w:r w:rsidR="003B0029" w:rsidRPr="00BE205A">
        <w:rPr>
          <w:b/>
          <w:sz w:val="24"/>
          <w:szCs w:val="24"/>
        </w:rPr>
        <w:t xml:space="preserve"> </w:t>
      </w:r>
      <w:r w:rsidR="003B0029" w:rsidRPr="00BE205A">
        <w:rPr>
          <w:sz w:val="24"/>
          <w:szCs w:val="24"/>
        </w:rPr>
        <w:t xml:space="preserve">- </w:t>
      </w:r>
      <w:r w:rsidR="00836F6A" w:rsidRPr="00BE205A">
        <w:rPr>
          <w:sz w:val="24"/>
          <w:szCs w:val="24"/>
        </w:rPr>
        <w:t>identify what alcohol marketing practises are permitted,</w:t>
      </w:r>
      <w:r w:rsidR="003B0029" w:rsidRPr="00BE205A">
        <w:rPr>
          <w:sz w:val="24"/>
          <w:szCs w:val="24"/>
        </w:rPr>
        <w:t xml:space="preserve"> for </w:t>
      </w:r>
      <w:r w:rsidR="00836F6A" w:rsidRPr="00BE205A">
        <w:rPr>
          <w:sz w:val="24"/>
          <w:szCs w:val="24"/>
        </w:rPr>
        <w:t xml:space="preserve">volume, </w:t>
      </w:r>
      <w:r w:rsidR="003B0029" w:rsidRPr="00BE205A">
        <w:rPr>
          <w:sz w:val="24"/>
          <w:szCs w:val="24"/>
        </w:rPr>
        <w:t>place and content</w:t>
      </w:r>
      <w:r w:rsidR="00672A2A">
        <w:rPr>
          <w:sz w:val="24"/>
          <w:szCs w:val="24"/>
        </w:rPr>
        <w:t>,</w:t>
      </w:r>
      <w:r w:rsidR="00836F6A" w:rsidRPr="00BE205A">
        <w:rPr>
          <w:sz w:val="24"/>
          <w:szCs w:val="24"/>
        </w:rPr>
        <w:t xml:space="preserve"> so that </w:t>
      </w:r>
      <w:r w:rsidR="00260DB9" w:rsidRPr="00BE205A">
        <w:rPr>
          <w:sz w:val="24"/>
          <w:szCs w:val="24"/>
        </w:rPr>
        <w:t>the measures are</w:t>
      </w:r>
      <w:r w:rsidR="00836F6A" w:rsidRPr="00BE205A">
        <w:rPr>
          <w:sz w:val="24"/>
          <w:szCs w:val="24"/>
        </w:rPr>
        <w:t xml:space="preserve"> clear </w:t>
      </w:r>
      <w:r w:rsidR="004E1AF4" w:rsidRPr="00BE205A">
        <w:rPr>
          <w:sz w:val="24"/>
          <w:szCs w:val="24"/>
        </w:rPr>
        <w:t>and transparent for</w:t>
      </w:r>
      <w:r w:rsidR="00836F6A" w:rsidRPr="00BE205A">
        <w:rPr>
          <w:sz w:val="24"/>
          <w:szCs w:val="24"/>
        </w:rPr>
        <w:t xml:space="preserve"> the public</w:t>
      </w:r>
      <w:r w:rsidR="00D95013" w:rsidRPr="00BE205A">
        <w:rPr>
          <w:sz w:val="24"/>
          <w:szCs w:val="24"/>
        </w:rPr>
        <w:t xml:space="preserve"> to understand (</w:t>
      </w:r>
      <w:r w:rsidR="00426645" w:rsidRPr="00BE205A">
        <w:rPr>
          <w:sz w:val="24"/>
          <w:szCs w:val="24"/>
        </w:rPr>
        <w:t>equivalent</w:t>
      </w:r>
      <w:r w:rsidR="00D95013" w:rsidRPr="00BE205A">
        <w:rPr>
          <w:sz w:val="24"/>
          <w:szCs w:val="24"/>
        </w:rPr>
        <w:t xml:space="preserve"> to the rules of the road)</w:t>
      </w:r>
      <w:r w:rsidR="002A213E" w:rsidRPr="00BE205A">
        <w:rPr>
          <w:sz w:val="24"/>
          <w:szCs w:val="24"/>
        </w:rPr>
        <w:t>.</w:t>
      </w:r>
      <w:r w:rsidR="00836F6A" w:rsidRPr="00BE205A">
        <w:rPr>
          <w:sz w:val="24"/>
          <w:szCs w:val="24"/>
        </w:rPr>
        <w:t xml:space="preserve"> </w:t>
      </w:r>
    </w:p>
    <w:p w:rsidR="003B0029" w:rsidRPr="00BE205A" w:rsidRDefault="003B0029" w:rsidP="00BE205A">
      <w:pPr>
        <w:pStyle w:val="ListParagraph"/>
        <w:numPr>
          <w:ilvl w:val="0"/>
          <w:numId w:val="10"/>
        </w:numPr>
        <w:spacing w:after="120"/>
        <w:contextualSpacing w:val="0"/>
        <w:rPr>
          <w:sz w:val="24"/>
          <w:szCs w:val="24"/>
        </w:rPr>
      </w:pPr>
      <w:r w:rsidRPr="00BE205A">
        <w:rPr>
          <w:b/>
          <w:sz w:val="24"/>
          <w:szCs w:val="24"/>
          <w:u w:val="single"/>
        </w:rPr>
        <w:t>Sustainability</w:t>
      </w:r>
      <w:r w:rsidRPr="00BE205A">
        <w:rPr>
          <w:sz w:val="24"/>
          <w:szCs w:val="24"/>
          <w:u w:val="single"/>
        </w:rPr>
        <w:t xml:space="preserve"> </w:t>
      </w:r>
      <w:r w:rsidRPr="00BE205A">
        <w:rPr>
          <w:sz w:val="24"/>
          <w:szCs w:val="24"/>
        </w:rPr>
        <w:t>– low cost</w:t>
      </w:r>
      <w:r w:rsidR="00120673" w:rsidRPr="00BE205A">
        <w:rPr>
          <w:sz w:val="24"/>
          <w:szCs w:val="24"/>
        </w:rPr>
        <w:t xml:space="preserve"> enforcement mechanisms are essential</w:t>
      </w:r>
      <w:r w:rsidR="00D95013" w:rsidRPr="00BE205A">
        <w:rPr>
          <w:sz w:val="24"/>
          <w:szCs w:val="24"/>
        </w:rPr>
        <w:t>,</w:t>
      </w:r>
      <w:r w:rsidR="00426645" w:rsidRPr="00BE205A">
        <w:rPr>
          <w:sz w:val="24"/>
          <w:szCs w:val="24"/>
        </w:rPr>
        <w:t xml:space="preserve"> as it requires</w:t>
      </w:r>
      <w:r w:rsidR="00120673" w:rsidRPr="00BE205A">
        <w:rPr>
          <w:sz w:val="24"/>
          <w:szCs w:val="24"/>
        </w:rPr>
        <w:t xml:space="preserve"> long term commitment to protect present and future generations of children from risk</w:t>
      </w:r>
      <w:r w:rsidR="002A213E" w:rsidRPr="00BE205A">
        <w:rPr>
          <w:sz w:val="24"/>
          <w:szCs w:val="24"/>
        </w:rPr>
        <w:t xml:space="preserve"> of early onset of drinking</w:t>
      </w:r>
    </w:p>
    <w:p w:rsidR="003B0029" w:rsidRPr="00BE205A" w:rsidRDefault="002A213E" w:rsidP="00BE205A">
      <w:pPr>
        <w:pStyle w:val="ListParagraph"/>
        <w:numPr>
          <w:ilvl w:val="0"/>
          <w:numId w:val="10"/>
        </w:numPr>
        <w:spacing w:after="120"/>
        <w:contextualSpacing w:val="0"/>
        <w:rPr>
          <w:sz w:val="24"/>
          <w:szCs w:val="24"/>
        </w:rPr>
      </w:pPr>
      <w:r w:rsidRPr="00BE205A">
        <w:rPr>
          <w:b/>
          <w:sz w:val="24"/>
          <w:szCs w:val="24"/>
          <w:u w:val="single"/>
        </w:rPr>
        <w:t>Enforcement</w:t>
      </w:r>
      <w:r w:rsidRPr="00BE205A">
        <w:rPr>
          <w:b/>
          <w:sz w:val="24"/>
          <w:szCs w:val="24"/>
        </w:rPr>
        <w:t xml:space="preserve"> </w:t>
      </w:r>
      <w:r w:rsidRPr="00BE205A">
        <w:rPr>
          <w:sz w:val="24"/>
          <w:szCs w:val="24"/>
        </w:rPr>
        <w:t>– ensure</w:t>
      </w:r>
      <w:r w:rsidR="003B0029" w:rsidRPr="00BE205A">
        <w:rPr>
          <w:sz w:val="24"/>
          <w:szCs w:val="24"/>
        </w:rPr>
        <w:t xml:space="preserve"> </w:t>
      </w:r>
      <w:r w:rsidR="007B7CDC" w:rsidRPr="00BE205A">
        <w:rPr>
          <w:sz w:val="24"/>
          <w:szCs w:val="24"/>
        </w:rPr>
        <w:t xml:space="preserve">that </w:t>
      </w:r>
      <w:r w:rsidR="003B0029" w:rsidRPr="00BE205A">
        <w:rPr>
          <w:sz w:val="24"/>
          <w:szCs w:val="24"/>
        </w:rPr>
        <w:t>national young o</w:t>
      </w:r>
      <w:r w:rsidRPr="00BE205A">
        <w:rPr>
          <w:sz w:val="24"/>
          <w:szCs w:val="24"/>
        </w:rPr>
        <w:t>rganisations/ citizens groups</w:t>
      </w:r>
      <w:r w:rsidR="003B0029" w:rsidRPr="00BE205A">
        <w:rPr>
          <w:sz w:val="24"/>
          <w:szCs w:val="24"/>
        </w:rPr>
        <w:t xml:space="preserve"> </w:t>
      </w:r>
      <w:r w:rsidR="007B7CDC" w:rsidRPr="00BE205A">
        <w:rPr>
          <w:sz w:val="24"/>
          <w:szCs w:val="24"/>
        </w:rPr>
        <w:t xml:space="preserve">can </w:t>
      </w:r>
      <w:r w:rsidR="003B0029" w:rsidRPr="00BE205A">
        <w:rPr>
          <w:sz w:val="24"/>
          <w:szCs w:val="24"/>
        </w:rPr>
        <w:t>validate compliance issues</w:t>
      </w:r>
      <w:r w:rsidRPr="00BE205A">
        <w:rPr>
          <w:sz w:val="24"/>
          <w:szCs w:val="24"/>
        </w:rPr>
        <w:t xml:space="preserve"> and are pro</w:t>
      </w:r>
      <w:r w:rsidR="00426645" w:rsidRPr="00BE205A">
        <w:rPr>
          <w:sz w:val="24"/>
          <w:szCs w:val="24"/>
        </w:rPr>
        <w:t>active</w:t>
      </w:r>
      <w:r w:rsidRPr="00BE205A">
        <w:rPr>
          <w:sz w:val="24"/>
          <w:szCs w:val="24"/>
        </w:rPr>
        <w:t>.</w:t>
      </w:r>
    </w:p>
    <w:p w:rsidR="003B0029" w:rsidRPr="00BE205A" w:rsidRDefault="003B0029" w:rsidP="00BE205A">
      <w:pPr>
        <w:pStyle w:val="ListParagraph"/>
        <w:numPr>
          <w:ilvl w:val="0"/>
          <w:numId w:val="10"/>
        </w:numPr>
        <w:spacing w:after="120"/>
        <w:contextualSpacing w:val="0"/>
        <w:rPr>
          <w:sz w:val="24"/>
          <w:szCs w:val="24"/>
        </w:rPr>
      </w:pPr>
      <w:r w:rsidRPr="00BE205A">
        <w:rPr>
          <w:b/>
          <w:sz w:val="24"/>
          <w:szCs w:val="24"/>
          <w:u w:val="single"/>
        </w:rPr>
        <w:t>Accountability</w:t>
      </w:r>
      <w:r w:rsidRPr="00BE205A">
        <w:rPr>
          <w:sz w:val="24"/>
          <w:szCs w:val="24"/>
        </w:rPr>
        <w:t xml:space="preserve"> – require industry to disclose information as requested by </w:t>
      </w:r>
      <w:r w:rsidR="00120673" w:rsidRPr="00BE205A">
        <w:rPr>
          <w:sz w:val="24"/>
          <w:szCs w:val="24"/>
        </w:rPr>
        <w:t>Government (</w:t>
      </w:r>
      <w:r w:rsidRPr="00BE205A">
        <w:rPr>
          <w:sz w:val="24"/>
          <w:szCs w:val="24"/>
        </w:rPr>
        <w:t>Minister of Health</w:t>
      </w:r>
      <w:r w:rsidR="00120673" w:rsidRPr="00BE205A">
        <w:rPr>
          <w:sz w:val="24"/>
          <w:szCs w:val="24"/>
        </w:rPr>
        <w:t>)</w:t>
      </w:r>
      <w:r w:rsidRPr="00BE205A">
        <w:rPr>
          <w:sz w:val="24"/>
          <w:szCs w:val="24"/>
        </w:rPr>
        <w:t xml:space="preserve"> to ensure exposure to alco</w:t>
      </w:r>
      <w:r w:rsidR="00260DB9" w:rsidRPr="00BE205A">
        <w:rPr>
          <w:sz w:val="24"/>
          <w:szCs w:val="24"/>
        </w:rPr>
        <w:t>hol marketing by young people is</w:t>
      </w:r>
      <w:r w:rsidRPr="00BE205A">
        <w:rPr>
          <w:sz w:val="24"/>
          <w:szCs w:val="24"/>
        </w:rPr>
        <w:t xml:space="preserve"> adequately reduced</w:t>
      </w:r>
      <w:r w:rsidR="00260DB9" w:rsidRPr="00BE205A">
        <w:rPr>
          <w:sz w:val="24"/>
          <w:szCs w:val="24"/>
        </w:rPr>
        <w:t>,</w:t>
      </w:r>
      <w:r w:rsidR="00426645" w:rsidRPr="00BE205A">
        <w:rPr>
          <w:sz w:val="24"/>
          <w:szCs w:val="24"/>
        </w:rPr>
        <w:t xml:space="preserve"> in line with </w:t>
      </w:r>
      <w:r w:rsidR="00260DB9" w:rsidRPr="00BE205A">
        <w:rPr>
          <w:sz w:val="24"/>
          <w:szCs w:val="24"/>
        </w:rPr>
        <w:t>legal</w:t>
      </w:r>
      <w:r w:rsidR="00426645" w:rsidRPr="00BE205A">
        <w:rPr>
          <w:sz w:val="24"/>
          <w:szCs w:val="24"/>
        </w:rPr>
        <w:t xml:space="preserve"> targets.</w:t>
      </w:r>
    </w:p>
    <w:p w:rsidR="00376521" w:rsidRPr="00BE205A" w:rsidRDefault="00376521" w:rsidP="00BE205A">
      <w:pPr>
        <w:pStyle w:val="ListParagraph"/>
        <w:numPr>
          <w:ilvl w:val="0"/>
          <w:numId w:val="10"/>
        </w:numPr>
        <w:spacing w:after="120"/>
        <w:contextualSpacing w:val="0"/>
        <w:rPr>
          <w:sz w:val="24"/>
          <w:szCs w:val="24"/>
        </w:rPr>
      </w:pPr>
      <w:r w:rsidRPr="00BE205A">
        <w:rPr>
          <w:b/>
          <w:sz w:val="24"/>
          <w:szCs w:val="24"/>
          <w:u w:val="single"/>
        </w:rPr>
        <w:t>Infringements</w:t>
      </w:r>
      <w:r w:rsidRPr="00BE205A">
        <w:rPr>
          <w:sz w:val="24"/>
          <w:szCs w:val="24"/>
          <w:u w:val="single"/>
        </w:rPr>
        <w:t xml:space="preserve"> </w:t>
      </w:r>
      <w:r w:rsidRPr="00BE205A">
        <w:rPr>
          <w:sz w:val="24"/>
          <w:szCs w:val="24"/>
        </w:rPr>
        <w:t>– w</w:t>
      </w:r>
      <w:r w:rsidR="00EC0643" w:rsidRPr="00BE205A">
        <w:rPr>
          <w:sz w:val="24"/>
          <w:szCs w:val="24"/>
        </w:rPr>
        <w:t>h</w:t>
      </w:r>
      <w:r w:rsidRPr="00BE205A">
        <w:rPr>
          <w:sz w:val="24"/>
          <w:szCs w:val="24"/>
        </w:rPr>
        <w:t>ere validated, fines act as a good deterrent</w:t>
      </w:r>
      <w:r w:rsidR="00EC0643" w:rsidRPr="00BE205A">
        <w:rPr>
          <w:sz w:val="24"/>
          <w:szCs w:val="24"/>
        </w:rPr>
        <w:t xml:space="preserve"> as does offender coverage in media (name and shame)</w:t>
      </w:r>
      <w:r w:rsidR="00260DB9" w:rsidRPr="00BE205A">
        <w:rPr>
          <w:sz w:val="24"/>
          <w:szCs w:val="24"/>
        </w:rPr>
        <w:t>.</w:t>
      </w:r>
    </w:p>
    <w:p w:rsidR="00A00875" w:rsidRPr="00BE205A" w:rsidRDefault="00A00875" w:rsidP="00BE205A">
      <w:pPr>
        <w:spacing w:after="120"/>
        <w:rPr>
          <w:sz w:val="24"/>
          <w:szCs w:val="24"/>
        </w:rPr>
      </w:pPr>
      <w:r w:rsidRPr="00BE205A">
        <w:rPr>
          <w:sz w:val="24"/>
          <w:szCs w:val="24"/>
        </w:rPr>
        <w:t>These principles are consistent with the approaches</w:t>
      </w:r>
      <w:r w:rsidR="00342AB3" w:rsidRPr="00BE205A">
        <w:rPr>
          <w:sz w:val="24"/>
          <w:szCs w:val="24"/>
        </w:rPr>
        <w:t xml:space="preserve"> taken for </w:t>
      </w:r>
      <w:r w:rsidRPr="00BE205A">
        <w:rPr>
          <w:sz w:val="24"/>
          <w:szCs w:val="24"/>
        </w:rPr>
        <w:t>better regulation in a wide range of sectors</w:t>
      </w:r>
      <w:r w:rsidR="007B7CDC" w:rsidRPr="00BE205A">
        <w:rPr>
          <w:sz w:val="24"/>
          <w:szCs w:val="24"/>
        </w:rPr>
        <w:t>,</w:t>
      </w:r>
      <w:r w:rsidRPr="00BE205A">
        <w:rPr>
          <w:sz w:val="24"/>
          <w:szCs w:val="24"/>
        </w:rPr>
        <w:t xml:space="preserve"> including environmental protection and tobacco control. </w:t>
      </w:r>
    </w:p>
    <w:p w:rsidR="0053120A" w:rsidRPr="00BE205A" w:rsidRDefault="00260DB9" w:rsidP="00BE205A">
      <w:pPr>
        <w:spacing w:after="120"/>
        <w:rPr>
          <w:sz w:val="24"/>
          <w:szCs w:val="24"/>
        </w:rPr>
      </w:pPr>
      <w:r w:rsidRPr="00BE205A">
        <w:rPr>
          <w:sz w:val="24"/>
          <w:szCs w:val="24"/>
          <w:u w:val="single"/>
        </w:rPr>
        <w:t>Not in line with best practice</w:t>
      </w:r>
      <w:r w:rsidRPr="00BE205A">
        <w:rPr>
          <w:sz w:val="24"/>
          <w:szCs w:val="24"/>
        </w:rPr>
        <w:t xml:space="preserve"> is t</w:t>
      </w:r>
      <w:r w:rsidR="00426645" w:rsidRPr="00BE205A">
        <w:rPr>
          <w:sz w:val="24"/>
          <w:szCs w:val="24"/>
        </w:rPr>
        <w:t xml:space="preserve">he use of audience profiling </w:t>
      </w:r>
      <w:r w:rsidR="00FC10CA" w:rsidRPr="00BE205A">
        <w:rPr>
          <w:sz w:val="24"/>
          <w:szCs w:val="24"/>
        </w:rPr>
        <w:t xml:space="preserve">which is </w:t>
      </w:r>
      <w:r w:rsidR="00CE2151" w:rsidRPr="00BE205A">
        <w:rPr>
          <w:sz w:val="24"/>
          <w:szCs w:val="24"/>
        </w:rPr>
        <w:t>promoted</w:t>
      </w:r>
      <w:r w:rsidR="00FC10CA" w:rsidRPr="00BE205A">
        <w:rPr>
          <w:sz w:val="24"/>
          <w:szCs w:val="24"/>
        </w:rPr>
        <w:t xml:space="preserve"> by the alcohol industry </w:t>
      </w:r>
      <w:r w:rsidR="00426645" w:rsidRPr="00BE205A">
        <w:rPr>
          <w:sz w:val="24"/>
          <w:szCs w:val="24"/>
        </w:rPr>
        <w:t>to decide risk exposure</w:t>
      </w:r>
      <w:r w:rsidRPr="00BE205A">
        <w:rPr>
          <w:sz w:val="24"/>
          <w:szCs w:val="24"/>
        </w:rPr>
        <w:t xml:space="preserve">. It </w:t>
      </w:r>
      <w:r w:rsidR="00426645" w:rsidRPr="00BE205A">
        <w:rPr>
          <w:sz w:val="24"/>
          <w:szCs w:val="24"/>
        </w:rPr>
        <w:t xml:space="preserve">is fundamentally </w:t>
      </w:r>
      <w:r w:rsidR="00C51F89" w:rsidRPr="00BE205A">
        <w:rPr>
          <w:sz w:val="24"/>
          <w:szCs w:val="24"/>
        </w:rPr>
        <w:t xml:space="preserve">flawed, </w:t>
      </w:r>
      <w:r w:rsidR="00426645" w:rsidRPr="00BE205A">
        <w:rPr>
          <w:sz w:val="24"/>
          <w:szCs w:val="24"/>
        </w:rPr>
        <w:t xml:space="preserve">as it </w:t>
      </w:r>
      <w:r w:rsidR="0053120A" w:rsidRPr="00BE205A">
        <w:rPr>
          <w:sz w:val="24"/>
          <w:szCs w:val="24"/>
        </w:rPr>
        <w:t xml:space="preserve">fails to protect </w:t>
      </w:r>
      <w:r w:rsidR="00FC10CA" w:rsidRPr="00BE205A">
        <w:rPr>
          <w:sz w:val="24"/>
          <w:szCs w:val="24"/>
        </w:rPr>
        <w:t xml:space="preserve">large numbers of </w:t>
      </w:r>
      <w:r w:rsidR="0053120A" w:rsidRPr="00BE205A">
        <w:rPr>
          <w:sz w:val="24"/>
          <w:szCs w:val="24"/>
        </w:rPr>
        <w:t>children</w:t>
      </w:r>
      <w:r w:rsidR="00426645" w:rsidRPr="00BE205A">
        <w:rPr>
          <w:sz w:val="24"/>
          <w:szCs w:val="24"/>
        </w:rPr>
        <w:t xml:space="preserve"> from </w:t>
      </w:r>
      <w:r w:rsidR="00FC10CA" w:rsidRPr="00BE205A">
        <w:rPr>
          <w:sz w:val="24"/>
          <w:szCs w:val="24"/>
        </w:rPr>
        <w:t xml:space="preserve">exposure to alcohol marketing. This was effectively illustrated in </w:t>
      </w:r>
      <w:r w:rsidR="00C51F89" w:rsidRPr="00BE205A">
        <w:rPr>
          <w:sz w:val="24"/>
          <w:szCs w:val="24"/>
        </w:rPr>
        <w:t xml:space="preserve">recent </w:t>
      </w:r>
      <w:r w:rsidR="00FC10CA" w:rsidRPr="00BE205A">
        <w:rPr>
          <w:sz w:val="24"/>
          <w:szCs w:val="24"/>
        </w:rPr>
        <w:t xml:space="preserve">studies examining </w:t>
      </w:r>
      <w:r w:rsidR="007B7CDC" w:rsidRPr="00BE205A">
        <w:rPr>
          <w:sz w:val="24"/>
          <w:szCs w:val="24"/>
        </w:rPr>
        <w:t xml:space="preserve">the </w:t>
      </w:r>
      <w:r w:rsidR="00FC10CA" w:rsidRPr="00BE205A">
        <w:rPr>
          <w:sz w:val="24"/>
          <w:szCs w:val="24"/>
        </w:rPr>
        <w:t xml:space="preserve">frequency of embedded alcohol marketing in sports matches (Lindsay et al 2013; Graham &amp; Adams 2013). In the </w:t>
      </w:r>
      <w:r w:rsidR="0053120A" w:rsidRPr="00BE205A">
        <w:rPr>
          <w:sz w:val="24"/>
          <w:szCs w:val="24"/>
        </w:rPr>
        <w:t xml:space="preserve">Australian rugby series, the estimated </w:t>
      </w:r>
      <w:r w:rsidR="00C51F89" w:rsidRPr="00BE205A">
        <w:rPr>
          <w:sz w:val="24"/>
          <w:szCs w:val="24"/>
        </w:rPr>
        <w:t>viewed audience age</w:t>
      </w:r>
      <w:r w:rsidR="00FC10CA" w:rsidRPr="00BE205A">
        <w:rPr>
          <w:sz w:val="24"/>
          <w:szCs w:val="24"/>
        </w:rPr>
        <w:t xml:space="preserve">d 5-17 </w:t>
      </w:r>
      <w:r w:rsidR="00C51F89" w:rsidRPr="00BE205A">
        <w:rPr>
          <w:sz w:val="24"/>
          <w:szCs w:val="24"/>
        </w:rPr>
        <w:t xml:space="preserve">years </w:t>
      </w:r>
      <w:r w:rsidR="00FC10CA" w:rsidRPr="00BE205A">
        <w:rPr>
          <w:sz w:val="24"/>
          <w:szCs w:val="24"/>
        </w:rPr>
        <w:t xml:space="preserve">was 290,711 </w:t>
      </w:r>
      <w:r w:rsidR="00C51F89" w:rsidRPr="00BE205A">
        <w:rPr>
          <w:sz w:val="24"/>
          <w:szCs w:val="24"/>
        </w:rPr>
        <w:t xml:space="preserve">young people (10.5% of total audience) in game one, 269,499 young people (10.7% of audience) in game two and 321,466 young people (11.9% of total audience) in game three. </w:t>
      </w:r>
      <w:r w:rsidR="0053120A" w:rsidRPr="00BE205A">
        <w:rPr>
          <w:sz w:val="24"/>
          <w:szCs w:val="24"/>
        </w:rPr>
        <w:t xml:space="preserve">While the consumption of alcohol products and gambling products are restricted to those over 18 years of age, </w:t>
      </w:r>
      <w:r w:rsidR="00C51F89" w:rsidRPr="00BE205A">
        <w:rPr>
          <w:sz w:val="24"/>
          <w:szCs w:val="24"/>
        </w:rPr>
        <w:t xml:space="preserve">yet </w:t>
      </w:r>
      <w:r w:rsidR="0053120A" w:rsidRPr="00BE205A">
        <w:rPr>
          <w:sz w:val="24"/>
          <w:szCs w:val="24"/>
        </w:rPr>
        <w:t xml:space="preserve">approximately 10-12% of the audience watching the National Sports series were under 18 years </w:t>
      </w:r>
      <w:r w:rsidRPr="00BE205A">
        <w:rPr>
          <w:sz w:val="24"/>
          <w:szCs w:val="24"/>
        </w:rPr>
        <w:t>(</w:t>
      </w:r>
      <w:r w:rsidR="0053120A" w:rsidRPr="00BE205A">
        <w:rPr>
          <w:sz w:val="24"/>
          <w:szCs w:val="24"/>
        </w:rPr>
        <w:t>Lindsay et al 2013). In the UK English Professional Football matches</w:t>
      </w:r>
      <w:r w:rsidRPr="00BE205A">
        <w:rPr>
          <w:sz w:val="24"/>
          <w:szCs w:val="24"/>
        </w:rPr>
        <w:t>,</w:t>
      </w:r>
      <w:r w:rsidR="0053120A" w:rsidRPr="00BE205A">
        <w:rPr>
          <w:sz w:val="24"/>
          <w:szCs w:val="24"/>
        </w:rPr>
        <w:t xml:space="preserve"> </w:t>
      </w:r>
      <w:r w:rsidRPr="00BE205A">
        <w:rPr>
          <w:sz w:val="24"/>
          <w:szCs w:val="24"/>
        </w:rPr>
        <w:t xml:space="preserve">the </w:t>
      </w:r>
      <w:r w:rsidR="0053120A" w:rsidRPr="00BE205A">
        <w:rPr>
          <w:sz w:val="24"/>
          <w:szCs w:val="24"/>
        </w:rPr>
        <w:t xml:space="preserve">audience under 18 years ranged from 19,000 youth (6.5% of audience) in one game to 450,000 youth  (9% of audience) in </w:t>
      </w:r>
      <w:r w:rsidR="00FC10CA" w:rsidRPr="00BE205A">
        <w:rPr>
          <w:sz w:val="24"/>
          <w:szCs w:val="24"/>
        </w:rPr>
        <w:t>an</w:t>
      </w:r>
      <w:r w:rsidR="0053120A" w:rsidRPr="00BE205A">
        <w:rPr>
          <w:sz w:val="24"/>
          <w:szCs w:val="24"/>
        </w:rPr>
        <w:t>other game</w:t>
      </w:r>
      <w:r w:rsidRPr="00BE205A">
        <w:rPr>
          <w:sz w:val="24"/>
          <w:szCs w:val="24"/>
        </w:rPr>
        <w:t xml:space="preserve">, </w:t>
      </w:r>
      <w:r w:rsidR="0053120A" w:rsidRPr="00BE205A">
        <w:rPr>
          <w:sz w:val="24"/>
          <w:szCs w:val="24"/>
        </w:rPr>
        <w:t xml:space="preserve"> in matches analysed (Graham &amp; Adams 2013)</w:t>
      </w:r>
      <w:r w:rsidR="00C51F89" w:rsidRPr="00BE205A">
        <w:rPr>
          <w:sz w:val="24"/>
          <w:szCs w:val="24"/>
        </w:rPr>
        <w:t>.</w:t>
      </w:r>
      <w:r w:rsidR="0053120A" w:rsidRPr="00BE205A">
        <w:rPr>
          <w:sz w:val="24"/>
          <w:szCs w:val="24"/>
        </w:rPr>
        <w:t xml:space="preserve"> </w:t>
      </w:r>
      <w:r w:rsidR="00C51F89" w:rsidRPr="00BE205A">
        <w:rPr>
          <w:sz w:val="24"/>
          <w:szCs w:val="24"/>
        </w:rPr>
        <w:t xml:space="preserve">Using the </w:t>
      </w:r>
      <w:r w:rsidR="00C51F89" w:rsidRPr="00BE205A">
        <w:rPr>
          <w:sz w:val="24"/>
          <w:szCs w:val="24"/>
        </w:rPr>
        <w:lastRenderedPageBreak/>
        <w:t>audience profiling method, all of these programmes complied with the rules, yet substantial actual numbers of young people (under 18) w</w:t>
      </w:r>
      <w:r w:rsidR="00A00875" w:rsidRPr="00BE205A">
        <w:rPr>
          <w:sz w:val="24"/>
          <w:szCs w:val="24"/>
        </w:rPr>
        <w:t>ere expos</w:t>
      </w:r>
      <w:r w:rsidR="00C51F89" w:rsidRPr="00BE205A">
        <w:rPr>
          <w:sz w:val="24"/>
          <w:szCs w:val="24"/>
        </w:rPr>
        <w:t>e</w:t>
      </w:r>
      <w:r w:rsidRPr="00BE205A">
        <w:rPr>
          <w:sz w:val="24"/>
          <w:szCs w:val="24"/>
        </w:rPr>
        <w:t>d</w:t>
      </w:r>
      <w:r w:rsidR="00C51F89" w:rsidRPr="00BE205A">
        <w:rPr>
          <w:sz w:val="24"/>
          <w:szCs w:val="24"/>
        </w:rPr>
        <w:t xml:space="preserve"> to high volumes of embedded alcohol marketing throughout each of the games.  Therefore, audience profiling</w:t>
      </w:r>
      <w:r w:rsidR="00A00875" w:rsidRPr="00BE205A">
        <w:rPr>
          <w:sz w:val="24"/>
          <w:szCs w:val="24"/>
        </w:rPr>
        <w:t xml:space="preserve"> is not effective and</w:t>
      </w:r>
      <w:r w:rsidR="00C51F89" w:rsidRPr="00BE205A">
        <w:rPr>
          <w:sz w:val="24"/>
          <w:szCs w:val="24"/>
        </w:rPr>
        <w:t xml:space="preserve"> should be avoided.</w:t>
      </w:r>
    </w:p>
    <w:p w:rsidR="007B7CDC" w:rsidRPr="00BE205A" w:rsidRDefault="007B7CDC" w:rsidP="00BE205A">
      <w:pPr>
        <w:spacing w:after="120"/>
        <w:rPr>
          <w:b/>
          <w:sz w:val="24"/>
          <w:szCs w:val="24"/>
        </w:rPr>
      </w:pPr>
      <w:r w:rsidRPr="00BE205A">
        <w:rPr>
          <w:b/>
          <w:sz w:val="24"/>
          <w:szCs w:val="24"/>
        </w:rPr>
        <w:t>Best Practice Examples in Europe</w:t>
      </w:r>
    </w:p>
    <w:p w:rsidR="00342AB3" w:rsidRPr="00BE205A" w:rsidRDefault="00C51F89" w:rsidP="00BE205A">
      <w:pPr>
        <w:spacing w:after="120"/>
        <w:rPr>
          <w:sz w:val="24"/>
          <w:szCs w:val="24"/>
        </w:rPr>
      </w:pPr>
      <w:r w:rsidRPr="00BE205A">
        <w:rPr>
          <w:sz w:val="24"/>
          <w:szCs w:val="24"/>
        </w:rPr>
        <w:t xml:space="preserve">The </w:t>
      </w:r>
      <w:r w:rsidRPr="00BE205A">
        <w:rPr>
          <w:b/>
          <w:sz w:val="24"/>
          <w:szCs w:val="24"/>
        </w:rPr>
        <w:t>French Law</w:t>
      </w:r>
      <w:r w:rsidRPr="00BE205A">
        <w:rPr>
          <w:sz w:val="24"/>
          <w:szCs w:val="24"/>
        </w:rPr>
        <w:t xml:space="preserve"> ‘</w:t>
      </w:r>
      <w:proofErr w:type="spellStart"/>
      <w:r w:rsidRPr="00BE205A">
        <w:rPr>
          <w:sz w:val="24"/>
          <w:szCs w:val="24"/>
        </w:rPr>
        <w:t>Loi</w:t>
      </w:r>
      <w:proofErr w:type="spellEnd"/>
      <w:r w:rsidRPr="00BE205A">
        <w:rPr>
          <w:sz w:val="24"/>
          <w:szCs w:val="24"/>
        </w:rPr>
        <w:t xml:space="preserve"> </w:t>
      </w:r>
      <w:proofErr w:type="spellStart"/>
      <w:r w:rsidRPr="00BE205A">
        <w:rPr>
          <w:sz w:val="24"/>
          <w:szCs w:val="24"/>
        </w:rPr>
        <w:t>Evin</w:t>
      </w:r>
      <w:proofErr w:type="spellEnd"/>
      <w:r w:rsidRPr="00BE205A">
        <w:rPr>
          <w:sz w:val="24"/>
          <w:szCs w:val="24"/>
        </w:rPr>
        <w:t>’ is a good example of a strong transparent f</w:t>
      </w:r>
      <w:r w:rsidR="00A00875" w:rsidRPr="00BE205A">
        <w:rPr>
          <w:sz w:val="24"/>
          <w:szCs w:val="24"/>
        </w:rPr>
        <w:t xml:space="preserve">ramework with the key approach of providing </w:t>
      </w:r>
      <w:r w:rsidRPr="00BE205A">
        <w:rPr>
          <w:sz w:val="24"/>
          <w:szCs w:val="24"/>
        </w:rPr>
        <w:t>guidance on what is allowed</w:t>
      </w:r>
      <w:r w:rsidR="00A00875" w:rsidRPr="00BE205A">
        <w:rPr>
          <w:sz w:val="24"/>
          <w:szCs w:val="24"/>
        </w:rPr>
        <w:t>,</w:t>
      </w:r>
      <w:r w:rsidRPr="00BE205A">
        <w:rPr>
          <w:sz w:val="24"/>
          <w:szCs w:val="24"/>
        </w:rPr>
        <w:t xml:space="preserve"> rather than stating what is forbidden in order to avoid ambiguity</w:t>
      </w:r>
      <w:r w:rsidR="00A423E2" w:rsidRPr="00BE205A">
        <w:rPr>
          <w:sz w:val="24"/>
          <w:szCs w:val="24"/>
        </w:rPr>
        <w:t xml:space="preserve"> (Box 1)</w:t>
      </w:r>
      <w:r w:rsidRPr="00BE205A">
        <w:rPr>
          <w:sz w:val="24"/>
          <w:szCs w:val="24"/>
        </w:rPr>
        <w:t>.</w:t>
      </w:r>
      <w:r w:rsidR="00A00875" w:rsidRPr="00BE205A">
        <w:rPr>
          <w:sz w:val="24"/>
          <w:szCs w:val="24"/>
        </w:rPr>
        <w:t xml:space="preserve"> </w:t>
      </w:r>
      <w:r w:rsidR="00B90A42" w:rsidRPr="00BE205A">
        <w:rPr>
          <w:sz w:val="24"/>
          <w:szCs w:val="24"/>
        </w:rPr>
        <w:t xml:space="preserve"> In the French system, compliance is monitored by non-governmental organisations. </w:t>
      </w:r>
    </w:p>
    <w:tbl>
      <w:tblPr>
        <w:tblW w:w="0" w:type="auto"/>
        <w:tblBorders>
          <w:top w:val="nil"/>
          <w:left w:val="nil"/>
          <w:bottom w:val="nil"/>
          <w:right w:val="nil"/>
        </w:tblBorders>
        <w:tblLayout w:type="fixed"/>
        <w:tblLook w:val="0000" w:firstRow="0" w:lastRow="0" w:firstColumn="0" w:lastColumn="0" w:noHBand="0" w:noVBand="0"/>
      </w:tblPr>
      <w:tblGrid>
        <w:gridCol w:w="9037"/>
      </w:tblGrid>
      <w:tr w:rsidR="006512B7" w:rsidRPr="002561E1">
        <w:trPr>
          <w:trHeight w:val="3391"/>
        </w:trPr>
        <w:tc>
          <w:tcPr>
            <w:tcW w:w="9037" w:type="dxa"/>
          </w:tcPr>
          <w:p w:rsidR="006512B7" w:rsidRPr="006512B7" w:rsidRDefault="006512B7" w:rsidP="00FB4034">
            <w:pPr>
              <w:autoSpaceDE w:val="0"/>
              <w:autoSpaceDN w:val="0"/>
              <w:adjustRightInd w:val="0"/>
              <w:spacing w:after="0" w:line="240" w:lineRule="auto"/>
              <w:rPr>
                <w:rFonts w:cs="Arial"/>
                <w:color w:val="000000"/>
              </w:rPr>
            </w:pPr>
            <w:r w:rsidRPr="006512B7">
              <w:rPr>
                <w:rFonts w:cs="Arial"/>
                <w:color w:val="000000"/>
              </w:rPr>
              <w:t>Box I: Alcohol advertising restriction in France</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sidRPr="006512B7">
              <w:rPr>
                <w:rFonts w:cs="Arial"/>
                <w:color w:val="000000"/>
              </w:rPr>
              <w:t xml:space="preserve">France implemented important restrictions on advertising and sponsorship in favour of alcoholic beverages in accordance with the </w:t>
            </w:r>
            <w:proofErr w:type="spellStart"/>
            <w:r w:rsidRPr="006512B7">
              <w:rPr>
                <w:rFonts w:cs="Arial"/>
                <w:i/>
                <w:iCs/>
                <w:color w:val="000000"/>
              </w:rPr>
              <w:t>Loi</w:t>
            </w:r>
            <w:proofErr w:type="spellEnd"/>
            <w:r w:rsidRPr="006512B7">
              <w:rPr>
                <w:rFonts w:cs="Arial"/>
                <w:i/>
                <w:iCs/>
                <w:color w:val="000000"/>
              </w:rPr>
              <w:t xml:space="preserve"> </w:t>
            </w:r>
            <w:proofErr w:type="spellStart"/>
            <w:r w:rsidRPr="006512B7">
              <w:rPr>
                <w:rFonts w:cs="Arial"/>
                <w:i/>
                <w:iCs/>
                <w:color w:val="000000"/>
              </w:rPr>
              <w:t>Evin</w:t>
            </w:r>
            <w:proofErr w:type="spellEnd"/>
            <w:r w:rsidRPr="006512B7">
              <w:rPr>
                <w:rFonts w:cs="Arial"/>
                <w:i/>
                <w:iCs/>
                <w:color w:val="000000"/>
              </w:rPr>
              <w:t xml:space="preserve"> [</w:t>
            </w:r>
            <w:proofErr w:type="spellStart"/>
            <w:r w:rsidRPr="006512B7">
              <w:rPr>
                <w:rFonts w:cs="Arial"/>
                <w:i/>
                <w:iCs/>
                <w:color w:val="000000"/>
              </w:rPr>
              <w:t>Evin</w:t>
            </w:r>
            <w:proofErr w:type="spellEnd"/>
            <w:r w:rsidRPr="006512B7">
              <w:rPr>
                <w:rFonts w:cs="Arial"/>
                <w:i/>
                <w:iCs/>
                <w:color w:val="000000"/>
              </w:rPr>
              <w:t xml:space="preserve"> Law] </w:t>
            </w:r>
            <w:r w:rsidRPr="006512B7">
              <w:rPr>
                <w:rFonts w:cs="Arial"/>
                <w:color w:val="000000"/>
              </w:rPr>
              <w:t xml:space="preserve">of 1991. A total ban exists on TV and on sponsorship of any kind. In broadcasting, advertising is forbidden between 17:00 hours and 00:00 hours, and on Wednesdays (when schools are closed) from 07:00 hours to 00:00 hours. Advertising is forbidden in the print media and on internet websites dedicated to young people.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sidRPr="006512B7">
              <w:rPr>
                <w:rFonts w:cs="Arial"/>
                <w:color w:val="000000"/>
              </w:rPr>
              <w:t xml:space="preserve">Advertising is still allowed on: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 xml:space="preserve">- </w:t>
            </w:r>
            <w:r w:rsidRPr="006512B7">
              <w:rPr>
                <w:rFonts w:cs="Arial"/>
                <w:color w:val="000000"/>
              </w:rPr>
              <w:t xml:space="preserve">billboards and convenience store brand premises;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w:t>
            </w:r>
            <w:r w:rsidRPr="006512B7">
              <w:rPr>
                <w:rFonts w:cs="Arial"/>
                <w:color w:val="000000"/>
              </w:rPr>
              <w:t xml:space="preserve"> small posters or any item inside a specialized point of sale;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w:t>
            </w:r>
            <w:r w:rsidRPr="006512B7">
              <w:rPr>
                <w:rFonts w:cs="Arial"/>
                <w:color w:val="000000"/>
              </w:rPr>
              <w:t xml:space="preserve"> catalogues or brochures sent by producers, importers, merchants, etc.;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w:t>
            </w:r>
            <w:r w:rsidRPr="006512B7">
              <w:rPr>
                <w:rFonts w:cs="Arial"/>
                <w:color w:val="000000"/>
              </w:rPr>
              <w:t xml:space="preserve"> vehicles usually dedicated to the delivery of alcoholic beverages;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w:t>
            </w:r>
            <w:r w:rsidRPr="006512B7">
              <w:rPr>
                <w:rFonts w:cs="Arial"/>
                <w:color w:val="000000"/>
              </w:rPr>
              <w:t xml:space="preserve"> promotional material for traditional feasts and fairs dedicated to local alcoholic beverages;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w:t>
            </w:r>
            <w:r w:rsidRPr="006512B7">
              <w:rPr>
                <w:rFonts w:cs="Arial"/>
                <w:color w:val="000000"/>
              </w:rPr>
              <w:t xml:space="preserve"> promotional material for traditional museums, universities and courses on oenology;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Pr>
                <w:rFonts w:cs="Arial"/>
                <w:color w:val="000000"/>
              </w:rPr>
              <w:t>-</w:t>
            </w:r>
            <w:r w:rsidRPr="006512B7">
              <w:rPr>
                <w:rFonts w:cs="Arial"/>
                <w:color w:val="000000"/>
              </w:rPr>
              <w:t xml:space="preserve"> </w:t>
            </w:r>
            <w:proofErr w:type="gramStart"/>
            <w:r w:rsidRPr="006512B7">
              <w:rPr>
                <w:rFonts w:cs="Arial"/>
                <w:color w:val="000000"/>
              </w:rPr>
              <w:t>items</w:t>
            </w:r>
            <w:proofErr w:type="gramEnd"/>
            <w:r w:rsidRPr="006512B7">
              <w:rPr>
                <w:rFonts w:cs="Arial"/>
                <w:color w:val="000000"/>
              </w:rPr>
              <w:t xml:space="preserve"> specifically dedicated to the consumption of alcoholic beverages, marketed during the direct sale of alcoholic beverages by the producer or during tourist visits to the production site.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sidRPr="006512B7">
              <w:rPr>
                <w:rFonts w:cs="Arial"/>
                <w:color w:val="000000"/>
              </w:rPr>
              <w:t xml:space="preserve">The content of advertisements is restricted to: the degree of alcohol, origin of the product (soil, characteristics), denomination, composition, details of the producer or sellers, development process, terms of sale, ways to consume the product and any objective reference to the characteristics of the product. The aim is to limit advertising to objective information about the product. A health warning message must be placed on every advertisement allowed. </w:t>
            </w:r>
          </w:p>
          <w:p w:rsidR="006512B7" w:rsidRPr="006512B7"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cs="Arial"/>
                <w:color w:val="000000"/>
              </w:rPr>
            </w:pPr>
            <w:r w:rsidRPr="006512B7">
              <w:rPr>
                <w:rFonts w:cs="Arial"/>
                <w:color w:val="000000"/>
              </w:rPr>
              <w:t xml:space="preserve">Respect for the regulatory framework is assured by the advertising regulation authority and by surveillance of advertisements by nongovernmental organizations. Violations of the rules can be met with a fine of up to €75 000. The maximum fine can be increased to up to 50% of the budget for the illegal activity. </w:t>
            </w:r>
          </w:p>
          <w:p w:rsidR="006512B7" w:rsidRPr="002561E1" w:rsidRDefault="006512B7" w:rsidP="006512B7">
            <w:pPr>
              <w:pBdr>
                <w:top w:val="single" w:sz="4" w:space="1" w:color="auto"/>
                <w:left w:val="single" w:sz="4" w:space="4" w:color="auto"/>
                <w:bottom w:val="single" w:sz="4" w:space="1" w:color="auto"/>
                <w:right w:val="single" w:sz="4" w:space="4" w:color="auto"/>
              </w:pBdr>
              <w:shd w:val="clear" w:color="auto" w:fill="FDE9D9" w:themeFill="accent6" w:themeFillTint="33"/>
              <w:autoSpaceDE w:val="0"/>
              <w:autoSpaceDN w:val="0"/>
              <w:adjustRightInd w:val="0"/>
              <w:spacing w:after="0" w:line="240" w:lineRule="auto"/>
              <w:rPr>
                <w:rFonts w:ascii="Calibri" w:hAnsi="Calibri" w:cs="Calibri"/>
                <w:color w:val="000000"/>
                <w:sz w:val="17"/>
                <w:szCs w:val="17"/>
                <w:lang w:val="fr-FR"/>
              </w:rPr>
            </w:pPr>
            <w:r w:rsidRPr="002561E1">
              <w:rPr>
                <w:rFonts w:cs="Calibri"/>
                <w:i/>
                <w:iCs/>
                <w:color w:val="000000"/>
                <w:lang w:val="fr-FR"/>
              </w:rPr>
              <w:t xml:space="preserve">Source: </w:t>
            </w:r>
            <w:r w:rsidRPr="002561E1">
              <w:rPr>
                <w:rFonts w:cs="Calibri"/>
                <w:color w:val="000000"/>
                <w:lang w:val="fr-FR"/>
              </w:rPr>
              <w:t>Dr Pierre-Yves Bello, Bureau des pratiques addictives (MC2), Direction générale de la santé, Ministère du travail, de l’emploi et de la santé, Paris, France.</w:t>
            </w:r>
            <w:r w:rsidRPr="002561E1">
              <w:rPr>
                <w:rFonts w:ascii="Calibri" w:hAnsi="Calibri" w:cs="Calibri"/>
                <w:color w:val="000000"/>
                <w:sz w:val="17"/>
                <w:szCs w:val="17"/>
                <w:lang w:val="fr-FR"/>
              </w:rPr>
              <w:t xml:space="preserve"> </w:t>
            </w:r>
          </w:p>
        </w:tc>
      </w:tr>
    </w:tbl>
    <w:p w:rsidR="006512B7" w:rsidRPr="006512B7" w:rsidRDefault="006512B7" w:rsidP="00C51F89">
      <w:pPr>
        <w:rPr>
          <w:sz w:val="20"/>
          <w:szCs w:val="20"/>
        </w:rPr>
      </w:pPr>
      <w:r w:rsidRPr="006512B7">
        <w:rPr>
          <w:sz w:val="20"/>
          <w:szCs w:val="20"/>
        </w:rPr>
        <w:t xml:space="preserve">Source: </w:t>
      </w:r>
      <w:r w:rsidRPr="006512B7">
        <w:rPr>
          <w:i/>
          <w:sz w:val="20"/>
          <w:szCs w:val="20"/>
        </w:rPr>
        <w:t>European status report on alcohol and health 2014</w:t>
      </w:r>
      <w:r w:rsidRPr="006512B7">
        <w:rPr>
          <w:sz w:val="20"/>
          <w:szCs w:val="20"/>
        </w:rPr>
        <w:t xml:space="preserve">. </w:t>
      </w:r>
      <w:proofErr w:type="gramStart"/>
      <w:r w:rsidRPr="006512B7">
        <w:rPr>
          <w:sz w:val="20"/>
          <w:szCs w:val="20"/>
        </w:rPr>
        <w:t>WHO Regional Office for Europe.</w:t>
      </w:r>
      <w:proofErr w:type="gramEnd"/>
    </w:p>
    <w:p w:rsidR="00A423E2" w:rsidRPr="00BE205A" w:rsidRDefault="00A00875" w:rsidP="00BE205A">
      <w:pPr>
        <w:spacing w:after="120"/>
        <w:rPr>
          <w:sz w:val="24"/>
          <w:szCs w:val="24"/>
        </w:rPr>
      </w:pPr>
      <w:r w:rsidRPr="00BE205A">
        <w:rPr>
          <w:sz w:val="24"/>
          <w:szCs w:val="24"/>
        </w:rPr>
        <w:t>T</w:t>
      </w:r>
      <w:r w:rsidR="00C51F89" w:rsidRPr="00BE205A">
        <w:rPr>
          <w:sz w:val="24"/>
          <w:szCs w:val="24"/>
        </w:rPr>
        <w:t xml:space="preserve">he </w:t>
      </w:r>
      <w:r w:rsidR="00C51F89" w:rsidRPr="00BE205A">
        <w:rPr>
          <w:b/>
          <w:sz w:val="24"/>
          <w:szCs w:val="24"/>
        </w:rPr>
        <w:t>Finnish Alcohol Law</w:t>
      </w:r>
      <w:r w:rsidR="00C51F89" w:rsidRPr="00BE205A">
        <w:rPr>
          <w:sz w:val="24"/>
          <w:szCs w:val="24"/>
        </w:rPr>
        <w:t xml:space="preserve"> </w:t>
      </w:r>
      <w:r w:rsidRPr="00BE205A">
        <w:rPr>
          <w:sz w:val="24"/>
          <w:szCs w:val="24"/>
        </w:rPr>
        <w:t xml:space="preserve">includes a new section to deal with new forms of online and social media marketing. The new law </w:t>
      </w:r>
      <w:r w:rsidR="00C51F89" w:rsidRPr="00BE205A">
        <w:rPr>
          <w:sz w:val="24"/>
          <w:szCs w:val="24"/>
        </w:rPr>
        <w:t>restricts online alcohol advertising to protect young people</w:t>
      </w:r>
      <w:r w:rsidRPr="00BE205A">
        <w:rPr>
          <w:sz w:val="24"/>
          <w:szCs w:val="24"/>
        </w:rPr>
        <w:t>. The law clearly specifies what is included and what is excluded</w:t>
      </w:r>
      <w:r w:rsidR="00A423E2" w:rsidRPr="00BE205A">
        <w:rPr>
          <w:sz w:val="24"/>
          <w:szCs w:val="24"/>
        </w:rPr>
        <w:t xml:space="preserve"> </w:t>
      </w:r>
      <w:r w:rsidR="00C51F89" w:rsidRPr="00BE205A">
        <w:rPr>
          <w:sz w:val="24"/>
          <w:szCs w:val="24"/>
        </w:rPr>
        <w:t xml:space="preserve">(see Box </w:t>
      </w:r>
      <w:r w:rsidR="00A423E2" w:rsidRPr="00BE205A">
        <w:rPr>
          <w:sz w:val="24"/>
          <w:szCs w:val="24"/>
        </w:rPr>
        <w:t>2</w:t>
      </w:r>
      <w:r w:rsidR="00C51F89" w:rsidRPr="00BE205A">
        <w:rPr>
          <w:sz w:val="24"/>
          <w:szCs w:val="24"/>
        </w:rPr>
        <w:t>).</w:t>
      </w:r>
      <w:r w:rsidR="00B90A42" w:rsidRPr="00BE205A">
        <w:rPr>
          <w:sz w:val="24"/>
          <w:szCs w:val="24"/>
        </w:rPr>
        <w:t xml:space="preserve">  In Finland, </w:t>
      </w:r>
      <w:r w:rsidR="00B90A42" w:rsidRPr="00BE205A">
        <w:rPr>
          <w:sz w:val="24"/>
          <w:szCs w:val="24"/>
          <w:lang w:val="en-US"/>
        </w:rPr>
        <w:t>a National Supervisory Authority for Welfare and Health supervises compliance with Alcohol marketing regulation</w:t>
      </w:r>
      <w:r w:rsidR="00FB4034" w:rsidRPr="00BE205A">
        <w:rPr>
          <w:sz w:val="24"/>
          <w:szCs w:val="24"/>
          <w:lang w:val="en-US"/>
        </w:rPr>
        <w:t>,</w:t>
      </w:r>
      <w:r w:rsidR="00B90A42" w:rsidRPr="00BE205A">
        <w:rPr>
          <w:sz w:val="24"/>
          <w:szCs w:val="24"/>
          <w:lang w:val="en-US"/>
        </w:rPr>
        <w:t xml:space="preserve"> together with the Regional State Administrative Agencies.</w:t>
      </w:r>
    </w:p>
    <w:p w:rsidR="00A423E2" w:rsidRDefault="00A423E2" w:rsidP="00DE10A8">
      <w:pPr>
        <w:spacing w:after="0" w:line="240" w:lineRule="auto"/>
      </w:pPr>
      <w:r>
        <w:lastRenderedPageBreak/>
        <w:t>Box 2</w:t>
      </w:r>
      <w:r w:rsidR="0091526D">
        <w:t>: Finland’s new Alcohol</w:t>
      </w:r>
      <w:r w:rsidR="00B8023C">
        <w:t xml:space="preserve"> Marketing Regu</w:t>
      </w:r>
      <w:r w:rsidR="0091526D">
        <w:t>l</w:t>
      </w:r>
      <w:r w:rsidR="00B8023C">
        <w:t>a</w:t>
      </w:r>
      <w:r w:rsidR="0091526D">
        <w:t>tions</w:t>
      </w:r>
      <w:r w:rsidR="00505067">
        <w:rPr>
          <w:rStyle w:val="FootnoteReference"/>
        </w:rPr>
        <w:footnoteReference w:id="3"/>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b/>
          <w:bCs/>
        </w:rPr>
        <w:t>Background</w:t>
      </w:r>
      <w:r w:rsidRPr="004F7AF1">
        <w:t>: In Finland to</w:t>
      </w:r>
      <w:r w:rsidRPr="004F7AF1">
        <w:rPr>
          <w:lang w:val="en-US"/>
        </w:rPr>
        <w:t>day</w:t>
      </w:r>
      <w:r w:rsidR="00FB4034">
        <w:rPr>
          <w:lang w:val="en-US"/>
        </w:rPr>
        <w:t>,</w:t>
      </w:r>
      <w:r w:rsidRPr="004F7AF1">
        <w:rPr>
          <w:lang w:val="en-US"/>
        </w:rPr>
        <w:t xml:space="preserve"> all major advertisers are promoting their products across totally new platforms: social networks, viral videos, mobile phones and virtual communities. Games and contests are used to engage consumers in marketing activities: “Like us and win …!</w:t>
      </w:r>
      <w:proofErr w:type="gramStart"/>
      <w:r w:rsidRPr="004F7AF1">
        <w:rPr>
          <w:lang w:val="en-US"/>
        </w:rPr>
        <w:t>”.</w:t>
      </w:r>
      <w:proofErr w:type="gramEnd"/>
      <w:r w:rsidRPr="004F7AF1">
        <w:rPr>
          <w:lang w:val="en-US"/>
        </w:rPr>
        <w:t xml:space="preserve"> Young people are especially enthusiastic participants in all online social networks.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The government of Finland took note of this trend and the evidence that alcohol advertising and promotion "</w:t>
      </w:r>
      <w:r w:rsidRPr="004F7AF1">
        <w:rPr>
          <w:i/>
          <w:iCs/>
          <w:lang w:val="en-US"/>
        </w:rPr>
        <w:t xml:space="preserve">increased the likelihood that adolescents will start to use </w:t>
      </w:r>
      <w:proofErr w:type="gramStart"/>
      <w:r w:rsidRPr="004F7AF1">
        <w:rPr>
          <w:i/>
          <w:iCs/>
          <w:lang w:val="en-US"/>
        </w:rPr>
        <w:t>alcohol,</w:t>
      </w:r>
      <w:proofErr w:type="gramEnd"/>
      <w:r w:rsidRPr="004F7AF1">
        <w:rPr>
          <w:i/>
          <w:iCs/>
          <w:lang w:val="en-US"/>
        </w:rPr>
        <w:t xml:space="preserve"> and to drink more if they are already using alcohol</w:t>
      </w:r>
      <w:r w:rsidRPr="004F7AF1">
        <w:rPr>
          <w:lang w:val="en-US"/>
        </w:rPr>
        <w:t>”.</w:t>
      </w:r>
    </w:p>
    <w:p w:rsidR="00DE10A8" w:rsidRDefault="00DE10A8"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4F7AF1">
        <w:t>In December 2013</w:t>
      </w:r>
      <w:r w:rsidR="00FB4034">
        <w:t>,</w:t>
      </w:r>
      <w:r w:rsidRPr="004F7AF1">
        <w:t xml:space="preserve"> the Parliament of Finland approved a Bill restricting new forms of online and social media alcohol advertising. The new law will come into effect in 2015.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 xml:space="preserve">According to the Finnish Alcohol Act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w:t>
      </w:r>
      <w:r w:rsidRPr="004F7AF1">
        <w:rPr>
          <w:color w:val="1F497D"/>
          <w:lang w:val="en-US"/>
        </w:rPr>
        <w:t xml:space="preserve"> </w:t>
      </w:r>
      <w:r w:rsidRPr="004F7AF1">
        <w:rPr>
          <w:b/>
          <w:bCs/>
          <w:lang w:val="en-US"/>
        </w:rPr>
        <w:t>All advertising of strong alcoholic beverages (&gt;21%) is prohibited</w:t>
      </w:r>
      <w:r w:rsidRPr="004F7AF1">
        <w:rPr>
          <w:lang w:val="en-US"/>
        </w:rPr>
        <w:t>, but advertising of mild alcoholic beverages is permitted with certain restrictions</w:t>
      </w:r>
      <w:r w:rsidRPr="004F7AF1">
        <w:rPr>
          <w:color w:val="1F497D"/>
          <w:lang w:val="en-US"/>
        </w:rPr>
        <w:t>:</w:t>
      </w:r>
      <w:r w:rsidRPr="004F7AF1">
        <w:rPr>
          <w:lang w:val="en-US"/>
        </w:rPr>
        <w:t xml:space="preserve">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 Not targeted to minors, no reference to social or sexual success etc.</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u w:val="single"/>
        </w:rPr>
      </w:pPr>
      <w:r w:rsidRPr="004F7AF1">
        <w:rPr>
          <w:b/>
          <w:bCs/>
        </w:rPr>
        <w:t>- TV watershed</w:t>
      </w:r>
      <w:r w:rsidRPr="004F7AF1">
        <w:t xml:space="preserve"> 7.00-22.00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pPr>
      <w:r w:rsidRPr="004F7AF1">
        <w:rPr>
          <w:b/>
          <w:bCs/>
        </w:rPr>
        <w:t xml:space="preserve">- Outdoor </w:t>
      </w:r>
      <w:proofErr w:type="gramStart"/>
      <w:r w:rsidRPr="004F7AF1">
        <w:rPr>
          <w:b/>
          <w:bCs/>
        </w:rPr>
        <w:t>ban</w:t>
      </w:r>
      <w:r w:rsidRPr="004F7AF1">
        <w:t xml:space="preserve">  -</w:t>
      </w:r>
      <w:proofErr w:type="gramEnd"/>
      <w:r w:rsidRPr="004F7AF1">
        <w:t xml:space="preserve"> in public places i.e. streets, billboards, road sides, buses, trams, delivery vehicles, … (except public events)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b/>
          <w:bCs/>
        </w:rPr>
        <w:t>- Indoor ban</w:t>
      </w:r>
      <w:r w:rsidRPr="004F7AF1">
        <w:t xml:space="preserve"> in public places i.e. public shopping mall areas, hallways, TV-radio shops etc.</w:t>
      </w:r>
      <w:r w:rsidRPr="004F7AF1">
        <w:rPr>
          <w:color w:val="1F497D"/>
        </w:rPr>
        <w:t xml:space="preserve"> </w:t>
      </w:r>
      <w:r w:rsidRPr="004F7AF1">
        <w:t>(except restaurants, alcohol retail shops)</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 xml:space="preserve">- </w:t>
      </w:r>
      <w:r w:rsidRPr="004F7AF1">
        <w:rPr>
          <w:b/>
          <w:bCs/>
          <w:lang w:val="en-US"/>
        </w:rPr>
        <w:t>O</w:t>
      </w:r>
      <w:r w:rsidRPr="004F7AF1">
        <w:rPr>
          <w:b/>
          <w:bCs/>
          <w:u w:val="single"/>
          <w:lang w:val="en-US"/>
        </w:rPr>
        <w:t>nline and social media marketing</w:t>
      </w:r>
      <w:r w:rsidRPr="004F7AF1">
        <w:rPr>
          <w:b/>
          <w:bCs/>
          <w:lang w:val="en-US"/>
        </w:rPr>
        <w:t xml:space="preserve"> ban</w:t>
      </w:r>
      <w:r w:rsidRPr="004F7AF1">
        <w:rPr>
          <w:lang w:val="en-US"/>
        </w:rPr>
        <w:t xml:space="preserve">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"All advertising and sales promotion activities are prohibited if</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 xml:space="preserve">-they involve taking part in a game, lottery or contest or if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-they involve any textual or visual content produced by consumers or any such content or content produced by such actor</w:t>
      </w:r>
      <w:r w:rsidRPr="004F7AF1">
        <w:rPr>
          <w:color w:val="1F497D"/>
          <w:lang w:val="en-US"/>
        </w:rPr>
        <w:t>*</w:t>
      </w:r>
      <w:r w:rsidRPr="004F7AF1">
        <w:rPr>
          <w:lang w:val="en-US"/>
        </w:rPr>
        <w:t>, which is intended to be shared by consumers"</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t xml:space="preserve">*This applies </w:t>
      </w:r>
      <w:r w:rsidRPr="004F7AF1">
        <w:rPr>
          <w:u w:val="single"/>
        </w:rPr>
        <w:t>only</w:t>
      </w:r>
      <w:r w:rsidRPr="004F7AF1">
        <w:t xml:space="preserve"> to information networking service activities of a </w:t>
      </w:r>
      <w:r w:rsidRPr="004F7AF1">
        <w:rPr>
          <w:u w:val="single"/>
        </w:rPr>
        <w:t>commercial actor</w:t>
      </w:r>
      <w:r w:rsidRPr="004F7AF1">
        <w:t xml:space="preserve">.  </w:t>
      </w: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t xml:space="preserve">It </w:t>
      </w:r>
      <w:r w:rsidRPr="004F7AF1">
        <w:rPr>
          <w:u w:val="single"/>
        </w:rPr>
        <w:t>does not</w:t>
      </w:r>
      <w:r w:rsidRPr="004F7AF1">
        <w:t xml:space="preserve"> apply to private citizens.</w:t>
      </w:r>
    </w:p>
    <w:p w:rsidR="00DE10A8" w:rsidRDefault="00DE10A8"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p>
    <w:p w:rsidR="00505067" w:rsidRPr="004F7AF1"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This means that alcohol advertising with any digital games or gaming apps in consoles, tablets and mobile phones as well as product placement in video games will be banned. All kinds of alcohol sales promotion</w:t>
      </w:r>
      <w:r w:rsidRPr="004F7AF1">
        <w:rPr>
          <w:color w:val="1F497D"/>
          <w:lang w:val="en-US"/>
        </w:rPr>
        <w:t xml:space="preserve"> </w:t>
      </w:r>
      <w:r w:rsidRPr="004F7AF1">
        <w:rPr>
          <w:lang w:val="en-US"/>
        </w:rPr>
        <w:t xml:space="preserve">quizzes, competitions and prizes in social media (as well as in real life) will be banned. Allowing people sharing their stories, photos or videos in the social media platform of an alcohol brand and making available viral videos intended to be shared by consumers will be banned. </w:t>
      </w:r>
    </w:p>
    <w:p w:rsidR="00505067" w:rsidRDefault="00505067" w:rsidP="00DE10A8">
      <w:pPr>
        <w:pBdr>
          <w:top w:val="single" w:sz="4" w:space="1" w:color="auto"/>
          <w:left w:val="single" w:sz="4" w:space="4" w:color="auto"/>
          <w:bottom w:val="single" w:sz="4" w:space="1" w:color="auto"/>
          <w:right w:val="single" w:sz="4" w:space="4" w:color="auto"/>
        </w:pBdr>
        <w:shd w:val="clear" w:color="auto" w:fill="FDE9D9" w:themeFill="accent6" w:themeFillTint="33"/>
        <w:spacing w:after="0" w:line="240" w:lineRule="auto"/>
        <w:rPr>
          <w:lang w:val="en-US"/>
        </w:rPr>
      </w:pPr>
      <w:r w:rsidRPr="004F7AF1">
        <w:rPr>
          <w:lang w:val="en-US"/>
        </w:rPr>
        <w:t xml:space="preserve">Internet-marketing of alcohol will not be banned as such </w:t>
      </w:r>
      <w:proofErr w:type="gramStart"/>
      <w:r w:rsidRPr="004F7AF1">
        <w:rPr>
          <w:lang w:val="en-US"/>
        </w:rPr>
        <w:t>as</w:t>
      </w:r>
      <w:r w:rsidR="00FB4034">
        <w:rPr>
          <w:lang w:val="en-US"/>
        </w:rPr>
        <w:t>,</w:t>
      </w:r>
      <w:proofErr w:type="gramEnd"/>
      <w:r w:rsidRPr="004F7AF1">
        <w:rPr>
          <w:lang w:val="en-US"/>
        </w:rPr>
        <w:t xml:space="preserve"> “conventional” textual and audiovisual content is still allowed with previous restrictions.</w:t>
      </w:r>
      <w:r>
        <w:rPr>
          <w:lang w:val="en-US"/>
        </w:rPr>
        <w:t xml:space="preserve">  </w:t>
      </w:r>
    </w:p>
    <w:p w:rsidR="00100D56" w:rsidRDefault="00100D56" w:rsidP="00100D56">
      <w:pPr>
        <w:spacing w:after="0"/>
        <w:rPr>
          <w:rFonts w:cs="Lucida Sans Unicode"/>
          <w:b/>
        </w:rPr>
      </w:pPr>
    </w:p>
    <w:p w:rsidR="0012000F" w:rsidRPr="00BE205A" w:rsidRDefault="0012000F" w:rsidP="0012000F">
      <w:pPr>
        <w:spacing w:after="120"/>
        <w:rPr>
          <w:rFonts w:cs="Lucida Sans Unicode"/>
          <w:sz w:val="24"/>
          <w:szCs w:val="24"/>
        </w:rPr>
      </w:pPr>
      <w:r w:rsidRPr="00BE205A">
        <w:rPr>
          <w:rFonts w:cs="Lucida Sans Unicode"/>
          <w:b/>
          <w:sz w:val="24"/>
          <w:szCs w:val="24"/>
        </w:rPr>
        <w:t>Norway</w:t>
      </w:r>
      <w:r w:rsidRPr="00BE205A">
        <w:rPr>
          <w:rFonts w:cs="Lucida Sans Unicode"/>
          <w:sz w:val="24"/>
          <w:szCs w:val="24"/>
        </w:rPr>
        <w:t xml:space="preserve"> has a statutory law that regulates alcohol marketing and is administered by the Minister of Health and Care Services. No marketing practices of alcohol are allowed including a ban of alcohol industry sports sponsorship. Complaints about violations of the laws can be filed by any citizen to the Directorate for Health and Social Affairs which is responsible for monitoring and imposes sanctions when the laws have been violated. </w:t>
      </w:r>
    </w:p>
    <w:p w:rsidR="00A229C0" w:rsidRPr="00BE205A" w:rsidRDefault="000F2F05" w:rsidP="00BE205A">
      <w:pPr>
        <w:spacing w:after="120"/>
        <w:rPr>
          <w:rFonts w:cs="Lucida Sans Unicode"/>
          <w:sz w:val="24"/>
          <w:szCs w:val="24"/>
        </w:rPr>
      </w:pPr>
      <w:r>
        <w:rPr>
          <w:rFonts w:cs="Lucida Sans Unicode"/>
          <w:sz w:val="24"/>
          <w:szCs w:val="24"/>
        </w:rPr>
        <w:t>There are also</w:t>
      </w:r>
      <w:r w:rsidR="0012000F" w:rsidRPr="0012000F">
        <w:rPr>
          <w:rFonts w:cs="Lucida Sans Unicode"/>
          <w:sz w:val="24"/>
          <w:szCs w:val="24"/>
        </w:rPr>
        <w:t xml:space="preserve"> several other European countries where certain aspects of alcohol marketing are banned.  </w:t>
      </w:r>
      <w:r w:rsidR="00A229C0" w:rsidRPr="0012000F">
        <w:rPr>
          <w:rFonts w:cs="Lucida Sans Unicode"/>
          <w:b/>
          <w:sz w:val="24"/>
          <w:szCs w:val="24"/>
        </w:rPr>
        <w:t>Alcohol industry Sports sponsorship</w:t>
      </w:r>
      <w:r w:rsidR="00A229C0" w:rsidRPr="0012000F">
        <w:rPr>
          <w:rFonts w:cs="Lucida Sans Unicode"/>
          <w:sz w:val="24"/>
          <w:szCs w:val="24"/>
        </w:rPr>
        <w:t xml:space="preserve"> is banned</w:t>
      </w:r>
      <w:r w:rsidR="00A229C0" w:rsidRPr="00BE205A">
        <w:rPr>
          <w:rFonts w:cs="Lucida Sans Unicode"/>
          <w:sz w:val="24"/>
          <w:szCs w:val="24"/>
        </w:rPr>
        <w:t xml:space="preserve"> in seven WHO European </w:t>
      </w:r>
      <w:r w:rsidR="00F53391" w:rsidRPr="00BE205A">
        <w:rPr>
          <w:rFonts w:cs="Lucida Sans Unicode"/>
          <w:sz w:val="24"/>
          <w:szCs w:val="24"/>
        </w:rPr>
        <w:t xml:space="preserve">Region </w:t>
      </w:r>
      <w:r w:rsidR="00A229C0" w:rsidRPr="00BE205A">
        <w:rPr>
          <w:rFonts w:cs="Lucida Sans Unicode"/>
          <w:sz w:val="24"/>
          <w:szCs w:val="24"/>
        </w:rPr>
        <w:t xml:space="preserve">countries - </w:t>
      </w:r>
      <w:r w:rsidR="00100D56" w:rsidRPr="00BE205A">
        <w:rPr>
          <w:rFonts w:cs="Lucida Sans Unicode"/>
          <w:sz w:val="24"/>
          <w:szCs w:val="24"/>
        </w:rPr>
        <w:t>France, Malta, Norway, Turkey, Former Y</w:t>
      </w:r>
      <w:r w:rsidR="00A229C0" w:rsidRPr="00BE205A">
        <w:rPr>
          <w:rFonts w:cs="Lucida Sans Unicode"/>
          <w:sz w:val="24"/>
          <w:szCs w:val="24"/>
        </w:rPr>
        <w:t xml:space="preserve">ugoslav Republic of Macedonia, </w:t>
      </w:r>
      <w:r w:rsidR="00100D56" w:rsidRPr="00BE205A">
        <w:rPr>
          <w:rFonts w:cs="Lucida Sans Unicode"/>
          <w:sz w:val="24"/>
          <w:szCs w:val="24"/>
        </w:rPr>
        <w:t>Uzbekistan and Turkmenistan.</w:t>
      </w:r>
      <w:r w:rsidR="00A229C0" w:rsidRPr="00BE205A">
        <w:rPr>
          <w:rFonts w:cs="Lucida Sans Unicode"/>
          <w:sz w:val="24"/>
          <w:szCs w:val="24"/>
        </w:rPr>
        <w:t xml:space="preserve">  A ban on alcohol advertising </w:t>
      </w:r>
      <w:r w:rsidR="00A229C0" w:rsidRPr="0012000F">
        <w:rPr>
          <w:rFonts w:cs="Lucida Sans Unicode"/>
          <w:b/>
          <w:sz w:val="24"/>
          <w:szCs w:val="24"/>
        </w:rPr>
        <w:t>outdoors (Billboards)</w:t>
      </w:r>
      <w:r w:rsidR="00F53391" w:rsidRPr="00BE205A">
        <w:rPr>
          <w:rFonts w:cs="Lucida Sans Unicode"/>
          <w:sz w:val="24"/>
          <w:szCs w:val="24"/>
        </w:rPr>
        <w:t xml:space="preserve"> is in place </w:t>
      </w:r>
      <w:r w:rsidR="00F53391" w:rsidRPr="00BE205A">
        <w:rPr>
          <w:rFonts w:cs="Lucida Sans Unicode"/>
          <w:sz w:val="24"/>
          <w:szCs w:val="24"/>
        </w:rPr>
        <w:lastRenderedPageBreak/>
        <w:t xml:space="preserve">in </w:t>
      </w:r>
      <w:r w:rsidR="00A229C0" w:rsidRPr="00BE205A">
        <w:rPr>
          <w:rFonts w:cs="Lucida Sans Unicode"/>
          <w:sz w:val="24"/>
          <w:szCs w:val="24"/>
        </w:rPr>
        <w:t xml:space="preserve">Belarus, Sweden, Iceland, Norway, Uzbekistan and Turkmenistan. </w:t>
      </w:r>
      <w:r w:rsidR="00A229C0" w:rsidRPr="0012000F">
        <w:rPr>
          <w:rFonts w:cs="Lucida Sans Unicode"/>
          <w:b/>
          <w:sz w:val="24"/>
          <w:szCs w:val="24"/>
        </w:rPr>
        <w:t>Health warning</w:t>
      </w:r>
      <w:r w:rsidR="00A229C0" w:rsidRPr="00BE205A">
        <w:rPr>
          <w:rFonts w:cs="Lucida Sans Unicode"/>
          <w:b/>
          <w:sz w:val="24"/>
          <w:szCs w:val="24"/>
        </w:rPr>
        <w:t xml:space="preserve"> </w:t>
      </w:r>
      <w:r w:rsidR="00A229C0" w:rsidRPr="00BE205A">
        <w:rPr>
          <w:rFonts w:cs="Lucida Sans Unicode"/>
          <w:sz w:val="24"/>
          <w:szCs w:val="24"/>
        </w:rPr>
        <w:t xml:space="preserve">labels are required on </w:t>
      </w:r>
      <w:r w:rsidR="00A229C0" w:rsidRPr="0012000F">
        <w:rPr>
          <w:rFonts w:cs="Lucida Sans Unicode"/>
          <w:b/>
          <w:sz w:val="24"/>
          <w:szCs w:val="24"/>
        </w:rPr>
        <w:t>alcohol advertisements</w:t>
      </w:r>
      <w:r w:rsidR="00A229C0" w:rsidRPr="00BE205A">
        <w:rPr>
          <w:rFonts w:cs="Lucida Sans Unicode"/>
          <w:sz w:val="24"/>
          <w:szCs w:val="24"/>
        </w:rPr>
        <w:t xml:space="preserve"> in fourteen countries – Belgium, Estonia, France, Israel, Latvia, Lithuania, Poland, Republic of Moldova, Romania, Russia, Slovenia and Sweden, Ukraine, Uzbekistan.</w:t>
      </w:r>
    </w:p>
    <w:p w:rsidR="00F53391" w:rsidRDefault="00F53391">
      <w:pPr>
        <w:rPr>
          <w:b/>
        </w:rPr>
      </w:pPr>
      <w:r>
        <w:rPr>
          <w:b/>
        </w:rPr>
        <w:br w:type="page"/>
      </w:r>
    </w:p>
    <w:p w:rsidR="009E5917" w:rsidRPr="0012000F" w:rsidRDefault="0012000F" w:rsidP="00BE205A">
      <w:pPr>
        <w:spacing w:after="120"/>
        <w:rPr>
          <w:b/>
          <w:sz w:val="28"/>
          <w:szCs w:val="28"/>
        </w:rPr>
      </w:pPr>
      <w:r w:rsidRPr="0012000F">
        <w:rPr>
          <w:b/>
          <w:sz w:val="28"/>
          <w:szCs w:val="28"/>
        </w:rPr>
        <w:lastRenderedPageBreak/>
        <w:t xml:space="preserve">4. </w:t>
      </w:r>
      <w:r w:rsidR="00C22D50" w:rsidRPr="0012000F">
        <w:rPr>
          <w:b/>
          <w:sz w:val="28"/>
          <w:szCs w:val="28"/>
        </w:rPr>
        <w:t>Health</w:t>
      </w:r>
      <w:r w:rsidR="00D73447" w:rsidRPr="0012000F">
        <w:rPr>
          <w:b/>
          <w:sz w:val="28"/>
          <w:szCs w:val="28"/>
        </w:rPr>
        <w:t xml:space="preserve"> labelling</w:t>
      </w:r>
    </w:p>
    <w:p w:rsidR="00D73447" w:rsidRPr="00BE205A" w:rsidRDefault="00FD0501" w:rsidP="00BE205A">
      <w:pPr>
        <w:spacing w:after="120"/>
        <w:rPr>
          <w:sz w:val="24"/>
          <w:szCs w:val="24"/>
        </w:rPr>
      </w:pPr>
      <w:r w:rsidRPr="00BE205A">
        <w:rPr>
          <w:sz w:val="24"/>
          <w:szCs w:val="24"/>
        </w:rPr>
        <w:t>Health labelling serves two</w:t>
      </w:r>
      <w:r w:rsidR="00DD19B7" w:rsidRPr="00BE205A">
        <w:rPr>
          <w:sz w:val="24"/>
          <w:szCs w:val="24"/>
        </w:rPr>
        <w:t xml:space="preserve"> interconnecting</w:t>
      </w:r>
      <w:r w:rsidRPr="00BE205A">
        <w:rPr>
          <w:sz w:val="24"/>
          <w:szCs w:val="24"/>
        </w:rPr>
        <w:t xml:space="preserve"> purposes</w:t>
      </w:r>
      <w:r w:rsidR="00531D43" w:rsidRPr="00BE205A">
        <w:rPr>
          <w:sz w:val="24"/>
          <w:szCs w:val="24"/>
        </w:rPr>
        <w:t>:</w:t>
      </w:r>
    </w:p>
    <w:p w:rsidR="00FD0501" w:rsidRPr="00BE205A" w:rsidRDefault="00531D43" w:rsidP="00BE205A">
      <w:pPr>
        <w:pStyle w:val="ListParagraph"/>
        <w:numPr>
          <w:ilvl w:val="0"/>
          <w:numId w:val="20"/>
        </w:numPr>
        <w:spacing w:after="120"/>
        <w:rPr>
          <w:sz w:val="24"/>
          <w:szCs w:val="24"/>
        </w:rPr>
      </w:pPr>
      <w:r w:rsidRPr="00BE205A">
        <w:rPr>
          <w:sz w:val="24"/>
          <w:szCs w:val="24"/>
          <w:u w:val="single"/>
        </w:rPr>
        <w:t>Health warning</w:t>
      </w:r>
      <w:r w:rsidR="00FD0501" w:rsidRPr="00BE205A">
        <w:rPr>
          <w:sz w:val="24"/>
          <w:szCs w:val="24"/>
          <w:u w:val="single"/>
        </w:rPr>
        <w:t xml:space="preserve"> </w:t>
      </w:r>
      <w:r w:rsidRPr="00BE205A">
        <w:rPr>
          <w:sz w:val="24"/>
          <w:szCs w:val="24"/>
          <w:u w:val="single"/>
        </w:rPr>
        <w:t>labels</w:t>
      </w:r>
      <w:r w:rsidR="00FD0501" w:rsidRPr="00BE205A">
        <w:rPr>
          <w:sz w:val="24"/>
          <w:szCs w:val="24"/>
        </w:rPr>
        <w:t>: Provide</w:t>
      </w:r>
      <w:r w:rsidR="00A96680" w:rsidRPr="00BE205A">
        <w:rPr>
          <w:sz w:val="24"/>
          <w:szCs w:val="24"/>
        </w:rPr>
        <w:t>s</w:t>
      </w:r>
      <w:r w:rsidR="00FD0501" w:rsidRPr="00BE205A">
        <w:rPr>
          <w:sz w:val="24"/>
          <w:szCs w:val="24"/>
        </w:rPr>
        <w:t xml:space="preserve"> information about the risks associated with alcohol use, both specific</w:t>
      </w:r>
      <w:r w:rsidRPr="00BE205A">
        <w:rPr>
          <w:sz w:val="24"/>
          <w:szCs w:val="24"/>
        </w:rPr>
        <w:t>,</w:t>
      </w:r>
      <w:r w:rsidR="00A96680" w:rsidRPr="00BE205A">
        <w:rPr>
          <w:sz w:val="24"/>
          <w:szCs w:val="24"/>
        </w:rPr>
        <w:t xml:space="preserve"> </w:t>
      </w:r>
      <w:r w:rsidR="00FD0501" w:rsidRPr="00BE205A">
        <w:rPr>
          <w:sz w:val="24"/>
          <w:szCs w:val="24"/>
        </w:rPr>
        <w:t>drinking during pregnancy, drinking befor</w:t>
      </w:r>
      <w:r w:rsidR="00A96680" w:rsidRPr="00BE205A">
        <w:rPr>
          <w:sz w:val="24"/>
          <w:szCs w:val="24"/>
        </w:rPr>
        <w:t>e driving</w:t>
      </w:r>
      <w:r w:rsidRPr="00BE205A">
        <w:rPr>
          <w:sz w:val="24"/>
          <w:szCs w:val="24"/>
        </w:rPr>
        <w:t>,</w:t>
      </w:r>
      <w:r w:rsidR="00C5173F" w:rsidRPr="00BE205A">
        <w:rPr>
          <w:sz w:val="24"/>
          <w:szCs w:val="24"/>
        </w:rPr>
        <w:t xml:space="preserve"> </w:t>
      </w:r>
      <w:r w:rsidR="00FD0501" w:rsidRPr="00BE205A">
        <w:rPr>
          <w:sz w:val="24"/>
          <w:szCs w:val="24"/>
        </w:rPr>
        <w:t>and general</w:t>
      </w:r>
      <w:r w:rsidR="00C5173F" w:rsidRPr="00BE205A">
        <w:rPr>
          <w:sz w:val="24"/>
          <w:szCs w:val="24"/>
        </w:rPr>
        <w:t xml:space="preserve"> health</w:t>
      </w:r>
      <w:r w:rsidR="00FD0501" w:rsidRPr="00BE205A">
        <w:rPr>
          <w:sz w:val="24"/>
          <w:szCs w:val="24"/>
        </w:rPr>
        <w:t xml:space="preserve"> risk</w:t>
      </w:r>
      <w:r w:rsidR="00C5173F" w:rsidRPr="00BE205A">
        <w:rPr>
          <w:sz w:val="24"/>
          <w:szCs w:val="24"/>
        </w:rPr>
        <w:t>s.</w:t>
      </w:r>
    </w:p>
    <w:p w:rsidR="00D73447" w:rsidRPr="00BE205A" w:rsidRDefault="00DD19B7" w:rsidP="00BE205A">
      <w:pPr>
        <w:pStyle w:val="ListParagraph"/>
        <w:numPr>
          <w:ilvl w:val="0"/>
          <w:numId w:val="20"/>
        </w:numPr>
        <w:spacing w:after="120"/>
        <w:rPr>
          <w:sz w:val="24"/>
          <w:szCs w:val="24"/>
        </w:rPr>
      </w:pPr>
      <w:r w:rsidRPr="00BE205A">
        <w:rPr>
          <w:sz w:val="24"/>
          <w:szCs w:val="24"/>
          <w:u w:val="single"/>
        </w:rPr>
        <w:t xml:space="preserve">Low-risk drinking guidelines: </w:t>
      </w:r>
      <w:r w:rsidRPr="00BE205A">
        <w:rPr>
          <w:sz w:val="24"/>
          <w:szCs w:val="24"/>
        </w:rPr>
        <w:t>R</w:t>
      </w:r>
      <w:r w:rsidR="00C5173F" w:rsidRPr="00BE205A">
        <w:rPr>
          <w:sz w:val="24"/>
          <w:szCs w:val="24"/>
        </w:rPr>
        <w:t xml:space="preserve">elevant information </w:t>
      </w:r>
      <w:r w:rsidR="00FD0501" w:rsidRPr="00BE205A">
        <w:rPr>
          <w:sz w:val="24"/>
          <w:szCs w:val="24"/>
        </w:rPr>
        <w:t xml:space="preserve">on alcohol containers can </w:t>
      </w:r>
      <w:r w:rsidRPr="00BE205A">
        <w:rPr>
          <w:sz w:val="24"/>
          <w:szCs w:val="24"/>
        </w:rPr>
        <w:t>help drinkers track their alcohol intake</w:t>
      </w:r>
      <w:r w:rsidR="00C5173F" w:rsidRPr="00BE205A">
        <w:rPr>
          <w:sz w:val="24"/>
          <w:szCs w:val="24"/>
        </w:rPr>
        <w:t xml:space="preserve">, such </w:t>
      </w:r>
      <w:r w:rsidR="00FD0501" w:rsidRPr="00BE205A">
        <w:rPr>
          <w:sz w:val="24"/>
          <w:szCs w:val="24"/>
        </w:rPr>
        <w:t xml:space="preserve">as </w:t>
      </w:r>
      <w:r w:rsidR="00C5173F" w:rsidRPr="00BE205A">
        <w:rPr>
          <w:sz w:val="24"/>
          <w:szCs w:val="24"/>
        </w:rPr>
        <w:t xml:space="preserve">number of </w:t>
      </w:r>
      <w:r w:rsidR="00FD0501" w:rsidRPr="00BE205A">
        <w:rPr>
          <w:sz w:val="24"/>
          <w:szCs w:val="24"/>
        </w:rPr>
        <w:t>standard drink</w:t>
      </w:r>
      <w:r w:rsidR="00C5173F" w:rsidRPr="00BE205A">
        <w:rPr>
          <w:sz w:val="24"/>
          <w:szCs w:val="24"/>
        </w:rPr>
        <w:t>s</w:t>
      </w:r>
      <w:r w:rsidR="00531D43" w:rsidRPr="00BE205A">
        <w:rPr>
          <w:sz w:val="24"/>
          <w:szCs w:val="24"/>
        </w:rPr>
        <w:t xml:space="preserve"> in the bottle</w:t>
      </w:r>
      <w:r w:rsidR="00A96680" w:rsidRPr="00BE205A">
        <w:rPr>
          <w:sz w:val="24"/>
          <w:szCs w:val="24"/>
        </w:rPr>
        <w:t xml:space="preserve"> (1sd</w:t>
      </w:r>
      <w:r w:rsidR="00C5173F" w:rsidRPr="00BE205A">
        <w:rPr>
          <w:sz w:val="24"/>
          <w:szCs w:val="24"/>
        </w:rPr>
        <w:t>=10 grams in Ireland), calories (obesity) and</w:t>
      </w:r>
      <w:r w:rsidR="00D73447" w:rsidRPr="00BE205A">
        <w:rPr>
          <w:sz w:val="24"/>
          <w:szCs w:val="24"/>
        </w:rPr>
        <w:t xml:space="preserve"> i</w:t>
      </w:r>
      <w:r w:rsidR="00C5173F" w:rsidRPr="00BE205A">
        <w:rPr>
          <w:sz w:val="24"/>
          <w:szCs w:val="24"/>
        </w:rPr>
        <w:t>ngredients (sugar content</w:t>
      </w:r>
      <w:r w:rsidR="00D73447" w:rsidRPr="00BE205A">
        <w:rPr>
          <w:sz w:val="24"/>
          <w:szCs w:val="24"/>
        </w:rPr>
        <w:t>)</w:t>
      </w:r>
      <w:r w:rsidR="00C5173F" w:rsidRPr="00BE205A">
        <w:rPr>
          <w:sz w:val="24"/>
          <w:szCs w:val="24"/>
        </w:rPr>
        <w:t>.</w:t>
      </w:r>
    </w:p>
    <w:p w:rsidR="00531D43" w:rsidRPr="00BE205A" w:rsidRDefault="0012000F" w:rsidP="00BE205A">
      <w:pPr>
        <w:spacing w:after="120"/>
        <w:rPr>
          <w:b/>
          <w:sz w:val="24"/>
          <w:szCs w:val="24"/>
        </w:rPr>
      </w:pPr>
      <w:r>
        <w:rPr>
          <w:b/>
          <w:sz w:val="24"/>
          <w:szCs w:val="24"/>
        </w:rPr>
        <w:t xml:space="preserve">4.1 </w:t>
      </w:r>
      <w:r w:rsidR="00531D43" w:rsidRPr="00BE205A">
        <w:rPr>
          <w:b/>
          <w:sz w:val="24"/>
          <w:szCs w:val="24"/>
        </w:rPr>
        <w:t>Health Warning Labels</w:t>
      </w:r>
    </w:p>
    <w:p w:rsidR="009C01C9" w:rsidRPr="00BE205A" w:rsidRDefault="00531D43" w:rsidP="00BE205A">
      <w:pPr>
        <w:spacing w:after="120"/>
        <w:rPr>
          <w:sz w:val="24"/>
          <w:szCs w:val="24"/>
        </w:rPr>
      </w:pPr>
      <w:proofErr w:type="spellStart"/>
      <w:r w:rsidRPr="00BE205A">
        <w:rPr>
          <w:sz w:val="24"/>
          <w:szCs w:val="24"/>
        </w:rPr>
        <w:t>Babor</w:t>
      </w:r>
      <w:proofErr w:type="spellEnd"/>
      <w:r w:rsidRPr="00BE205A">
        <w:rPr>
          <w:sz w:val="24"/>
          <w:szCs w:val="24"/>
        </w:rPr>
        <w:t xml:space="preserve"> et al (2010) examined the research evide</w:t>
      </w:r>
      <w:r w:rsidR="00A96680" w:rsidRPr="00BE205A">
        <w:rPr>
          <w:sz w:val="24"/>
          <w:szCs w:val="24"/>
        </w:rPr>
        <w:t>nce</w:t>
      </w:r>
      <w:r w:rsidR="005F62F8" w:rsidRPr="00BE205A">
        <w:rPr>
          <w:sz w:val="24"/>
          <w:szCs w:val="24"/>
        </w:rPr>
        <w:t xml:space="preserve"> </w:t>
      </w:r>
      <w:r w:rsidRPr="00BE205A">
        <w:rPr>
          <w:sz w:val="24"/>
          <w:szCs w:val="24"/>
        </w:rPr>
        <w:t xml:space="preserve">on what effect health warning labels </w:t>
      </w:r>
      <w:r w:rsidR="00A96680" w:rsidRPr="00BE205A">
        <w:rPr>
          <w:sz w:val="24"/>
          <w:szCs w:val="24"/>
        </w:rPr>
        <w:t>on alcohol containers</w:t>
      </w:r>
      <w:r w:rsidR="009C01C9" w:rsidRPr="00BE205A">
        <w:rPr>
          <w:sz w:val="24"/>
          <w:szCs w:val="24"/>
        </w:rPr>
        <w:t xml:space="preserve"> ha</w:t>
      </w:r>
      <w:r w:rsidR="005F62F8" w:rsidRPr="00BE205A">
        <w:rPr>
          <w:sz w:val="24"/>
          <w:szCs w:val="24"/>
        </w:rPr>
        <w:t>s</w:t>
      </w:r>
      <w:r w:rsidR="009C01C9" w:rsidRPr="00BE205A">
        <w:rPr>
          <w:sz w:val="24"/>
          <w:szCs w:val="24"/>
        </w:rPr>
        <w:t xml:space="preserve"> </w:t>
      </w:r>
      <w:r w:rsidR="00A96680" w:rsidRPr="00BE205A">
        <w:rPr>
          <w:sz w:val="24"/>
          <w:szCs w:val="24"/>
        </w:rPr>
        <w:t xml:space="preserve">on consumers </w:t>
      </w:r>
      <w:r w:rsidR="009C01C9" w:rsidRPr="00BE205A">
        <w:rPr>
          <w:sz w:val="24"/>
          <w:szCs w:val="24"/>
        </w:rPr>
        <w:t>and concluded,</w:t>
      </w:r>
    </w:p>
    <w:p w:rsidR="009C01C9" w:rsidRPr="009C01C9" w:rsidRDefault="009C01C9" w:rsidP="009C01C9">
      <w:pPr>
        <w:ind w:left="426"/>
        <w:rPr>
          <w:i/>
        </w:rPr>
      </w:pPr>
      <w:r>
        <w:t>“</w:t>
      </w:r>
      <w:r w:rsidRPr="009C01C9">
        <w:rPr>
          <w:i/>
        </w:rPr>
        <w:t xml:space="preserve">There is evidence that warning labels impact on knowledge, awareness, intentions and perceptions, but evidence on drinking behaviour is at best equivocal” </w:t>
      </w:r>
    </w:p>
    <w:p w:rsidR="00882175" w:rsidRPr="00BD2E7B" w:rsidRDefault="00A96680" w:rsidP="00BE205A">
      <w:pPr>
        <w:spacing w:after="120"/>
        <w:rPr>
          <w:sz w:val="24"/>
          <w:szCs w:val="24"/>
        </w:rPr>
      </w:pPr>
      <w:r w:rsidRPr="00BE205A">
        <w:rPr>
          <w:sz w:val="24"/>
          <w:szCs w:val="24"/>
        </w:rPr>
        <w:t>Information from s</w:t>
      </w:r>
      <w:r w:rsidR="007E6E7D" w:rsidRPr="00BE205A">
        <w:rPr>
          <w:sz w:val="24"/>
          <w:szCs w:val="24"/>
        </w:rPr>
        <w:t>urveys</w:t>
      </w:r>
      <w:r w:rsidR="005F62F8" w:rsidRPr="00BE205A">
        <w:rPr>
          <w:sz w:val="24"/>
          <w:szCs w:val="24"/>
        </w:rPr>
        <w:t xml:space="preserve"> </w:t>
      </w:r>
      <w:proofErr w:type="gramStart"/>
      <w:r w:rsidR="005F62F8" w:rsidRPr="00BE205A">
        <w:rPr>
          <w:sz w:val="24"/>
          <w:szCs w:val="24"/>
        </w:rPr>
        <w:t>indicate</w:t>
      </w:r>
      <w:proofErr w:type="gramEnd"/>
      <w:r w:rsidR="00FB4034" w:rsidRPr="00BE205A">
        <w:rPr>
          <w:sz w:val="24"/>
          <w:szCs w:val="24"/>
        </w:rPr>
        <w:t xml:space="preserve"> that</w:t>
      </w:r>
      <w:r w:rsidR="007E6E7D" w:rsidRPr="00BE205A">
        <w:rPr>
          <w:sz w:val="24"/>
          <w:szCs w:val="24"/>
        </w:rPr>
        <w:t xml:space="preserve"> </w:t>
      </w:r>
      <w:r w:rsidR="00EA098A" w:rsidRPr="00BE205A">
        <w:rPr>
          <w:sz w:val="24"/>
          <w:szCs w:val="24"/>
        </w:rPr>
        <w:t xml:space="preserve">a </w:t>
      </w:r>
      <w:r w:rsidR="007E6E7D" w:rsidRPr="00BE205A">
        <w:rPr>
          <w:sz w:val="24"/>
          <w:szCs w:val="24"/>
        </w:rPr>
        <w:t xml:space="preserve">significant proportion of the population has seen these </w:t>
      </w:r>
      <w:r w:rsidRPr="00BE205A">
        <w:rPr>
          <w:sz w:val="24"/>
          <w:szCs w:val="24"/>
        </w:rPr>
        <w:t xml:space="preserve">health </w:t>
      </w:r>
      <w:r w:rsidR="007E6E7D" w:rsidRPr="00BE205A">
        <w:rPr>
          <w:sz w:val="24"/>
          <w:szCs w:val="24"/>
        </w:rPr>
        <w:t>warning labels</w:t>
      </w:r>
      <w:r w:rsidR="00EA098A" w:rsidRPr="00BE205A">
        <w:rPr>
          <w:sz w:val="24"/>
          <w:szCs w:val="24"/>
        </w:rPr>
        <w:t>. There is s</w:t>
      </w:r>
      <w:r w:rsidR="007E6E7D" w:rsidRPr="00BE205A">
        <w:rPr>
          <w:sz w:val="24"/>
          <w:szCs w:val="24"/>
        </w:rPr>
        <w:t xml:space="preserve">ome evidence that </w:t>
      </w:r>
      <w:r w:rsidRPr="00BE205A">
        <w:rPr>
          <w:sz w:val="24"/>
          <w:szCs w:val="24"/>
        </w:rPr>
        <w:t xml:space="preserve">health </w:t>
      </w:r>
      <w:r w:rsidR="007E6E7D" w:rsidRPr="00BE205A">
        <w:rPr>
          <w:sz w:val="24"/>
          <w:szCs w:val="24"/>
        </w:rPr>
        <w:t xml:space="preserve">warning labels </w:t>
      </w:r>
      <w:r w:rsidRPr="00BE205A">
        <w:rPr>
          <w:sz w:val="24"/>
          <w:szCs w:val="24"/>
        </w:rPr>
        <w:t>increase</w:t>
      </w:r>
      <w:r w:rsidR="007E6E7D" w:rsidRPr="00BE205A">
        <w:rPr>
          <w:sz w:val="24"/>
          <w:szCs w:val="24"/>
        </w:rPr>
        <w:t xml:space="preserve"> </w:t>
      </w:r>
      <w:r w:rsidR="007E6E7D" w:rsidRPr="00BD2E7B">
        <w:rPr>
          <w:sz w:val="24"/>
          <w:szCs w:val="24"/>
        </w:rPr>
        <w:t>knowledge regarding the risk of drink-driving and drinking during pregnancy among some groups (light drinkers)</w:t>
      </w:r>
      <w:r w:rsidR="00EA098A" w:rsidRPr="00BD2E7B">
        <w:rPr>
          <w:sz w:val="24"/>
          <w:szCs w:val="24"/>
        </w:rPr>
        <w:t xml:space="preserve">.  </w:t>
      </w:r>
      <w:r w:rsidR="007E6E7D" w:rsidRPr="00BD2E7B">
        <w:rPr>
          <w:sz w:val="24"/>
          <w:szCs w:val="24"/>
        </w:rPr>
        <w:t xml:space="preserve">Among college students, a </w:t>
      </w:r>
      <w:r w:rsidRPr="00BD2E7B">
        <w:rPr>
          <w:sz w:val="24"/>
          <w:szCs w:val="24"/>
        </w:rPr>
        <w:t xml:space="preserve">health </w:t>
      </w:r>
      <w:r w:rsidR="007E6E7D" w:rsidRPr="00BD2E7B">
        <w:rPr>
          <w:sz w:val="24"/>
          <w:szCs w:val="24"/>
        </w:rPr>
        <w:t>warning ‘alcohol is a drug’ resulted in greater perceived risk than the</w:t>
      </w:r>
      <w:r w:rsidR="00F45081" w:rsidRPr="00BD2E7B">
        <w:rPr>
          <w:sz w:val="24"/>
          <w:szCs w:val="24"/>
        </w:rPr>
        <w:t xml:space="preserve"> s</w:t>
      </w:r>
      <w:r w:rsidR="007E6E7D" w:rsidRPr="00BD2E7B">
        <w:rPr>
          <w:sz w:val="24"/>
          <w:szCs w:val="24"/>
        </w:rPr>
        <w:t>tandard US warning labels on alcohol containers (</w:t>
      </w:r>
      <w:proofErr w:type="spellStart"/>
      <w:r w:rsidR="007E6E7D" w:rsidRPr="00BD2E7B">
        <w:rPr>
          <w:sz w:val="24"/>
          <w:szCs w:val="24"/>
        </w:rPr>
        <w:t>Creyer</w:t>
      </w:r>
      <w:proofErr w:type="spellEnd"/>
      <w:r w:rsidR="007E6E7D" w:rsidRPr="00BD2E7B">
        <w:rPr>
          <w:sz w:val="24"/>
          <w:szCs w:val="24"/>
        </w:rPr>
        <w:t xml:space="preserve"> et al 2002)</w:t>
      </w:r>
      <w:r w:rsidR="00EA098A" w:rsidRPr="00BD2E7B">
        <w:rPr>
          <w:sz w:val="24"/>
          <w:szCs w:val="24"/>
        </w:rPr>
        <w:t xml:space="preserve">.  </w:t>
      </w:r>
      <w:r w:rsidR="00F45081" w:rsidRPr="00BD2E7B">
        <w:rPr>
          <w:sz w:val="24"/>
          <w:szCs w:val="24"/>
        </w:rPr>
        <w:t xml:space="preserve">A review by MacKinnon and </w:t>
      </w:r>
      <w:proofErr w:type="spellStart"/>
      <w:r w:rsidR="00F45081" w:rsidRPr="00BD2E7B">
        <w:rPr>
          <w:sz w:val="24"/>
          <w:szCs w:val="24"/>
        </w:rPr>
        <w:t>Nohre</w:t>
      </w:r>
      <w:proofErr w:type="spellEnd"/>
      <w:r w:rsidR="00F45081" w:rsidRPr="00BD2E7B">
        <w:rPr>
          <w:sz w:val="24"/>
          <w:szCs w:val="24"/>
        </w:rPr>
        <w:t xml:space="preserve"> (2006) concluded that there is no convincing evidence of an effect of general alcohol warning labels on behaviour. </w:t>
      </w:r>
      <w:r w:rsidR="005F62F8" w:rsidRPr="00BD2E7B">
        <w:rPr>
          <w:sz w:val="24"/>
          <w:szCs w:val="24"/>
        </w:rPr>
        <w:t>It may be possible to</w:t>
      </w:r>
      <w:r w:rsidRPr="00BD2E7B">
        <w:rPr>
          <w:sz w:val="24"/>
          <w:szCs w:val="24"/>
        </w:rPr>
        <w:t xml:space="preserve"> enhance</w:t>
      </w:r>
      <w:r w:rsidR="00F45081" w:rsidRPr="00BD2E7B">
        <w:rPr>
          <w:sz w:val="24"/>
          <w:szCs w:val="24"/>
        </w:rPr>
        <w:t xml:space="preserve"> </w:t>
      </w:r>
      <w:r w:rsidR="005F62F8" w:rsidRPr="00BD2E7B">
        <w:rPr>
          <w:sz w:val="24"/>
          <w:szCs w:val="24"/>
        </w:rPr>
        <w:t xml:space="preserve">awareness of health warning labels </w:t>
      </w:r>
      <w:r w:rsidR="00F45081" w:rsidRPr="00BD2E7B">
        <w:rPr>
          <w:sz w:val="24"/>
          <w:szCs w:val="24"/>
        </w:rPr>
        <w:t>by combining it with others strategies such as community-based campaigns to change alcohol policies or enf</w:t>
      </w:r>
      <w:r w:rsidR="005F62F8" w:rsidRPr="00BD2E7B">
        <w:rPr>
          <w:sz w:val="24"/>
          <w:szCs w:val="24"/>
        </w:rPr>
        <w:t>orce alcohol-related regulation, but so far evidence is lacking. In the E</w:t>
      </w:r>
      <w:r w:rsidR="00C11182" w:rsidRPr="00BD2E7B">
        <w:rPr>
          <w:sz w:val="24"/>
          <w:szCs w:val="24"/>
        </w:rPr>
        <w:t>urobarometer survey of 2009, 79%</w:t>
      </w:r>
      <w:r w:rsidR="005F62F8" w:rsidRPr="00BD2E7B">
        <w:rPr>
          <w:sz w:val="24"/>
          <w:szCs w:val="24"/>
        </w:rPr>
        <w:t xml:space="preserve"> of EU citizens supported health warning messages</w:t>
      </w:r>
      <w:r w:rsidR="00C11182" w:rsidRPr="00BD2E7B">
        <w:rPr>
          <w:sz w:val="24"/>
          <w:szCs w:val="24"/>
        </w:rPr>
        <w:t xml:space="preserve"> (pregnancy and</w:t>
      </w:r>
      <w:r w:rsidRPr="00BD2E7B">
        <w:rPr>
          <w:sz w:val="24"/>
          <w:szCs w:val="24"/>
        </w:rPr>
        <w:t xml:space="preserve"> driving</w:t>
      </w:r>
      <w:r w:rsidR="00C11182" w:rsidRPr="00BD2E7B">
        <w:rPr>
          <w:sz w:val="24"/>
          <w:szCs w:val="24"/>
        </w:rPr>
        <w:t>)</w:t>
      </w:r>
      <w:r w:rsidR="005F62F8" w:rsidRPr="00BD2E7B">
        <w:rPr>
          <w:sz w:val="24"/>
          <w:szCs w:val="24"/>
        </w:rPr>
        <w:t xml:space="preserve"> on bottles and an even high proportion (82%) supported warnings on advertisements (Special Eurobarometer 331)</w:t>
      </w:r>
      <w:r w:rsidR="00C11182" w:rsidRPr="00BD2E7B">
        <w:rPr>
          <w:sz w:val="24"/>
          <w:szCs w:val="24"/>
        </w:rPr>
        <w:t>.</w:t>
      </w:r>
      <w:r w:rsidRPr="00BD2E7B">
        <w:rPr>
          <w:sz w:val="24"/>
          <w:szCs w:val="24"/>
        </w:rPr>
        <w:t xml:space="preserve"> </w:t>
      </w:r>
      <w:r w:rsidR="00882175" w:rsidRPr="00BD2E7B">
        <w:rPr>
          <w:sz w:val="24"/>
          <w:szCs w:val="24"/>
        </w:rPr>
        <w:t xml:space="preserve">Kerr &amp; Stockwell (2012) have indicated that accurate information on the alcohol content of specific beverages is essential to promote drinker’s tracking of alcohol intake and that the number of defined standard drinks in each alcohol container is an effective way of enabling it.  </w:t>
      </w:r>
    </w:p>
    <w:p w:rsidR="00D54343" w:rsidRPr="00BD2E7B" w:rsidRDefault="0012000F" w:rsidP="00BE205A">
      <w:pPr>
        <w:spacing w:after="120"/>
        <w:rPr>
          <w:b/>
          <w:sz w:val="24"/>
          <w:szCs w:val="24"/>
        </w:rPr>
      </w:pPr>
      <w:r>
        <w:rPr>
          <w:b/>
          <w:sz w:val="24"/>
          <w:szCs w:val="24"/>
        </w:rPr>
        <w:t xml:space="preserve">4.2 </w:t>
      </w:r>
      <w:r w:rsidR="00DD19B7" w:rsidRPr="00BD2E7B">
        <w:rPr>
          <w:b/>
          <w:sz w:val="24"/>
          <w:szCs w:val="24"/>
        </w:rPr>
        <w:t>Low-risk drinking guidelines</w:t>
      </w:r>
    </w:p>
    <w:p w:rsidR="00D55F24" w:rsidRPr="00BD2E7B" w:rsidRDefault="00A96680" w:rsidP="00BE205A">
      <w:pPr>
        <w:spacing w:after="120"/>
        <w:rPr>
          <w:sz w:val="24"/>
          <w:szCs w:val="24"/>
        </w:rPr>
      </w:pPr>
      <w:r w:rsidRPr="00BD2E7B">
        <w:rPr>
          <w:sz w:val="24"/>
          <w:szCs w:val="24"/>
        </w:rPr>
        <w:t>T</w:t>
      </w:r>
      <w:r w:rsidR="00D54343" w:rsidRPr="00BD2E7B">
        <w:rPr>
          <w:sz w:val="24"/>
          <w:szCs w:val="24"/>
        </w:rPr>
        <w:t>here are challenging issues in setting low-risk drinking guidelines</w:t>
      </w:r>
      <w:r w:rsidRPr="00BD2E7B">
        <w:rPr>
          <w:sz w:val="24"/>
          <w:szCs w:val="24"/>
        </w:rPr>
        <w:t>.  A</w:t>
      </w:r>
      <w:r w:rsidR="00D54343" w:rsidRPr="00BD2E7B">
        <w:rPr>
          <w:sz w:val="24"/>
          <w:szCs w:val="24"/>
        </w:rPr>
        <w:t>s</w:t>
      </w:r>
      <w:r w:rsidR="00DD19B7" w:rsidRPr="00BD2E7B">
        <w:rPr>
          <w:sz w:val="24"/>
          <w:szCs w:val="24"/>
        </w:rPr>
        <w:t xml:space="preserve"> pointed out by Stockwell and Room (2012), there are two main approaches – </w:t>
      </w:r>
      <w:r w:rsidRPr="00BD2E7B">
        <w:rPr>
          <w:sz w:val="24"/>
          <w:szCs w:val="24"/>
        </w:rPr>
        <w:t>‘</w:t>
      </w:r>
      <w:r w:rsidR="00DD19B7" w:rsidRPr="00BD2E7B">
        <w:rPr>
          <w:sz w:val="24"/>
          <w:szCs w:val="24"/>
        </w:rPr>
        <w:t>relative risk</w:t>
      </w:r>
      <w:r w:rsidRPr="00BD2E7B">
        <w:rPr>
          <w:sz w:val="24"/>
          <w:szCs w:val="24"/>
        </w:rPr>
        <w:t>’</w:t>
      </w:r>
      <w:r w:rsidR="00DD19B7" w:rsidRPr="00BD2E7B">
        <w:rPr>
          <w:sz w:val="24"/>
          <w:szCs w:val="24"/>
        </w:rPr>
        <w:t xml:space="preserve"> as used in developing the new Canadian guidelines and </w:t>
      </w:r>
      <w:r w:rsidRPr="00BD2E7B">
        <w:rPr>
          <w:sz w:val="24"/>
          <w:szCs w:val="24"/>
        </w:rPr>
        <w:t>‘</w:t>
      </w:r>
      <w:r w:rsidR="00DD19B7" w:rsidRPr="00BD2E7B">
        <w:rPr>
          <w:sz w:val="24"/>
          <w:szCs w:val="24"/>
        </w:rPr>
        <w:t>absolute risk</w:t>
      </w:r>
      <w:r w:rsidRPr="00BD2E7B">
        <w:rPr>
          <w:sz w:val="24"/>
          <w:szCs w:val="24"/>
        </w:rPr>
        <w:t>’</w:t>
      </w:r>
      <w:r w:rsidR="00DD19B7" w:rsidRPr="00BD2E7B">
        <w:rPr>
          <w:sz w:val="24"/>
          <w:szCs w:val="24"/>
        </w:rPr>
        <w:t xml:space="preserve"> as used in Australia. A relative risk </w:t>
      </w:r>
      <w:r w:rsidRPr="00BD2E7B">
        <w:rPr>
          <w:sz w:val="24"/>
          <w:szCs w:val="24"/>
        </w:rPr>
        <w:t xml:space="preserve">approach </w:t>
      </w:r>
      <w:r w:rsidR="00DD19B7" w:rsidRPr="00BD2E7B">
        <w:rPr>
          <w:sz w:val="24"/>
          <w:szCs w:val="24"/>
        </w:rPr>
        <w:t>considers the proportionate change in risk for an indivi</w:t>
      </w:r>
      <w:r w:rsidRPr="00BD2E7B">
        <w:rPr>
          <w:sz w:val="24"/>
          <w:szCs w:val="24"/>
        </w:rPr>
        <w:t>dual or social category for</w:t>
      </w:r>
      <w:r w:rsidR="00DD19B7" w:rsidRPr="00BD2E7B">
        <w:rPr>
          <w:sz w:val="24"/>
          <w:szCs w:val="24"/>
        </w:rPr>
        <w:t xml:space="preserve"> a given consumption of alcohol, while the absolute risk approach is concerned with the category’s absolute increment in risk from the alcohol consumption</w:t>
      </w:r>
      <w:r w:rsidRPr="00BD2E7B">
        <w:rPr>
          <w:sz w:val="24"/>
          <w:szCs w:val="24"/>
        </w:rPr>
        <w:t>,</w:t>
      </w:r>
      <w:r w:rsidR="00DD19B7" w:rsidRPr="00BD2E7B">
        <w:rPr>
          <w:sz w:val="24"/>
          <w:szCs w:val="24"/>
        </w:rPr>
        <w:t xml:space="preserve"> regardless of the level of risk from others factors. The main difference in results between the two approach</w:t>
      </w:r>
      <w:r w:rsidRPr="00BD2E7B">
        <w:rPr>
          <w:sz w:val="24"/>
          <w:szCs w:val="24"/>
        </w:rPr>
        <w:t>e</w:t>
      </w:r>
      <w:r w:rsidR="00A67E61" w:rsidRPr="00BD2E7B">
        <w:rPr>
          <w:sz w:val="24"/>
          <w:szCs w:val="24"/>
        </w:rPr>
        <w:t>s</w:t>
      </w:r>
      <w:r w:rsidR="00DD19B7" w:rsidRPr="00BD2E7B">
        <w:rPr>
          <w:sz w:val="24"/>
          <w:szCs w:val="24"/>
        </w:rPr>
        <w:t xml:space="preserve"> is that with </w:t>
      </w:r>
      <w:r w:rsidR="00A67E61" w:rsidRPr="00BD2E7B">
        <w:rPr>
          <w:sz w:val="24"/>
          <w:szCs w:val="24"/>
        </w:rPr>
        <w:t>‘</w:t>
      </w:r>
      <w:r w:rsidR="00DD19B7" w:rsidRPr="00BD2E7B">
        <w:rPr>
          <w:sz w:val="24"/>
          <w:szCs w:val="24"/>
        </w:rPr>
        <w:t>relative</w:t>
      </w:r>
      <w:r w:rsidR="00A67E61" w:rsidRPr="00BD2E7B">
        <w:rPr>
          <w:sz w:val="24"/>
          <w:szCs w:val="24"/>
        </w:rPr>
        <w:t xml:space="preserve"> risk’</w:t>
      </w:r>
      <w:r w:rsidR="00DD19B7" w:rsidRPr="00BD2E7B">
        <w:rPr>
          <w:sz w:val="24"/>
          <w:szCs w:val="24"/>
        </w:rPr>
        <w:t xml:space="preserve"> the </w:t>
      </w:r>
      <w:r w:rsidRPr="00BD2E7B">
        <w:rPr>
          <w:sz w:val="24"/>
          <w:szCs w:val="24"/>
        </w:rPr>
        <w:t xml:space="preserve">upper </w:t>
      </w:r>
      <w:r w:rsidR="00DD19B7" w:rsidRPr="00BD2E7B">
        <w:rPr>
          <w:sz w:val="24"/>
          <w:szCs w:val="24"/>
        </w:rPr>
        <w:t xml:space="preserve">limit per occasion for men is set higher that for women </w:t>
      </w:r>
      <w:r w:rsidR="00DD19B7" w:rsidRPr="00BD2E7B">
        <w:rPr>
          <w:sz w:val="24"/>
          <w:szCs w:val="24"/>
        </w:rPr>
        <w:lastRenderedPageBreak/>
        <w:t xml:space="preserve">(Stockwell &amp; Room 2012). </w:t>
      </w:r>
      <w:r w:rsidRPr="00BD2E7B">
        <w:rPr>
          <w:sz w:val="24"/>
          <w:szCs w:val="24"/>
        </w:rPr>
        <w:t>From a health promotion perspective, the issue</w:t>
      </w:r>
      <w:r w:rsidR="00A67E61" w:rsidRPr="00BD2E7B">
        <w:rPr>
          <w:sz w:val="24"/>
          <w:szCs w:val="24"/>
        </w:rPr>
        <w:t xml:space="preserve"> is how widely are low-risk drinking guidelines</w:t>
      </w:r>
      <w:r w:rsidR="00DD19B7" w:rsidRPr="00BD2E7B">
        <w:rPr>
          <w:sz w:val="24"/>
          <w:szCs w:val="24"/>
        </w:rPr>
        <w:t xml:space="preserve"> recognised and</w:t>
      </w:r>
      <w:r w:rsidR="00A67E61" w:rsidRPr="00BD2E7B">
        <w:rPr>
          <w:sz w:val="24"/>
          <w:szCs w:val="24"/>
        </w:rPr>
        <w:t xml:space="preserve"> to what extent </w:t>
      </w:r>
      <w:r w:rsidR="00DD19B7" w:rsidRPr="00BD2E7B">
        <w:rPr>
          <w:sz w:val="24"/>
          <w:szCs w:val="24"/>
        </w:rPr>
        <w:t xml:space="preserve">do they affect norms and behaviour. </w:t>
      </w:r>
      <w:r w:rsidR="00E06CD1" w:rsidRPr="00BD2E7B">
        <w:rPr>
          <w:sz w:val="24"/>
          <w:szCs w:val="24"/>
        </w:rPr>
        <w:t xml:space="preserve">A </w:t>
      </w:r>
      <w:r w:rsidRPr="00BD2E7B">
        <w:rPr>
          <w:sz w:val="24"/>
          <w:szCs w:val="24"/>
        </w:rPr>
        <w:t>‘</w:t>
      </w:r>
      <w:r w:rsidR="00E06CD1" w:rsidRPr="00BD2E7B">
        <w:rPr>
          <w:sz w:val="24"/>
          <w:szCs w:val="24"/>
        </w:rPr>
        <w:t>standard drink</w:t>
      </w:r>
      <w:r w:rsidRPr="00BD2E7B">
        <w:rPr>
          <w:sz w:val="24"/>
          <w:szCs w:val="24"/>
        </w:rPr>
        <w:t>’</w:t>
      </w:r>
      <w:r w:rsidR="00E06CD1" w:rsidRPr="00BD2E7B">
        <w:rPr>
          <w:sz w:val="24"/>
          <w:szCs w:val="24"/>
        </w:rPr>
        <w:t xml:space="preserve"> measure tends to be used in population surveys and in clinical settings to evaluate overall consumption and hazardous and harmful drinking patterns. </w:t>
      </w:r>
      <w:r w:rsidR="00A67E61" w:rsidRPr="00BD2E7B">
        <w:rPr>
          <w:sz w:val="24"/>
          <w:szCs w:val="24"/>
        </w:rPr>
        <w:t xml:space="preserve">However, the research evidence shows that </w:t>
      </w:r>
      <w:r w:rsidRPr="00BD2E7B">
        <w:rPr>
          <w:sz w:val="24"/>
          <w:szCs w:val="24"/>
        </w:rPr>
        <w:t>‘</w:t>
      </w:r>
      <w:r w:rsidR="00A67E61" w:rsidRPr="00BD2E7B">
        <w:rPr>
          <w:sz w:val="24"/>
          <w:szCs w:val="24"/>
        </w:rPr>
        <w:t>standard drink</w:t>
      </w:r>
      <w:r w:rsidRPr="00BD2E7B">
        <w:rPr>
          <w:sz w:val="24"/>
          <w:szCs w:val="24"/>
        </w:rPr>
        <w:t>’</w:t>
      </w:r>
      <w:r w:rsidR="00A67E61" w:rsidRPr="00BD2E7B">
        <w:rPr>
          <w:sz w:val="24"/>
          <w:szCs w:val="24"/>
        </w:rPr>
        <w:t xml:space="preserve"> or units are widely misunderstood </w:t>
      </w:r>
      <w:r w:rsidR="00E06CD1" w:rsidRPr="00BD2E7B">
        <w:rPr>
          <w:sz w:val="24"/>
          <w:szCs w:val="24"/>
        </w:rPr>
        <w:t xml:space="preserve">by the general public </w:t>
      </w:r>
      <w:r w:rsidR="00A67E61" w:rsidRPr="00BD2E7B">
        <w:rPr>
          <w:sz w:val="24"/>
          <w:szCs w:val="24"/>
        </w:rPr>
        <w:t>(</w:t>
      </w:r>
      <w:r w:rsidR="00E06CD1" w:rsidRPr="00BD2E7B">
        <w:rPr>
          <w:sz w:val="24"/>
          <w:szCs w:val="24"/>
        </w:rPr>
        <w:t>Kerr &amp; Stockwell</w:t>
      </w:r>
      <w:r w:rsidR="00A67E61" w:rsidRPr="00BD2E7B">
        <w:rPr>
          <w:sz w:val="24"/>
          <w:szCs w:val="24"/>
        </w:rPr>
        <w:t>, 2012). Firstly</w:t>
      </w:r>
      <w:r w:rsidRPr="00BD2E7B">
        <w:rPr>
          <w:sz w:val="24"/>
          <w:szCs w:val="24"/>
        </w:rPr>
        <w:t>,</w:t>
      </w:r>
      <w:r w:rsidR="00A67E61" w:rsidRPr="00BD2E7B">
        <w:rPr>
          <w:sz w:val="24"/>
          <w:szCs w:val="24"/>
        </w:rPr>
        <w:t xml:space="preserve"> the </w:t>
      </w:r>
      <w:r w:rsidR="00E06CD1" w:rsidRPr="00BD2E7B">
        <w:rPr>
          <w:sz w:val="24"/>
          <w:szCs w:val="24"/>
        </w:rPr>
        <w:t>‘</w:t>
      </w:r>
      <w:r w:rsidR="00A67E61" w:rsidRPr="00BD2E7B">
        <w:rPr>
          <w:sz w:val="24"/>
          <w:szCs w:val="24"/>
        </w:rPr>
        <w:t>standard drink</w:t>
      </w:r>
      <w:r w:rsidR="00E06CD1" w:rsidRPr="00BD2E7B">
        <w:rPr>
          <w:sz w:val="24"/>
          <w:szCs w:val="24"/>
        </w:rPr>
        <w:t>’</w:t>
      </w:r>
      <w:r w:rsidR="00A67E61" w:rsidRPr="00BD2E7B">
        <w:rPr>
          <w:sz w:val="24"/>
          <w:szCs w:val="24"/>
        </w:rPr>
        <w:t xml:space="preserve"> definition</w:t>
      </w:r>
      <w:r w:rsidR="00E06CD1" w:rsidRPr="00BD2E7B">
        <w:rPr>
          <w:sz w:val="24"/>
          <w:szCs w:val="24"/>
        </w:rPr>
        <w:t xml:space="preserve"> </w:t>
      </w:r>
      <w:r w:rsidR="00A67E61" w:rsidRPr="00BD2E7B">
        <w:rPr>
          <w:sz w:val="24"/>
          <w:szCs w:val="24"/>
        </w:rPr>
        <w:t>var</w:t>
      </w:r>
      <w:r w:rsidRPr="00BD2E7B">
        <w:rPr>
          <w:sz w:val="24"/>
          <w:szCs w:val="24"/>
        </w:rPr>
        <w:t>ie</w:t>
      </w:r>
      <w:r w:rsidR="00E06CD1" w:rsidRPr="00BD2E7B">
        <w:rPr>
          <w:sz w:val="24"/>
          <w:szCs w:val="24"/>
        </w:rPr>
        <w:t>s</w:t>
      </w:r>
      <w:r w:rsidR="00A67E61" w:rsidRPr="00BD2E7B">
        <w:rPr>
          <w:sz w:val="24"/>
          <w:szCs w:val="24"/>
        </w:rPr>
        <w:t xml:space="preserve"> across countries and typically contain</w:t>
      </w:r>
      <w:r w:rsidR="00E06CD1" w:rsidRPr="00BD2E7B">
        <w:rPr>
          <w:sz w:val="24"/>
          <w:szCs w:val="24"/>
        </w:rPr>
        <w:t>s</w:t>
      </w:r>
      <w:r w:rsidR="00A67E61" w:rsidRPr="00BD2E7B">
        <w:rPr>
          <w:sz w:val="24"/>
          <w:szCs w:val="24"/>
        </w:rPr>
        <w:t xml:space="preserve"> less alcohol than actual drinks. Secondly, drinkers have difficulty defining and pouring standard drinks</w:t>
      </w:r>
      <w:r w:rsidR="00965E7D" w:rsidRPr="00BD2E7B">
        <w:rPr>
          <w:sz w:val="24"/>
          <w:szCs w:val="24"/>
        </w:rPr>
        <w:t>,</w:t>
      </w:r>
      <w:r w:rsidR="00A67E61" w:rsidRPr="00BD2E7B">
        <w:rPr>
          <w:sz w:val="24"/>
          <w:szCs w:val="24"/>
        </w:rPr>
        <w:t xml:space="preserve"> with over-pouring being the norm</w:t>
      </w:r>
      <w:r w:rsidR="00E06CD1" w:rsidRPr="00BD2E7B">
        <w:rPr>
          <w:sz w:val="24"/>
          <w:szCs w:val="24"/>
        </w:rPr>
        <w:t>, so</w:t>
      </w:r>
      <w:r w:rsidR="00A67E61" w:rsidRPr="00BD2E7B">
        <w:rPr>
          <w:sz w:val="24"/>
          <w:szCs w:val="24"/>
        </w:rPr>
        <w:t xml:space="preserve"> that the intake volume is typically underestimated. </w:t>
      </w:r>
      <w:r w:rsidR="001B7FFC" w:rsidRPr="00BD2E7B">
        <w:rPr>
          <w:sz w:val="24"/>
          <w:szCs w:val="24"/>
        </w:rPr>
        <w:t xml:space="preserve"> The lack of knowle</w:t>
      </w:r>
      <w:r w:rsidR="00965E7D" w:rsidRPr="00BD2E7B">
        <w:rPr>
          <w:sz w:val="24"/>
          <w:szCs w:val="24"/>
        </w:rPr>
        <w:t>dge of</w:t>
      </w:r>
      <w:r w:rsidR="001B7FFC" w:rsidRPr="00BD2E7B">
        <w:rPr>
          <w:sz w:val="24"/>
          <w:szCs w:val="24"/>
        </w:rPr>
        <w:t xml:space="preserve"> low-risk drinking guidelines was also confirmed in a sample of young people (16-25 </w:t>
      </w:r>
      <w:proofErr w:type="spellStart"/>
      <w:r w:rsidR="001B7FFC" w:rsidRPr="00BD2E7B">
        <w:rPr>
          <w:sz w:val="24"/>
          <w:szCs w:val="24"/>
        </w:rPr>
        <w:t>yrs</w:t>
      </w:r>
      <w:proofErr w:type="spellEnd"/>
      <w:r w:rsidR="001B7FFC" w:rsidRPr="00BD2E7B">
        <w:rPr>
          <w:sz w:val="24"/>
          <w:szCs w:val="24"/>
        </w:rPr>
        <w:t xml:space="preserve">) in England (de </w:t>
      </w:r>
      <w:proofErr w:type="spellStart"/>
      <w:r w:rsidR="001B7FFC" w:rsidRPr="00BD2E7B">
        <w:rPr>
          <w:sz w:val="24"/>
          <w:szCs w:val="24"/>
        </w:rPr>
        <w:t>Visser</w:t>
      </w:r>
      <w:proofErr w:type="spellEnd"/>
      <w:r w:rsidR="001B7FFC" w:rsidRPr="00BD2E7B">
        <w:rPr>
          <w:sz w:val="24"/>
          <w:szCs w:val="24"/>
        </w:rPr>
        <w:t xml:space="preserve"> &amp; Birch 2012). In a large general population in Australia, knowledge of the official guidelines</w:t>
      </w:r>
      <w:r w:rsidR="00965E7D" w:rsidRPr="00BD2E7B">
        <w:rPr>
          <w:sz w:val="24"/>
          <w:szCs w:val="24"/>
        </w:rPr>
        <w:t xml:space="preserve"> was also low</w:t>
      </w:r>
      <w:r w:rsidR="001B7FFC" w:rsidRPr="00BD2E7B">
        <w:rPr>
          <w:sz w:val="24"/>
          <w:szCs w:val="24"/>
        </w:rPr>
        <w:t xml:space="preserve">, with younger respondents and </w:t>
      </w:r>
      <w:r w:rsidR="00965E7D" w:rsidRPr="00BD2E7B">
        <w:rPr>
          <w:sz w:val="24"/>
          <w:szCs w:val="24"/>
        </w:rPr>
        <w:t>heavier drinkers providing</w:t>
      </w:r>
      <w:r w:rsidR="001B7FFC" w:rsidRPr="00BD2E7B">
        <w:rPr>
          <w:sz w:val="24"/>
          <w:szCs w:val="24"/>
        </w:rPr>
        <w:t xml:space="preserve"> higher estimates of low-risk drinking thresholds (Livingston 2012).  Evidence on the effects of guidelines on actual d</w:t>
      </w:r>
      <w:r w:rsidR="00965E7D" w:rsidRPr="00BD2E7B">
        <w:rPr>
          <w:sz w:val="24"/>
          <w:szCs w:val="24"/>
        </w:rPr>
        <w:t>rinking behaviour remains scant</w:t>
      </w:r>
      <w:r w:rsidR="001B7FFC" w:rsidRPr="00BD2E7B">
        <w:rPr>
          <w:sz w:val="24"/>
          <w:szCs w:val="24"/>
        </w:rPr>
        <w:t>.</w:t>
      </w:r>
      <w:r w:rsidR="00091942" w:rsidRPr="00BD2E7B">
        <w:rPr>
          <w:sz w:val="24"/>
          <w:szCs w:val="24"/>
        </w:rPr>
        <w:t xml:space="preserve">  </w:t>
      </w:r>
      <w:r w:rsidR="001B7FFC" w:rsidRPr="00BD2E7B">
        <w:rPr>
          <w:sz w:val="24"/>
          <w:szCs w:val="24"/>
        </w:rPr>
        <w:t xml:space="preserve"> </w:t>
      </w:r>
      <w:r w:rsidR="00855E4A" w:rsidRPr="00BD2E7B">
        <w:rPr>
          <w:sz w:val="24"/>
          <w:szCs w:val="24"/>
        </w:rPr>
        <w:t>However, Stockwell and Room (2012) reported on two Australian studies where changes in the guidelines</w:t>
      </w:r>
      <w:r w:rsidR="00965E7D" w:rsidRPr="00BD2E7B">
        <w:rPr>
          <w:sz w:val="24"/>
          <w:szCs w:val="24"/>
        </w:rPr>
        <w:t>, from abstinence during pregnancy to a guideline of less than 7 standard drinking per week and no more than 2 drinks a day,</w:t>
      </w:r>
      <w:r w:rsidR="001B7FFC" w:rsidRPr="00BD2E7B">
        <w:rPr>
          <w:sz w:val="24"/>
          <w:szCs w:val="24"/>
        </w:rPr>
        <w:t xml:space="preserve"> </w:t>
      </w:r>
      <w:r w:rsidR="00965E7D" w:rsidRPr="00BD2E7B">
        <w:rPr>
          <w:sz w:val="24"/>
          <w:szCs w:val="24"/>
        </w:rPr>
        <w:t xml:space="preserve">produced a positive (reduction in the proportion of pregnant women drinking moderately </w:t>
      </w:r>
      <w:r w:rsidR="00D55F24" w:rsidRPr="00BD2E7B">
        <w:rPr>
          <w:sz w:val="24"/>
          <w:szCs w:val="24"/>
        </w:rPr>
        <w:t>or more heavi</w:t>
      </w:r>
      <w:r w:rsidR="00965E7D" w:rsidRPr="00BD2E7B">
        <w:rPr>
          <w:sz w:val="24"/>
          <w:szCs w:val="24"/>
        </w:rPr>
        <w:t xml:space="preserve">ly) and </w:t>
      </w:r>
      <w:r w:rsidR="00D55F24" w:rsidRPr="00BD2E7B">
        <w:rPr>
          <w:sz w:val="24"/>
          <w:szCs w:val="24"/>
        </w:rPr>
        <w:t xml:space="preserve">an </w:t>
      </w:r>
      <w:r w:rsidR="00965E7D" w:rsidRPr="00BD2E7B">
        <w:rPr>
          <w:sz w:val="24"/>
          <w:szCs w:val="24"/>
        </w:rPr>
        <w:t>negative effect (</w:t>
      </w:r>
      <w:r w:rsidR="00D55F24" w:rsidRPr="00BD2E7B">
        <w:rPr>
          <w:sz w:val="24"/>
          <w:szCs w:val="24"/>
        </w:rPr>
        <w:t>drop</w:t>
      </w:r>
      <w:r w:rsidR="00965E7D" w:rsidRPr="00BD2E7B">
        <w:rPr>
          <w:sz w:val="24"/>
          <w:szCs w:val="24"/>
        </w:rPr>
        <w:t xml:space="preserve"> in abstainers among mothers of babies born before and after the changes)</w:t>
      </w:r>
      <w:r w:rsidR="00091942" w:rsidRPr="00BD2E7B">
        <w:rPr>
          <w:sz w:val="24"/>
          <w:szCs w:val="24"/>
        </w:rPr>
        <w:t xml:space="preserve">. </w:t>
      </w:r>
    </w:p>
    <w:p w:rsidR="00A67E61" w:rsidRPr="00BD2E7B" w:rsidRDefault="00771B8F" w:rsidP="00BE205A">
      <w:pPr>
        <w:spacing w:after="120"/>
        <w:rPr>
          <w:sz w:val="24"/>
          <w:szCs w:val="24"/>
        </w:rPr>
      </w:pPr>
      <w:r w:rsidRPr="00BD2E7B">
        <w:rPr>
          <w:sz w:val="24"/>
          <w:szCs w:val="24"/>
        </w:rPr>
        <w:t xml:space="preserve">Kerr and Stockwell (2012) indicate that </w:t>
      </w:r>
      <w:r w:rsidR="00D55F24" w:rsidRPr="00BD2E7B">
        <w:rPr>
          <w:sz w:val="24"/>
          <w:szCs w:val="24"/>
        </w:rPr>
        <w:t>‘</w:t>
      </w:r>
      <w:r w:rsidRPr="00E772F0">
        <w:rPr>
          <w:b/>
          <w:sz w:val="24"/>
          <w:szCs w:val="24"/>
        </w:rPr>
        <w:t>stand</w:t>
      </w:r>
      <w:r w:rsidR="00D55F24" w:rsidRPr="00E772F0">
        <w:rPr>
          <w:b/>
          <w:sz w:val="24"/>
          <w:szCs w:val="24"/>
        </w:rPr>
        <w:t>ard</w:t>
      </w:r>
      <w:r w:rsidRPr="00E772F0">
        <w:rPr>
          <w:b/>
          <w:sz w:val="24"/>
          <w:szCs w:val="24"/>
        </w:rPr>
        <w:t xml:space="preserve"> drink</w:t>
      </w:r>
      <w:r w:rsidR="00D55F24" w:rsidRPr="00E772F0">
        <w:rPr>
          <w:b/>
          <w:sz w:val="24"/>
          <w:szCs w:val="24"/>
        </w:rPr>
        <w:t>’</w:t>
      </w:r>
      <w:r w:rsidRPr="00E772F0">
        <w:rPr>
          <w:b/>
          <w:sz w:val="24"/>
          <w:szCs w:val="24"/>
        </w:rPr>
        <w:t xml:space="preserve"> labelling is an effective</w:t>
      </w:r>
      <w:r w:rsidR="00D55F24" w:rsidRPr="00E772F0">
        <w:rPr>
          <w:b/>
          <w:sz w:val="24"/>
          <w:szCs w:val="24"/>
        </w:rPr>
        <w:t>,</w:t>
      </w:r>
      <w:r w:rsidRPr="00E772F0">
        <w:rPr>
          <w:b/>
          <w:sz w:val="24"/>
          <w:szCs w:val="24"/>
        </w:rPr>
        <w:t xml:space="preserve"> but little used strategy</w:t>
      </w:r>
      <w:r w:rsidR="00D55F24" w:rsidRPr="00E772F0">
        <w:rPr>
          <w:b/>
          <w:sz w:val="24"/>
          <w:szCs w:val="24"/>
        </w:rPr>
        <w:t>,</w:t>
      </w:r>
      <w:r w:rsidRPr="00E772F0">
        <w:rPr>
          <w:b/>
          <w:sz w:val="24"/>
          <w:szCs w:val="24"/>
        </w:rPr>
        <w:t xml:space="preserve"> for enabling drinkers to track their alcohol intake </w:t>
      </w:r>
      <w:r w:rsidR="00D55F24" w:rsidRPr="00E772F0">
        <w:rPr>
          <w:b/>
          <w:sz w:val="24"/>
          <w:szCs w:val="24"/>
        </w:rPr>
        <w:t xml:space="preserve">and potentially conform </w:t>
      </w:r>
      <w:r w:rsidRPr="00E772F0">
        <w:rPr>
          <w:b/>
          <w:sz w:val="24"/>
          <w:szCs w:val="24"/>
        </w:rPr>
        <w:t>to low-risk drinking guidelines</w:t>
      </w:r>
      <w:r w:rsidRPr="00BD2E7B">
        <w:rPr>
          <w:sz w:val="24"/>
          <w:szCs w:val="24"/>
        </w:rPr>
        <w:t>.</w:t>
      </w:r>
      <w:r w:rsidR="00D55F24" w:rsidRPr="00BD2E7B">
        <w:rPr>
          <w:sz w:val="24"/>
          <w:szCs w:val="24"/>
        </w:rPr>
        <w:t xml:space="preserve"> An added benefit of health labelling, over and above the benefit of communicating the risks associated with alcohol use, is the </w:t>
      </w:r>
      <w:r w:rsidRPr="00BD2E7B">
        <w:rPr>
          <w:sz w:val="24"/>
          <w:szCs w:val="24"/>
        </w:rPr>
        <w:t>labelling</w:t>
      </w:r>
      <w:r w:rsidR="00D55F24" w:rsidRPr="00BD2E7B">
        <w:rPr>
          <w:sz w:val="24"/>
          <w:szCs w:val="24"/>
        </w:rPr>
        <w:t xml:space="preserve"> of the </w:t>
      </w:r>
      <w:r w:rsidRPr="00BD2E7B">
        <w:rPr>
          <w:sz w:val="24"/>
          <w:szCs w:val="24"/>
        </w:rPr>
        <w:t xml:space="preserve">number of standard drinks on </w:t>
      </w:r>
      <w:r w:rsidR="00D55F24" w:rsidRPr="00BD2E7B">
        <w:rPr>
          <w:sz w:val="24"/>
          <w:szCs w:val="24"/>
        </w:rPr>
        <w:t xml:space="preserve">the </w:t>
      </w:r>
      <w:r w:rsidRPr="00BD2E7B">
        <w:rPr>
          <w:sz w:val="24"/>
          <w:szCs w:val="24"/>
        </w:rPr>
        <w:t>alcohol container</w:t>
      </w:r>
      <w:r w:rsidR="00D55F24" w:rsidRPr="00BD2E7B">
        <w:rPr>
          <w:sz w:val="24"/>
          <w:szCs w:val="24"/>
        </w:rPr>
        <w:t xml:space="preserve"> which </w:t>
      </w:r>
      <w:r w:rsidR="00FB4034" w:rsidRPr="00BD2E7B">
        <w:rPr>
          <w:sz w:val="24"/>
          <w:szCs w:val="24"/>
        </w:rPr>
        <w:t xml:space="preserve">can </w:t>
      </w:r>
      <w:r w:rsidR="00D55F24" w:rsidRPr="00BD2E7B">
        <w:rPr>
          <w:sz w:val="24"/>
          <w:szCs w:val="24"/>
        </w:rPr>
        <w:t>provide opportunities for greater awareness of</w:t>
      </w:r>
      <w:r w:rsidRPr="00BD2E7B">
        <w:rPr>
          <w:sz w:val="24"/>
          <w:szCs w:val="24"/>
        </w:rPr>
        <w:t xml:space="preserve"> low-risk drinking guidelines.</w:t>
      </w:r>
    </w:p>
    <w:p w:rsidR="008653A5" w:rsidRPr="00BE205A" w:rsidRDefault="00302ABA" w:rsidP="00BE205A">
      <w:pPr>
        <w:spacing w:after="120"/>
        <w:rPr>
          <w:sz w:val="24"/>
          <w:szCs w:val="24"/>
        </w:rPr>
      </w:pPr>
      <w:r w:rsidRPr="00BD2E7B">
        <w:rPr>
          <w:sz w:val="24"/>
          <w:szCs w:val="24"/>
        </w:rPr>
        <w:t>The low risk drinking guidelines (weekly) in Ireland had traditionally followed the UK guide</w:t>
      </w:r>
      <w:r w:rsidR="00FB4034" w:rsidRPr="00BD2E7B">
        <w:rPr>
          <w:sz w:val="24"/>
          <w:szCs w:val="24"/>
        </w:rPr>
        <w:t>,</w:t>
      </w:r>
      <w:r w:rsidRPr="00BD2E7B">
        <w:rPr>
          <w:sz w:val="24"/>
          <w:szCs w:val="24"/>
        </w:rPr>
        <w:t xml:space="preserve"> using the UK unit of 8 grams. However, a study published</w:t>
      </w:r>
      <w:r w:rsidR="00FB4034" w:rsidRPr="00BD2E7B">
        <w:rPr>
          <w:sz w:val="24"/>
          <w:szCs w:val="24"/>
        </w:rPr>
        <w:t xml:space="preserve"> in</w:t>
      </w:r>
      <w:r w:rsidRPr="00BD2E7B">
        <w:rPr>
          <w:sz w:val="24"/>
          <w:szCs w:val="24"/>
        </w:rPr>
        <w:t xml:space="preserve"> 2009 established that the standard drink in Ireland is 10 grams </w:t>
      </w:r>
      <w:r w:rsidR="00157CC6" w:rsidRPr="00BD2E7B">
        <w:rPr>
          <w:sz w:val="24"/>
          <w:szCs w:val="24"/>
        </w:rPr>
        <w:t>and</w:t>
      </w:r>
      <w:r w:rsidRPr="00BD2E7B">
        <w:rPr>
          <w:sz w:val="24"/>
          <w:szCs w:val="24"/>
        </w:rPr>
        <w:t xml:space="preserve"> recommended the upper weekly low risk drinking guidelines be revised to the 11/17 standard drinks to reflect that fact</w:t>
      </w:r>
      <w:r w:rsidR="00157CC6" w:rsidRPr="00BD2E7B">
        <w:rPr>
          <w:sz w:val="24"/>
          <w:szCs w:val="24"/>
        </w:rPr>
        <w:t xml:space="preserve"> (Hope, 2009)</w:t>
      </w:r>
      <w:r w:rsidRPr="00BD2E7B">
        <w:rPr>
          <w:sz w:val="24"/>
          <w:szCs w:val="24"/>
        </w:rPr>
        <w:t>.</w:t>
      </w:r>
      <w:r w:rsidR="00157CC6" w:rsidRPr="00BD2E7B">
        <w:rPr>
          <w:sz w:val="24"/>
          <w:szCs w:val="24"/>
        </w:rPr>
        <w:t xml:space="preserve"> </w:t>
      </w:r>
      <w:r w:rsidRPr="00BD2E7B">
        <w:rPr>
          <w:sz w:val="24"/>
          <w:szCs w:val="24"/>
        </w:rPr>
        <w:t>I</w:t>
      </w:r>
      <w:r w:rsidR="008653A5" w:rsidRPr="00BD2E7B">
        <w:rPr>
          <w:sz w:val="24"/>
          <w:szCs w:val="24"/>
        </w:rPr>
        <w:t>n Ireland, a</w:t>
      </w:r>
      <w:r w:rsidR="00543F26" w:rsidRPr="00BD2E7B">
        <w:rPr>
          <w:sz w:val="24"/>
          <w:szCs w:val="24"/>
        </w:rPr>
        <w:t xml:space="preserve"> survey conducted </w:t>
      </w:r>
      <w:r w:rsidR="00FF05DC">
        <w:rPr>
          <w:sz w:val="24"/>
          <w:szCs w:val="24"/>
        </w:rPr>
        <w:t>in 201</w:t>
      </w:r>
      <w:r w:rsidR="008653A5" w:rsidRPr="00BD2E7B">
        <w:rPr>
          <w:sz w:val="24"/>
          <w:szCs w:val="24"/>
        </w:rPr>
        <w:t xml:space="preserve">2 </w:t>
      </w:r>
      <w:r w:rsidR="00543F26" w:rsidRPr="00BD2E7B">
        <w:rPr>
          <w:sz w:val="24"/>
          <w:szCs w:val="24"/>
        </w:rPr>
        <w:t xml:space="preserve">by </w:t>
      </w:r>
      <w:proofErr w:type="spellStart"/>
      <w:r w:rsidR="00543F26" w:rsidRPr="00BD2E7B">
        <w:rPr>
          <w:sz w:val="24"/>
          <w:szCs w:val="24"/>
        </w:rPr>
        <w:t>Ipsos</w:t>
      </w:r>
      <w:proofErr w:type="spellEnd"/>
      <w:r w:rsidR="00543F26" w:rsidRPr="00BD2E7B">
        <w:rPr>
          <w:sz w:val="24"/>
          <w:szCs w:val="24"/>
        </w:rPr>
        <w:t xml:space="preserve"> MRBI</w:t>
      </w:r>
      <w:r w:rsidR="008653A5" w:rsidRPr="00BD2E7B">
        <w:rPr>
          <w:sz w:val="24"/>
          <w:szCs w:val="24"/>
        </w:rPr>
        <w:t xml:space="preserve"> on behalf of the Health Research Board</w:t>
      </w:r>
      <w:r w:rsidR="00543F26" w:rsidRPr="00BD2E7B">
        <w:rPr>
          <w:sz w:val="24"/>
          <w:szCs w:val="24"/>
        </w:rPr>
        <w:t xml:space="preserve">, </w:t>
      </w:r>
      <w:r w:rsidR="008653A5" w:rsidRPr="00BD2E7B">
        <w:rPr>
          <w:sz w:val="24"/>
          <w:szCs w:val="24"/>
        </w:rPr>
        <w:t xml:space="preserve">showed that </w:t>
      </w:r>
      <w:r w:rsidR="00543F26" w:rsidRPr="00BD2E7B">
        <w:rPr>
          <w:sz w:val="24"/>
          <w:szCs w:val="24"/>
        </w:rPr>
        <w:t xml:space="preserve">very few people </w:t>
      </w:r>
      <w:r w:rsidR="00543F26" w:rsidRPr="00BD2E7B">
        <w:rPr>
          <w:rFonts w:eastAsia="Times New Roman" w:cstheme="minorHAnsi"/>
          <w:sz w:val="24"/>
          <w:szCs w:val="24"/>
          <w:lang w:eastAsia="en-IE"/>
        </w:rPr>
        <w:t>understand</w:t>
      </w:r>
      <w:r w:rsidR="00543F26" w:rsidRPr="00BD2E7B">
        <w:rPr>
          <w:sz w:val="24"/>
          <w:szCs w:val="24"/>
        </w:rPr>
        <w:t xml:space="preserve"> what a standard drink</w:t>
      </w:r>
      <w:r w:rsidR="00543F26" w:rsidRPr="00BD2E7B">
        <w:rPr>
          <w:color w:val="548DD4" w:themeColor="text2" w:themeTint="99"/>
          <w:sz w:val="24"/>
          <w:szCs w:val="24"/>
        </w:rPr>
        <w:t xml:space="preserve"> </w:t>
      </w:r>
      <w:r w:rsidR="00543F26" w:rsidRPr="00BD2E7B">
        <w:rPr>
          <w:sz w:val="24"/>
          <w:szCs w:val="24"/>
        </w:rPr>
        <w:t>is</w:t>
      </w:r>
      <w:r w:rsidRPr="00BD2E7B">
        <w:rPr>
          <w:sz w:val="24"/>
          <w:szCs w:val="24"/>
        </w:rPr>
        <w:t>. Only one in ten (9%) people knew the low risk drinking guideline weekly upper limit</w:t>
      </w:r>
      <w:r w:rsidR="000F1D15" w:rsidRPr="00BD2E7B">
        <w:rPr>
          <w:sz w:val="24"/>
          <w:szCs w:val="24"/>
        </w:rPr>
        <w:t xml:space="preserve"> (old limits)</w:t>
      </w:r>
      <w:r w:rsidRPr="00BD2E7B">
        <w:rPr>
          <w:sz w:val="24"/>
          <w:szCs w:val="24"/>
        </w:rPr>
        <w:t xml:space="preserve"> of 14 </w:t>
      </w:r>
      <w:r w:rsidR="00FB4034" w:rsidRPr="00BD2E7B">
        <w:rPr>
          <w:sz w:val="24"/>
          <w:szCs w:val="24"/>
        </w:rPr>
        <w:t>standard drinks</w:t>
      </w:r>
      <w:r w:rsidRPr="00BD2E7B">
        <w:rPr>
          <w:sz w:val="24"/>
          <w:szCs w:val="24"/>
        </w:rPr>
        <w:t xml:space="preserve"> for women and 21 for men. </w:t>
      </w:r>
      <w:r w:rsidR="00FB4034" w:rsidRPr="00BD2E7B">
        <w:rPr>
          <w:sz w:val="24"/>
          <w:szCs w:val="24"/>
        </w:rPr>
        <w:t xml:space="preserve"> T</w:t>
      </w:r>
      <w:r w:rsidRPr="00BD2E7B">
        <w:rPr>
          <w:sz w:val="24"/>
          <w:szCs w:val="24"/>
        </w:rPr>
        <w:t>he majority support</w:t>
      </w:r>
      <w:r w:rsidR="00FB4034" w:rsidRPr="00BD2E7B">
        <w:rPr>
          <w:sz w:val="24"/>
          <w:szCs w:val="24"/>
        </w:rPr>
        <w:t>ed</w:t>
      </w:r>
      <w:r w:rsidR="008653A5" w:rsidRPr="00BD2E7B">
        <w:rPr>
          <w:sz w:val="24"/>
          <w:szCs w:val="24"/>
        </w:rPr>
        <w:t xml:space="preserve"> labelling alcohol containers to include calories, alcoholic strength, ingredient</w:t>
      </w:r>
      <w:r w:rsidRPr="00BD2E7B">
        <w:rPr>
          <w:sz w:val="24"/>
          <w:szCs w:val="24"/>
        </w:rPr>
        <w:t xml:space="preserve">s and health warnings (82%-98%).  </w:t>
      </w:r>
      <w:r w:rsidR="00157CC6" w:rsidRPr="00BD2E7B">
        <w:rPr>
          <w:sz w:val="24"/>
          <w:szCs w:val="24"/>
        </w:rPr>
        <w:t>Therefore</w:t>
      </w:r>
      <w:r w:rsidR="00FB4034" w:rsidRPr="00BD2E7B">
        <w:rPr>
          <w:sz w:val="24"/>
          <w:szCs w:val="24"/>
        </w:rPr>
        <w:t>,</w:t>
      </w:r>
      <w:r w:rsidR="00157CC6" w:rsidRPr="00BD2E7B">
        <w:rPr>
          <w:sz w:val="24"/>
          <w:szCs w:val="24"/>
        </w:rPr>
        <w:t xml:space="preserve"> the information</w:t>
      </w:r>
      <w:r w:rsidR="00613DBD">
        <w:rPr>
          <w:sz w:val="24"/>
          <w:szCs w:val="24"/>
        </w:rPr>
        <w:t xml:space="preserve"> and opportunity </w:t>
      </w:r>
      <w:r w:rsidR="00157CC6" w:rsidRPr="00BD2E7B">
        <w:rPr>
          <w:sz w:val="24"/>
          <w:szCs w:val="24"/>
        </w:rPr>
        <w:t>is now available to ensure that the standard drink is explicitly stated on the label of alcohol containers sold in Ireland, which has a high level of public support.</w:t>
      </w:r>
      <w:r w:rsidR="000F1D15" w:rsidRPr="00BD2E7B">
        <w:rPr>
          <w:sz w:val="24"/>
          <w:szCs w:val="24"/>
        </w:rPr>
        <w:t xml:space="preserve">  The proposed Framework for Alcohol regulation and Enforcemen</w:t>
      </w:r>
      <w:r w:rsidR="00BE205A" w:rsidRPr="00BD2E7B">
        <w:rPr>
          <w:sz w:val="24"/>
          <w:szCs w:val="24"/>
        </w:rPr>
        <w:t xml:space="preserve">t could </w:t>
      </w:r>
      <w:r w:rsidR="000F1D15" w:rsidRPr="00BD2E7B">
        <w:rPr>
          <w:sz w:val="24"/>
          <w:szCs w:val="24"/>
        </w:rPr>
        <w:t>equally apply to health labelling. The content of the health label and the enforcement mechanisms should be the responsibility of the Department of Health with delegated responsibility to the Health Service Executive.</w:t>
      </w:r>
    </w:p>
    <w:p w:rsidR="00DB4581" w:rsidRPr="00403B88" w:rsidRDefault="0063169C" w:rsidP="00094268">
      <w:pPr>
        <w:spacing w:after="0" w:line="240" w:lineRule="auto"/>
        <w:rPr>
          <w:b/>
        </w:rPr>
      </w:pPr>
      <w:r w:rsidRPr="00403B88">
        <w:rPr>
          <w:b/>
        </w:rPr>
        <w:lastRenderedPageBreak/>
        <w:t>References</w:t>
      </w:r>
    </w:p>
    <w:p w:rsidR="0021141C" w:rsidRPr="00EE7294" w:rsidRDefault="0021141C" w:rsidP="0021141C">
      <w:pPr>
        <w:spacing w:after="0" w:line="240" w:lineRule="auto"/>
        <w:rPr>
          <w:color w:val="002060"/>
          <w:lang w:val="en-GB"/>
        </w:rPr>
      </w:pPr>
    </w:p>
    <w:p w:rsidR="00D46F21" w:rsidRPr="0002625F" w:rsidRDefault="00D46F21" w:rsidP="009E373D">
      <w:pPr>
        <w:spacing w:after="120" w:line="240" w:lineRule="auto"/>
        <w:rPr>
          <w:lang w:val="en-GB"/>
        </w:rPr>
      </w:pPr>
      <w:proofErr w:type="gramStart"/>
      <w:r w:rsidRPr="0002625F">
        <w:rPr>
          <w:lang w:val="en-GB"/>
        </w:rPr>
        <w:t>Adams J, Coleman J &amp; White M. (2014).</w:t>
      </w:r>
      <w:proofErr w:type="gramEnd"/>
      <w:r w:rsidRPr="0002625F">
        <w:rPr>
          <w:lang w:val="en-GB"/>
        </w:rPr>
        <w:t xml:space="preserve"> Alcohol marketing in televised international football: frequency analysis. </w:t>
      </w:r>
      <w:r w:rsidRPr="0002625F">
        <w:rPr>
          <w:i/>
          <w:lang w:val="en-GB"/>
        </w:rPr>
        <w:t>BMC Public Health</w:t>
      </w:r>
      <w:r w:rsidRPr="0002625F">
        <w:rPr>
          <w:lang w:val="en-GB"/>
        </w:rPr>
        <w:t>, 14:473. http//www.biomedcentre.com/1471-2458/14/473, last accessed 9 May 2014.</w:t>
      </w:r>
    </w:p>
    <w:p w:rsidR="00C740CF" w:rsidRPr="009E373D" w:rsidRDefault="00C740CF" w:rsidP="009E373D">
      <w:pPr>
        <w:spacing w:after="120" w:line="240" w:lineRule="auto"/>
        <w:rPr>
          <w:rFonts w:eastAsia="Times New Roman" w:cs="Times New Roman"/>
          <w:lang w:eastAsia="en-IE"/>
        </w:rPr>
      </w:pPr>
      <w:proofErr w:type="gramStart"/>
      <w:r w:rsidRPr="009E373D">
        <w:rPr>
          <w:rFonts w:eastAsia="Times New Roman" w:cs="Times New Roman"/>
          <w:lang w:eastAsia="en-IE"/>
        </w:rPr>
        <w:t>Alcohol Concern.</w:t>
      </w:r>
      <w:proofErr w:type="gramEnd"/>
      <w:r w:rsidRPr="009E373D">
        <w:rPr>
          <w:rFonts w:eastAsia="Times New Roman" w:cs="Times New Roman"/>
          <w:lang w:eastAsia="en-IE"/>
        </w:rPr>
        <w:t xml:space="preserve"> (2000) Alcohol Related Accidents at Work, London: Alcohol Concern. </w:t>
      </w:r>
    </w:p>
    <w:p w:rsidR="00C740CF" w:rsidRPr="00251F38" w:rsidRDefault="00C740CF" w:rsidP="009E373D">
      <w:pPr>
        <w:spacing w:after="120" w:line="240" w:lineRule="auto"/>
        <w:rPr>
          <w:rFonts w:eastAsia="Times New Roman" w:cs="Times New Roman"/>
          <w:lang w:eastAsia="en-IE"/>
        </w:rPr>
      </w:pPr>
      <w:proofErr w:type="gramStart"/>
      <w:r w:rsidRPr="009E373D">
        <w:rPr>
          <w:rFonts w:cs="ArialNarrow"/>
        </w:rPr>
        <w:t xml:space="preserve">Anderson, P. &amp; </w:t>
      </w:r>
      <w:proofErr w:type="spellStart"/>
      <w:r w:rsidRPr="009E373D">
        <w:rPr>
          <w:rFonts w:cs="ArialNarrow"/>
        </w:rPr>
        <w:t>Baumberg</w:t>
      </w:r>
      <w:proofErr w:type="spellEnd"/>
      <w:r w:rsidRPr="009E373D">
        <w:rPr>
          <w:rFonts w:cs="ArialNarrow"/>
        </w:rPr>
        <w:t>, B. (2006) Alcohol in Europe.</w:t>
      </w:r>
      <w:proofErr w:type="gramEnd"/>
      <w:r w:rsidRPr="009E373D">
        <w:rPr>
          <w:rFonts w:cs="ArialNarrow"/>
        </w:rPr>
        <w:t xml:space="preserve"> London: Institute of Alcohol Studies.</w:t>
      </w:r>
    </w:p>
    <w:p w:rsidR="00214B3E" w:rsidRPr="00183220" w:rsidRDefault="00214B3E" w:rsidP="009E373D">
      <w:pPr>
        <w:spacing w:after="120" w:line="240" w:lineRule="auto"/>
        <w:rPr>
          <w:rFonts w:cs="Lucida Sans Unicode"/>
        </w:rPr>
      </w:pPr>
      <w:r w:rsidRPr="00183220">
        <w:rPr>
          <w:rFonts w:cs="Lucida Sans Unicode"/>
        </w:rPr>
        <w:t xml:space="preserve">Anderson P, </w:t>
      </w:r>
      <w:proofErr w:type="spellStart"/>
      <w:r w:rsidRPr="00183220">
        <w:rPr>
          <w:rFonts w:cs="Lucida Sans Unicode"/>
        </w:rPr>
        <w:t>Møller</w:t>
      </w:r>
      <w:proofErr w:type="spellEnd"/>
      <w:r w:rsidRPr="00183220">
        <w:rPr>
          <w:rFonts w:cs="Lucida Sans Unicode"/>
        </w:rPr>
        <w:t xml:space="preserve"> </w:t>
      </w:r>
      <w:proofErr w:type="gramStart"/>
      <w:r w:rsidRPr="00183220">
        <w:rPr>
          <w:rFonts w:cs="Lucida Sans Unicode"/>
        </w:rPr>
        <w:t>L  &amp;</w:t>
      </w:r>
      <w:proofErr w:type="gramEnd"/>
      <w:r w:rsidRPr="00183220">
        <w:rPr>
          <w:rFonts w:cs="Lucida Sans Unicode"/>
        </w:rPr>
        <w:t xml:space="preserve"> </w:t>
      </w:r>
      <w:proofErr w:type="spellStart"/>
      <w:r w:rsidRPr="00183220">
        <w:rPr>
          <w:rFonts w:cs="Lucida Sans Unicode"/>
        </w:rPr>
        <w:t>Galea</w:t>
      </w:r>
      <w:proofErr w:type="spellEnd"/>
      <w:r w:rsidRPr="00183220">
        <w:rPr>
          <w:rFonts w:cs="Lucida Sans Unicode"/>
        </w:rPr>
        <w:t xml:space="preserve"> G (2012).  </w:t>
      </w:r>
      <w:r w:rsidRPr="00183220">
        <w:rPr>
          <w:rFonts w:cs="Lucida Sans Unicode"/>
          <w:i/>
        </w:rPr>
        <w:t>Alcohol in the European Union: Consumption, harm and policy approaches</w:t>
      </w:r>
      <w:r w:rsidRPr="00183220">
        <w:rPr>
          <w:rFonts w:cs="Lucida Sans Unicode"/>
        </w:rPr>
        <w:t>. Copenhagen: WHO Regional Office for Europe.</w:t>
      </w:r>
    </w:p>
    <w:p w:rsidR="004E32D6" w:rsidRPr="00214B3E" w:rsidRDefault="004E32D6" w:rsidP="009E373D">
      <w:pPr>
        <w:autoSpaceDE w:val="0"/>
        <w:autoSpaceDN w:val="0"/>
        <w:adjustRightInd w:val="0"/>
        <w:spacing w:after="120" w:line="240" w:lineRule="auto"/>
        <w:rPr>
          <w:rFonts w:cs="Univers-Light"/>
        </w:rPr>
      </w:pPr>
      <w:proofErr w:type="gramStart"/>
      <w:r w:rsidRPr="00214B3E">
        <w:rPr>
          <w:rFonts w:cs="Univers-Light"/>
          <w:sz w:val="20"/>
          <w:szCs w:val="20"/>
        </w:rPr>
        <w:t>Ander</w:t>
      </w:r>
      <w:r w:rsidR="00214B3E" w:rsidRPr="00214B3E">
        <w:rPr>
          <w:rFonts w:cs="Univers-Light"/>
          <w:sz w:val="20"/>
          <w:szCs w:val="20"/>
        </w:rPr>
        <w:t xml:space="preserve">son P, Chisholm D, </w:t>
      </w:r>
      <w:proofErr w:type="spellStart"/>
      <w:r w:rsidR="00214B3E" w:rsidRPr="00214B3E">
        <w:rPr>
          <w:rFonts w:cs="Univers-Light"/>
          <w:sz w:val="20"/>
          <w:szCs w:val="20"/>
        </w:rPr>
        <w:t>Fuhr</w:t>
      </w:r>
      <w:proofErr w:type="spellEnd"/>
      <w:r w:rsidR="00214B3E" w:rsidRPr="00214B3E">
        <w:rPr>
          <w:rFonts w:cs="Univers-Light"/>
          <w:sz w:val="20"/>
          <w:szCs w:val="20"/>
        </w:rPr>
        <w:t xml:space="preserve"> D (2009a</w:t>
      </w:r>
      <w:r w:rsidRPr="00214B3E">
        <w:rPr>
          <w:rFonts w:cs="Univers-Light"/>
          <w:sz w:val="20"/>
          <w:szCs w:val="20"/>
        </w:rPr>
        <w:t>).</w:t>
      </w:r>
      <w:proofErr w:type="gramEnd"/>
      <w:r w:rsidRPr="00214B3E">
        <w:rPr>
          <w:rFonts w:cs="Univers-Light"/>
          <w:sz w:val="20"/>
          <w:szCs w:val="20"/>
        </w:rPr>
        <w:t xml:space="preserve"> </w:t>
      </w:r>
      <w:proofErr w:type="gramStart"/>
      <w:r w:rsidRPr="00214B3E">
        <w:rPr>
          <w:rFonts w:cs="Univers-Light"/>
          <w:sz w:val="20"/>
          <w:szCs w:val="20"/>
        </w:rPr>
        <w:t>Effectiveness and cost-effectiveness of policies and programmes to reduce the harm caused by alcohol.</w:t>
      </w:r>
      <w:proofErr w:type="gramEnd"/>
      <w:r w:rsidRPr="00214B3E">
        <w:rPr>
          <w:rFonts w:cs="Univers-Light"/>
          <w:sz w:val="20"/>
          <w:szCs w:val="20"/>
        </w:rPr>
        <w:t xml:space="preserve"> </w:t>
      </w:r>
      <w:proofErr w:type="gramStart"/>
      <w:r w:rsidRPr="00BE4566">
        <w:rPr>
          <w:rFonts w:cs="Univers-Light"/>
          <w:i/>
          <w:sz w:val="20"/>
          <w:szCs w:val="20"/>
        </w:rPr>
        <w:t>Lancet.</w:t>
      </w:r>
      <w:proofErr w:type="gramEnd"/>
      <w:r w:rsidRPr="00214B3E">
        <w:rPr>
          <w:rFonts w:cs="Univers-Light"/>
          <w:sz w:val="20"/>
          <w:szCs w:val="20"/>
        </w:rPr>
        <w:t xml:space="preserve"> 373(9682): 2234–46.</w:t>
      </w:r>
    </w:p>
    <w:p w:rsidR="00214B3E" w:rsidRPr="00214B3E" w:rsidRDefault="00214B3E" w:rsidP="009E373D">
      <w:pPr>
        <w:autoSpaceDE w:val="0"/>
        <w:autoSpaceDN w:val="0"/>
        <w:adjustRightInd w:val="0"/>
        <w:spacing w:after="120" w:line="240" w:lineRule="auto"/>
        <w:rPr>
          <w:rFonts w:cs="Univers-Light"/>
        </w:rPr>
      </w:pPr>
      <w:proofErr w:type="gramStart"/>
      <w:r w:rsidRPr="00214B3E">
        <w:rPr>
          <w:rFonts w:cs="Univers-Light"/>
        </w:rPr>
        <w:t xml:space="preserve">Anderson P, de </w:t>
      </w:r>
      <w:proofErr w:type="spellStart"/>
      <w:r w:rsidRPr="00214B3E">
        <w:rPr>
          <w:rFonts w:cs="Univers-Light"/>
        </w:rPr>
        <w:t>Bruijn</w:t>
      </w:r>
      <w:proofErr w:type="spellEnd"/>
      <w:r w:rsidRPr="00214B3E">
        <w:rPr>
          <w:rFonts w:cs="Univers-Light"/>
        </w:rPr>
        <w:t xml:space="preserve"> A, Angu</w:t>
      </w:r>
      <w:r>
        <w:rPr>
          <w:rFonts w:cs="Univers-Light"/>
        </w:rPr>
        <w:t>s K, Gordon R, Hastings G (2009b</w:t>
      </w:r>
      <w:r w:rsidRPr="00214B3E">
        <w:rPr>
          <w:rFonts w:cs="Univers-Light"/>
        </w:rPr>
        <w:t>).</w:t>
      </w:r>
      <w:proofErr w:type="gramEnd"/>
      <w:r w:rsidRPr="00214B3E">
        <w:rPr>
          <w:rFonts w:cs="Univers-Light"/>
        </w:rPr>
        <w:t xml:space="preserve"> Impact of alcohol advertising and media exposure on adolescent alcohol use: a systematic review of longitudinal studies. </w:t>
      </w:r>
      <w:proofErr w:type="gramStart"/>
      <w:r w:rsidRPr="00BE4566">
        <w:rPr>
          <w:rFonts w:cs="Univers-Light"/>
          <w:i/>
        </w:rPr>
        <w:t xml:space="preserve">Alcohol </w:t>
      </w:r>
      <w:proofErr w:type="spellStart"/>
      <w:r w:rsidRPr="00BE4566">
        <w:rPr>
          <w:rFonts w:cs="Univers-Light"/>
          <w:i/>
        </w:rPr>
        <w:t>Alcohol</w:t>
      </w:r>
      <w:proofErr w:type="spellEnd"/>
      <w:r w:rsidRPr="00BE4566">
        <w:rPr>
          <w:rFonts w:cs="Univers-Light"/>
          <w:i/>
        </w:rPr>
        <w:t>.</w:t>
      </w:r>
      <w:proofErr w:type="gramEnd"/>
      <w:r w:rsidRPr="00214B3E">
        <w:rPr>
          <w:rFonts w:cs="Univers-Light"/>
        </w:rPr>
        <w:t xml:space="preserve"> 44:229–43. </w:t>
      </w:r>
      <w:proofErr w:type="spellStart"/>
      <w:proofErr w:type="gramStart"/>
      <w:r w:rsidRPr="00214B3E">
        <w:rPr>
          <w:rFonts w:cs="Univers-Light"/>
        </w:rPr>
        <w:t>doi</w:t>
      </w:r>
      <w:proofErr w:type="spellEnd"/>
      <w:proofErr w:type="gramEnd"/>
      <w:r w:rsidRPr="00214B3E">
        <w:rPr>
          <w:rFonts w:cs="Univers-Light"/>
        </w:rPr>
        <w:t>: 10.1093/</w:t>
      </w:r>
      <w:proofErr w:type="spellStart"/>
      <w:r w:rsidRPr="00214B3E">
        <w:rPr>
          <w:rFonts w:cs="Univers-Light"/>
        </w:rPr>
        <w:t>alcalc</w:t>
      </w:r>
      <w:proofErr w:type="spellEnd"/>
      <w:r w:rsidRPr="00214B3E">
        <w:rPr>
          <w:rFonts w:cs="Univers-Light"/>
        </w:rPr>
        <w:t>/agn115.</w:t>
      </w:r>
    </w:p>
    <w:p w:rsidR="00FA39FF" w:rsidRPr="00FA39FF" w:rsidRDefault="00FA39FF" w:rsidP="009E373D">
      <w:pPr>
        <w:autoSpaceDE w:val="0"/>
        <w:autoSpaceDN w:val="0"/>
        <w:adjustRightInd w:val="0"/>
        <w:spacing w:after="120" w:line="240" w:lineRule="auto"/>
        <w:rPr>
          <w:rFonts w:cs="Univers-Light"/>
        </w:rPr>
      </w:pPr>
      <w:proofErr w:type="gramStart"/>
      <w:r w:rsidRPr="00FA39FF">
        <w:rPr>
          <w:rFonts w:cs="Univers-Light"/>
        </w:rPr>
        <w:t xml:space="preserve">Anderson P, </w:t>
      </w:r>
      <w:proofErr w:type="spellStart"/>
      <w:r w:rsidRPr="00FA39FF">
        <w:rPr>
          <w:rFonts w:cs="Univers-Light"/>
        </w:rPr>
        <w:t>Baumberg</w:t>
      </w:r>
      <w:proofErr w:type="spellEnd"/>
      <w:r w:rsidRPr="00FA39FF">
        <w:rPr>
          <w:rFonts w:cs="Univers-Light"/>
        </w:rPr>
        <w:t xml:space="preserve"> B (2006).</w:t>
      </w:r>
      <w:proofErr w:type="gramEnd"/>
      <w:r w:rsidRPr="00FA39FF">
        <w:rPr>
          <w:rFonts w:cs="Univers-Light"/>
        </w:rPr>
        <w:t xml:space="preserve"> </w:t>
      </w:r>
      <w:proofErr w:type="gramStart"/>
      <w:r w:rsidRPr="00BE4566">
        <w:rPr>
          <w:rFonts w:cs="Univers-Light"/>
          <w:i/>
        </w:rPr>
        <w:t>Alcohol in Europe – A public health perspective.</w:t>
      </w:r>
      <w:proofErr w:type="gramEnd"/>
      <w:r w:rsidRPr="00BE4566">
        <w:rPr>
          <w:rFonts w:cs="Univers-Light"/>
          <w:i/>
        </w:rPr>
        <w:t xml:space="preserve"> </w:t>
      </w:r>
      <w:proofErr w:type="gramStart"/>
      <w:r w:rsidRPr="00BE4566">
        <w:rPr>
          <w:rFonts w:cs="Univers-Light"/>
          <w:i/>
        </w:rPr>
        <w:t>A report for the European Commission</w:t>
      </w:r>
      <w:r w:rsidRPr="00FA39FF">
        <w:rPr>
          <w:rFonts w:cs="Univers-Light"/>
        </w:rPr>
        <w:t>.</w:t>
      </w:r>
      <w:proofErr w:type="gramEnd"/>
      <w:r w:rsidRPr="00FA39FF">
        <w:rPr>
          <w:rFonts w:cs="Univers-Light"/>
        </w:rPr>
        <w:t xml:space="preserve"> England: Institute of Alcohol Studies.</w:t>
      </w:r>
    </w:p>
    <w:p w:rsidR="000E082B" w:rsidRPr="000E082B" w:rsidRDefault="000E082B" w:rsidP="009E373D">
      <w:pPr>
        <w:autoSpaceDE w:val="0"/>
        <w:autoSpaceDN w:val="0"/>
        <w:adjustRightInd w:val="0"/>
        <w:spacing w:after="120" w:line="240" w:lineRule="auto"/>
        <w:rPr>
          <w:rFonts w:cs="Univers-Light"/>
        </w:rPr>
      </w:pPr>
      <w:proofErr w:type="spellStart"/>
      <w:r w:rsidRPr="000E082B">
        <w:rPr>
          <w:rFonts w:cs="Univers-Light"/>
        </w:rPr>
        <w:t>Babor</w:t>
      </w:r>
      <w:proofErr w:type="spellEnd"/>
      <w:r w:rsidRPr="000E082B">
        <w:rPr>
          <w:rFonts w:cs="Univers-Light"/>
        </w:rPr>
        <w:t xml:space="preserve"> T, Caetano R, </w:t>
      </w:r>
      <w:proofErr w:type="spellStart"/>
      <w:r w:rsidRPr="000E082B">
        <w:rPr>
          <w:rFonts w:cs="Univers-Light"/>
        </w:rPr>
        <w:t>Casswell</w:t>
      </w:r>
      <w:proofErr w:type="spellEnd"/>
      <w:r w:rsidRPr="000E082B">
        <w:rPr>
          <w:rFonts w:cs="Univers-Light"/>
        </w:rPr>
        <w:t xml:space="preserve"> S, Edwards G, </w:t>
      </w:r>
      <w:proofErr w:type="spellStart"/>
      <w:r w:rsidRPr="000E082B">
        <w:rPr>
          <w:rFonts w:cs="Univers-Light"/>
        </w:rPr>
        <w:t>Giesbrecht</w:t>
      </w:r>
      <w:proofErr w:type="spellEnd"/>
      <w:r w:rsidRPr="000E082B">
        <w:rPr>
          <w:rFonts w:cs="Univers-Light"/>
        </w:rPr>
        <w:t xml:space="preserve"> N, Graham K et al. (2003). </w:t>
      </w:r>
      <w:r w:rsidRPr="00BE4566">
        <w:rPr>
          <w:rFonts w:cs="Univers-Light"/>
          <w:i/>
        </w:rPr>
        <w:t>Alcohol: no ordinary commodity – research and public policy</w:t>
      </w:r>
      <w:r w:rsidRPr="000E082B">
        <w:rPr>
          <w:rFonts w:cs="Univers-Light"/>
        </w:rPr>
        <w:t>. Oxford: Oxford University Press.</w:t>
      </w:r>
    </w:p>
    <w:p w:rsidR="00C740CF" w:rsidRPr="009E373D" w:rsidRDefault="00C740CF" w:rsidP="009E373D">
      <w:pPr>
        <w:spacing w:after="120" w:line="240" w:lineRule="auto"/>
        <w:rPr>
          <w:rFonts w:eastAsia="Times New Roman" w:cs="Times New Roman"/>
          <w:lang w:eastAsia="en-IE"/>
        </w:rPr>
      </w:pPr>
      <w:proofErr w:type="gramStart"/>
      <w:r w:rsidRPr="009E373D">
        <w:rPr>
          <w:rFonts w:eastAsia="Times New Roman" w:cs="Times New Roman"/>
          <w:lang w:eastAsia="en-IE"/>
        </w:rPr>
        <w:t>Bedford, A., O Farrell, J. &amp; Howell, F. (2006).</w:t>
      </w:r>
      <w:proofErr w:type="gramEnd"/>
      <w:r w:rsidRPr="009E373D">
        <w:rPr>
          <w:rFonts w:eastAsia="Times New Roman" w:cs="Times New Roman"/>
          <w:lang w:eastAsia="en-IE"/>
        </w:rPr>
        <w:t xml:space="preserve"> Blood Alcohol Levels in persons who died from accidents and suicide” </w:t>
      </w:r>
      <w:r w:rsidRPr="009E373D">
        <w:rPr>
          <w:rFonts w:eastAsia="Times New Roman" w:cs="Times New Roman"/>
          <w:i/>
          <w:lang w:eastAsia="en-IE"/>
        </w:rPr>
        <w:t>Irish Medical Journal</w:t>
      </w:r>
      <w:r w:rsidRPr="009E373D">
        <w:rPr>
          <w:rFonts w:eastAsia="Times New Roman" w:cs="Times New Roman"/>
          <w:lang w:eastAsia="en-IE"/>
        </w:rPr>
        <w:t xml:space="preserve">, 99 80-83 </w:t>
      </w:r>
    </w:p>
    <w:p w:rsidR="009E373D" w:rsidRDefault="00C75844" w:rsidP="009E373D">
      <w:pPr>
        <w:spacing w:after="120" w:line="240" w:lineRule="auto"/>
        <w:rPr>
          <w:lang w:val="en-GB"/>
        </w:rPr>
      </w:pPr>
      <w:r w:rsidRPr="009E373D">
        <w:rPr>
          <w:lang w:val="en-GB"/>
        </w:rPr>
        <w:t xml:space="preserve">Bradshaw T. (2011). </w:t>
      </w:r>
      <w:r w:rsidRPr="009E373D">
        <w:rPr>
          <w:i/>
          <w:lang w:val="en-GB"/>
        </w:rPr>
        <w:t>Facebook strikes Diageo advertising deal</w:t>
      </w:r>
      <w:r w:rsidRPr="009E373D">
        <w:rPr>
          <w:lang w:val="en-GB"/>
        </w:rPr>
        <w:t>, Financial Times, 18</w:t>
      </w:r>
      <w:r w:rsidRPr="009E373D">
        <w:rPr>
          <w:vertAlign w:val="superscript"/>
          <w:lang w:val="en-GB"/>
        </w:rPr>
        <w:t>th</w:t>
      </w:r>
      <w:r w:rsidR="009E373D">
        <w:rPr>
          <w:lang w:val="en-GB"/>
        </w:rPr>
        <w:t xml:space="preserve"> September.</w:t>
      </w:r>
    </w:p>
    <w:p w:rsidR="00C740CF" w:rsidRPr="009E373D" w:rsidRDefault="00C740CF" w:rsidP="009E373D">
      <w:pPr>
        <w:spacing w:after="120" w:line="240" w:lineRule="auto"/>
        <w:rPr>
          <w:lang w:val="en-GB"/>
        </w:rPr>
      </w:pPr>
      <w:r w:rsidRPr="009E373D">
        <w:rPr>
          <w:rFonts w:cs="ArialNarrow"/>
        </w:rPr>
        <w:t xml:space="preserve">Brady, J. (2006). </w:t>
      </w:r>
      <w:proofErr w:type="gramStart"/>
      <w:r w:rsidRPr="009E373D">
        <w:rPr>
          <w:rFonts w:cs="ArialNarrow"/>
        </w:rPr>
        <w:t>The association between alcohol misuse and suicidal behaviour.</w:t>
      </w:r>
      <w:proofErr w:type="gramEnd"/>
      <w:r w:rsidRPr="009E373D">
        <w:rPr>
          <w:rFonts w:cs="ArialNarrow"/>
        </w:rPr>
        <w:t xml:space="preserve"> </w:t>
      </w:r>
      <w:proofErr w:type="gramStart"/>
      <w:r w:rsidRPr="009E373D">
        <w:rPr>
          <w:rFonts w:cs="ArialNarrow,Italic"/>
          <w:i/>
          <w:iCs/>
        </w:rPr>
        <w:t xml:space="preserve">Alcohol and Alcoholism </w:t>
      </w:r>
      <w:proofErr w:type="spellStart"/>
      <w:r w:rsidRPr="009E373D">
        <w:rPr>
          <w:rFonts w:cs="ArialNarrow,Italic"/>
          <w:i/>
          <w:iCs/>
        </w:rPr>
        <w:t>vol</w:t>
      </w:r>
      <w:proofErr w:type="spellEnd"/>
      <w:r w:rsidRPr="009E373D">
        <w:rPr>
          <w:rFonts w:cs="ArialNarrow,Italic"/>
          <w:i/>
          <w:iCs/>
        </w:rPr>
        <w:t xml:space="preserve"> 41, 473-478.</w:t>
      </w:r>
      <w:proofErr w:type="gramEnd"/>
    </w:p>
    <w:p w:rsidR="00C740CF" w:rsidRPr="009E373D" w:rsidRDefault="00C740CF" w:rsidP="009E373D">
      <w:pPr>
        <w:spacing w:after="120" w:line="240" w:lineRule="auto"/>
        <w:rPr>
          <w:rFonts w:eastAsia="Times New Roman" w:cs="Times New Roman"/>
          <w:lang w:eastAsia="en-IE"/>
        </w:rPr>
      </w:pPr>
      <w:r w:rsidRPr="009E373D">
        <w:rPr>
          <w:rFonts w:eastAsia="Times New Roman" w:cs="Times New Roman"/>
          <w:lang w:eastAsia="en-IE"/>
        </w:rPr>
        <w:t xml:space="preserve">Byrne S (2010). </w:t>
      </w:r>
      <w:proofErr w:type="gramStart"/>
      <w:r w:rsidRPr="009E373D">
        <w:rPr>
          <w:rFonts w:eastAsia="Times New Roman" w:cs="Times New Roman"/>
          <w:i/>
          <w:lang w:eastAsia="en-IE"/>
        </w:rPr>
        <w:t>Costs to society of problem alcohol use in Ireland</w:t>
      </w:r>
      <w:r w:rsidRPr="009E373D">
        <w:rPr>
          <w:rFonts w:eastAsia="Times New Roman" w:cs="Times New Roman"/>
          <w:lang w:eastAsia="en-IE"/>
        </w:rPr>
        <w:t>.</w:t>
      </w:r>
      <w:proofErr w:type="gramEnd"/>
      <w:r w:rsidRPr="009E373D">
        <w:rPr>
          <w:rFonts w:eastAsia="Times New Roman" w:cs="Times New Roman"/>
          <w:lang w:eastAsia="en-IE"/>
        </w:rPr>
        <w:t xml:space="preserve"> Dublin: Health Service Executive.</w:t>
      </w:r>
    </w:p>
    <w:p w:rsidR="004E32D6" w:rsidRPr="004E32D6" w:rsidRDefault="004E32D6" w:rsidP="009E373D">
      <w:pPr>
        <w:autoSpaceDE w:val="0"/>
        <w:autoSpaceDN w:val="0"/>
        <w:adjustRightInd w:val="0"/>
        <w:spacing w:after="120" w:line="240" w:lineRule="auto"/>
        <w:rPr>
          <w:rFonts w:cs="Univers-Light"/>
          <w:sz w:val="20"/>
          <w:szCs w:val="20"/>
        </w:rPr>
      </w:pPr>
      <w:r w:rsidRPr="004E32D6">
        <w:rPr>
          <w:rFonts w:cs="Univers-Light"/>
          <w:sz w:val="20"/>
          <w:szCs w:val="20"/>
        </w:rPr>
        <w:t xml:space="preserve">Chisholm D, </w:t>
      </w:r>
      <w:proofErr w:type="spellStart"/>
      <w:r w:rsidRPr="004E32D6">
        <w:rPr>
          <w:rFonts w:cs="Univers-Light"/>
          <w:sz w:val="20"/>
          <w:szCs w:val="20"/>
        </w:rPr>
        <w:t>Rehm</w:t>
      </w:r>
      <w:proofErr w:type="spellEnd"/>
      <w:r w:rsidRPr="004E32D6">
        <w:rPr>
          <w:rFonts w:cs="Univers-Light"/>
          <w:sz w:val="20"/>
          <w:szCs w:val="20"/>
        </w:rPr>
        <w:t xml:space="preserve"> J, Van Ommeren M, Monteiro M (2004). </w:t>
      </w:r>
      <w:proofErr w:type="gramStart"/>
      <w:r w:rsidRPr="004E32D6">
        <w:rPr>
          <w:rFonts w:cs="Univers-Light"/>
          <w:sz w:val="20"/>
          <w:szCs w:val="20"/>
        </w:rPr>
        <w:t>Reducing the global burden of hazardous</w:t>
      </w:r>
      <w:r>
        <w:rPr>
          <w:rFonts w:cs="Univers-Light"/>
          <w:sz w:val="20"/>
          <w:szCs w:val="20"/>
        </w:rPr>
        <w:t xml:space="preserve"> </w:t>
      </w:r>
      <w:r w:rsidRPr="004E32D6">
        <w:rPr>
          <w:rFonts w:cs="Univers-Light"/>
          <w:sz w:val="20"/>
          <w:szCs w:val="20"/>
        </w:rPr>
        <w:t>alcohol use: a comparative cost-effectiveness analysis.</w:t>
      </w:r>
      <w:proofErr w:type="gramEnd"/>
      <w:r w:rsidRPr="004E32D6">
        <w:rPr>
          <w:rFonts w:cs="Univers-Light"/>
          <w:sz w:val="20"/>
          <w:szCs w:val="20"/>
        </w:rPr>
        <w:t xml:space="preserve"> </w:t>
      </w:r>
      <w:proofErr w:type="gramStart"/>
      <w:r w:rsidRPr="00BE4566">
        <w:rPr>
          <w:rFonts w:cs="Univers-Light"/>
          <w:i/>
          <w:sz w:val="20"/>
          <w:szCs w:val="20"/>
        </w:rPr>
        <w:t>J Stud Alcohol</w:t>
      </w:r>
      <w:r w:rsidRPr="004E32D6">
        <w:rPr>
          <w:rFonts w:cs="Univers-Light"/>
          <w:sz w:val="20"/>
          <w:szCs w:val="20"/>
        </w:rPr>
        <w:t>.</w:t>
      </w:r>
      <w:proofErr w:type="gramEnd"/>
      <w:r w:rsidRPr="004E32D6">
        <w:rPr>
          <w:rFonts w:cs="Univers-Light"/>
          <w:sz w:val="20"/>
          <w:szCs w:val="20"/>
        </w:rPr>
        <w:t xml:space="preserve"> 65:782−93.</w:t>
      </w:r>
    </w:p>
    <w:p w:rsidR="00A80481" w:rsidRDefault="00A80481" w:rsidP="009E373D">
      <w:pPr>
        <w:spacing w:after="120" w:line="240" w:lineRule="auto"/>
        <w:rPr>
          <w:lang w:val="en-GB"/>
        </w:rPr>
      </w:pPr>
      <w:proofErr w:type="spellStart"/>
      <w:proofErr w:type="gramStart"/>
      <w:r>
        <w:rPr>
          <w:lang w:val="en-GB"/>
        </w:rPr>
        <w:t>Creyer</w:t>
      </w:r>
      <w:proofErr w:type="spellEnd"/>
      <w:r>
        <w:rPr>
          <w:lang w:val="en-GB"/>
        </w:rPr>
        <w:t xml:space="preserve"> EH, </w:t>
      </w:r>
      <w:proofErr w:type="spellStart"/>
      <w:r>
        <w:rPr>
          <w:lang w:val="en-GB"/>
        </w:rPr>
        <w:t>Kozup</w:t>
      </w:r>
      <w:proofErr w:type="spellEnd"/>
      <w:r>
        <w:rPr>
          <w:lang w:val="en-GB"/>
        </w:rPr>
        <w:t xml:space="preserve"> JC &amp; Burton S (2002).</w:t>
      </w:r>
      <w:proofErr w:type="gramEnd"/>
      <w:r>
        <w:rPr>
          <w:lang w:val="en-GB"/>
        </w:rPr>
        <w:t xml:space="preserve"> </w:t>
      </w:r>
      <w:proofErr w:type="gramStart"/>
      <w:r>
        <w:rPr>
          <w:lang w:val="en-GB"/>
        </w:rPr>
        <w:t>An experimental assessment of the effects of two alcoholic beverage health warnings across countries and binge-drinking status.</w:t>
      </w:r>
      <w:proofErr w:type="gramEnd"/>
      <w:r>
        <w:rPr>
          <w:lang w:val="en-GB"/>
        </w:rPr>
        <w:t xml:space="preserve"> </w:t>
      </w:r>
      <w:r w:rsidRPr="00A80481">
        <w:rPr>
          <w:i/>
          <w:lang w:val="en-GB"/>
        </w:rPr>
        <w:t>Journal of Consumer Affairs</w:t>
      </w:r>
      <w:r>
        <w:rPr>
          <w:lang w:val="en-GB"/>
        </w:rPr>
        <w:t>, 36, 171-202.</w:t>
      </w:r>
    </w:p>
    <w:p w:rsidR="007A3B00" w:rsidRDefault="007A3B00" w:rsidP="009E373D">
      <w:pPr>
        <w:spacing w:after="120" w:line="240" w:lineRule="auto"/>
        <w:rPr>
          <w:lang w:val="en-GB"/>
        </w:rPr>
      </w:pPr>
      <w:r>
        <w:rPr>
          <w:lang w:val="en-GB"/>
        </w:rPr>
        <w:t xml:space="preserve">Davis RM, </w:t>
      </w:r>
      <w:proofErr w:type="spellStart"/>
      <w:r>
        <w:rPr>
          <w:lang w:val="en-GB"/>
        </w:rPr>
        <w:t>Gilpin</w:t>
      </w:r>
      <w:proofErr w:type="spellEnd"/>
      <w:r>
        <w:rPr>
          <w:lang w:val="en-GB"/>
        </w:rPr>
        <w:t xml:space="preserve"> EA, </w:t>
      </w:r>
      <w:proofErr w:type="spellStart"/>
      <w:r>
        <w:rPr>
          <w:lang w:val="en-GB"/>
        </w:rPr>
        <w:t>Loken</w:t>
      </w:r>
      <w:proofErr w:type="spellEnd"/>
      <w:r>
        <w:rPr>
          <w:lang w:val="en-GB"/>
        </w:rPr>
        <w:t xml:space="preserve"> B, et al (2008). </w:t>
      </w:r>
      <w:proofErr w:type="gramStart"/>
      <w:r w:rsidRPr="00A80481">
        <w:rPr>
          <w:i/>
          <w:lang w:val="en-GB"/>
        </w:rPr>
        <w:t>The role of media in promoting and reducing tobacco use</w:t>
      </w:r>
      <w:r>
        <w:rPr>
          <w:lang w:val="en-GB"/>
        </w:rPr>
        <w:t>.</w:t>
      </w:r>
      <w:proofErr w:type="gramEnd"/>
      <w:r w:rsidR="00A80481">
        <w:rPr>
          <w:lang w:val="en-GB"/>
        </w:rPr>
        <w:t xml:space="preserve"> </w:t>
      </w:r>
      <w:proofErr w:type="gramStart"/>
      <w:r w:rsidR="00A80481">
        <w:rPr>
          <w:lang w:val="en-GB"/>
        </w:rPr>
        <w:t>NCI Tobacco Control Monograph Series No 19.</w:t>
      </w:r>
      <w:proofErr w:type="gramEnd"/>
      <w:r w:rsidR="00A80481">
        <w:rPr>
          <w:lang w:val="en-GB"/>
        </w:rPr>
        <w:t xml:space="preserve"> Bethesda MD: U.S. Department of Health and Human Services, National Institutes of Health, National Cancer Institute.</w:t>
      </w:r>
    </w:p>
    <w:p w:rsidR="000F1D15" w:rsidRPr="00183220" w:rsidRDefault="000F1D15" w:rsidP="009E373D">
      <w:pPr>
        <w:spacing w:after="120" w:line="240" w:lineRule="auto"/>
        <w:rPr>
          <w:rFonts w:cs="Lucida Sans Unicode"/>
        </w:rPr>
      </w:pPr>
      <w:proofErr w:type="gramStart"/>
      <w:r w:rsidRPr="00183220">
        <w:rPr>
          <w:rFonts w:cs="Lucida Sans Unicode"/>
        </w:rPr>
        <w:t xml:space="preserve">De </w:t>
      </w:r>
      <w:proofErr w:type="spellStart"/>
      <w:r w:rsidRPr="00183220">
        <w:rPr>
          <w:rFonts w:cs="Lucida Sans Unicode"/>
        </w:rPr>
        <w:t>Bruijn</w:t>
      </w:r>
      <w:proofErr w:type="spellEnd"/>
      <w:r w:rsidRPr="00183220">
        <w:rPr>
          <w:rFonts w:cs="Lucida Sans Unicode"/>
        </w:rPr>
        <w:t xml:space="preserve"> A (2012</w:t>
      </w:r>
      <w:r>
        <w:rPr>
          <w:rFonts w:cs="Lucida Sans Unicode"/>
        </w:rPr>
        <w:t>a</w:t>
      </w:r>
      <w:r w:rsidRPr="00183220">
        <w:rPr>
          <w:rFonts w:cs="Lucida Sans Unicode"/>
        </w:rPr>
        <w:t>).</w:t>
      </w:r>
      <w:proofErr w:type="gramEnd"/>
      <w:r w:rsidRPr="00183220">
        <w:rPr>
          <w:rFonts w:cs="Lucida Sans Unicode"/>
        </w:rPr>
        <w:t xml:space="preserve"> </w:t>
      </w:r>
      <w:proofErr w:type="gramStart"/>
      <w:r w:rsidRPr="00183220">
        <w:rPr>
          <w:rFonts w:cs="Lucida Sans Unicode"/>
        </w:rPr>
        <w:t>The impact of alcohol marketing.</w:t>
      </w:r>
      <w:proofErr w:type="gramEnd"/>
      <w:r w:rsidRPr="00183220">
        <w:rPr>
          <w:rFonts w:cs="Lucida Sans Unicode"/>
        </w:rPr>
        <w:t xml:space="preserve"> In: Anderson P, </w:t>
      </w:r>
      <w:proofErr w:type="spellStart"/>
      <w:r w:rsidRPr="00183220">
        <w:rPr>
          <w:rFonts w:cs="Lucida Sans Unicode"/>
        </w:rPr>
        <w:t>Møller</w:t>
      </w:r>
      <w:proofErr w:type="spellEnd"/>
      <w:r w:rsidRPr="00183220">
        <w:rPr>
          <w:rFonts w:cs="Lucida Sans Unicode"/>
        </w:rPr>
        <w:t xml:space="preserve"> L, </w:t>
      </w:r>
      <w:proofErr w:type="spellStart"/>
      <w:r w:rsidRPr="00183220">
        <w:rPr>
          <w:rFonts w:cs="Lucida Sans Unicode"/>
        </w:rPr>
        <w:t>Galea</w:t>
      </w:r>
      <w:proofErr w:type="spellEnd"/>
      <w:r w:rsidRPr="00183220">
        <w:rPr>
          <w:rFonts w:cs="Lucida Sans Unicode"/>
        </w:rPr>
        <w:t xml:space="preserve"> G, eds. </w:t>
      </w:r>
      <w:r w:rsidRPr="00183220">
        <w:rPr>
          <w:rFonts w:cs="Lucida Sans Unicode"/>
          <w:i/>
        </w:rPr>
        <w:t>Alcohol in the European Union: Consumption, harm and policy approaches</w:t>
      </w:r>
      <w:r w:rsidRPr="00183220">
        <w:rPr>
          <w:rFonts w:cs="Lucida Sans Unicode"/>
        </w:rPr>
        <w:t>. Copenhagen: WHO Regional Office for Europe.</w:t>
      </w:r>
    </w:p>
    <w:p w:rsidR="0002625F" w:rsidRPr="0002625F" w:rsidRDefault="0002625F" w:rsidP="009E373D">
      <w:pPr>
        <w:spacing w:after="120" w:line="240" w:lineRule="auto"/>
        <w:rPr>
          <w:u w:val="single"/>
          <w:lang w:val="en-GB"/>
        </w:rPr>
      </w:pPr>
      <w:proofErr w:type="gramStart"/>
      <w:r w:rsidRPr="0002625F">
        <w:rPr>
          <w:lang w:val="en-GB"/>
        </w:rPr>
        <w:t xml:space="preserve">De </w:t>
      </w:r>
      <w:proofErr w:type="spellStart"/>
      <w:r w:rsidRPr="0002625F">
        <w:rPr>
          <w:lang w:val="en-GB"/>
        </w:rPr>
        <w:t>Bruijn</w:t>
      </w:r>
      <w:proofErr w:type="spellEnd"/>
      <w:r w:rsidRPr="0002625F">
        <w:rPr>
          <w:lang w:val="en-GB"/>
        </w:rPr>
        <w:t xml:space="preserve"> A (2012</w:t>
      </w:r>
      <w:r w:rsidR="005F7196">
        <w:rPr>
          <w:lang w:val="en-GB"/>
        </w:rPr>
        <w:t>b</w:t>
      </w:r>
      <w:r w:rsidRPr="0002625F">
        <w:rPr>
          <w:lang w:val="en-GB"/>
        </w:rPr>
        <w:t>).</w:t>
      </w:r>
      <w:proofErr w:type="gramEnd"/>
      <w:r w:rsidRPr="0002625F">
        <w:rPr>
          <w:lang w:val="en-GB"/>
        </w:rPr>
        <w:t xml:space="preserve"> Exposure to online alcohol marketing and adolescents’ binge drinking: A cross-sectional study in four European countries. In Anderson P, </w:t>
      </w:r>
      <w:proofErr w:type="spellStart"/>
      <w:r w:rsidRPr="0002625F">
        <w:rPr>
          <w:lang w:val="en-GB"/>
        </w:rPr>
        <w:t>Braddick</w:t>
      </w:r>
      <w:proofErr w:type="spellEnd"/>
      <w:r w:rsidRPr="0002625F">
        <w:rPr>
          <w:lang w:val="en-GB"/>
        </w:rPr>
        <w:t xml:space="preserve"> F, Reynolds J &amp; Gaul A. eds</w:t>
      </w:r>
      <w:r w:rsidRPr="0002625F">
        <w:rPr>
          <w:i/>
          <w:lang w:val="en-GB"/>
        </w:rPr>
        <w:t xml:space="preserve">. Alcohol Policy in Europe: Evidence from AMPHORA. </w:t>
      </w:r>
      <w:proofErr w:type="gramStart"/>
      <w:r w:rsidRPr="0002625F">
        <w:rPr>
          <w:i/>
          <w:lang w:val="en-GB"/>
        </w:rPr>
        <w:t>The AMPHORA Project</w:t>
      </w:r>
      <w:r w:rsidRPr="0002625F">
        <w:rPr>
          <w:lang w:val="en-GB"/>
        </w:rPr>
        <w:t>.</w:t>
      </w:r>
      <w:proofErr w:type="gramEnd"/>
      <w:r w:rsidRPr="0002625F">
        <w:rPr>
          <w:lang w:val="en-GB"/>
        </w:rPr>
        <w:t xml:space="preserve"> </w:t>
      </w:r>
      <w:hyperlink r:id="rId17" w:history="1">
        <w:r w:rsidRPr="0002625F">
          <w:rPr>
            <w:u w:val="single"/>
            <w:lang w:val="en-GB"/>
          </w:rPr>
          <w:t>pp 56-64.</w:t>
        </w:r>
      </w:hyperlink>
      <w:r w:rsidRPr="0002625F">
        <w:rPr>
          <w:u w:val="single"/>
          <w:lang w:val="en-GB"/>
        </w:rPr>
        <w:t xml:space="preserve"> </w:t>
      </w:r>
      <w:proofErr w:type="gramStart"/>
      <w:r w:rsidRPr="0002625F">
        <w:rPr>
          <w:u w:val="single"/>
          <w:lang w:val="en-GB"/>
        </w:rPr>
        <w:t>Available online.</w:t>
      </w:r>
      <w:proofErr w:type="gramEnd"/>
    </w:p>
    <w:p w:rsidR="005F7196" w:rsidRPr="0002625F" w:rsidRDefault="005F7196" w:rsidP="009E373D">
      <w:pPr>
        <w:spacing w:after="120" w:line="240" w:lineRule="auto"/>
        <w:rPr>
          <w:u w:val="single"/>
          <w:lang w:val="en-GB"/>
        </w:rPr>
      </w:pPr>
      <w:proofErr w:type="gramStart"/>
      <w:r w:rsidRPr="0002625F">
        <w:rPr>
          <w:lang w:val="en-GB"/>
        </w:rPr>
        <w:t xml:space="preserve">De </w:t>
      </w:r>
      <w:proofErr w:type="spellStart"/>
      <w:r w:rsidRPr="0002625F">
        <w:rPr>
          <w:lang w:val="en-GB"/>
        </w:rPr>
        <w:t>Bruijn</w:t>
      </w:r>
      <w:proofErr w:type="spellEnd"/>
      <w:r w:rsidRPr="0002625F">
        <w:rPr>
          <w:lang w:val="en-GB"/>
        </w:rPr>
        <w:t xml:space="preserve"> A (2012</w:t>
      </w:r>
      <w:r>
        <w:rPr>
          <w:lang w:val="en-GB"/>
        </w:rPr>
        <w:t>c</w:t>
      </w:r>
      <w:r w:rsidRPr="0002625F">
        <w:rPr>
          <w:lang w:val="en-GB"/>
        </w:rPr>
        <w:t>).</w:t>
      </w:r>
      <w:proofErr w:type="gramEnd"/>
      <w:r w:rsidRPr="0002625F">
        <w:rPr>
          <w:lang w:val="en-GB"/>
        </w:rPr>
        <w:t xml:space="preserve"> Alcohol branded sport sponsorship: its impact on alcohol use and alcohol expectancies among European youth. In Anderson P, </w:t>
      </w:r>
      <w:proofErr w:type="spellStart"/>
      <w:r w:rsidRPr="0002625F">
        <w:rPr>
          <w:lang w:val="en-GB"/>
        </w:rPr>
        <w:t>Braddick</w:t>
      </w:r>
      <w:proofErr w:type="spellEnd"/>
      <w:r w:rsidRPr="0002625F">
        <w:rPr>
          <w:lang w:val="en-GB"/>
        </w:rPr>
        <w:t xml:space="preserve"> F, Reynolds J &amp; Gaul A. eds</w:t>
      </w:r>
      <w:r w:rsidRPr="0002625F">
        <w:rPr>
          <w:i/>
          <w:lang w:val="en-GB"/>
        </w:rPr>
        <w:t xml:space="preserve">. Alcohol Policy in Europe: Evidence from AMPHORA. </w:t>
      </w:r>
      <w:proofErr w:type="gramStart"/>
      <w:r w:rsidRPr="0002625F">
        <w:rPr>
          <w:i/>
          <w:lang w:val="en-GB"/>
        </w:rPr>
        <w:t>The AMPHORA Project</w:t>
      </w:r>
      <w:r w:rsidRPr="0002625F">
        <w:rPr>
          <w:lang w:val="en-GB"/>
        </w:rPr>
        <w:t>.</w:t>
      </w:r>
      <w:proofErr w:type="gramEnd"/>
      <w:r w:rsidRPr="0002625F">
        <w:rPr>
          <w:lang w:val="en-GB"/>
        </w:rPr>
        <w:t xml:space="preserve"> </w:t>
      </w:r>
      <w:hyperlink r:id="rId18" w:history="1"/>
      <w:r w:rsidRPr="0002625F">
        <w:rPr>
          <w:u w:val="single"/>
          <w:lang w:val="en-GB"/>
        </w:rPr>
        <w:t xml:space="preserve"> </w:t>
      </w:r>
      <w:proofErr w:type="gramStart"/>
      <w:r w:rsidRPr="0002625F">
        <w:rPr>
          <w:u w:val="single"/>
          <w:lang w:val="en-GB"/>
        </w:rPr>
        <w:t>Available online.</w:t>
      </w:r>
      <w:proofErr w:type="gramEnd"/>
    </w:p>
    <w:p w:rsidR="00C740CF" w:rsidRPr="009E373D" w:rsidRDefault="00C740CF" w:rsidP="009E373D">
      <w:pPr>
        <w:spacing w:after="120" w:line="240" w:lineRule="auto"/>
        <w:rPr>
          <w:rFonts w:eastAsia="Times New Roman" w:cs="Times New Roman"/>
          <w:i/>
          <w:lang w:eastAsia="en-IE"/>
        </w:rPr>
      </w:pPr>
      <w:proofErr w:type="gramStart"/>
      <w:r w:rsidRPr="009E373D">
        <w:rPr>
          <w:rFonts w:eastAsia="Times New Roman" w:cs="Times New Roman"/>
          <w:lang w:eastAsia="en-IE"/>
        </w:rPr>
        <w:t>Department of Health, Social Services and Public Safety Northern Ireland.</w:t>
      </w:r>
      <w:proofErr w:type="gramEnd"/>
      <w:r w:rsidRPr="009E373D">
        <w:rPr>
          <w:rFonts w:eastAsia="Times New Roman" w:cs="Times New Roman"/>
          <w:lang w:eastAsia="en-IE"/>
        </w:rPr>
        <w:t xml:space="preserve"> (2010) </w:t>
      </w:r>
      <w:r w:rsidRPr="009E373D">
        <w:rPr>
          <w:rFonts w:eastAsia="Times New Roman" w:cs="Times New Roman"/>
          <w:i/>
          <w:lang w:eastAsia="en-IE"/>
        </w:rPr>
        <w:t xml:space="preserve">Social Costs of </w:t>
      </w:r>
    </w:p>
    <w:p w:rsidR="00C740CF" w:rsidRPr="00251F38" w:rsidRDefault="00C740CF" w:rsidP="009E373D">
      <w:pPr>
        <w:spacing w:after="120" w:line="240" w:lineRule="auto"/>
        <w:rPr>
          <w:rFonts w:eastAsia="Times New Roman" w:cs="Times New Roman"/>
          <w:lang w:eastAsia="en-IE"/>
        </w:rPr>
      </w:pPr>
      <w:proofErr w:type="gramStart"/>
      <w:r w:rsidRPr="009E373D">
        <w:rPr>
          <w:rFonts w:eastAsia="Times New Roman" w:cs="Times New Roman"/>
          <w:i/>
          <w:lang w:eastAsia="en-IE"/>
        </w:rPr>
        <w:lastRenderedPageBreak/>
        <w:t>Alcohol Misuse in Northern Ireland for 2008/9</w:t>
      </w:r>
      <w:r w:rsidRPr="009E373D">
        <w:rPr>
          <w:rFonts w:eastAsia="Times New Roman" w:cs="Times New Roman"/>
          <w:lang w:eastAsia="en-IE"/>
        </w:rPr>
        <w:t>.</w:t>
      </w:r>
      <w:proofErr w:type="gramEnd"/>
      <w:r w:rsidRPr="009E373D">
        <w:rPr>
          <w:rFonts w:eastAsia="Times New Roman" w:cs="Times New Roman"/>
          <w:lang w:eastAsia="en-IE"/>
        </w:rPr>
        <w:t xml:space="preserve"> Belfast: DHSSPS</w:t>
      </w:r>
      <w:r w:rsidRPr="00251F38">
        <w:rPr>
          <w:rFonts w:eastAsia="Times New Roman" w:cs="Times New Roman"/>
          <w:lang w:eastAsia="en-IE"/>
        </w:rPr>
        <w:t xml:space="preserve"> </w:t>
      </w:r>
    </w:p>
    <w:p w:rsidR="005A4B50" w:rsidRDefault="005A4B50" w:rsidP="009E373D">
      <w:pPr>
        <w:spacing w:after="120" w:line="240" w:lineRule="auto"/>
        <w:rPr>
          <w:lang w:val="en-GB"/>
        </w:rPr>
      </w:pPr>
      <w:proofErr w:type="spellStart"/>
      <w:proofErr w:type="gramStart"/>
      <w:r>
        <w:rPr>
          <w:lang w:val="en-GB"/>
        </w:rPr>
        <w:t>deVisser</w:t>
      </w:r>
      <w:proofErr w:type="spellEnd"/>
      <w:proofErr w:type="gramEnd"/>
      <w:r>
        <w:rPr>
          <w:lang w:val="en-GB"/>
        </w:rPr>
        <w:t xml:space="preserve"> RO &amp; Birch JD (2012) My cup </w:t>
      </w:r>
      <w:proofErr w:type="spellStart"/>
      <w:r>
        <w:rPr>
          <w:lang w:val="en-GB"/>
        </w:rPr>
        <w:t>runneth</w:t>
      </w:r>
      <w:proofErr w:type="spellEnd"/>
      <w:r>
        <w:rPr>
          <w:lang w:val="en-GB"/>
        </w:rPr>
        <w:t xml:space="preserve"> over: Young people’s lack of knowledge of low-risk drinking guidelines. </w:t>
      </w:r>
      <w:r w:rsidRPr="00BE4566">
        <w:rPr>
          <w:i/>
          <w:lang w:val="en-GB"/>
        </w:rPr>
        <w:t>Drug and Alcohol Review</w:t>
      </w:r>
      <w:r>
        <w:rPr>
          <w:lang w:val="en-GB"/>
        </w:rPr>
        <w:t xml:space="preserve"> (March 2012), 31,206-212.</w:t>
      </w:r>
    </w:p>
    <w:p w:rsidR="00D46F21" w:rsidRPr="00214B3E" w:rsidRDefault="00D46F21" w:rsidP="009E373D">
      <w:pPr>
        <w:spacing w:after="120" w:line="240" w:lineRule="auto"/>
        <w:rPr>
          <w:lang w:val="en-GB"/>
        </w:rPr>
      </w:pPr>
      <w:proofErr w:type="gramStart"/>
      <w:r w:rsidRPr="00214B3E">
        <w:rPr>
          <w:lang w:val="en-GB"/>
        </w:rPr>
        <w:t xml:space="preserve">Gordon R, Harris F, </w:t>
      </w:r>
      <w:proofErr w:type="spellStart"/>
      <w:r w:rsidRPr="00214B3E">
        <w:rPr>
          <w:lang w:val="en-GB"/>
        </w:rPr>
        <w:t>MacKintosh</w:t>
      </w:r>
      <w:proofErr w:type="spellEnd"/>
      <w:r w:rsidRPr="00214B3E">
        <w:rPr>
          <w:lang w:val="en-GB"/>
        </w:rPr>
        <w:t xml:space="preserve"> AM &amp;Crawford M (2011).</w:t>
      </w:r>
      <w:proofErr w:type="gramEnd"/>
      <w:r w:rsidRPr="00214B3E">
        <w:rPr>
          <w:lang w:val="en-GB"/>
        </w:rPr>
        <w:t xml:space="preserve"> Assessing the cumulative impact of alcohol marketing on young people’s drinking: cross sectional data findings. </w:t>
      </w:r>
      <w:r w:rsidRPr="00214B3E">
        <w:rPr>
          <w:i/>
          <w:lang w:val="en-GB"/>
        </w:rPr>
        <w:t>Addiction Research &amp; Theory</w:t>
      </w:r>
      <w:r w:rsidRPr="00214B3E">
        <w:rPr>
          <w:lang w:val="en-GB"/>
        </w:rPr>
        <w:t>, 19(1), 66-75.</w:t>
      </w:r>
    </w:p>
    <w:p w:rsidR="00D46F21" w:rsidRPr="00214B3E" w:rsidRDefault="00D46F21" w:rsidP="009E373D">
      <w:pPr>
        <w:spacing w:after="120" w:line="240" w:lineRule="auto"/>
        <w:rPr>
          <w:lang w:val="en-GB"/>
        </w:rPr>
      </w:pPr>
      <w:r w:rsidRPr="00214B3E">
        <w:rPr>
          <w:rFonts w:cs="Lucida Sans Unicode"/>
          <w:noProof/>
        </w:rPr>
        <w:t xml:space="preserve">Gordon R, MacKintosh AM &amp; Moodie C (2010). The impact of alcohol marketing on youth drinking behaviour: a two-stage cohort study. </w:t>
      </w:r>
      <w:r w:rsidRPr="00214B3E">
        <w:rPr>
          <w:rFonts w:cs="Lucida Sans Unicode"/>
          <w:i/>
          <w:noProof/>
        </w:rPr>
        <w:t>Alcohol and Alcoholism</w:t>
      </w:r>
      <w:r w:rsidRPr="00214B3E">
        <w:rPr>
          <w:rFonts w:cs="Lucida Sans Unicode"/>
          <w:noProof/>
        </w:rPr>
        <w:t xml:space="preserve">, </w:t>
      </w:r>
      <w:r w:rsidRPr="00214B3E">
        <w:rPr>
          <w:rFonts w:cs="Lucida Sans Unicode"/>
          <w:b/>
          <w:noProof/>
        </w:rPr>
        <w:t>45</w:t>
      </w:r>
      <w:r w:rsidRPr="00214B3E">
        <w:rPr>
          <w:rFonts w:cs="Lucida Sans Unicode"/>
          <w:noProof/>
        </w:rPr>
        <w:t>(5), 470-480.</w:t>
      </w:r>
    </w:p>
    <w:p w:rsidR="00214B3E" w:rsidRPr="00214B3E" w:rsidRDefault="00214B3E" w:rsidP="009E373D">
      <w:pPr>
        <w:spacing w:after="120" w:line="240" w:lineRule="auto"/>
        <w:rPr>
          <w:lang w:val="en-GB"/>
        </w:rPr>
      </w:pPr>
      <w:r w:rsidRPr="00214B3E">
        <w:rPr>
          <w:lang w:val="en-GB"/>
        </w:rPr>
        <w:t xml:space="preserve">Gore EM, et al (2011). Global burden of disease in young people aged 10-24 years: A systematic analysis. </w:t>
      </w:r>
      <w:r w:rsidRPr="00BE4566">
        <w:rPr>
          <w:i/>
          <w:lang w:val="en-GB"/>
        </w:rPr>
        <w:t>Lancet</w:t>
      </w:r>
      <w:r w:rsidR="00BE4566">
        <w:rPr>
          <w:i/>
          <w:lang w:val="en-GB"/>
        </w:rPr>
        <w:t>,</w:t>
      </w:r>
      <w:r w:rsidRPr="00BE4566">
        <w:rPr>
          <w:i/>
          <w:lang w:val="en-GB"/>
        </w:rPr>
        <w:t xml:space="preserve"> </w:t>
      </w:r>
      <w:r w:rsidRPr="00214B3E">
        <w:rPr>
          <w:lang w:val="en-GB"/>
        </w:rPr>
        <w:t>377(9783), 2093-2102.</w:t>
      </w:r>
    </w:p>
    <w:p w:rsidR="00D46F21" w:rsidRPr="007A3B00" w:rsidRDefault="00D46F21" w:rsidP="009E373D">
      <w:pPr>
        <w:spacing w:after="120" w:line="240" w:lineRule="auto"/>
        <w:rPr>
          <w:lang w:val="en-GB"/>
        </w:rPr>
      </w:pPr>
      <w:proofErr w:type="gramStart"/>
      <w:r w:rsidRPr="007A3B00">
        <w:rPr>
          <w:lang w:val="en-GB"/>
        </w:rPr>
        <w:t>Graham A. &amp; Adams J (2013.</w:t>
      </w:r>
      <w:proofErr w:type="gramEnd"/>
      <w:r w:rsidRPr="007A3B00">
        <w:rPr>
          <w:lang w:val="en-GB"/>
        </w:rPr>
        <w:t xml:space="preserve"> Alcohol marketing in televised English professional Football: A frequency analysis. </w:t>
      </w:r>
      <w:r w:rsidRPr="007A3B00">
        <w:rPr>
          <w:i/>
          <w:lang w:val="en-GB"/>
        </w:rPr>
        <w:t>Alcohol and Alcoholism</w:t>
      </w:r>
      <w:r w:rsidRPr="007A3B00">
        <w:rPr>
          <w:lang w:val="en-GB"/>
        </w:rPr>
        <w:t>, 1-6. Doi:10.1093/</w:t>
      </w:r>
      <w:proofErr w:type="spellStart"/>
      <w:r w:rsidRPr="007A3B00">
        <w:rPr>
          <w:lang w:val="en-GB"/>
        </w:rPr>
        <w:t>alcalc</w:t>
      </w:r>
      <w:proofErr w:type="spellEnd"/>
      <w:r w:rsidRPr="007A3B00">
        <w:rPr>
          <w:lang w:val="en-GB"/>
        </w:rPr>
        <w:t>/agt140.</w:t>
      </w:r>
    </w:p>
    <w:p w:rsidR="00D46F21" w:rsidRPr="00466B5F" w:rsidRDefault="00D46F21" w:rsidP="009E373D">
      <w:pPr>
        <w:spacing w:after="120" w:line="240" w:lineRule="auto"/>
        <w:rPr>
          <w:lang w:val="en-GB"/>
        </w:rPr>
      </w:pPr>
      <w:r w:rsidRPr="00466B5F">
        <w:rPr>
          <w:lang w:val="en-GB"/>
        </w:rPr>
        <w:t xml:space="preserve">Grenard JL, Dent CW &amp; Stacy </w:t>
      </w:r>
      <w:proofErr w:type="gramStart"/>
      <w:r w:rsidRPr="00466B5F">
        <w:rPr>
          <w:lang w:val="en-GB"/>
        </w:rPr>
        <w:t>A(</w:t>
      </w:r>
      <w:proofErr w:type="gramEnd"/>
      <w:r w:rsidRPr="00466B5F">
        <w:rPr>
          <w:lang w:val="en-GB"/>
        </w:rPr>
        <w:t xml:space="preserve">2013). Exposure to Alcohol Advertisements and Teenage Alcohol-Related Problems, </w:t>
      </w:r>
      <w:proofErr w:type="spellStart"/>
      <w:r w:rsidRPr="00466B5F">
        <w:rPr>
          <w:i/>
          <w:lang w:val="en-GB"/>
        </w:rPr>
        <w:t>Pediatrics</w:t>
      </w:r>
      <w:proofErr w:type="spellEnd"/>
      <w:r w:rsidRPr="00466B5F">
        <w:rPr>
          <w:lang w:val="en-GB"/>
        </w:rPr>
        <w:t xml:space="preserve">, 131(2) 369-379. </w:t>
      </w:r>
      <w:proofErr w:type="gramStart"/>
      <w:r w:rsidRPr="00466B5F">
        <w:rPr>
          <w:lang w:val="en-GB"/>
        </w:rPr>
        <w:t>originally</w:t>
      </w:r>
      <w:proofErr w:type="gramEnd"/>
      <w:r w:rsidRPr="00466B5F">
        <w:rPr>
          <w:lang w:val="en-GB"/>
        </w:rPr>
        <w:t xml:space="preserve"> published online January 28, 2013</w:t>
      </w:r>
    </w:p>
    <w:p w:rsidR="00D46F21" w:rsidRPr="00214B3E" w:rsidRDefault="00D46F21" w:rsidP="009E373D">
      <w:pPr>
        <w:spacing w:after="120" w:line="240" w:lineRule="auto"/>
        <w:rPr>
          <w:lang w:val="en-GB"/>
        </w:rPr>
      </w:pPr>
      <w:proofErr w:type="spellStart"/>
      <w:r w:rsidRPr="00214B3E">
        <w:rPr>
          <w:lang w:val="en-GB"/>
        </w:rPr>
        <w:t>H</w:t>
      </w:r>
      <w:r w:rsidR="00214B3E" w:rsidRPr="00214B3E">
        <w:rPr>
          <w:lang w:val="en-GB"/>
        </w:rPr>
        <w:t>anwinkel</w:t>
      </w:r>
      <w:proofErr w:type="spellEnd"/>
      <w:r w:rsidRPr="00214B3E">
        <w:rPr>
          <w:lang w:val="en-GB"/>
        </w:rPr>
        <w:t xml:space="preserve"> R, Sargent JD, </w:t>
      </w:r>
      <w:proofErr w:type="spellStart"/>
      <w:r w:rsidRPr="00214B3E">
        <w:rPr>
          <w:lang w:val="en-GB"/>
        </w:rPr>
        <w:t>Poelen</w:t>
      </w:r>
      <w:proofErr w:type="spellEnd"/>
      <w:r w:rsidRPr="00214B3E">
        <w:rPr>
          <w:lang w:val="en-GB"/>
        </w:rPr>
        <w:t xml:space="preserve"> EAP, Scholte R, </w:t>
      </w:r>
      <w:proofErr w:type="spellStart"/>
      <w:r w:rsidRPr="00214B3E">
        <w:rPr>
          <w:lang w:val="en-GB"/>
        </w:rPr>
        <w:t>Florek</w:t>
      </w:r>
      <w:proofErr w:type="spellEnd"/>
      <w:r w:rsidRPr="00214B3E">
        <w:rPr>
          <w:lang w:val="en-GB"/>
        </w:rPr>
        <w:t xml:space="preserve"> E, </w:t>
      </w:r>
      <w:r w:rsidR="00214B3E" w:rsidRPr="00214B3E">
        <w:rPr>
          <w:lang w:val="en-GB"/>
        </w:rPr>
        <w:t xml:space="preserve">et al </w:t>
      </w:r>
      <w:r w:rsidRPr="00214B3E">
        <w:rPr>
          <w:lang w:val="en-GB"/>
        </w:rPr>
        <w:t xml:space="preserve">(2012). </w:t>
      </w:r>
      <w:proofErr w:type="gramStart"/>
      <w:r w:rsidRPr="00214B3E">
        <w:rPr>
          <w:lang w:val="en-GB"/>
        </w:rPr>
        <w:t xml:space="preserve">Alcohol Consumption in Movies and Adolescent Binge Drinking in 6 European Countries, in </w:t>
      </w:r>
      <w:proofErr w:type="spellStart"/>
      <w:r w:rsidRPr="00214B3E">
        <w:rPr>
          <w:i/>
          <w:lang w:val="en-GB"/>
        </w:rPr>
        <w:t>Pediatrics</w:t>
      </w:r>
      <w:proofErr w:type="spellEnd"/>
      <w:r w:rsidRPr="00214B3E">
        <w:rPr>
          <w:i/>
          <w:lang w:val="en-GB"/>
        </w:rPr>
        <w:t>.</w:t>
      </w:r>
      <w:proofErr w:type="gramEnd"/>
      <w:r w:rsidRPr="00214B3E">
        <w:rPr>
          <w:lang w:val="en-GB"/>
        </w:rPr>
        <w:t xml:space="preserve"> </w:t>
      </w:r>
      <w:proofErr w:type="spellStart"/>
      <w:proofErr w:type="gramStart"/>
      <w:r w:rsidRPr="00214B3E">
        <w:rPr>
          <w:lang w:val="en-GB"/>
        </w:rPr>
        <w:t>doi</w:t>
      </w:r>
      <w:proofErr w:type="spellEnd"/>
      <w:proofErr w:type="gramEnd"/>
      <w:r w:rsidRPr="00214B3E">
        <w:rPr>
          <w:lang w:val="en-GB"/>
        </w:rPr>
        <w:t>: 10.1542/peds.2011-2809.</w:t>
      </w:r>
    </w:p>
    <w:p w:rsidR="007A3B00" w:rsidRDefault="007A3B00" w:rsidP="009E373D">
      <w:pPr>
        <w:autoSpaceDE w:val="0"/>
        <w:autoSpaceDN w:val="0"/>
        <w:adjustRightInd w:val="0"/>
        <w:spacing w:after="120" w:line="240" w:lineRule="auto"/>
        <w:rPr>
          <w:rFonts w:cs="Univers-Light"/>
          <w:sz w:val="20"/>
          <w:szCs w:val="20"/>
        </w:rPr>
      </w:pPr>
      <w:r>
        <w:rPr>
          <w:rFonts w:cs="Univers-Light"/>
          <w:sz w:val="20"/>
          <w:szCs w:val="20"/>
        </w:rPr>
        <w:t xml:space="preserve">Hastings GB, Stead M, McDermott L, Forsyth AJM, </w:t>
      </w:r>
      <w:proofErr w:type="spellStart"/>
      <w:r>
        <w:rPr>
          <w:rFonts w:cs="Univers-Light"/>
          <w:sz w:val="20"/>
          <w:szCs w:val="20"/>
        </w:rPr>
        <w:t>MacKintosh</w:t>
      </w:r>
      <w:proofErr w:type="spellEnd"/>
      <w:r>
        <w:rPr>
          <w:rFonts w:cs="Univers-Light"/>
          <w:sz w:val="20"/>
          <w:szCs w:val="20"/>
        </w:rPr>
        <w:t xml:space="preserve"> AM, Rayner M et al. (2005). </w:t>
      </w:r>
      <w:r w:rsidRPr="00BE4566">
        <w:rPr>
          <w:rFonts w:cs="Univers-Light"/>
          <w:i/>
          <w:sz w:val="20"/>
          <w:szCs w:val="20"/>
        </w:rPr>
        <w:t>Review of research and Appendices.</w:t>
      </w:r>
      <w:r>
        <w:rPr>
          <w:rFonts w:cs="Univers-Light"/>
          <w:sz w:val="20"/>
          <w:szCs w:val="20"/>
        </w:rPr>
        <w:t xml:space="preserve"> </w:t>
      </w:r>
      <w:proofErr w:type="gramStart"/>
      <w:r>
        <w:rPr>
          <w:rFonts w:cs="Univers-Light"/>
          <w:sz w:val="20"/>
          <w:szCs w:val="20"/>
        </w:rPr>
        <w:t>Prepared for the Food Standards Agency.</w:t>
      </w:r>
      <w:proofErr w:type="gramEnd"/>
      <w:r>
        <w:rPr>
          <w:rFonts w:cs="Univers-Light"/>
          <w:sz w:val="20"/>
          <w:szCs w:val="20"/>
        </w:rPr>
        <w:t xml:space="preserve"> </w:t>
      </w:r>
      <w:proofErr w:type="gramStart"/>
      <w:r>
        <w:rPr>
          <w:rFonts w:cs="Univers-Light"/>
          <w:sz w:val="20"/>
          <w:szCs w:val="20"/>
        </w:rPr>
        <w:t>Published on Food Standards Agency website.</w:t>
      </w:r>
      <w:proofErr w:type="gramEnd"/>
      <w:r>
        <w:rPr>
          <w:rFonts w:cs="Univers-Light"/>
          <w:sz w:val="20"/>
          <w:szCs w:val="20"/>
        </w:rPr>
        <w:t xml:space="preserve"> 2003. Available at http://www.food.gov.uk/multimedia/pdfs/foodpromotionchildren1/pdf.</w:t>
      </w:r>
    </w:p>
    <w:p w:rsidR="00C740CF" w:rsidRPr="009E373D" w:rsidRDefault="00C740CF" w:rsidP="009E373D">
      <w:pPr>
        <w:autoSpaceDE w:val="0"/>
        <w:autoSpaceDN w:val="0"/>
        <w:adjustRightInd w:val="0"/>
        <w:spacing w:after="120" w:line="240" w:lineRule="auto"/>
        <w:rPr>
          <w:rFonts w:eastAsia="Times New Roman" w:cs="Times New Roman"/>
          <w:lang w:eastAsia="en-IE"/>
        </w:rPr>
      </w:pPr>
      <w:proofErr w:type="gramStart"/>
      <w:r w:rsidRPr="009E373D">
        <w:rPr>
          <w:rFonts w:cs="ArialNarrow"/>
        </w:rPr>
        <w:t>Health and Safety Authority.</w:t>
      </w:r>
      <w:proofErr w:type="gramEnd"/>
      <w:r w:rsidRPr="009E373D">
        <w:rPr>
          <w:rFonts w:cs="ArialNarrow"/>
        </w:rPr>
        <w:t xml:space="preserve"> (2004) </w:t>
      </w:r>
      <w:r w:rsidRPr="009E373D">
        <w:rPr>
          <w:rFonts w:cs="ArialNarrow,Italic"/>
          <w:i/>
          <w:iCs/>
        </w:rPr>
        <w:t>Economic Impact of Health and Safety at Work Legislation</w:t>
      </w:r>
      <w:r w:rsidRPr="009E373D">
        <w:rPr>
          <w:rFonts w:cs="ArialNarrow"/>
        </w:rPr>
        <w:t>, Dublin: Health and Safety Authority.</w:t>
      </w:r>
    </w:p>
    <w:p w:rsidR="009E373D" w:rsidRDefault="007160B8" w:rsidP="009E373D">
      <w:pPr>
        <w:autoSpaceDE w:val="0"/>
        <w:autoSpaceDN w:val="0"/>
        <w:adjustRightInd w:val="0"/>
        <w:spacing w:after="120" w:line="240" w:lineRule="auto"/>
        <w:rPr>
          <w:lang w:val="en-GB"/>
        </w:rPr>
      </w:pPr>
      <w:proofErr w:type="gramStart"/>
      <w:r w:rsidRPr="009E373D">
        <w:rPr>
          <w:rFonts w:cs="Univers-Light"/>
          <w:sz w:val="20"/>
          <w:szCs w:val="20"/>
        </w:rPr>
        <w:t xml:space="preserve">Holder HD, </w:t>
      </w:r>
      <w:proofErr w:type="spellStart"/>
      <w:r w:rsidRPr="009E373D">
        <w:rPr>
          <w:rFonts w:cs="Univers-Light"/>
          <w:sz w:val="20"/>
          <w:szCs w:val="20"/>
        </w:rPr>
        <w:t>Gruenwald</w:t>
      </w:r>
      <w:proofErr w:type="spellEnd"/>
      <w:r w:rsidRPr="009E373D">
        <w:rPr>
          <w:rFonts w:cs="Univers-Light"/>
          <w:sz w:val="20"/>
          <w:szCs w:val="20"/>
        </w:rPr>
        <w:t xml:space="preserve"> PJ, </w:t>
      </w:r>
      <w:proofErr w:type="spellStart"/>
      <w:r w:rsidRPr="009E373D">
        <w:rPr>
          <w:rFonts w:cs="Univers-Light"/>
          <w:sz w:val="20"/>
          <w:szCs w:val="20"/>
        </w:rPr>
        <w:t>Ponicki</w:t>
      </w:r>
      <w:proofErr w:type="spellEnd"/>
      <w:r w:rsidRPr="009E373D">
        <w:rPr>
          <w:rFonts w:cs="Univers-Light"/>
          <w:sz w:val="20"/>
          <w:szCs w:val="20"/>
        </w:rPr>
        <w:t xml:space="preserve"> WR (2000).</w:t>
      </w:r>
      <w:proofErr w:type="gramEnd"/>
      <w:r w:rsidRPr="009E373D">
        <w:rPr>
          <w:rFonts w:cs="Univers-Light"/>
          <w:sz w:val="20"/>
          <w:szCs w:val="20"/>
        </w:rPr>
        <w:t xml:space="preserve"> </w:t>
      </w:r>
      <w:proofErr w:type="gramStart"/>
      <w:r w:rsidRPr="009E373D">
        <w:rPr>
          <w:rFonts w:cs="Univers-Light"/>
          <w:sz w:val="20"/>
          <w:szCs w:val="20"/>
        </w:rPr>
        <w:t>Effect of community-based interventions on high-risk drinking and alcohol-related injuries.</w:t>
      </w:r>
      <w:proofErr w:type="gramEnd"/>
      <w:r w:rsidRPr="009E373D">
        <w:rPr>
          <w:rFonts w:cs="Univers-Light"/>
          <w:sz w:val="20"/>
          <w:szCs w:val="20"/>
        </w:rPr>
        <w:t xml:space="preserve"> </w:t>
      </w:r>
      <w:proofErr w:type="gramStart"/>
      <w:r w:rsidRPr="009E373D">
        <w:rPr>
          <w:rFonts w:cs="Univers-Light"/>
          <w:i/>
          <w:sz w:val="20"/>
          <w:szCs w:val="20"/>
        </w:rPr>
        <w:t>JAMA</w:t>
      </w:r>
      <w:r w:rsidRPr="009E373D">
        <w:rPr>
          <w:rFonts w:cs="Univers-Light"/>
          <w:sz w:val="20"/>
          <w:szCs w:val="20"/>
        </w:rPr>
        <w:t>.</w:t>
      </w:r>
      <w:proofErr w:type="gramEnd"/>
      <w:r w:rsidRPr="009E373D">
        <w:rPr>
          <w:rFonts w:cs="Univers-Light"/>
          <w:sz w:val="20"/>
          <w:szCs w:val="20"/>
        </w:rPr>
        <w:t xml:space="preserve"> 284:2341–47.</w:t>
      </w:r>
    </w:p>
    <w:p w:rsidR="00C740CF" w:rsidRPr="009E373D" w:rsidRDefault="00C740CF" w:rsidP="009E373D">
      <w:pPr>
        <w:autoSpaceDE w:val="0"/>
        <w:autoSpaceDN w:val="0"/>
        <w:adjustRightInd w:val="0"/>
        <w:spacing w:after="120" w:line="240" w:lineRule="auto"/>
        <w:rPr>
          <w:lang w:val="en-GB"/>
        </w:rPr>
      </w:pPr>
      <w:r w:rsidRPr="009E373D">
        <w:rPr>
          <w:rFonts w:eastAsia="Times New Roman" w:cs="Times New Roman"/>
          <w:lang w:eastAsia="en-IE"/>
        </w:rPr>
        <w:t xml:space="preserve">Hope, A. (2014). </w:t>
      </w:r>
      <w:proofErr w:type="gramStart"/>
      <w:r w:rsidRPr="009E373D">
        <w:rPr>
          <w:rFonts w:eastAsia="Times New Roman" w:cs="Times New Roman"/>
          <w:lang w:eastAsia="en-IE"/>
        </w:rPr>
        <w:t>Alcohol’s harm to others in Ireland.</w:t>
      </w:r>
      <w:proofErr w:type="gramEnd"/>
      <w:r w:rsidRPr="009E373D">
        <w:rPr>
          <w:rFonts w:eastAsia="Times New Roman" w:cs="Times New Roman"/>
          <w:lang w:eastAsia="en-IE"/>
        </w:rPr>
        <w:t xml:space="preserve"> Dublin: Health Service Executive</w:t>
      </w:r>
      <w:r w:rsidRPr="009E373D">
        <w:rPr>
          <w:lang w:val="en-GB"/>
        </w:rPr>
        <w:t xml:space="preserve"> </w:t>
      </w:r>
    </w:p>
    <w:p w:rsidR="00505067" w:rsidRPr="009E373D" w:rsidRDefault="00505067" w:rsidP="009E373D">
      <w:pPr>
        <w:spacing w:after="120" w:line="240" w:lineRule="auto"/>
        <w:rPr>
          <w:lang w:val="en-GB"/>
        </w:rPr>
      </w:pPr>
      <w:r w:rsidRPr="009E373D">
        <w:rPr>
          <w:lang w:val="en-GB"/>
        </w:rPr>
        <w:t xml:space="preserve">Hope A (2013). Lead us not into temptation: Adolescence and alcohol policy in Europe, </w:t>
      </w:r>
      <w:r w:rsidRPr="009E373D">
        <w:rPr>
          <w:i/>
          <w:lang w:val="en-GB"/>
        </w:rPr>
        <w:t>Alcohol and Alcoholism,</w:t>
      </w:r>
      <w:r w:rsidRPr="009E373D">
        <w:rPr>
          <w:lang w:val="en-GB"/>
        </w:rPr>
        <w:t xml:space="preserve"> 1-2. Doi:10.1093/</w:t>
      </w:r>
      <w:proofErr w:type="spellStart"/>
      <w:r w:rsidRPr="009E373D">
        <w:rPr>
          <w:lang w:val="en-GB"/>
        </w:rPr>
        <w:t>alcalc</w:t>
      </w:r>
      <w:proofErr w:type="spellEnd"/>
      <w:r w:rsidRPr="009E373D">
        <w:rPr>
          <w:lang w:val="en-GB"/>
        </w:rPr>
        <w:t>/agt157.</w:t>
      </w:r>
    </w:p>
    <w:p w:rsidR="009E373D" w:rsidRDefault="00157CC6" w:rsidP="009E373D">
      <w:pPr>
        <w:spacing w:after="120" w:line="240" w:lineRule="auto"/>
        <w:rPr>
          <w:rFonts w:eastAsia="Times New Roman" w:cs="Times New Roman"/>
        </w:rPr>
      </w:pPr>
      <w:r w:rsidRPr="009E373D">
        <w:rPr>
          <w:rFonts w:eastAsia="Times New Roman" w:cs="Times New Roman"/>
          <w:bCs/>
        </w:rPr>
        <w:t>Hope, A.</w:t>
      </w:r>
      <w:r w:rsidRPr="009E373D">
        <w:rPr>
          <w:rFonts w:eastAsia="Times New Roman" w:cs="Times New Roman"/>
        </w:rPr>
        <w:t xml:space="preserve"> (2009). </w:t>
      </w:r>
      <w:r w:rsidRPr="009E373D">
        <w:rPr>
          <w:rFonts w:eastAsia="Times New Roman" w:cs="Times New Roman"/>
          <w:i/>
          <w:iCs/>
        </w:rPr>
        <w:t>A standard drink in Ireland: What strength?</w:t>
      </w:r>
      <w:r w:rsidRPr="009E373D">
        <w:rPr>
          <w:rFonts w:eastAsia="Times New Roman" w:cs="Times New Roman"/>
        </w:rPr>
        <w:t xml:space="preserve"> </w:t>
      </w:r>
      <w:proofErr w:type="gramStart"/>
      <w:r w:rsidRPr="009E373D">
        <w:rPr>
          <w:rFonts w:eastAsia="Times New Roman" w:cs="Times New Roman"/>
        </w:rPr>
        <w:t>Health Service Executive – Alcohol Implementation Group.</w:t>
      </w:r>
      <w:proofErr w:type="gramEnd"/>
      <w:r w:rsidRPr="009E373D">
        <w:rPr>
          <w:rFonts w:eastAsia="Times New Roman" w:cs="Times New Roman"/>
        </w:rPr>
        <w:t xml:space="preserve"> </w:t>
      </w:r>
      <w:hyperlink r:id="rId19" w:history="1">
        <w:r w:rsidRPr="009E373D">
          <w:rPr>
            <w:rFonts w:eastAsia="Times New Roman" w:cs="Times New Roman"/>
            <w:color w:val="0000FF"/>
            <w:u w:val="single"/>
          </w:rPr>
          <w:t>www.hse.ie/en/Publications</w:t>
        </w:r>
      </w:hyperlink>
    </w:p>
    <w:p w:rsidR="00FB1173" w:rsidRPr="009E373D" w:rsidRDefault="00FB1173" w:rsidP="009E373D">
      <w:pPr>
        <w:spacing w:after="120" w:line="240" w:lineRule="auto"/>
        <w:rPr>
          <w:rFonts w:eastAsia="Times New Roman" w:cs="Times New Roman"/>
        </w:rPr>
      </w:pPr>
      <w:proofErr w:type="gramStart"/>
      <w:r w:rsidRPr="009E373D">
        <w:rPr>
          <w:rFonts w:cs="ArialNarrow,Italic"/>
          <w:iCs/>
        </w:rPr>
        <w:t>IBEC (2011).</w:t>
      </w:r>
      <w:proofErr w:type="gramEnd"/>
      <w:r w:rsidRPr="009E373D">
        <w:rPr>
          <w:rFonts w:cs="ArialNarrow,Italic"/>
          <w:iCs/>
        </w:rPr>
        <w:t xml:space="preserve">  </w:t>
      </w:r>
      <w:proofErr w:type="gramStart"/>
      <w:r w:rsidRPr="009E373D">
        <w:rPr>
          <w:rFonts w:cs="ArialNarrow,Italic"/>
          <w:iCs/>
        </w:rPr>
        <w:t>Employee Absenteeism-A Guide to Managing Absence.</w:t>
      </w:r>
      <w:proofErr w:type="gramEnd"/>
      <w:r w:rsidRPr="009E373D">
        <w:rPr>
          <w:rFonts w:cs="ArialNarrow,Italic"/>
          <w:iCs/>
        </w:rPr>
        <w:t xml:space="preserve"> </w:t>
      </w:r>
      <w:proofErr w:type="gramStart"/>
      <w:r w:rsidRPr="009E373D">
        <w:rPr>
          <w:rFonts w:cs="ArialNarrow,Italic"/>
          <w:iCs/>
        </w:rPr>
        <w:t>IBEC.</w:t>
      </w:r>
      <w:proofErr w:type="gramEnd"/>
    </w:p>
    <w:p w:rsidR="003164C9" w:rsidRPr="0002625F" w:rsidRDefault="003164C9" w:rsidP="009E373D">
      <w:pPr>
        <w:spacing w:after="120" w:line="240" w:lineRule="auto"/>
        <w:rPr>
          <w:lang w:val="en-GB"/>
        </w:rPr>
      </w:pPr>
      <w:proofErr w:type="gramStart"/>
      <w:r w:rsidRPr="0002625F">
        <w:rPr>
          <w:lang w:val="en-GB"/>
        </w:rPr>
        <w:t xml:space="preserve">Jernigan DH &amp; </w:t>
      </w:r>
      <w:proofErr w:type="spellStart"/>
      <w:r w:rsidRPr="0002625F">
        <w:rPr>
          <w:lang w:val="en-GB"/>
        </w:rPr>
        <w:t>Rushman</w:t>
      </w:r>
      <w:proofErr w:type="spellEnd"/>
      <w:r w:rsidRPr="0002625F">
        <w:rPr>
          <w:lang w:val="en-GB"/>
        </w:rPr>
        <w:t xml:space="preserve"> AE (2013).</w:t>
      </w:r>
      <w:proofErr w:type="gramEnd"/>
      <w:r w:rsidRPr="0002625F">
        <w:rPr>
          <w:lang w:val="en-GB"/>
        </w:rPr>
        <w:t xml:space="preserve"> </w:t>
      </w:r>
      <w:proofErr w:type="gramStart"/>
      <w:r w:rsidRPr="0002625F">
        <w:rPr>
          <w:lang w:val="en-GB"/>
        </w:rPr>
        <w:t>Measuring youth exposure to alcohol marketing on social network sites: Challenges and prospects</w:t>
      </w:r>
      <w:r w:rsidR="00022E93" w:rsidRPr="0002625F">
        <w:rPr>
          <w:lang w:val="en-GB"/>
        </w:rPr>
        <w:t>.</w:t>
      </w:r>
      <w:proofErr w:type="gramEnd"/>
      <w:r w:rsidR="00022E93" w:rsidRPr="0002625F">
        <w:rPr>
          <w:lang w:val="en-GB"/>
        </w:rPr>
        <w:t xml:space="preserve"> </w:t>
      </w:r>
      <w:r w:rsidR="00022E93" w:rsidRPr="0002625F">
        <w:rPr>
          <w:i/>
          <w:lang w:val="en-GB"/>
        </w:rPr>
        <w:t>Journal of Public Health Policy</w:t>
      </w:r>
      <w:r w:rsidR="00022E93" w:rsidRPr="0002625F">
        <w:rPr>
          <w:lang w:val="en-GB"/>
        </w:rPr>
        <w:t>, 1-14.</w:t>
      </w:r>
    </w:p>
    <w:p w:rsidR="009E373D" w:rsidRDefault="00FA39FF" w:rsidP="009E373D">
      <w:pPr>
        <w:spacing w:after="120" w:line="240" w:lineRule="auto"/>
        <w:rPr>
          <w:lang w:val="en-GB"/>
        </w:rPr>
      </w:pPr>
      <w:proofErr w:type="gramStart"/>
      <w:r w:rsidRPr="00FA39FF">
        <w:rPr>
          <w:lang w:val="en-GB"/>
        </w:rPr>
        <w:t xml:space="preserve">Kelly C, Gavin A, </w:t>
      </w:r>
      <w:proofErr w:type="spellStart"/>
      <w:r w:rsidRPr="00FA39FF">
        <w:rPr>
          <w:lang w:val="en-GB"/>
        </w:rPr>
        <w:t>Molcho</w:t>
      </w:r>
      <w:proofErr w:type="spellEnd"/>
      <w:r w:rsidRPr="00FA39FF">
        <w:rPr>
          <w:lang w:val="en-GB"/>
        </w:rPr>
        <w:t xml:space="preserve"> M &amp; </w:t>
      </w:r>
      <w:proofErr w:type="spellStart"/>
      <w:r w:rsidRPr="00FA39FF">
        <w:rPr>
          <w:lang w:val="en-GB"/>
        </w:rPr>
        <w:t>Nic</w:t>
      </w:r>
      <w:proofErr w:type="spellEnd"/>
      <w:r w:rsidRPr="00FA39FF">
        <w:rPr>
          <w:lang w:val="en-GB"/>
        </w:rPr>
        <w:t xml:space="preserve"> </w:t>
      </w:r>
      <w:proofErr w:type="spellStart"/>
      <w:r w:rsidRPr="00FA39FF">
        <w:rPr>
          <w:lang w:val="en-GB"/>
        </w:rPr>
        <w:t>Gabhainn</w:t>
      </w:r>
      <w:proofErr w:type="spellEnd"/>
      <w:r w:rsidRPr="00FA39FF">
        <w:rPr>
          <w:lang w:val="en-GB"/>
        </w:rPr>
        <w:t xml:space="preserve"> S (2012).</w:t>
      </w:r>
      <w:proofErr w:type="gramEnd"/>
      <w:r w:rsidRPr="00FA39FF">
        <w:rPr>
          <w:lang w:val="en-GB"/>
        </w:rPr>
        <w:t xml:space="preserve"> </w:t>
      </w:r>
      <w:r w:rsidRPr="00BE4566">
        <w:rPr>
          <w:i/>
          <w:lang w:val="en-GB"/>
        </w:rPr>
        <w:t>The Irish health Behaviour in Sc</w:t>
      </w:r>
      <w:r w:rsidR="005A4B50" w:rsidRPr="00BE4566">
        <w:rPr>
          <w:i/>
          <w:lang w:val="en-GB"/>
        </w:rPr>
        <w:t>h</w:t>
      </w:r>
      <w:r w:rsidRPr="00BE4566">
        <w:rPr>
          <w:i/>
          <w:lang w:val="en-GB"/>
        </w:rPr>
        <w:t>ool-aged Children (HBSC) study 2010</w:t>
      </w:r>
      <w:r w:rsidRPr="00FA39FF">
        <w:rPr>
          <w:lang w:val="en-GB"/>
        </w:rPr>
        <w:t xml:space="preserve">. </w:t>
      </w:r>
      <w:proofErr w:type="gramStart"/>
      <w:r w:rsidRPr="00FA39FF">
        <w:rPr>
          <w:lang w:val="en-GB"/>
        </w:rPr>
        <w:t>Health Promotion Research Centre, National University of Ireland, Galway.</w:t>
      </w:r>
      <w:proofErr w:type="gramEnd"/>
      <w:r w:rsidRPr="00FA39FF">
        <w:rPr>
          <w:lang w:val="en-GB"/>
        </w:rPr>
        <w:t xml:space="preserve"> </w:t>
      </w:r>
      <w:hyperlink r:id="rId20" w:history="1">
        <w:r w:rsidRPr="00FA39FF">
          <w:rPr>
            <w:rStyle w:val="Hyperlink"/>
            <w:color w:val="auto"/>
            <w:lang w:val="en-GB"/>
          </w:rPr>
          <w:t>www.nuigalway.ie/hbsc</w:t>
        </w:r>
      </w:hyperlink>
    </w:p>
    <w:p w:rsidR="00FB1173" w:rsidRPr="009E373D" w:rsidRDefault="00FB1173" w:rsidP="009E373D">
      <w:pPr>
        <w:spacing w:after="120" w:line="240" w:lineRule="auto"/>
        <w:rPr>
          <w:lang w:val="en-GB"/>
        </w:rPr>
      </w:pPr>
      <w:r w:rsidRPr="009E373D">
        <w:rPr>
          <w:rFonts w:cs="ArialNarrow"/>
        </w:rPr>
        <w:t xml:space="preserve">Kennelly, B. (2007). </w:t>
      </w:r>
      <w:proofErr w:type="gramStart"/>
      <w:r w:rsidRPr="009E373D">
        <w:rPr>
          <w:rFonts w:cs="ArialNarrow"/>
        </w:rPr>
        <w:t>“The economic cost of suicide in Ireland”.</w:t>
      </w:r>
      <w:proofErr w:type="gramEnd"/>
      <w:r w:rsidRPr="009E373D">
        <w:rPr>
          <w:rFonts w:cs="ArialNarrow"/>
        </w:rPr>
        <w:t xml:space="preserve"> </w:t>
      </w:r>
      <w:r w:rsidRPr="009E373D">
        <w:rPr>
          <w:rFonts w:cs="ArialNarrow,Italic"/>
          <w:i/>
          <w:iCs/>
        </w:rPr>
        <w:t>Crisis, 28, 89-94.</w:t>
      </w:r>
    </w:p>
    <w:p w:rsidR="005A4B50" w:rsidRDefault="005A4B50" w:rsidP="009E373D">
      <w:pPr>
        <w:spacing w:after="120" w:line="240" w:lineRule="auto"/>
        <w:rPr>
          <w:lang w:val="en-GB"/>
        </w:rPr>
      </w:pPr>
      <w:proofErr w:type="gramStart"/>
      <w:r>
        <w:rPr>
          <w:lang w:val="en-GB"/>
        </w:rPr>
        <w:t>Kerr WC &amp; Stockwell T (2012).</w:t>
      </w:r>
      <w:proofErr w:type="gramEnd"/>
      <w:r>
        <w:rPr>
          <w:lang w:val="en-GB"/>
        </w:rPr>
        <w:t xml:space="preserve"> Understanding standard drinks and drinking guidelines. </w:t>
      </w:r>
      <w:r w:rsidRPr="00BE4566">
        <w:rPr>
          <w:i/>
          <w:lang w:val="en-GB"/>
        </w:rPr>
        <w:t xml:space="preserve">Drug and Alcohol Review </w:t>
      </w:r>
      <w:r>
        <w:rPr>
          <w:lang w:val="en-GB"/>
        </w:rPr>
        <w:t>(March 2012), 31,200-205.</w:t>
      </w:r>
    </w:p>
    <w:p w:rsidR="00D46F21" w:rsidRPr="00214B3E" w:rsidRDefault="00D46F21" w:rsidP="009E373D">
      <w:pPr>
        <w:spacing w:after="120" w:line="240" w:lineRule="auto"/>
        <w:rPr>
          <w:lang w:val="en-GB"/>
        </w:rPr>
      </w:pPr>
      <w:proofErr w:type="gramStart"/>
      <w:r w:rsidRPr="00214B3E">
        <w:rPr>
          <w:lang w:val="en-GB"/>
        </w:rPr>
        <w:t xml:space="preserve">Lin EY, </w:t>
      </w:r>
      <w:proofErr w:type="spellStart"/>
      <w:r w:rsidRPr="00214B3E">
        <w:rPr>
          <w:lang w:val="en-GB"/>
        </w:rPr>
        <w:t>Casswell</w:t>
      </w:r>
      <w:proofErr w:type="spellEnd"/>
      <w:r w:rsidRPr="00214B3E">
        <w:rPr>
          <w:lang w:val="en-GB"/>
        </w:rPr>
        <w:t xml:space="preserve"> S, </w:t>
      </w:r>
      <w:proofErr w:type="spellStart"/>
      <w:r w:rsidRPr="00214B3E">
        <w:rPr>
          <w:lang w:val="en-GB"/>
        </w:rPr>
        <w:t>Quan</w:t>
      </w:r>
      <w:proofErr w:type="spellEnd"/>
      <w:r w:rsidRPr="00214B3E">
        <w:rPr>
          <w:lang w:val="en-GB"/>
        </w:rPr>
        <w:t xml:space="preserve"> You R, &amp; </w:t>
      </w:r>
      <w:proofErr w:type="spellStart"/>
      <w:r w:rsidRPr="00214B3E">
        <w:rPr>
          <w:lang w:val="en-GB"/>
        </w:rPr>
        <w:t>Huckle</w:t>
      </w:r>
      <w:proofErr w:type="spellEnd"/>
      <w:r w:rsidRPr="00214B3E">
        <w:rPr>
          <w:lang w:val="en-GB"/>
        </w:rPr>
        <w:t xml:space="preserve"> T. (2012).</w:t>
      </w:r>
      <w:proofErr w:type="gramEnd"/>
      <w:r w:rsidR="005A4B50">
        <w:rPr>
          <w:lang w:val="en-GB"/>
        </w:rPr>
        <w:t xml:space="preserve"> </w:t>
      </w:r>
      <w:proofErr w:type="gramStart"/>
      <w:r w:rsidR="005A4B50">
        <w:rPr>
          <w:lang w:val="en-GB"/>
        </w:rPr>
        <w:t>Engagement with alcohol marketing and early brand allegiance in relation to early years of drinking</w:t>
      </w:r>
      <w:r w:rsidR="000F1D15">
        <w:rPr>
          <w:lang w:val="en-GB"/>
        </w:rPr>
        <w:t>.</w:t>
      </w:r>
      <w:proofErr w:type="gramEnd"/>
      <w:r w:rsidR="000F1D15">
        <w:rPr>
          <w:lang w:val="en-GB"/>
        </w:rPr>
        <w:t xml:space="preserve"> A</w:t>
      </w:r>
      <w:r w:rsidRPr="005A4B50">
        <w:rPr>
          <w:i/>
          <w:lang w:val="en-GB"/>
        </w:rPr>
        <w:t>ddiction Research &amp; Theory</w:t>
      </w:r>
      <w:r w:rsidRPr="00214B3E">
        <w:rPr>
          <w:lang w:val="en-GB"/>
        </w:rPr>
        <w:t>, 20(4), 329-338. doi:10.3109/16066359.2011.632699.</w:t>
      </w:r>
    </w:p>
    <w:p w:rsidR="00D46F21" w:rsidRPr="00214B3E" w:rsidRDefault="00D46F21" w:rsidP="009E373D">
      <w:pPr>
        <w:spacing w:after="120" w:line="240" w:lineRule="auto"/>
        <w:rPr>
          <w:lang w:val="en-GB"/>
        </w:rPr>
      </w:pPr>
      <w:r w:rsidRPr="00214B3E">
        <w:rPr>
          <w:lang w:val="en-GB"/>
        </w:rPr>
        <w:lastRenderedPageBreak/>
        <w:t xml:space="preserve">Lindsay S, Thomas S, Lewis S, </w:t>
      </w:r>
      <w:proofErr w:type="spellStart"/>
      <w:r w:rsidRPr="00214B3E">
        <w:rPr>
          <w:lang w:val="en-GB"/>
        </w:rPr>
        <w:t>Westberg</w:t>
      </w:r>
      <w:proofErr w:type="spellEnd"/>
      <w:r w:rsidRPr="00214B3E">
        <w:rPr>
          <w:lang w:val="en-GB"/>
        </w:rPr>
        <w:t xml:space="preserve"> K, </w:t>
      </w:r>
      <w:proofErr w:type="spellStart"/>
      <w:r w:rsidRPr="00214B3E">
        <w:rPr>
          <w:lang w:val="en-GB"/>
        </w:rPr>
        <w:t>Moodei</w:t>
      </w:r>
      <w:proofErr w:type="spellEnd"/>
      <w:r w:rsidRPr="00214B3E">
        <w:rPr>
          <w:lang w:val="en-GB"/>
        </w:rPr>
        <w:t xml:space="preserve"> R, &amp; Jones S. (2013). Ear, drink and gamble: marketing messages about ‘risky’ products in an Australian major sporting series. </w:t>
      </w:r>
      <w:proofErr w:type="gramStart"/>
      <w:r w:rsidRPr="00214B3E">
        <w:rPr>
          <w:i/>
          <w:lang w:val="en-GB"/>
        </w:rPr>
        <w:t>BMC Public Health</w:t>
      </w:r>
      <w:r w:rsidRPr="00214B3E">
        <w:rPr>
          <w:lang w:val="en-GB"/>
        </w:rPr>
        <w:t>, 13, 719.</w:t>
      </w:r>
      <w:proofErr w:type="gramEnd"/>
      <w:r w:rsidRPr="00214B3E">
        <w:rPr>
          <w:lang w:val="en-GB"/>
        </w:rPr>
        <w:t xml:space="preserve"> </w:t>
      </w:r>
      <w:proofErr w:type="gramStart"/>
      <w:r w:rsidRPr="00214B3E">
        <w:rPr>
          <w:lang w:val="en-GB"/>
        </w:rPr>
        <w:t>doi:</w:t>
      </w:r>
      <w:proofErr w:type="gramEnd"/>
      <w:r w:rsidRPr="00214B3E">
        <w:rPr>
          <w:lang w:val="en-GB"/>
        </w:rPr>
        <w:t>10.1186/1471-2458-13-719.</w:t>
      </w:r>
    </w:p>
    <w:p w:rsidR="005A4B50" w:rsidRDefault="005A4B50" w:rsidP="009E373D">
      <w:pPr>
        <w:spacing w:after="120" w:line="240" w:lineRule="auto"/>
        <w:rPr>
          <w:lang w:val="en-GB"/>
        </w:rPr>
      </w:pPr>
      <w:proofErr w:type="gramStart"/>
      <w:r>
        <w:rPr>
          <w:lang w:val="en-GB"/>
        </w:rPr>
        <w:t>Livingston M (2012).</w:t>
      </w:r>
      <w:proofErr w:type="gramEnd"/>
      <w:r>
        <w:rPr>
          <w:lang w:val="en-GB"/>
        </w:rPr>
        <w:t xml:space="preserve"> </w:t>
      </w:r>
      <w:proofErr w:type="gramStart"/>
      <w:r>
        <w:rPr>
          <w:lang w:val="en-GB"/>
        </w:rPr>
        <w:t>Perceptions of low-risk drinking level among Australians during a period of change in the official drinking guidelines.</w:t>
      </w:r>
      <w:proofErr w:type="gramEnd"/>
      <w:r>
        <w:rPr>
          <w:lang w:val="en-GB"/>
        </w:rPr>
        <w:t xml:space="preserve"> </w:t>
      </w:r>
      <w:r w:rsidRPr="005A4B50">
        <w:rPr>
          <w:i/>
          <w:lang w:val="en-GB"/>
        </w:rPr>
        <w:t>Drugs and Alcohol Review</w:t>
      </w:r>
      <w:r>
        <w:rPr>
          <w:lang w:val="en-GB"/>
        </w:rPr>
        <w:t xml:space="preserve"> (March 2012), 31, 224-230.</w:t>
      </w:r>
    </w:p>
    <w:p w:rsidR="001132F8" w:rsidRDefault="001132F8" w:rsidP="009E373D">
      <w:pPr>
        <w:spacing w:after="120" w:line="240" w:lineRule="auto"/>
        <w:rPr>
          <w:lang w:val="en-GB"/>
        </w:rPr>
      </w:pPr>
      <w:proofErr w:type="gramStart"/>
      <w:r>
        <w:rPr>
          <w:lang w:val="en-GB"/>
        </w:rPr>
        <w:t>Long J &amp; Mongan D. (2014).</w:t>
      </w:r>
      <w:proofErr w:type="gramEnd"/>
      <w:r>
        <w:rPr>
          <w:lang w:val="en-GB"/>
        </w:rPr>
        <w:t xml:space="preserve"> </w:t>
      </w:r>
      <w:r w:rsidRPr="001132F8">
        <w:rPr>
          <w:i/>
          <w:lang w:val="en-GB"/>
        </w:rPr>
        <w:t xml:space="preserve">Alcohol consumption in Ireland 2013: Analysis of a national alcohol diary survey. </w:t>
      </w:r>
      <w:r>
        <w:rPr>
          <w:lang w:val="en-GB"/>
        </w:rPr>
        <w:t xml:space="preserve">Dublin: Health Research </w:t>
      </w:r>
      <w:bookmarkStart w:id="0" w:name="_GoBack"/>
      <w:r>
        <w:rPr>
          <w:lang w:val="en-GB"/>
        </w:rPr>
        <w:t>Board</w:t>
      </w:r>
      <w:bookmarkEnd w:id="0"/>
      <w:r>
        <w:rPr>
          <w:lang w:val="en-GB"/>
        </w:rPr>
        <w:t>.</w:t>
      </w:r>
    </w:p>
    <w:p w:rsidR="0002625F" w:rsidRDefault="0002625F" w:rsidP="009E373D">
      <w:pPr>
        <w:spacing w:after="120" w:line="240" w:lineRule="auto"/>
        <w:rPr>
          <w:lang w:val="en-GB"/>
        </w:rPr>
      </w:pPr>
      <w:r>
        <w:rPr>
          <w:lang w:val="en-GB"/>
        </w:rPr>
        <w:t xml:space="preserve">Lovato C, Linn G, Stead LF, &amp; Best A. (2004). </w:t>
      </w:r>
      <w:proofErr w:type="gramStart"/>
      <w:r w:rsidRPr="00BE4566">
        <w:rPr>
          <w:i/>
          <w:lang w:val="en-GB"/>
        </w:rPr>
        <w:t>Impact of tobacco advertising and promotion on increasing adolescent smoking behaviour.</w:t>
      </w:r>
      <w:proofErr w:type="gramEnd"/>
      <w:r>
        <w:rPr>
          <w:lang w:val="en-GB"/>
        </w:rPr>
        <w:t xml:space="preserve"> </w:t>
      </w:r>
      <w:proofErr w:type="gramStart"/>
      <w:r>
        <w:rPr>
          <w:lang w:val="en-GB"/>
        </w:rPr>
        <w:t>The Cochrane Database of Systematic Reviews</w:t>
      </w:r>
      <w:r w:rsidR="007A3B00">
        <w:rPr>
          <w:lang w:val="en-GB"/>
        </w:rPr>
        <w:t>.</w:t>
      </w:r>
      <w:proofErr w:type="gramEnd"/>
      <w:r w:rsidR="007A3B00">
        <w:rPr>
          <w:lang w:val="en-GB"/>
        </w:rPr>
        <w:t xml:space="preserve"> </w:t>
      </w:r>
      <w:proofErr w:type="gramStart"/>
      <w:r w:rsidR="007A3B00">
        <w:rPr>
          <w:lang w:val="en-GB"/>
        </w:rPr>
        <w:t>Art No: CD003439.</w:t>
      </w:r>
      <w:proofErr w:type="gramEnd"/>
      <w:r w:rsidR="007A3B00">
        <w:rPr>
          <w:lang w:val="en-GB"/>
        </w:rPr>
        <w:t xml:space="preserve"> </w:t>
      </w:r>
      <w:proofErr w:type="spellStart"/>
      <w:r w:rsidR="007A3B00">
        <w:rPr>
          <w:lang w:val="en-GB"/>
        </w:rPr>
        <w:t>Doi</w:t>
      </w:r>
      <w:proofErr w:type="spellEnd"/>
      <w:r w:rsidR="007A3B00">
        <w:rPr>
          <w:lang w:val="en-GB"/>
        </w:rPr>
        <w:t>: 10.1002/146511858. CD003439.</w:t>
      </w:r>
    </w:p>
    <w:p w:rsidR="00466B5F" w:rsidRDefault="00466B5F" w:rsidP="009E373D">
      <w:pPr>
        <w:spacing w:after="120" w:line="240" w:lineRule="auto"/>
        <w:rPr>
          <w:lang w:val="en-GB"/>
        </w:rPr>
      </w:pPr>
      <w:proofErr w:type="gramStart"/>
      <w:r>
        <w:rPr>
          <w:lang w:val="en-GB"/>
        </w:rPr>
        <w:t xml:space="preserve">MacKinnon DP &amp; </w:t>
      </w:r>
      <w:proofErr w:type="spellStart"/>
      <w:r>
        <w:rPr>
          <w:lang w:val="en-GB"/>
        </w:rPr>
        <w:t>Nohre</w:t>
      </w:r>
      <w:proofErr w:type="spellEnd"/>
      <w:r>
        <w:rPr>
          <w:lang w:val="en-GB"/>
        </w:rPr>
        <w:t xml:space="preserve"> L (2006).</w:t>
      </w:r>
      <w:proofErr w:type="gramEnd"/>
      <w:r>
        <w:rPr>
          <w:lang w:val="en-GB"/>
        </w:rPr>
        <w:t xml:space="preserve"> </w:t>
      </w:r>
      <w:proofErr w:type="gramStart"/>
      <w:r w:rsidRPr="00BE4566">
        <w:rPr>
          <w:i/>
          <w:lang w:val="en-GB"/>
        </w:rPr>
        <w:t>Alcohol and tobacco warnings</w:t>
      </w:r>
      <w:r>
        <w:rPr>
          <w:lang w:val="en-GB"/>
        </w:rPr>
        <w:t>.</w:t>
      </w:r>
      <w:proofErr w:type="gramEnd"/>
      <w:r>
        <w:rPr>
          <w:lang w:val="en-GB"/>
        </w:rPr>
        <w:t xml:space="preserve"> Mahwah, NJ: Erlbaum.</w:t>
      </w:r>
    </w:p>
    <w:p w:rsidR="00FB1173" w:rsidRPr="009E373D" w:rsidRDefault="00FB1173" w:rsidP="009E373D">
      <w:pPr>
        <w:autoSpaceDE w:val="0"/>
        <w:autoSpaceDN w:val="0"/>
        <w:adjustRightInd w:val="0"/>
        <w:spacing w:after="120" w:line="240" w:lineRule="auto"/>
        <w:rPr>
          <w:rFonts w:cs="ArialNarrow"/>
        </w:rPr>
      </w:pPr>
      <w:proofErr w:type="gramStart"/>
      <w:r w:rsidRPr="009E373D">
        <w:rPr>
          <w:rFonts w:cs="ArialNarrow"/>
        </w:rPr>
        <w:t>Martin, J., Barry J. and Scally, M (2011).</w:t>
      </w:r>
      <w:proofErr w:type="gramEnd"/>
      <w:r w:rsidRPr="009E373D">
        <w:rPr>
          <w:rFonts w:cs="ArialNarrow"/>
        </w:rPr>
        <w:t xml:space="preserve"> Alcohol-attributable hospitalisations and costs in Ireland, 2000-2004. </w:t>
      </w:r>
      <w:r w:rsidRPr="009E373D">
        <w:rPr>
          <w:rFonts w:cs="ArialNarrow,Italic"/>
          <w:i/>
          <w:iCs/>
        </w:rPr>
        <w:t xml:space="preserve">Irish Medical Journal </w:t>
      </w:r>
      <w:r w:rsidRPr="009E373D">
        <w:rPr>
          <w:rFonts w:cs="ArialNarrow"/>
        </w:rPr>
        <w:t>104(5): 140-4.</w:t>
      </w:r>
    </w:p>
    <w:p w:rsidR="009E373D" w:rsidRDefault="00D46F21" w:rsidP="009E373D">
      <w:pPr>
        <w:spacing w:after="120" w:line="240" w:lineRule="auto"/>
        <w:rPr>
          <w:lang w:val="en-GB"/>
        </w:rPr>
      </w:pPr>
      <w:proofErr w:type="gramStart"/>
      <w:r w:rsidRPr="009E373D">
        <w:rPr>
          <w:lang w:val="en-GB"/>
        </w:rPr>
        <w:t xml:space="preserve">McClure AC, </w:t>
      </w:r>
      <w:proofErr w:type="spellStart"/>
      <w:r w:rsidRPr="009E373D">
        <w:rPr>
          <w:lang w:val="en-GB"/>
        </w:rPr>
        <w:t>Stoolmiller</w:t>
      </w:r>
      <w:proofErr w:type="spellEnd"/>
      <w:r w:rsidRPr="009E373D">
        <w:rPr>
          <w:lang w:val="en-GB"/>
        </w:rPr>
        <w:t xml:space="preserve"> M, </w:t>
      </w:r>
      <w:proofErr w:type="spellStart"/>
      <w:r w:rsidRPr="009E373D">
        <w:rPr>
          <w:lang w:val="en-GB"/>
        </w:rPr>
        <w:t>Tanski</w:t>
      </w:r>
      <w:proofErr w:type="spellEnd"/>
      <w:r w:rsidRPr="009E373D">
        <w:rPr>
          <w:lang w:val="en-GB"/>
        </w:rPr>
        <w:t xml:space="preserve"> SE, Engels RC &amp; Sargent JD.</w:t>
      </w:r>
      <w:proofErr w:type="gramEnd"/>
      <w:r w:rsidRPr="009E373D">
        <w:rPr>
          <w:lang w:val="en-GB"/>
        </w:rPr>
        <w:t xml:space="preserve"> (201</w:t>
      </w:r>
      <w:r w:rsidR="00214B3E" w:rsidRPr="009E373D">
        <w:rPr>
          <w:lang w:val="en-GB"/>
        </w:rPr>
        <w:t>3</w:t>
      </w:r>
      <w:r w:rsidRPr="009E373D">
        <w:rPr>
          <w:lang w:val="en-GB"/>
        </w:rPr>
        <w:t xml:space="preserve">). </w:t>
      </w:r>
      <w:hyperlink r:id="rId21" w:history="1">
        <w:r w:rsidRPr="009E373D">
          <w:rPr>
            <w:lang w:val="en-GB"/>
          </w:rPr>
          <w:t>Alcohol Marketing Receptivity, Marketing-Specific Cognitions, and Underage Binge Drinking, in Alcoholism</w:t>
        </w:r>
      </w:hyperlink>
      <w:r w:rsidRPr="009E373D">
        <w:rPr>
          <w:lang w:val="en-GB"/>
        </w:rPr>
        <w:t xml:space="preserve">: </w:t>
      </w:r>
      <w:r w:rsidRPr="009E373D">
        <w:rPr>
          <w:i/>
          <w:lang w:val="en-GB"/>
        </w:rPr>
        <w:t>Clinical and Experimental Research</w:t>
      </w:r>
      <w:r w:rsidRPr="009E373D">
        <w:rPr>
          <w:lang w:val="en-GB"/>
        </w:rPr>
        <w:t xml:space="preserve">. </w:t>
      </w:r>
      <w:proofErr w:type="gramStart"/>
      <w:r w:rsidRPr="009E373D">
        <w:rPr>
          <w:lang w:val="en-GB"/>
        </w:rPr>
        <w:t>37(S1), E404-E413.</w:t>
      </w:r>
      <w:proofErr w:type="gramEnd"/>
      <w:r w:rsidRPr="009E373D">
        <w:rPr>
          <w:lang w:val="en-GB"/>
        </w:rPr>
        <w:t xml:space="preserve"> Article first published online: 19 DEC 2012. DOI: 10</w:t>
      </w:r>
      <w:r w:rsidR="009E373D">
        <w:rPr>
          <w:lang w:val="en-GB"/>
        </w:rPr>
        <w:t xml:space="preserve">.1111/j.1530-0277.2012.01932.x </w:t>
      </w:r>
    </w:p>
    <w:p w:rsidR="009E373D" w:rsidRDefault="00CC082F" w:rsidP="009E373D">
      <w:pPr>
        <w:spacing w:after="120" w:line="240" w:lineRule="auto"/>
        <w:rPr>
          <w:lang w:val="en-GB"/>
        </w:rPr>
      </w:pPr>
      <w:proofErr w:type="spellStart"/>
      <w:proofErr w:type="gramStart"/>
      <w:r w:rsidRPr="009E373D">
        <w:rPr>
          <w:lang w:val="en-GB"/>
        </w:rPr>
        <w:t>McCreanor</w:t>
      </w:r>
      <w:proofErr w:type="spellEnd"/>
      <w:r w:rsidRPr="009E373D">
        <w:rPr>
          <w:lang w:val="en-GB"/>
        </w:rPr>
        <w:t xml:space="preserve"> T, Lyons A, Griffin C, Goodwin I, </w:t>
      </w:r>
      <w:proofErr w:type="spellStart"/>
      <w:r w:rsidRPr="009E373D">
        <w:rPr>
          <w:lang w:val="en-GB"/>
        </w:rPr>
        <w:t>Moewaka</w:t>
      </w:r>
      <w:proofErr w:type="spellEnd"/>
      <w:r w:rsidRPr="009E373D">
        <w:rPr>
          <w:lang w:val="en-GB"/>
        </w:rPr>
        <w:t xml:space="preserve"> Barns H, Hutton F (2013).</w:t>
      </w:r>
      <w:proofErr w:type="gramEnd"/>
      <w:r w:rsidRPr="009E373D">
        <w:rPr>
          <w:lang w:val="en-GB"/>
        </w:rPr>
        <w:t xml:space="preserve"> Youth drinking cultures, social networking and alcohol marketing: implications for public health. </w:t>
      </w:r>
      <w:r w:rsidRPr="009E373D">
        <w:rPr>
          <w:i/>
          <w:lang w:val="en-GB"/>
        </w:rPr>
        <w:t>Critical Public Health</w:t>
      </w:r>
      <w:r w:rsidR="009E373D">
        <w:rPr>
          <w:lang w:val="en-GB"/>
        </w:rPr>
        <w:t>, 23(1), 110-120.</w:t>
      </w:r>
    </w:p>
    <w:p w:rsidR="009E373D" w:rsidRDefault="00FB1173" w:rsidP="009E373D">
      <w:pPr>
        <w:spacing w:after="120" w:line="240" w:lineRule="auto"/>
        <w:rPr>
          <w:lang w:val="en-GB"/>
        </w:rPr>
      </w:pPr>
      <w:r w:rsidRPr="009E373D">
        <w:rPr>
          <w:rFonts w:eastAsia="Times New Roman" w:cs="Times New Roman"/>
          <w:lang w:eastAsia="en-IE"/>
        </w:rPr>
        <w:t xml:space="preserve">McKeon, K, </w:t>
      </w:r>
      <w:proofErr w:type="spellStart"/>
      <w:r w:rsidRPr="009E373D">
        <w:rPr>
          <w:rFonts w:eastAsia="Times New Roman" w:cs="Times New Roman"/>
          <w:lang w:eastAsia="en-IE"/>
        </w:rPr>
        <w:t>Lehane</w:t>
      </w:r>
      <w:proofErr w:type="spellEnd"/>
      <w:r w:rsidRPr="009E373D">
        <w:rPr>
          <w:rFonts w:eastAsia="Times New Roman" w:cs="Times New Roman"/>
          <w:lang w:eastAsia="en-IE"/>
        </w:rPr>
        <w:t xml:space="preserve"> P, Rock P, Haas T, </w:t>
      </w:r>
      <w:proofErr w:type="spellStart"/>
      <w:r w:rsidRPr="009E373D">
        <w:rPr>
          <w:rFonts w:eastAsia="Times New Roman" w:cs="Times New Roman"/>
          <w:lang w:eastAsia="en-IE"/>
        </w:rPr>
        <w:t>Pratschke</w:t>
      </w:r>
      <w:proofErr w:type="spellEnd"/>
      <w:r w:rsidRPr="009E373D">
        <w:rPr>
          <w:rFonts w:eastAsia="Times New Roman" w:cs="Times New Roman"/>
          <w:lang w:eastAsia="en-IE"/>
        </w:rPr>
        <w:t xml:space="preserve"> J, (2002) Unhappy Marriages-Does Counselling Help?  Kildare Accord.</w:t>
      </w:r>
    </w:p>
    <w:p w:rsidR="00FB1173" w:rsidRPr="009E373D" w:rsidRDefault="00FB1173" w:rsidP="009E373D">
      <w:pPr>
        <w:spacing w:after="120" w:line="240" w:lineRule="auto"/>
        <w:rPr>
          <w:lang w:val="en-GB"/>
        </w:rPr>
      </w:pPr>
      <w:proofErr w:type="gramStart"/>
      <w:r w:rsidRPr="009E373D">
        <w:rPr>
          <w:rFonts w:cs="ArialNarrow"/>
        </w:rPr>
        <w:t>National Crime Council of Ireland.</w:t>
      </w:r>
      <w:proofErr w:type="gramEnd"/>
      <w:r w:rsidRPr="009E373D">
        <w:rPr>
          <w:rFonts w:cs="ArialNarrow"/>
        </w:rPr>
        <w:t xml:space="preserve"> (2006) </w:t>
      </w:r>
      <w:r w:rsidRPr="009E373D">
        <w:rPr>
          <w:rFonts w:cs="ArialNarrow,Italic"/>
          <w:i/>
          <w:iCs/>
        </w:rPr>
        <w:t>Domestic Violence against Women in Ireland</w:t>
      </w:r>
      <w:r w:rsidRPr="009E373D">
        <w:rPr>
          <w:rFonts w:cs="ArialNarrow"/>
        </w:rPr>
        <w:t>, Dublin: NCC</w:t>
      </w:r>
    </w:p>
    <w:p w:rsidR="00D46F21" w:rsidRPr="0002625F" w:rsidRDefault="00D46F21" w:rsidP="009E373D">
      <w:pPr>
        <w:spacing w:after="120" w:line="240" w:lineRule="auto"/>
        <w:rPr>
          <w:lang w:val="en-GB"/>
        </w:rPr>
      </w:pPr>
      <w:proofErr w:type="spellStart"/>
      <w:r w:rsidRPr="009E373D">
        <w:rPr>
          <w:lang w:val="en-GB"/>
        </w:rPr>
        <w:t>Nichollis</w:t>
      </w:r>
      <w:proofErr w:type="spellEnd"/>
      <w:r w:rsidRPr="009E373D">
        <w:rPr>
          <w:lang w:val="en-GB"/>
        </w:rPr>
        <w:t xml:space="preserve"> J. (2012) Everyday, everywhere: alcohol marketing and social media- current trends. </w:t>
      </w:r>
      <w:proofErr w:type="gramStart"/>
      <w:r w:rsidRPr="009E373D">
        <w:rPr>
          <w:i/>
          <w:lang w:val="en-GB"/>
        </w:rPr>
        <w:t>Alcohol and Alcoholism,</w:t>
      </w:r>
      <w:r w:rsidRPr="009E373D">
        <w:rPr>
          <w:lang w:val="en-GB"/>
        </w:rPr>
        <w:t xml:space="preserve"> 47, 486-93.</w:t>
      </w:r>
      <w:proofErr w:type="gramEnd"/>
    </w:p>
    <w:p w:rsidR="0052671F" w:rsidRPr="0052671F" w:rsidRDefault="0052671F" w:rsidP="009E373D">
      <w:pPr>
        <w:autoSpaceDE w:val="0"/>
        <w:autoSpaceDN w:val="0"/>
        <w:adjustRightInd w:val="0"/>
        <w:spacing w:after="120" w:line="240" w:lineRule="auto"/>
        <w:rPr>
          <w:rFonts w:cs="Univers-Light"/>
        </w:rPr>
      </w:pPr>
      <w:proofErr w:type="spellStart"/>
      <w:r w:rsidRPr="0052671F">
        <w:rPr>
          <w:rFonts w:cs="Univers-Light"/>
          <w:sz w:val="20"/>
          <w:szCs w:val="20"/>
        </w:rPr>
        <w:t>Ramstedt</w:t>
      </w:r>
      <w:proofErr w:type="spellEnd"/>
      <w:r w:rsidRPr="0052671F">
        <w:rPr>
          <w:rFonts w:cs="Univers-Light"/>
          <w:sz w:val="20"/>
          <w:szCs w:val="20"/>
        </w:rPr>
        <w:t xml:space="preserve"> M, </w:t>
      </w:r>
      <w:proofErr w:type="spellStart"/>
      <w:r w:rsidRPr="0052671F">
        <w:rPr>
          <w:rFonts w:cs="Univers-Light"/>
          <w:sz w:val="20"/>
          <w:szCs w:val="20"/>
        </w:rPr>
        <w:t>Leifman</w:t>
      </w:r>
      <w:proofErr w:type="spellEnd"/>
      <w:r w:rsidRPr="0052671F">
        <w:rPr>
          <w:rFonts w:cs="Univers-Light"/>
          <w:sz w:val="20"/>
          <w:szCs w:val="20"/>
        </w:rPr>
        <w:t xml:space="preserve"> H, Müller D, </w:t>
      </w:r>
      <w:proofErr w:type="spellStart"/>
      <w:r w:rsidRPr="0052671F">
        <w:rPr>
          <w:rFonts w:cs="Univers-Light"/>
          <w:sz w:val="20"/>
          <w:szCs w:val="20"/>
        </w:rPr>
        <w:t>Sundin</w:t>
      </w:r>
      <w:proofErr w:type="spellEnd"/>
      <w:r w:rsidRPr="0052671F">
        <w:rPr>
          <w:rFonts w:cs="Univers-Light"/>
          <w:sz w:val="20"/>
          <w:szCs w:val="20"/>
        </w:rPr>
        <w:t xml:space="preserve"> E, </w:t>
      </w:r>
      <w:proofErr w:type="spellStart"/>
      <w:r w:rsidRPr="0052671F">
        <w:rPr>
          <w:rFonts w:cs="Univers-Light"/>
          <w:sz w:val="20"/>
          <w:szCs w:val="20"/>
        </w:rPr>
        <w:t>Norström</w:t>
      </w:r>
      <w:proofErr w:type="spellEnd"/>
      <w:r w:rsidRPr="0052671F">
        <w:rPr>
          <w:rFonts w:cs="Univers-Light"/>
          <w:sz w:val="20"/>
          <w:szCs w:val="20"/>
        </w:rPr>
        <w:t xml:space="preserve"> T (2013). Reducing youth violence related to student parties: Findings from a community intervention project in Stockholm. </w:t>
      </w:r>
      <w:r w:rsidRPr="00BE4566">
        <w:rPr>
          <w:rFonts w:cs="Univers-Light"/>
          <w:i/>
          <w:sz w:val="20"/>
          <w:szCs w:val="20"/>
        </w:rPr>
        <w:t>Drug</w:t>
      </w:r>
      <w:r w:rsidR="00BE4566" w:rsidRPr="00BE4566">
        <w:rPr>
          <w:rFonts w:cs="Univers-Light"/>
          <w:i/>
          <w:sz w:val="20"/>
          <w:szCs w:val="20"/>
        </w:rPr>
        <w:t xml:space="preserve"> and</w:t>
      </w:r>
      <w:r w:rsidRPr="00BE4566">
        <w:rPr>
          <w:rFonts w:cs="Univers-Light"/>
          <w:i/>
          <w:sz w:val="20"/>
          <w:szCs w:val="20"/>
        </w:rPr>
        <w:t xml:space="preserve"> Alcohol Rev</w:t>
      </w:r>
      <w:r w:rsidR="00BE4566" w:rsidRPr="00BE4566">
        <w:rPr>
          <w:rFonts w:cs="Univers-Light"/>
          <w:i/>
          <w:sz w:val="20"/>
          <w:szCs w:val="20"/>
        </w:rPr>
        <w:t>iew</w:t>
      </w:r>
      <w:r w:rsidR="00BE4566">
        <w:rPr>
          <w:rFonts w:cs="Univers-Light"/>
          <w:sz w:val="20"/>
          <w:szCs w:val="20"/>
        </w:rPr>
        <w:t>,</w:t>
      </w:r>
      <w:r w:rsidRPr="0052671F">
        <w:rPr>
          <w:rFonts w:cs="Univers-Light"/>
          <w:sz w:val="20"/>
          <w:szCs w:val="20"/>
        </w:rPr>
        <w:t xml:space="preserve"> 32:561–65. doi:10.1111/dar.12069</w:t>
      </w:r>
    </w:p>
    <w:p w:rsidR="00FA39FF" w:rsidRPr="00FA39FF" w:rsidRDefault="00FA39FF" w:rsidP="009E373D">
      <w:pPr>
        <w:autoSpaceDE w:val="0"/>
        <w:autoSpaceDN w:val="0"/>
        <w:adjustRightInd w:val="0"/>
        <w:spacing w:after="120" w:line="240" w:lineRule="auto"/>
        <w:rPr>
          <w:rFonts w:cs="Univers-Light"/>
        </w:rPr>
      </w:pPr>
      <w:proofErr w:type="spellStart"/>
      <w:r w:rsidRPr="00FA39FF">
        <w:rPr>
          <w:rFonts w:cs="Univers-Light"/>
        </w:rPr>
        <w:t>Rehm</w:t>
      </w:r>
      <w:proofErr w:type="spellEnd"/>
      <w:r w:rsidRPr="00FA39FF">
        <w:rPr>
          <w:rFonts w:cs="Univers-Light"/>
        </w:rPr>
        <w:t xml:space="preserve"> J, </w:t>
      </w:r>
      <w:proofErr w:type="spellStart"/>
      <w:r w:rsidRPr="00FA39FF">
        <w:rPr>
          <w:rFonts w:cs="Univers-Light"/>
        </w:rPr>
        <w:t>Baliunas</w:t>
      </w:r>
      <w:proofErr w:type="spellEnd"/>
      <w:r w:rsidRPr="00FA39FF">
        <w:rPr>
          <w:rFonts w:cs="Univers-Light"/>
        </w:rPr>
        <w:t xml:space="preserve"> D, Borges GL, Graham K, Irving H, Kehoe T et al. (2010). </w:t>
      </w:r>
      <w:proofErr w:type="gramStart"/>
      <w:r w:rsidRPr="00FA39FF">
        <w:rPr>
          <w:rFonts w:cs="Univers-Light"/>
        </w:rPr>
        <w:t>The relation between different dimensions of alcohol consumption and burden of disease − an overview.</w:t>
      </w:r>
      <w:proofErr w:type="gramEnd"/>
      <w:r w:rsidRPr="00FA39FF">
        <w:rPr>
          <w:rFonts w:cs="Univers-Light"/>
        </w:rPr>
        <w:t xml:space="preserve"> </w:t>
      </w:r>
      <w:r w:rsidR="00BE4566">
        <w:rPr>
          <w:rFonts w:cs="Univers-Light"/>
          <w:i/>
        </w:rPr>
        <w:t>Addiction,</w:t>
      </w:r>
      <w:r w:rsidRPr="00FA39FF">
        <w:rPr>
          <w:rFonts w:cs="Univers-Light"/>
        </w:rPr>
        <w:t xml:space="preserve"> 105:817−43. doi:10.1111/j.1360-0443.2010.02899.x.</w:t>
      </w:r>
    </w:p>
    <w:p w:rsidR="00FB1173" w:rsidRPr="009E373D" w:rsidRDefault="00FB1173" w:rsidP="009E373D">
      <w:pPr>
        <w:autoSpaceDE w:val="0"/>
        <w:autoSpaceDN w:val="0"/>
        <w:adjustRightInd w:val="0"/>
        <w:spacing w:after="120" w:line="240" w:lineRule="auto"/>
        <w:rPr>
          <w:rFonts w:cs="Univers-Light"/>
        </w:rPr>
      </w:pPr>
      <w:r w:rsidRPr="009E373D">
        <w:rPr>
          <w:rFonts w:cs="ArialNarrow"/>
        </w:rPr>
        <w:t xml:space="preserve">Scottish Executive (2001) </w:t>
      </w:r>
      <w:r w:rsidRPr="009E373D">
        <w:rPr>
          <w:rFonts w:cs="ArialNarrow,Italic"/>
          <w:i/>
          <w:iCs/>
        </w:rPr>
        <w:t xml:space="preserve">Alcohol Misuse in Scotland: Trends and Costs, </w:t>
      </w:r>
      <w:r w:rsidRPr="009E373D">
        <w:rPr>
          <w:rFonts w:cs="ArialNarrow"/>
        </w:rPr>
        <w:t>Edinburgh: Scottish Executive</w:t>
      </w:r>
      <w:r w:rsidRPr="009E373D">
        <w:rPr>
          <w:rFonts w:cs="Univers-Light"/>
        </w:rPr>
        <w:t xml:space="preserve"> </w:t>
      </w:r>
    </w:p>
    <w:p w:rsidR="005A4B50" w:rsidRPr="009E373D" w:rsidRDefault="005A4B50" w:rsidP="009E373D">
      <w:pPr>
        <w:autoSpaceDE w:val="0"/>
        <w:autoSpaceDN w:val="0"/>
        <w:adjustRightInd w:val="0"/>
        <w:spacing w:after="120" w:line="240" w:lineRule="auto"/>
        <w:rPr>
          <w:rFonts w:cs="Univers-Light"/>
        </w:rPr>
      </w:pPr>
      <w:r w:rsidRPr="009E373D">
        <w:rPr>
          <w:rFonts w:cs="Univers-Light"/>
        </w:rPr>
        <w:t xml:space="preserve">Stockwell T &amp; Room R (2012). Constructing and responding to low-risk drinking guidelines: conceptualisation, evidence and reception. </w:t>
      </w:r>
      <w:r w:rsidRPr="009E373D">
        <w:rPr>
          <w:rFonts w:cs="Univers-Light"/>
          <w:i/>
        </w:rPr>
        <w:t>Drug and</w:t>
      </w:r>
      <w:r w:rsidR="00BE4566" w:rsidRPr="009E373D">
        <w:rPr>
          <w:rFonts w:cs="Univers-Light"/>
          <w:i/>
        </w:rPr>
        <w:t xml:space="preserve"> Alcohol R</w:t>
      </w:r>
      <w:r w:rsidRPr="009E373D">
        <w:rPr>
          <w:rFonts w:cs="Univers-Light"/>
          <w:i/>
        </w:rPr>
        <w:t>eview</w:t>
      </w:r>
      <w:r w:rsidRPr="009E373D">
        <w:rPr>
          <w:rFonts w:cs="Univers-Light"/>
        </w:rPr>
        <w:t xml:space="preserve"> (March 2012), 31, 121-125. </w:t>
      </w:r>
    </w:p>
    <w:p w:rsidR="00FB1173" w:rsidRPr="009E373D" w:rsidRDefault="00FB1173" w:rsidP="009E373D">
      <w:pPr>
        <w:tabs>
          <w:tab w:val="left" w:pos="7050"/>
        </w:tabs>
        <w:spacing w:after="120" w:line="240" w:lineRule="auto"/>
        <w:rPr>
          <w:rFonts w:cs="ArialNarrow"/>
        </w:rPr>
      </w:pPr>
      <w:proofErr w:type="gramStart"/>
      <w:r w:rsidRPr="009E373D">
        <w:rPr>
          <w:rFonts w:cs="ArialNarrow"/>
        </w:rPr>
        <w:t>UK Cabinet Office.</w:t>
      </w:r>
      <w:proofErr w:type="gramEnd"/>
      <w:r w:rsidRPr="009E373D">
        <w:rPr>
          <w:rFonts w:cs="ArialNarrow"/>
        </w:rPr>
        <w:t xml:space="preserve"> (2003). Alcohol Misuse- How much does it cost? London: Strategic Unit UK Cabinet Office.</w:t>
      </w:r>
    </w:p>
    <w:p w:rsidR="0052671F" w:rsidRPr="009E373D" w:rsidRDefault="0052671F" w:rsidP="009E373D">
      <w:pPr>
        <w:autoSpaceDE w:val="0"/>
        <w:autoSpaceDN w:val="0"/>
        <w:adjustRightInd w:val="0"/>
        <w:spacing w:after="120" w:line="240" w:lineRule="auto"/>
        <w:rPr>
          <w:color w:val="002060"/>
          <w:lang w:val="en-GB"/>
        </w:rPr>
      </w:pPr>
      <w:proofErr w:type="spellStart"/>
      <w:proofErr w:type="gramStart"/>
      <w:r w:rsidRPr="009E373D">
        <w:rPr>
          <w:rFonts w:cs="Univers-Light"/>
        </w:rPr>
        <w:t>Wagenaar</w:t>
      </w:r>
      <w:proofErr w:type="spellEnd"/>
      <w:r w:rsidRPr="009E373D">
        <w:rPr>
          <w:rFonts w:cs="Univers-Light"/>
        </w:rPr>
        <w:t xml:space="preserve"> AC, Murray DM, Toomey TL (2000).</w:t>
      </w:r>
      <w:proofErr w:type="gramEnd"/>
      <w:r w:rsidRPr="009E373D">
        <w:rPr>
          <w:rFonts w:cs="Univers-Light"/>
        </w:rPr>
        <w:t xml:space="preserve"> Communities Mobilizing for Change on Alcohol (CMCA)</w:t>
      </w:r>
      <w:proofErr w:type="gramStart"/>
      <w:r w:rsidRPr="009E373D">
        <w:rPr>
          <w:rFonts w:cs="Univers-Light"/>
        </w:rPr>
        <w:t>:Effects</w:t>
      </w:r>
      <w:proofErr w:type="gramEnd"/>
      <w:r w:rsidRPr="009E373D">
        <w:rPr>
          <w:rFonts w:cs="Univers-Light"/>
        </w:rPr>
        <w:t xml:space="preserve"> of a randomized trial on arrests and traffic crashes. </w:t>
      </w:r>
      <w:r w:rsidRPr="009E373D">
        <w:rPr>
          <w:rFonts w:cs="Univers-Light"/>
          <w:i/>
        </w:rPr>
        <w:t>Addiction</w:t>
      </w:r>
      <w:r w:rsidR="00BE4566" w:rsidRPr="009E373D">
        <w:rPr>
          <w:rFonts w:cs="Univers-Light"/>
        </w:rPr>
        <w:t>,</w:t>
      </w:r>
      <w:r w:rsidRPr="009E373D">
        <w:rPr>
          <w:rFonts w:cs="Univers-Light"/>
        </w:rPr>
        <w:t xml:space="preserve"> 95:209–17.</w:t>
      </w:r>
    </w:p>
    <w:p w:rsidR="00FB1173" w:rsidRPr="00251F38" w:rsidRDefault="00FB1173" w:rsidP="009E373D">
      <w:pPr>
        <w:spacing w:after="120" w:line="240" w:lineRule="auto"/>
        <w:rPr>
          <w:rFonts w:eastAsia="Times New Roman" w:cs="Times New Roman"/>
          <w:lang w:eastAsia="en-IE"/>
        </w:rPr>
      </w:pPr>
      <w:r w:rsidRPr="009E373D">
        <w:rPr>
          <w:rFonts w:eastAsia="Times New Roman" w:cs="Times New Roman"/>
          <w:lang w:eastAsia="en-IE"/>
        </w:rPr>
        <w:t xml:space="preserve">Walsh B (2010). </w:t>
      </w:r>
      <w:r w:rsidRPr="009E373D">
        <w:rPr>
          <w:rFonts w:eastAsia="Times New Roman" w:cs="Times New Roman"/>
          <w:i/>
          <w:lang w:eastAsia="en-IE"/>
        </w:rPr>
        <w:t>Suicide in Ireland: The influence of alcohol and unemployment</w:t>
      </w:r>
      <w:r w:rsidRPr="009E373D">
        <w:rPr>
          <w:rFonts w:eastAsia="Times New Roman" w:cs="Times New Roman"/>
          <w:lang w:eastAsia="en-IE"/>
        </w:rPr>
        <w:t>, UCD School of Economics. Working Paper 35/10.</w:t>
      </w:r>
    </w:p>
    <w:p w:rsidR="00D46F21" w:rsidRPr="0002625F" w:rsidRDefault="00D46F21" w:rsidP="009E373D">
      <w:pPr>
        <w:spacing w:after="120" w:line="240" w:lineRule="auto"/>
        <w:rPr>
          <w:lang w:val="en-GB"/>
        </w:rPr>
      </w:pPr>
      <w:proofErr w:type="spellStart"/>
      <w:proofErr w:type="gramStart"/>
      <w:r w:rsidRPr="0002625F">
        <w:rPr>
          <w:lang w:val="en-GB"/>
        </w:rPr>
        <w:t>Winpenny</w:t>
      </w:r>
      <w:proofErr w:type="spellEnd"/>
      <w:r w:rsidRPr="0002625F">
        <w:rPr>
          <w:lang w:val="en-GB"/>
        </w:rPr>
        <w:t xml:space="preserve"> EM, </w:t>
      </w:r>
      <w:proofErr w:type="spellStart"/>
      <w:r w:rsidRPr="0002625F">
        <w:rPr>
          <w:lang w:val="en-GB"/>
        </w:rPr>
        <w:t>Marteua</w:t>
      </w:r>
      <w:proofErr w:type="spellEnd"/>
      <w:r w:rsidRPr="0002625F">
        <w:rPr>
          <w:lang w:val="en-GB"/>
        </w:rPr>
        <w:t xml:space="preserve"> T &amp; Nolte E. (2014).</w:t>
      </w:r>
      <w:proofErr w:type="gramEnd"/>
      <w:r w:rsidRPr="0002625F">
        <w:rPr>
          <w:lang w:val="en-GB"/>
        </w:rPr>
        <w:t xml:space="preserve"> </w:t>
      </w:r>
      <w:proofErr w:type="gramStart"/>
      <w:r w:rsidRPr="0002625F">
        <w:rPr>
          <w:lang w:val="en-GB"/>
        </w:rPr>
        <w:t>Exposure of children and adolescents to alcohol marketing on social media websites.</w:t>
      </w:r>
      <w:proofErr w:type="gramEnd"/>
      <w:r w:rsidRPr="0002625F">
        <w:rPr>
          <w:lang w:val="en-GB"/>
        </w:rPr>
        <w:t xml:space="preserve"> </w:t>
      </w:r>
      <w:proofErr w:type="gramStart"/>
      <w:r w:rsidRPr="0002625F">
        <w:rPr>
          <w:i/>
          <w:lang w:val="en-GB"/>
        </w:rPr>
        <w:t>Alcohol and Alcoholism</w:t>
      </w:r>
      <w:r w:rsidRPr="0002625F">
        <w:rPr>
          <w:lang w:val="en-GB"/>
        </w:rPr>
        <w:t>, 49(2), 154-59.</w:t>
      </w:r>
      <w:proofErr w:type="gramEnd"/>
    </w:p>
    <w:p w:rsidR="00D46F21" w:rsidRPr="005A4B50" w:rsidRDefault="00D46F21" w:rsidP="009E373D">
      <w:pPr>
        <w:spacing w:after="120" w:line="240" w:lineRule="auto"/>
        <w:rPr>
          <w:lang w:val="en-GB"/>
        </w:rPr>
      </w:pPr>
      <w:proofErr w:type="spellStart"/>
      <w:r w:rsidRPr="005A4B50">
        <w:rPr>
          <w:lang w:val="en-GB"/>
        </w:rPr>
        <w:lastRenderedPageBreak/>
        <w:t>Winpenny</w:t>
      </w:r>
      <w:proofErr w:type="spellEnd"/>
      <w:r w:rsidRPr="005A4B50">
        <w:rPr>
          <w:lang w:val="en-GB"/>
        </w:rPr>
        <w:t xml:space="preserve"> E, </w:t>
      </w:r>
      <w:proofErr w:type="spellStart"/>
      <w:r w:rsidRPr="005A4B50">
        <w:rPr>
          <w:lang w:val="en-GB"/>
        </w:rPr>
        <w:t>Patil</w:t>
      </w:r>
      <w:proofErr w:type="spellEnd"/>
      <w:r w:rsidRPr="005A4B50">
        <w:rPr>
          <w:lang w:val="en-GB"/>
        </w:rPr>
        <w:t xml:space="preserve"> S, Elliott M, </w:t>
      </w:r>
      <w:proofErr w:type="spellStart"/>
      <w:r w:rsidRPr="005A4B50">
        <w:rPr>
          <w:lang w:val="en-GB"/>
        </w:rPr>
        <w:t>Villalba</w:t>
      </w:r>
      <w:proofErr w:type="spellEnd"/>
      <w:r w:rsidRPr="005A4B50">
        <w:rPr>
          <w:lang w:val="en-GB"/>
        </w:rPr>
        <w:t xml:space="preserve"> Van </w:t>
      </w:r>
      <w:proofErr w:type="spellStart"/>
      <w:r w:rsidRPr="005A4B50">
        <w:rPr>
          <w:lang w:val="en-GB"/>
        </w:rPr>
        <w:t>Dijk</w:t>
      </w:r>
      <w:proofErr w:type="spellEnd"/>
      <w:r w:rsidRPr="005A4B50">
        <w:rPr>
          <w:lang w:val="en-GB"/>
        </w:rPr>
        <w:t xml:space="preserve"> L, </w:t>
      </w:r>
      <w:proofErr w:type="spellStart"/>
      <w:r w:rsidRPr="005A4B50">
        <w:rPr>
          <w:lang w:val="en-GB"/>
        </w:rPr>
        <w:t>Hinrichs</w:t>
      </w:r>
      <w:proofErr w:type="spellEnd"/>
      <w:r w:rsidRPr="005A4B50">
        <w:rPr>
          <w:lang w:val="en-GB"/>
        </w:rPr>
        <w:t xml:space="preserve"> S, </w:t>
      </w:r>
      <w:proofErr w:type="spellStart"/>
      <w:r w:rsidRPr="005A4B50">
        <w:rPr>
          <w:lang w:val="en-GB"/>
        </w:rPr>
        <w:t>Marteua</w:t>
      </w:r>
      <w:proofErr w:type="spellEnd"/>
      <w:r w:rsidRPr="005A4B50">
        <w:rPr>
          <w:lang w:val="en-GB"/>
        </w:rPr>
        <w:t xml:space="preserve"> T &amp; Nolte E. (2012). </w:t>
      </w:r>
      <w:proofErr w:type="gramStart"/>
      <w:r w:rsidR="00F55074">
        <w:rPr>
          <w:i/>
          <w:lang w:val="en-GB"/>
        </w:rPr>
        <w:t>Asse</w:t>
      </w:r>
      <w:r w:rsidRPr="00BE4566">
        <w:rPr>
          <w:i/>
          <w:lang w:val="en-GB"/>
        </w:rPr>
        <w:t>ssment of young people’s exposure to alcohol marketing in audio</w:t>
      </w:r>
      <w:r w:rsidR="00F55074">
        <w:rPr>
          <w:i/>
          <w:lang w:val="en-GB"/>
        </w:rPr>
        <w:t>-</w:t>
      </w:r>
      <w:r w:rsidRPr="00BE4566">
        <w:rPr>
          <w:i/>
          <w:lang w:val="en-GB"/>
        </w:rPr>
        <w:t>visual and online media.</w:t>
      </w:r>
      <w:proofErr w:type="gramEnd"/>
      <w:r w:rsidRPr="005A4B50">
        <w:rPr>
          <w:lang w:val="en-GB"/>
        </w:rPr>
        <w:t xml:space="preserve"> RAND Europe, Commissioned by DG SANCO by way of EAHC.</w:t>
      </w:r>
    </w:p>
    <w:p w:rsidR="00DD066A" w:rsidRPr="005A4B50" w:rsidRDefault="00DD066A" w:rsidP="009E373D">
      <w:pPr>
        <w:pStyle w:val="Default"/>
        <w:spacing w:after="120"/>
        <w:rPr>
          <w:rFonts w:asciiTheme="minorHAnsi" w:hAnsiTheme="minorHAnsi"/>
          <w:color w:val="auto"/>
          <w:sz w:val="22"/>
          <w:szCs w:val="22"/>
        </w:rPr>
      </w:pPr>
      <w:r w:rsidRPr="005A4B50">
        <w:rPr>
          <w:rFonts w:asciiTheme="minorHAnsi" w:hAnsiTheme="minorHAnsi"/>
          <w:color w:val="auto"/>
          <w:sz w:val="22"/>
          <w:szCs w:val="22"/>
        </w:rPr>
        <w:t xml:space="preserve">Zhao et al (2013) </w:t>
      </w:r>
      <w:proofErr w:type="gramStart"/>
      <w:r w:rsidRPr="005A4B50">
        <w:rPr>
          <w:rFonts w:asciiTheme="minorHAnsi" w:hAnsiTheme="minorHAnsi"/>
          <w:color w:val="auto"/>
          <w:sz w:val="22"/>
          <w:szCs w:val="22"/>
        </w:rPr>
        <w:t>The</w:t>
      </w:r>
      <w:proofErr w:type="gramEnd"/>
      <w:r w:rsidRPr="005A4B50">
        <w:rPr>
          <w:rFonts w:asciiTheme="minorHAnsi" w:hAnsiTheme="minorHAnsi"/>
          <w:color w:val="auto"/>
          <w:sz w:val="22"/>
          <w:szCs w:val="22"/>
        </w:rPr>
        <w:t xml:space="preserve"> relationship between changes to minimum alcohol prices, outlet densities and alcohol attributable deaths in British Columbia in 2002-2009. </w:t>
      </w:r>
      <w:r w:rsidRPr="00BE4566">
        <w:rPr>
          <w:rFonts w:asciiTheme="minorHAnsi" w:hAnsiTheme="minorHAnsi"/>
          <w:i/>
          <w:color w:val="auto"/>
          <w:sz w:val="22"/>
          <w:szCs w:val="22"/>
        </w:rPr>
        <w:t>Addiction</w:t>
      </w:r>
      <w:r w:rsidRPr="005A4B50">
        <w:rPr>
          <w:rFonts w:asciiTheme="minorHAnsi" w:hAnsiTheme="minorHAnsi"/>
          <w:color w:val="auto"/>
          <w:sz w:val="22"/>
          <w:szCs w:val="22"/>
        </w:rPr>
        <w:t xml:space="preserve">, 108: doi:10.1111/add.12139 </w:t>
      </w:r>
    </w:p>
    <w:p w:rsidR="00DD066A" w:rsidRPr="005A4B50" w:rsidRDefault="00DD066A" w:rsidP="009E373D">
      <w:pPr>
        <w:pStyle w:val="Default"/>
        <w:spacing w:after="120"/>
        <w:rPr>
          <w:rFonts w:asciiTheme="minorHAnsi" w:hAnsiTheme="minorHAnsi"/>
          <w:color w:val="auto"/>
          <w:sz w:val="22"/>
          <w:szCs w:val="22"/>
        </w:rPr>
      </w:pPr>
      <w:r w:rsidRPr="005A4B50">
        <w:rPr>
          <w:rFonts w:asciiTheme="minorHAnsi" w:hAnsiTheme="minorHAnsi"/>
          <w:color w:val="auto"/>
          <w:sz w:val="22"/>
          <w:szCs w:val="22"/>
        </w:rPr>
        <w:t xml:space="preserve"> Zhao et al (2012) </w:t>
      </w:r>
      <w:proofErr w:type="gramStart"/>
      <w:r w:rsidRPr="005A4B50">
        <w:rPr>
          <w:rFonts w:asciiTheme="minorHAnsi" w:hAnsiTheme="minorHAnsi"/>
          <w:color w:val="auto"/>
          <w:sz w:val="22"/>
          <w:szCs w:val="22"/>
        </w:rPr>
        <w:t>The</w:t>
      </w:r>
      <w:proofErr w:type="gramEnd"/>
      <w:r w:rsidRPr="005A4B50">
        <w:rPr>
          <w:rFonts w:asciiTheme="minorHAnsi" w:hAnsiTheme="minorHAnsi"/>
          <w:color w:val="auto"/>
          <w:sz w:val="22"/>
          <w:szCs w:val="22"/>
        </w:rPr>
        <w:t xml:space="preserve"> raising of minimum alcohol prices in Saskatchewan, Canada: impacts on consumption and implications for public health. </w:t>
      </w:r>
      <w:proofErr w:type="gramStart"/>
      <w:r w:rsidRPr="005A4B50">
        <w:rPr>
          <w:rFonts w:asciiTheme="minorHAnsi" w:hAnsiTheme="minorHAnsi"/>
          <w:color w:val="auto"/>
          <w:sz w:val="22"/>
          <w:szCs w:val="22"/>
        </w:rPr>
        <w:t>Stockwell.</w:t>
      </w:r>
      <w:proofErr w:type="gramEnd"/>
      <w:r w:rsidRPr="005A4B50">
        <w:rPr>
          <w:rFonts w:asciiTheme="minorHAnsi" w:hAnsiTheme="minorHAnsi"/>
          <w:color w:val="auto"/>
          <w:sz w:val="22"/>
          <w:szCs w:val="22"/>
        </w:rPr>
        <w:t xml:space="preserve"> </w:t>
      </w:r>
      <w:proofErr w:type="gramStart"/>
      <w:r w:rsidRPr="00BE4566">
        <w:rPr>
          <w:rFonts w:asciiTheme="minorHAnsi" w:hAnsiTheme="minorHAnsi"/>
          <w:i/>
          <w:color w:val="auto"/>
          <w:sz w:val="22"/>
          <w:szCs w:val="22"/>
        </w:rPr>
        <w:t>American Journal of Public Health</w:t>
      </w:r>
      <w:r w:rsidRPr="005A4B50">
        <w:rPr>
          <w:rFonts w:asciiTheme="minorHAnsi" w:hAnsiTheme="minorHAnsi"/>
          <w:color w:val="auto"/>
          <w:sz w:val="22"/>
          <w:szCs w:val="22"/>
        </w:rPr>
        <w:t>, 102(12), p. e103–e110.</w:t>
      </w:r>
      <w:proofErr w:type="gramEnd"/>
      <w:r w:rsidRPr="005A4B50">
        <w:rPr>
          <w:rFonts w:asciiTheme="minorHAnsi" w:hAnsiTheme="minorHAnsi"/>
          <w:color w:val="auto"/>
          <w:sz w:val="22"/>
          <w:szCs w:val="22"/>
        </w:rPr>
        <w:t xml:space="preserve"> </w:t>
      </w:r>
    </w:p>
    <w:p w:rsidR="00DD066A" w:rsidRPr="004E32D6" w:rsidRDefault="00A62FA6" w:rsidP="009E373D">
      <w:pPr>
        <w:autoSpaceDE w:val="0"/>
        <w:autoSpaceDN w:val="0"/>
        <w:adjustRightInd w:val="0"/>
        <w:spacing w:after="120" w:line="240" w:lineRule="auto"/>
        <w:rPr>
          <w:lang w:val="en-GB"/>
        </w:rPr>
      </w:pPr>
      <w:proofErr w:type="gramStart"/>
      <w:r>
        <w:rPr>
          <w:rFonts w:cs="Univers-Light"/>
        </w:rPr>
        <w:t>World Health Organization (2011</w:t>
      </w:r>
      <w:r w:rsidR="004E32D6" w:rsidRPr="004E32D6">
        <w:rPr>
          <w:rFonts w:cs="Univers-Light"/>
        </w:rPr>
        <w:t>).</w:t>
      </w:r>
      <w:proofErr w:type="gramEnd"/>
      <w:r w:rsidR="004E32D6" w:rsidRPr="004E32D6">
        <w:rPr>
          <w:rFonts w:cs="Univers-Light"/>
        </w:rPr>
        <w:t xml:space="preserve"> </w:t>
      </w:r>
      <w:proofErr w:type="gramStart"/>
      <w:r w:rsidR="004E32D6" w:rsidRPr="00A62FA6">
        <w:rPr>
          <w:rFonts w:cs="Univers-Light"/>
          <w:i/>
        </w:rPr>
        <w:t xml:space="preserve">Global status report on </w:t>
      </w:r>
      <w:proofErr w:type="spellStart"/>
      <w:r w:rsidR="004E32D6" w:rsidRPr="00A62FA6">
        <w:rPr>
          <w:rFonts w:cs="Univers-Light"/>
          <w:i/>
        </w:rPr>
        <w:t>noncommunicable</w:t>
      </w:r>
      <w:proofErr w:type="spellEnd"/>
      <w:r w:rsidR="004E32D6" w:rsidRPr="00A62FA6">
        <w:rPr>
          <w:rFonts w:cs="Univers-Light"/>
          <w:i/>
        </w:rPr>
        <w:t xml:space="preserve"> diseases 2010</w:t>
      </w:r>
      <w:r w:rsidR="004E32D6" w:rsidRPr="004E32D6">
        <w:rPr>
          <w:rFonts w:cs="Univers-Light"/>
        </w:rPr>
        <w:t>.</w:t>
      </w:r>
      <w:proofErr w:type="gramEnd"/>
      <w:r w:rsidR="004E32D6" w:rsidRPr="004E32D6">
        <w:rPr>
          <w:rFonts w:cs="Univers-Light"/>
        </w:rPr>
        <w:t xml:space="preserve"> Geneva (http://www.who.int/nmh/publications/ncd_report2010/en/</w:t>
      </w:r>
    </w:p>
    <w:p w:rsidR="00EE7294" w:rsidRPr="004E32D6" w:rsidRDefault="00EE7294" w:rsidP="009E373D">
      <w:pPr>
        <w:spacing w:after="120" w:line="240" w:lineRule="auto"/>
        <w:rPr>
          <w:lang w:val="en-GB"/>
        </w:rPr>
      </w:pPr>
      <w:r w:rsidRPr="004E32D6">
        <w:rPr>
          <w:lang w:val="en-GB"/>
        </w:rPr>
        <w:t xml:space="preserve">WHO (2014) </w:t>
      </w:r>
      <w:r w:rsidRPr="004E32D6">
        <w:rPr>
          <w:i/>
          <w:lang w:val="en-GB"/>
        </w:rPr>
        <w:t>Global status report on alcohol and health 2014</w:t>
      </w:r>
      <w:r w:rsidRPr="004E32D6">
        <w:rPr>
          <w:lang w:val="en-GB"/>
        </w:rPr>
        <w:t>. Geneva: World Health Organisation</w:t>
      </w:r>
    </w:p>
    <w:p w:rsidR="00EE7294" w:rsidRPr="005A4B50" w:rsidRDefault="00EE7294" w:rsidP="009E373D">
      <w:pPr>
        <w:spacing w:after="120" w:line="240" w:lineRule="auto"/>
        <w:rPr>
          <w:rFonts w:cs="Lucida Sans Unicode"/>
        </w:rPr>
      </w:pPr>
      <w:proofErr w:type="gramStart"/>
      <w:r w:rsidRPr="005A4B50">
        <w:rPr>
          <w:rFonts w:cs="Lucida Sans Unicode"/>
        </w:rPr>
        <w:t>WHO (2010).</w:t>
      </w:r>
      <w:proofErr w:type="gramEnd"/>
      <w:r w:rsidRPr="005A4B50">
        <w:rPr>
          <w:rFonts w:cs="Lucida Sans Unicode"/>
        </w:rPr>
        <w:t xml:space="preserve"> </w:t>
      </w:r>
      <w:proofErr w:type="gramStart"/>
      <w:r w:rsidRPr="005A4B50">
        <w:rPr>
          <w:rFonts w:cs="Lucida Sans Unicode"/>
          <w:i/>
        </w:rPr>
        <w:t>Global strategy to reduce the harmful use of alcohol</w:t>
      </w:r>
      <w:r w:rsidRPr="005A4B50">
        <w:rPr>
          <w:rFonts w:cs="Lucida Sans Unicode"/>
        </w:rPr>
        <w:t>.</w:t>
      </w:r>
      <w:proofErr w:type="gramEnd"/>
      <w:r w:rsidRPr="005A4B50">
        <w:rPr>
          <w:rFonts w:cs="Lucida Sans Unicode"/>
        </w:rPr>
        <w:t xml:space="preserve"> Geneva: World Health Organisation. </w:t>
      </w:r>
    </w:p>
    <w:p w:rsidR="00EE7294" w:rsidRDefault="00EE7294" w:rsidP="00DD066A">
      <w:pPr>
        <w:spacing w:after="120" w:line="240" w:lineRule="auto"/>
        <w:rPr>
          <w:color w:val="002060"/>
          <w:lang w:val="en-GB"/>
        </w:rPr>
      </w:pPr>
    </w:p>
    <w:p w:rsidR="005A4B50" w:rsidRDefault="005A4B50" w:rsidP="00DD066A">
      <w:pPr>
        <w:spacing w:after="120" w:line="240" w:lineRule="auto"/>
        <w:rPr>
          <w:color w:val="002060"/>
          <w:lang w:val="en-GB"/>
        </w:rPr>
      </w:pPr>
    </w:p>
    <w:p w:rsidR="005A4B50" w:rsidRDefault="005A4B50" w:rsidP="00DD066A">
      <w:pPr>
        <w:spacing w:after="120" w:line="240" w:lineRule="auto"/>
        <w:rPr>
          <w:color w:val="002060"/>
          <w:lang w:val="en-GB"/>
        </w:rPr>
      </w:pPr>
    </w:p>
    <w:p w:rsidR="005A4B50" w:rsidRDefault="005A4B50" w:rsidP="00DD066A">
      <w:pPr>
        <w:spacing w:after="120" w:line="240" w:lineRule="auto"/>
        <w:rPr>
          <w:color w:val="002060"/>
          <w:lang w:val="en-GB"/>
        </w:rPr>
      </w:pPr>
    </w:p>
    <w:p w:rsidR="005A4B50" w:rsidRDefault="005A4B50" w:rsidP="00DD066A">
      <w:pPr>
        <w:spacing w:after="120" w:line="240" w:lineRule="auto"/>
        <w:rPr>
          <w:color w:val="002060"/>
          <w:lang w:val="en-GB"/>
        </w:rPr>
      </w:pPr>
    </w:p>
    <w:p w:rsidR="00FF05DC" w:rsidRDefault="00FF05DC">
      <w:pPr>
        <w:rPr>
          <w:color w:val="002060"/>
          <w:lang w:val="en-GB"/>
        </w:rPr>
      </w:pPr>
      <w:r>
        <w:rPr>
          <w:color w:val="002060"/>
          <w:lang w:val="en-GB"/>
        </w:rPr>
        <w:br w:type="page"/>
      </w:r>
    </w:p>
    <w:p w:rsidR="002546D6" w:rsidRPr="00A62FA6" w:rsidRDefault="00A62FA6" w:rsidP="002546D6">
      <w:pPr>
        <w:spacing w:after="0" w:line="240" w:lineRule="auto"/>
        <w:jc w:val="center"/>
        <w:rPr>
          <w:sz w:val="24"/>
          <w:szCs w:val="24"/>
        </w:rPr>
      </w:pPr>
      <w:r w:rsidRPr="00A62FA6">
        <w:rPr>
          <w:sz w:val="24"/>
          <w:szCs w:val="24"/>
        </w:rPr>
        <w:lastRenderedPageBreak/>
        <w:t>Appendix 1</w:t>
      </w:r>
    </w:p>
    <w:p w:rsidR="002546D6" w:rsidRDefault="002546D6" w:rsidP="00094268">
      <w:pPr>
        <w:spacing w:after="0" w:line="240" w:lineRule="auto"/>
      </w:pPr>
    </w:p>
    <w:p w:rsidR="00094268" w:rsidRDefault="00094268" w:rsidP="00094268">
      <w:pPr>
        <w:spacing w:after="0" w:line="240" w:lineRule="auto"/>
      </w:pPr>
    </w:p>
    <w:p w:rsidR="00907E26" w:rsidRDefault="00907E26" w:rsidP="00094268">
      <w:pPr>
        <w:spacing w:after="0" w:line="240" w:lineRule="auto"/>
      </w:pPr>
    </w:p>
    <w:p w:rsidR="002546D6" w:rsidRDefault="002546D6" w:rsidP="00094268">
      <w:pPr>
        <w:spacing w:after="0" w:line="240" w:lineRule="auto"/>
      </w:pPr>
    </w:p>
    <w:p w:rsidR="00907E26" w:rsidRPr="00907E26" w:rsidRDefault="00660B29" w:rsidP="00E772F0">
      <w:pPr>
        <w:spacing w:after="0" w:line="240" w:lineRule="auto"/>
        <w:rPr>
          <w:i/>
          <w:sz w:val="18"/>
          <w:szCs w:val="18"/>
        </w:rPr>
      </w:pPr>
      <w:r>
        <w:rPr>
          <w:noProof/>
          <w:lang w:eastAsia="en-IE"/>
        </w:rPr>
        <w:drawing>
          <wp:inline distT="0" distB="0" distL="0" distR="0" wp14:anchorId="091BA2D0" wp14:editId="0441C9C0">
            <wp:extent cx="5735782" cy="4281055"/>
            <wp:effectExtent l="0" t="0" r="17780" b="247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907E26" w:rsidRPr="00907E26">
        <w:rPr>
          <w:i/>
          <w:sz w:val="18"/>
          <w:szCs w:val="18"/>
        </w:rPr>
        <w:t xml:space="preserve"> </w:t>
      </w:r>
    </w:p>
    <w:p w:rsidR="00E772F0" w:rsidRDefault="00E772F0" w:rsidP="00E772F0">
      <w:pPr>
        <w:spacing w:after="0" w:line="240" w:lineRule="auto"/>
        <w:rPr>
          <w:i/>
          <w:sz w:val="20"/>
          <w:szCs w:val="20"/>
        </w:rPr>
      </w:pPr>
      <w:r w:rsidRPr="00907E26">
        <w:rPr>
          <w:i/>
          <w:sz w:val="20"/>
          <w:szCs w:val="20"/>
        </w:rPr>
        <w:t>Figure X: Prevalence of Heavy episodic drinking</w:t>
      </w:r>
      <w:r w:rsidR="002C0087">
        <w:rPr>
          <w:i/>
          <w:sz w:val="20"/>
          <w:szCs w:val="20"/>
        </w:rPr>
        <w:t xml:space="preserve"> (HED) for </w:t>
      </w:r>
      <w:r>
        <w:rPr>
          <w:i/>
          <w:sz w:val="20"/>
          <w:szCs w:val="20"/>
        </w:rPr>
        <w:t>males in the EU 28 Member States,</w:t>
      </w:r>
      <w:r w:rsidRPr="00907E26">
        <w:rPr>
          <w:i/>
          <w:sz w:val="20"/>
          <w:szCs w:val="20"/>
        </w:rPr>
        <w:t xml:space="preserve"> based on</w:t>
      </w:r>
      <w:r>
        <w:rPr>
          <w:i/>
          <w:sz w:val="20"/>
          <w:szCs w:val="20"/>
        </w:rPr>
        <w:t xml:space="preserve"> figures in </w:t>
      </w:r>
      <w:r w:rsidRPr="00907E26">
        <w:rPr>
          <w:i/>
          <w:sz w:val="20"/>
          <w:szCs w:val="20"/>
        </w:rPr>
        <w:t xml:space="preserve"> WHO </w:t>
      </w:r>
      <w:r>
        <w:rPr>
          <w:i/>
          <w:sz w:val="20"/>
          <w:szCs w:val="20"/>
        </w:rPr>
        <w:t>Global status report on alcohol and Health 2014</w:t>
      </w:r>
      <w:r w:rsidRPr="00907E26">
        <w:rPr>
          <w:i/>
          <w:sz w:val="20"/>
          <w:szCs w:val="20"/>
        </w:rPr>
        <w:t xml:space="preserve"> report</w:t>
      </w:r>
      <w:r>
        <w:rPr>
          <w:i/>
          <w:sz w:val="20"/>
          <w:szCs w:val="20"/>
        </w:rPr>
        <w:t>.</w:t>
      </w:r>
    </w:p>
    <w:p w:rsidR="00E772F0" w:rsidRPr="00907E26" w:rsidRDefault="00E772F0" w:rsidP="00E772F0">
      <w:pPr>
        <w:spacing w:after="0" w:line="240" w:lineRule="auto"/>
        <w:rPr>
          <w:i/>
          <w:sz w:val="18"/>
          <w:szCs w:val="18"/>
        </w:rPr>
      </w:pPr>
      <w:r w:rsidRPr="00907E26">
        <w:rPr>
          <w:i/>
          <w:sz w:val="18"/>
          <w:szCs w:val="18"/>
        </w:rPr>
        <w:t xml:space="preserve">^HED - defined as 60 or more grams of pure alcohol on a least one single occasion at least monthly.  </w:t>
      </w:r>
    </w:p>
    <w:p w:rsidR="00907E26" w:rsidRDefault="00907E26" w:rsidP="00F7514D">
      <w:pPr>
        <w:spacing w:after="0" w:line="240" w:lineRule="auto"/>
      </w:pPr>
    </w:p>
    <w:p w:rsidR="00594EAF" w:rsidRDefault="00594EAF" w:rsidP="00907E26"/>
    <w:p w:rsidR="00E772F0" w:rsidRDefault="00E772F0">
      <w:pPr>
        <w:rPr>
          <w:color w:val="1F497D"/>
        </w:rPr>
      </w:pPr>
    </w:p>
    <w:p w:rsidR="002C0087" w:rsidRDefault="002C0087">
      <w:pPr>
        <w:rPr>
          <w:color w:val="1F497D"/>
        </w:rPr>
      </w:pPr>
    </w:p>
    <w:p w:rsidR="002C0087" w:rsidRDefault="002C0087">
      <w:pPr>
        <w:rPr>
          <w:color w:val="1F497D"/>
        </w:rPr>
      </w:pPr>
    </w:p>
    <w:p w:rsidR="002C0087" w:rsidRDefault="002C0087">
      <w:pPr>
        <w:rPr>
          <w:color w:val="1F497D"/>
        </w:rPr>
      </w:pPr>
    </w:p>
    <w:p w:rsidR="002C0087" w:rsidRDefault="002C0087">
      <w:pPr>
        <w:rPr>
          <w:color w:val="1F497D"/>
        </w:rPr>
      </w:pPr>
    </w:p>
    <w:p w:rsidR="002C0087" w:rsidRDefault="002C0087">
      <w:pPr>
        <w:rPr>
          <w:color w:val="1F497D"/>
        </w:rPr>
      </w:pPr>
    </w:p>
    <w:p w:rsidR="002C0087" w:rsidRDefault="002C0087">
      <w:pPr>
        <w:rPr>
          <w:color w:val="1F497D"/>
        </w:rPr>
      </w:pPr>
    </w:p>
    <w:p w:rsidR="002C0087" w:rsidRDefault="002C0087">
      <w:pPr>
        <w:rPr>
          <w:color w:val="1F497D"/>
        </w:rPr>
      </w:pPr>
    </w:p>
    <w:p w:rsidR="002C0087" w:rsidRDefault="002C0087" w:rsidP="002C0087">
      <w:pPr>
        <w:jc w:val="center"/>
        <w:rPr>
          <w:b/>
        </w:rPr>
      </w:pPr>
      <w:r w:rsidRPr="002C0087">
        <w:rPr>
          <w:b/>
        </w:rPr>
        <w:lastRenderedPageBreak/>
        <w:t>Appendix 2</w:t>
      </w:r>
    </w:p>
    <w:p w:rsidR="002C0087" w:rsidRPr="002C0087" w:rsidRDefault="002C0087" w:rsidP="002C0087">
      <w:pPr>
        <w:jc w:val="center"/>
        <w:rPr>
          <w:b/>
        </w:rPr>
      </w:pPr>
    </w:p>
    <w:p w:rsidR="00E772F0" w:rsidRDefault="00E772F0" w:rsidP="00E772F0">
      <w:pPr>
        <w:spacing w:after="0" w:line="240" w:lineRule="auto"/>
        <w:rPr>
          <w:i/>
          <w:sz w:val="20"/>
          <w:szCs w:val="20"/>
        </w:rPr>
      </w:pPr>
      <w:r>
        <w:rPr>
          <w:noProof/>
          <w:lang w:eastAsia="en-IE"/>
        </w:rPr>
        <w:drawing>
          <wp:inline distT="0" distB="0" distL="0" distR="0" wp14:anchorId="4F8AC418" wp14:editId="1991B94B">
            <wp:extent cx="5731510" cy="4423010"/>
            <wp:effectExtent l="0" t="0" r="2159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E772F0">
        <w:rPr>
          <w:i/>
          <w:sz w:val="20"/>
          <w:szCs w:val="20"/>
        </w:rPr>
        <w:t xml:space="preserve"> </w:t>
      </w:r>
      <w:r w:rsidRPr="00907E26">
        <w:rPr>
          <w:i/>
          <w:sz w:val="20"/>
          <w:szCs w:val="20"/>
        </w:rPr>
        <w:t>Figure X: Prevalence of Heavy episodic drinking</w:t>
      </w:r>
      <w:r>
        <w:rPr>
          <w:i/>
          <w:sz w:val="20"/>
          <w:szCs w:val="20"/>
        </w:rPr>
        <w:t xml:space="preserve"> (HED) for females in the EU 28 Member States,</w:t>
      </w:r>
      <w:r w:rsidRPr="00907E26">
        <w:rPr>
          <w:i/>
          <w:sz w:val="20"/>
          <w:szCs w:val="20"/>
        </w:rPr>
        <w:t xml:space="preserve"> based on</w:t>
      </w:r>
      <w:r>
        <w:rPr>
          <w:i/>
          <w:sz w:val="20"/>
          <w:szCs w:val="20"/>
        </w:rPr>
        <w:t xml:space="preserve"> figures in </w:t>
      </w:r>
      <w:r w:rsidRPr="00907E26">
        <w:rPr>
          <w:i/>
          <w:sz w:val="20"/>
          <w:szCs w:val="20"/>
        </w:rPr>
        <w:t xml:space="preserve"> WHO </w:t>
      </w:r>
      <w:r>
        <w:rPr>
          <w:i/>
          <w:sz w:val="20"/>
          <w:szCs w:val="20"/>
        </w:rPr>
        <w:t>Global status report on alcohol and health 2014</w:t>
      </w:r>
      <w:r w:rsidRPr="00907E26">
        <w:rPr>
          <w:i/>
          <w:sz w:val="20"/>
          <w:szCs w:val="20"/>
        </w:rPr>
        <w:t xml:space="preserve"> report</w:t>
      </w:r>
      <w:r>
        <w:rPr>
          <w:i/>
          <w:sz w:val="20"/>
          <w:szCs w:val="20"/>
        </w:rPr>
        <w:t>.</w:t>
      </w:r>
    </w:p>
    <w:p w:rsidR="00E772F0" w:rsidRPr="00907E26" w:rsidRDefault="00E772F0" w:rsidP="00E772F0">
      <w:pPr>
        <w:spacing w:after="0" w:line="240" w:lineRule="auto"/>
        <w:rPr>
          <w:i/>
          <w:sz w:val="18"/>
          <w:szCs w:val="18"/>
        </w:rPr>
      </w:pPr>
      <w:r w:rsidRPr="00907E26">
        <w:rPr>
          <w:i/>
          <w:sz w:val="18"/>
          <w:szCs w:val="18"/>
        </w:rPr>
        <w:t xml:space="preserve">^HED - defined as 60 or more grams of pure alcohol on a least one single occasion at least monthly.  </w:t>
      </w:r>
    </w:p>
    <w:p w:rsidR="00D07565" w:rsidRDefault="00D07565">
      <w:pPr>
        <w:rPr>
          <w:color w:val="1F497D"/>
        </w:rPr>
      </w:pPr>
      <w:r>
        <w:rPr>
          <w:color w:val="1F497D"/>
        </w:rPr>
        <w:br w:type="page"/>
      </w:r>
    </w:p>
    <w:p w:rsidR="007E006A" w:rsidRPr="00A62FA6" w:rsidRDefault="002546D6" w:rsidP="00A12AB9">
      <w:pPr>
        <w:jc w:val="center"/>
        <w:rPr>
          <w:rFonts w:cs="Lucida Sans Unicode"/>
          <w:sz w:val="24"/>
          <w:szCs w:val="24"/>
        </w:rPr>
      </w:pPr>
      <w:r w:rsidRPr="00A62FA6">
        <w:rPr>
          <w:rFonts w:cs="Lucida Sans Unicode"/>
          <w:sz w:val="24"/>
          <w:szCs w:val="24"/>
        </w:rPr>
        <w:lastRenderedPageBreak/>
        <w:t>A</w:t>
      </w:r>
      <w:r w:rsidR="00A62FA6" w:rsidRPr="00A62FA6">
        <w:rPr>
          <w:rFonts w:cs="Lucida Sans Unicode"/>
          <w:sz w:val="24"/>
          <w:szCs w:val="24"/>
        </w:rPr>
        <w:t>ppendix 3</w:t>
      </w:r>
    </w:p>
    <w:p w:rsidR="007E006A" w:rsidRPr="007E006A" w:rsidRDefault="007E006A" w:rsidP="007E006A">
      <w:pPr>
        <w:spacing w:after="0" w:line="240" w:lineRule="auto"/>
        <w:jc w:val="center"/>
        <w:rPr>
          <w:rFonts w:cs="Lucida Sans Unicode"/>
          <w:b/>
        </w:rPr>
      </w:pPr>
      <w:r w:rsidRPr="007E006A">
        <w:rPr>
          <w:rFonts w:cs="Lucida Sans Unicode"/>
          <w:b/>
        </w:rPr>
        <w:t>Effects of exposure to alcohol advertising on drinking behaviour</w:t>
      </w:r>
    </w:p>
    <w:p w:rsidR="007E006A" w:rsidRPr="007E006A" w:rsidRDefault="007E006A" w:rsidP="007E006A">
      <w:pPr>
        <w:spacing w:after="0" w:line="240" w:lineRule="auto"/>
        <w:jc w:val="center"/>
        <w:rPr>
          <w:rFonts w:cs="Lucida Sans Unicode"/>
          <w:b/>
        </w:rPr>
      </w:pPr>
      <w:r w:rsidRPr="007E006A">
        <w:rPr>
          <w:rFonts w:cs="Lucida Sans Unicode"/>
          <w:b/>
        </w:rPr>
        <w:t>Summary of Key findings</w:t>
      </w:r>
    </w:p>
    <w:p w:rsidR="007E006A" w:rsidRDefault="007E006A" w:rsidP="007E006A">
      <w:pPr>
        <w:spacing w:after="0" w:line="240" w:lineRule="auto"/>
        <w:rPr>
          <w:rFonts w:ascii="Lucida Sans Unicode" w:hAnsi="Lucida Sans Unicode" w:cs="Lucida Sans Unicode"/>
        </w:rPr>
      </w:pPr>
    </w:p>
    <w:p w:rsidR="007E006A" w:rsidRPr="007E006A" w:rsidRDefault="007E006A" w:rsidP="007E006A">
      <w:pPr>
        <w:spacing w:after="0" w:line="240" w:lineRule="auto"/>
        <w:rPr>
          <w:rFonts w:cs="Lucida Sans Unicode"/>
        </w:rPr>
      </w:pPr>
      <w:r w:rsidRPr="007E006A">
        <w:rPr>
          <w:rFonts w:cs="Lucida Sans Unicode"/>
        </w:rPr>
        <w:t>A summary of key findings on the effects of exposure to alcohol advertising on drinking behaviour</w:t>
      </w:r>
      <w:r w:rsidR="005F7196">
        <w:rPr>
          <w:rFonts w:cs="Lucida Sans Unicode"/>
        </w:rPr>
        <w:t xml:space="preserve"> (de </w:t>
      </w:r>
      <w:proofErr w:type="spellStart"/>
      <w:r w:rsidR="005F7196">
        <w:rPr>
          <w:rFonts w:cs="Lucida Sans Unicode"/>
        </w:rPr>
        <w:t>Bruijn</w:t>
      </w:r>
      <w:proofErr w:type="spellEnd"/>
      <w:r w:rsidR="005F7196">
        <w:rPr>
          <w:rFonts w:cs="Lucida Sans Unicode"/>
        </w:rPr>
        <w:t xml:space="preserve"> 2012c)</w:t>
      </w:r>
      <w:r w:rsidRPr="007E006A">
        <w:rPr>
          <w:rFonts w:cs="Lucida Sans Unicode"/>
        </w:rPr>
        <w:t>, are:</w:t>
      </w:r>
    </w:p>
    <w:p w:rsidR="007E006A" w:rsidRPr="007E006A" w:rsidRDefault="007E006A" w:rsidP="007E006A">
      <w:pPr>
        <w:pStyle w:val="ListParagraph"/>
        <w:numPr>
          <w:ilvl w:val="0"/>
          <w:numId w:val="8"/>
        </w:numPr>
        <w:spacing w:after="0" w:line="240" w:lineRule="auto"/>
        <w:rPr>
          <w:rFonts w:cs="Lucida Sans Unicode"/>
        </w:rPr>
      </w:pPr>
      <w:r w:rsidRPr="007E006A">
        <w:rPr>
          <w:rFonts w:cs="Lucida Sans Unicode"/>
        </w:rPr>
        <w:t xml:space="preserve">12 year olds who are highly </w:t>
      </w:r>
      <w:proofErr w:type="gramStart"/>
      <w:r w:rsidRPr="007E006A">
        <w:rPr>
          <w:rFonts w:cs="Lucida Sans Unicode"/>
        </w:rPr>
        <w:t>exposed  to</w:t>
      </w:r>
      <w:proofErr w:type="gramEnd"/>
      <w:r w:rsidRPr="007E006A">
        <w:rPr>
          <w:rFonts w:cs="Lucida Sans Unicode"/>
        </w:rPr>
        <w:t xml:space="preserve"> </w:t>
      </w:r>
      <w:r w:rsidRPr="007E006A">
        <w:rPr>
          <w:rFonts w:cs="Lucida Sans Unicode"/>
          <w:b/>
          <w:u w:val="single"/>
        </w:rPr>
        <w:t>overall alcohol advertising</w:t>
      </w:r>
      <w:r w:rsidRPr="007E006A">
        <w:rPr>
          <w:rFonts w:cs="Lucida Sans Unicode"/>
        </w:rPr>
        <w:t xml:space="preserve"> are more likely to start drinking within a year, compared to 12 year olds who are only slightly exposed to alcohol advertising (Collins et al 2007).</w:t>
      </w:r>
    </w:p>
    <w:p w:rsidR="007E006A" w:rsidRPr="007E006A" w:rsidRDefault="007E006A" w:rsidP="007E006A">
      <w:pPr>
        <w:pStyle w:val="ListParagraph"/>
        <w:numPr>
          <w:ilvl w:val="0"/>
          <w:numId w:val="8"/>
        </w:numPr>
        <w:spacing w:after="0" w:line="240" w:lineRule="auto"/>
        <w:rPr>
          <w:rFonts w:cs="Lucida Sans Unicode"/>
        </w:rPr>
      </w:pPr>
      <w:r w:rsidRPr="007E006A">
        <w:rPr>
          <w:rFonts w:cs="Lucida Sans Unicode"/>
        </w:rPr>
        <w:t xml:space="preserve">Youngsters who watch more </w:t>
      </w:r>
      <w:r w:rsidRPr="007E006A">
        <w:rPr>
          <w:rFonts w:cs="Lucida Sans Unicode"/>
          <w:b/>
          <w:u w:val="single"/>
        </w:rPr>
        <w:t>alcohol advertisements on television</w:t>
      </w:r>
      <w:r w:rsidRPr="007E006A">
        <w:rPr>
          <w:rFonts w:cs="Lucida Sans Unicode"/>
        </w:rPr>
        <w:t xml:space="preserve"> than average are 44% more likely to have ever used beer, 34% more likely to have ever used wine/hard liquor and 26% more likely to have ever drunk three or more drinks on one occasion (Stacy et al 2004).</w:t>
      </w:r>
    </w:p>
    <w:p w:rsidR="007E006A" w:rsidRPr="007E006A" w:rsidRDefault="007E006A" w:rsidP="007E006A">
      <w:pPr>
        <w:pStyle w:val="ListParagraph"/>
        <w:numPr>
          <w:ilvl w:val="0"/>
          <w:numId w:val="8"/>
        </w:numPr>
        <w:spacing w:after="0" w:line="240" w:lineRule="auto"/>
        <w:rPr>
          <w:rFonts w:cs="Lucida Sans Unicode"/>
        </w:rPr>
      </w:pPr>
      <w:r w:rsidRPr="007E006A">
        <w:rPr>
          <w:rFonts w:cs="Lucida Sans Unicode"/>
        </w:rPr>
        <w:t xml:space="preserve">In non-drinking 13-year-olds, exposure to </w:t>
      </w:r>
      <w:r w:rsidRPr="007E006A">
        <w:rPr>
          <w:rFonts w:cs="Lucida Sans Unicode"/>
          <w:b/>
          <w:u w:val="single"/>
        </w:rPr>
        <w:t>in-store beer displays</w:t>
      </w:r>
      <w:r w:rsidRPr="007E006A">
        <w:rPr>
          <w:rFonts w:cs="Lucida Sans Unicode"/>
        </w:rPr>
        <w:t xml:space="preserve"> predicts the age of onset of drinking (</w:t>
      </w:r>
      <w:proofErr w:type="spellStart"/>
      <w:r w:rsidRPr="007E006A">
        <w:rPr>
          <w:rFonts w:cs="Lucida Sans Unicode"/>
        </w:rPr>
        <w:t>Ellickson</w:t>
      </w:r>
      <w:proofErr w:type="spellEnd"/>
      <w:r w:rsidRPr="007E006A">
        <w:rPr>
          <w:rFonts w:cs="Lucida Sans Unicode"/>
        </w:rPr>
        <w:t xml:space="preserve"> et al 2005).</w:t>
      </w:r>
    </w:p>
    <w:p w:rsidR="007E006A" w:rsidRPr="007E006A" w:rsidRDefault="007E006A" w:rsidP="007E006A">
      <w:pPr>
        <w:pStyle w:val="ListParagraph"/>
        <w:numPr>
          <w:ilvl w:val="0"/>
          <w:numId w:val="8"/>
        </w:numPr>
        <w:spacing w:after="0" w:line="240" w:lineRule="auto"/>
        <w:rPr>
          <w:rFonts w:cs="Lucida Sans Unicode"/>
        </w:rPr>
      </w:pPr>
      <w:r w:rsidRPr="007E006A">
        <w:rPr>
          <w:rFonts w:cs="Lucida Sans Unicode"/>
        </w:rPr>
        <w:t xml:space="preserve">Teenage boys who own an </w:t>
      </w:r>
      <w:r w:rsidRPr="007E006A">
        <w:rPr>
          <w:rFonts w:cs="Lucida Sans Unicode"/>
          <w:b/>
          <w:u w:val="single"/>
        </w:rPr>
        <w:t>alcohol-branded promotional item</w:t>
      </w:r>
      <w:r w:rsidRPr="007E006A">
        <w:rPr>
          <w:rFonts w:cs="Lucida Sans Unicode"/>
        </w:rPr>
        <w:t xml:space="preserve"> are 1.78 times more likely to start using alcohol than boys who did not own such items.  For girls the figure was 1.74 (Fisher et al 2007).</w:t>
      </w:r>
    </w:p>
    <w:p w:rsidR="007E006A" w:rsidRPr="007E006A" w:rsidRDefault="007E006A" w:rsidP="007E006A">
      <w:pPr>
        <w:pStyle w:val="ListParagraph"/>
        <w:numPr>
          <w:ilvl w:val="0"/>
          <w:numId w:val="8"/>
        </w:numPr>
        <w:spacing w:after="0" w:line="240" w:lineRule="auto"/>
        <w:rPr>
          <w:rFonts w:cs="Lucida Sans Unicode"/>
        </w:rPr>
      </w:pPr>
      <w:r w:rsidRPr="007E006A">
        <w:rPr>
          <w:rFonts w:cs="Lucida Sans Unicode"/>
        </w:rPr>
        <w:t xml:space="preserve">Possession of a </w:t>
      </w:r>
      <w:r w:rsidRPr="007E006A">
        <w:rPr>
          <w:rFonts w:cs="Lucida Sans Unicode"/>
          <w:b/>
          <w:u w:val="single"/>
        </w:rPr>
        <w:t>promotional item</w:t>
      </w:r>
      <w:r w:rsidRPr="007E006A">
        <w:rPr>
          <w:rFonts w:cs="Lucida Sans Unicode"/>
        </w:rPr>
        <w:t xml:space="preserve"> from an alcohol producer and an attitudinal susceptibility toward alcohol brands predicted the age of onset of drinking as well as binge drinking among 10-14 year olds (McClure et al 2006; McClure et al 2009).</w:t>
      </w:r>
    </w:p>
    <w:p w:rsidR="007E006A" w:rsidRPr="007E006A" w:rsidRDefault="007E006A" w:rsidP="007E006A">
      <w:pPr>
        <w:pStyle w:val="ListParagraph"/>
        <w:numPr>
          <w:ilvl w:val="0"/>
          <w:numId w:val="8"/>
        </w:numPr>
        <w:spacing w:after="0" w:line="240" w:lineRule="auto"/>
        <w:ind w:left="714" w:hanging="357"/>
        <w:rPr>
          <w:rFonts w:cs="Lucida Sans Unicode"/>
        </w:rPr>
      </w:pPr>
      <w:r w:rsidRPr="007E006A">
        <w:rPr>
          <w:rFonts w:cs="Lucida Sans Unicode"/>
        </w:rPr>
        <w:t xml:space="preserve">Teenagers who are highly exposed to </w:t>
      </w:r>
      <w:r w:rsidRPr="007E006A">
        <w:rPr>
          <w:rFonts w:cs="Lucida Sans Unicode"/>
          <w:b/>
          <w:u w:val="single"/>
        </w:rPr>
        <w:t>alcohol advertising</w:t>
      </w:r>
      <w:r w:rsidRPr="007E006A">
        <w:rPr>
          <w:rFonts w:cs="Lucida Sans Unicode"/>
        </w:rPr>
        <w:t xml:space="preserve"> will drink more alcohol when they are in their twenties. In youngsters who have been slightly exposed to alcohol advertising, alcohol consumption stabilizes in the early twenties (Snyder et al 2006).</w:t>
      </w:r>
    </w:p>
    <w:p w:rsidR="007E006A" w:rsidRPr="007E006A" w:rsidRDefault="007E006A" w:rsidP="007E006A">
      <w:pPr>
        <w:pStyle w:val="ListParagraph"/>
        <w:numPr>
          <w:ilvl w:val="0"/>
          <w:numId w:val="8"/>
        </w:numPr>
        <w:spacing w:after="0" w:line="240" w:lineRule="auto"/>
        <w:ind w:left="714" w:hanging="357"/>
        <w:rPr>
          <w:rFonts w:cs="Lucida Sans Unicode"/>
        </w:rPr>
      </w:pPr>
      <w:r w:rsidRPr="007E006A">
        <w:rPr>
          <w:rFonts w:cs="Lucida Sans Unicode"/>
        </w:rPr>
        <w:t xml:space="preserve">10-12 year olds exposed to </w:t>
      </w:r>
      <w:r w:rsidRPr="007E006A">
        <w:rPr>
          <w:rFonts w:cs="Lucida Sans Unicode"/>
          <w:b/>
          <w:u w:val="single"/>
        </w:rPr>
        <w:t>outdoor alcohol advertisements</w:t>
      </w:r>
      <w:r w:rsidRPr="007E006A">
        <w:rPr>
          <w:rFonts w:cs="Lucida Sans Unicode"/>
        </w:rPr>
        <w:t xml:space="preserve"> was associated with subsequent intentions to </w:t>
      </w:r>
      <w:proofErr w:type="gramStart"/>
      <w:r w:rsidRPr="007E006A">
        <w:rPr>
          <w:rFonts w:cs="Lucida Sans Unicode"/>
        </w:rPr>
        <w:t>drink  (</w:t>
      </w:r>
      <w:proofErr w:type="gramEnd"/>
      <w:r w:rsidRPr="007E006A">
        <w:rPr>
          <w:rFonts w:cs="Lucida Sans Unicode"/>
        </w:rPr>
        <w:t>Pasch 2007).</w:t>
      </w:r>
    </w:p>
    <w:p w:rsidR="007E006A" w:rsidRDefault="007E006A" w:rsidP="007E006A">
      <w:pPr>
        <w:spacing w:after="0" w:line="240" w:lineRule="auto"/>
        <w:rPr>
          <w:rFonts w:cs="Lucida Sans Unicode"/>
        </w:rPr>
      </w:pPr>
    </w:p>
    <w:p w:rsidR="007E006A" w:rsidRPr="007E006A" w:rsidRDefault="007E006A" w:rsidP="007E006A">
      <w:pPr>
        <w:spacing w:after="0" w:line="240" w:lineRule="auto"/>
        <w:rPr>
          <w:rFonts w:cs="Lucida Sans Unicode"/>
        </w:rPr>
      </w:pPr>
      <w:r w:rsidRPr="007E006A">
        <w:rPr>
          <w:rFonts w:cs="Lucida Sans Unicode"/>
        </w:rPr>
        <w:t>Some additional studies</w:t>
      </w:r>
      <w:r w:rsidR="002546D6">
        <w:rPr>
          <w:rFonts w:cs="Lucida Sans Unicode"/>
        </w:rPr>
        <w:t xml:space="preserve"> not in systematic review</w:t>
      </w:r>
    </w:p>
    <w:p w:rsidR="007E006A" w:rsidRPr="007E006A" w:rsidRDefault="007E006A" w:rsidP="007E006A">
      <w:pPr>
        <w:pStyle w:val="ListParagraph"/>
        <w:numPr>
          <w:ilvl w:val="0"/>
          <w:numId w:val="8"/>
        </w:numPr>
        <w:spacing w:after="0" w:line="240" w:lineRule="auto"/>
        <w:ind w:left="714" w:hanging="357"/>
        <w:rPr>
          <w:rFonts w:cs="Lucida Sans Unicode"/>
        </w:rPr>
      </w:pPr>
      <w:r w:rsidRPr="007E006A">
        <w:rPr>
          <w:rFonts w:cs="Lucida Sans Unicode"/>
        </w:rPr>
        <w:t xml:space="preserve">Studies on the impact of exposure to </w:t>
      </w:r>
      <w:r w:rsidRPr="007E006A">
        <w:rPr>
          <w:rFonts w:cs="Lucida Sans Unicode"/>
          <w:b/>
          <w:u w:val="single"/>
        </w:rPr>
        <w:t>alcohol portrayal in films</w:t>
      </w:r>
      <w:r w:rsidRPr="007E006A">
        <w:rPr>
          <w:rFonts w:cs="Lucida Sans Unicode"/>
        </w:rPr>
        <w:t xml:space="preserve"> concluded that the start of alcohol use was positively related to baseline exposure to alcohol advertising (Sargent et al 2006; </w:t>
      </w:r>
      <w:proofErr w:type="spellStart"/>
      <w:r w:rsidRPr="007E006A">
        <w:rPr>
          <w:rFonts w:cs="Lucida Sans Unicode"/>
        </w:rPr>
        <w:t>Hanewinkel</w:t>
      </w:r>
      <w:proofErr w:type="spellEnd"/>
      <w:r w:rsidRPr="007E006A">
        <w:rPr>
          <w:rFonts w:cs="Lucida Sans Unicode"/>
        </w:rPr>
        <w:t xml:space="preserve"> et al 2009; Morgenstern et al 2011).</w:t>
      </w:r>
    </w:p>
    <w:p w:rsidR="007E006A" w:rsidRDefault="007E006A" w:rsidP="007E006A">
      <w:pPr>
        <w:pStyle w:val="ListParagraph"/>
        <w:numPr>
          <w:ilvl w:val="0"/>
          <w:numId w:val="8"/>
        </w:numPr>
        <w:spacing w:after="0" w:line="240" w:lineRule="auto"/>
        <w:ind w:left="714" w:hanging="357"/>
        <w:rPr>
          <w:rFonts w:cs="Lucida Sans Unicode"/>
        </w:rPr>
      </w:pPr>
      <w:r w:rsidRPr="007E006A">
        <w:rPr>
          <w:rFonts w:cs="Lucida Sans Unicode"/>
        </w:rPr>
        <w:t xml:space="preserve">Experimental studies on the immediate effect of alcohol advertising suggest a direct effect of exposure to </w:t>
      </w:r>
      <w:r w:rsidRPr="007E006A">
        <w:rPr>
          <w:rFonts w:cs="Lucida Sans Unicode"/>
          <w:b/>
          <w:u w:val="single"/>
        </w:rPr>
        <w:t>alcohol marketing cues in films and/or television</w:t>
      </w:r>
      <w:r w:rsidRPr="007E006A">
        <w:rPr>
          <w:rFonts w:cs="Lucida Sans Unicode"/>
          <w:b/>
        </w:rPr>
        <w:t xml:space="preserve"> </w:t>
      </w:r>
      <w:r w:rsidRPr="007E006A">
        <w:rPr>
          <w:rFonts w:cs="Lucida Sans Unicode"/>
          <w:b/>
          <w:u w:val="single"/>
        </w:rPr>
        <w:t>commercials</w:t>
      </w:r>
      <w:r w:rsidRPr="007E006A">
        <w:rPr>
          <w:rFonts w:cs="Lucida Sans Unicode"/>
          <w:u w:val="single"/>
        </w:rPr>
        <w:t>.</w:t>
      </w:r>
      <w:r w:rsidRPr="007E006A">
        <w:rPr>
          <w:rFonts w:cs="Lucida Sans Unicode"/>
        </w:rPr>
        <w:t xml:space="preserve"> (Engels et al 2009; </w:t>
      </w:r>
      <w:proofErr w:type="spellStart"/>
      <w:r w:rsidRPr="007E006A">
        <w:rPr>
          <w:rFonts w:cs="Lucida Sans Unicode"/>
        </w:rPr>
        <w:t>Koordeman</w:t>
      </w:r>
      <w:proofErr w:type="spellEnd"/>
      <w:r w:rsidRPr="007E006A">
        <w:rPr>
          <w:rFonts w:cs="Lucida Sans Unicode"/>
        </w:rPr>
        <w:t xml:space="preserve"> et al 2011).</w:t>
      </w:r>
    </w:p>
    <w:p w:rsidR="007E006A" w:rsidRPr="007E006A" w:rsidRDefault="007E006A" w:rsidP="007E006A">
      <w:pPr>
        <w:pStyle w:val="ListParagraph"/>
        <w:numPr>
          <w:ilvl w:val="0"/>
          <w:numId w:val="8"/>
        </w:numPr>
        <w:spacing w:after="0" w:line="240" w:lineRule="auto"/>
        <w:rPr>
          <w:rFonts w:cs="Lucida Sans Unicode"/>
        </w:rPr>
      </w:pPr>
      <w:r w:rsidRPr="007E006A">
        <w:rPr>
          <w:rFonts w:cs="Lucida Sans Unicode"/>
        </w:rPr>
        <w:t xml:space="preserve">Hazardous drinking was more common in adult sports people who received some form of </w:t>
      </w:r>
      <w:r w:rsidRPr="007E006A">
        <w:rPr>
          <w:rFonts w:cs="Lucida Sans Unicode"/>
          <w:b/>
          <w:u w:val="single"/>
        </w:rPr>
        <w:t>sport sponsorship</w:t>
      </w:r>
      <w:r w:rsidRPr="007E006A">
        <w:rPr>
          <w:rFonts w:cs="Lucida Sans Unicode"/>
        </w:rPr>
        <w:t xml:space="preserve"> than those who reported no sponsorship (O’Brien et al 2011).</w:t>
      </w:r>
    </w:p>
    <w:p w:rsidR="007E006A" w:rsidRPr="007E006A" w:rsidRDefault="007E006A" w:rsidP="007E006A">
      <w:pPr>
        <w:pStyle w:val="ListParagraph"/>
        <w:numPr>
          <w:ilvl w:val="0"/>
          <w:numId w:val="8"/>
        </w:numPr>
        <w:spacing w:after="0" w:line="240" w:lineRule="auto"/>
        <w:ind w:left="714" w:hanging="357"/>
        <w:rPr>
          <w:rFonts w:cs="Lucida Sans Unicode"/>
        </w:rPr>
      </w:pPr>
    </w:p>
    <w:p w:rsidR="007E006A" w:rsidRPr="007E006A" w:rsidRDefault="007E006A" w:rsidP="007E006A">
      <w:pPr>
        <w:spacing w:after="0" w:line="240" w:lineRule="auto"/>
        <w:rPr>
          <w:rFonts w:cs="Lucida Sans Unicode"/>
        </w:rPr>
      </w:pPr>
    </w:p>
    <w:p w:rsidR="007E006A" w:rsidRPr="007E006A" w:rsidRDefault="007E006A" w:rsidP="007E006A">
      <w:pPr>
        <w:spacing w:after="0" w:line="240" w:lineRule="auto"/>
        <w:rPr>
          <w:rFonts w:cs="Lucida Sans Unicode"/>
          <w:b/>
          <w:i/>
        </w:rPr>
      </w:pPr>
      <w:r w:rsidRPr="007E006A">
        <w:rPr>
          <w:rFonts w:cs="Lucida Sans Unicode"/>
          <w:b/>
        </w:rPr>
        <w:t>In 2009 the Scientific Group of the European Alcohol and Health Forum concluded that “</w:t>
      </w:r>
      <w:r w:rsidRPr="007E006A">
        <w:rPr>
          <w:rFonts w:cs="Lucida Sans Unicode"/>
          <w:b/>
          <w:i/>
        </w:rPr>
        <w:t>alcohol marketing increases the likelihood that adolescents will start to use alcohol, and to drink more if they are already using alcohol.”</w:t>
      </w:r>
    </w:p>
    <w:p w:rsidR="003F7E1E" w:rsidRDefault="003F7E1E" w:rsidP="003F7E1E">
      <w:pPr>
        <w:rPr>
          <w:color w:val="1F497D"/>
        </w:rPr>
      </w:pPr>
    </w:p>
    <w:p w:rsidR="003F7E1E" w:rsidRDefault="003F7E1E" w:rsidP="00907E26"/>
    <w:p w:rsidR="004A7878" w:rsidRDefault="004A7878" w:rsidP="00907E26"/>
    <w:p w:rsidR="004A7878" w:rsidRDefault="004A7878" w:rsidP="00907E26"/>
    <w:p w:rsidR="0059163D" w:rsidRDefault="0059163D" w:rsidP="00907E26">
      <w:pPr>
        <w:sectPr w:rsidR="0059163D">
          <w:headerReference w:type="default" r:id="rId24"/>
          <w:pgSz w:w="11906" w:h="16838"/>
          <w:pgMar w:top="1440" w:right="1440" w:bottom="1440" w:left="1440" w:header="708" w:footer="708" w:gutter="0"/>
          <w:cols w:space="708"/>
          <w:docGrid w:linePitch="360"/>
        </w:sectPr>
      </w:pPr>
    </w:p>
    <w:p w:rsidR="004A7878" w:rsidRDefault="004A7878" w:rsidP="00907E26"/>
    <w:p w:rsidR="004A7878" w:rsidRPr="00907E26" w:rsidRDefault="004A7878" w:rsidP="00907E26">
      <w:r>
        <w:rPr>
          <w:noProof/>
          <w:lang w:eastAsia="en-IE"/>
        </w:rPr>
        <w:drawing>
          <wp:inline distT="0" distB="0" distL="0" distR="0" wp14:anchorId="3D2D418F" wp14:editId="0C38E5D7">
            <wp:extent cx="8031480" cy="3253740"/>
            <wp:effectExtent l="0" t="0" r="26670" b="2286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sectPr w:rsidR="004A7878" w:rsidRPr="00907E26" w:rsidSect="0059163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EEC" w:rsidRDefault="00786EEC" w:rsidP="00E02B4F">
      <w:pPr>
        <w:spacing w:after="0" w:line="240" w:lineRule="auto"/>
      </w:pPr>
      <w:r>
        <w:separator/>
      </w:r>
    </w:p>
  </w:endnote>
  <w:endnote w:type="continuationSeparator" w:id="0">
    <w:p w:rsidR="00786EEC" w:rsidRDefault="00786EEC" w:rsidP="00E02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SJoey-Medium">
    <w:panose1 w:val="00000000000000000000"/>
    <w:charset w:val="00"/>
    <w:family w:val="swiss"/>
    <w:notTrueType/>
    <w:pitch w:val="default"/>
    <w:sig w:usb0="00000003" w:usb1="00000000" w:usb2="00000000" w:usb3="00000000" w:csb0="00000001" w:csb1="00000000"/>
  </w:font>
  <w:font w:name="FSJoey">
    <w:panose1 w:val="00000000000000000000"/>
    <w:charset w:val="00"/>
    <w:family w:val="swiss"/>
    <w:notTrueType/>
    <w:pitch w:val="default"/>
    <w:sig w:usb0="00000003" w:usb1="00000000" w:usb2="00000000" w:usb3="00000000" w:csb0="00000001" w:csb1="00000000"/>
  </w:font>
  <w:font w:name="AdvOT9d60b855.B">
    <w:panose1 w:val="00000000000000000000"/>
    <w:charset w:val="00"/>
    <w:family w:val="roman"/>
    <w:notTrueType/>
    <w:pitch w:val="default"/>
    <w:sig w:usb0="00000003" w:usb1="00000000" w:usb2="00000000" w:usb3="00000000" w:csb0="00000001" w:csb1="00000000"/>
  </w:font>
  <w:font w:name="AdvOTf9433e2d">
    <w:panose1 w:val="00000000000000000000"/>
    <w:charset w:val="00"/>
    <w:family w:val="roman"/>
    <w:notTrueType/>
    <w:pitch w:val="default"/>
    <w:sig w:usb0="00000003" w:usb1="00000000" w:usb2="00000000" w:usb3="00000000" w:csb0="00000001" w:csb1="00000000"/>
  </w:font>
  <w:font w:name="AdvOTf9433e2d+20">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Narrow">
    <w:panose1 w:val="00000000000000000000"/>
    <w:charset w:val="00"/>
    <w:family w:val="auto"/>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EEC" w:rsidRDefault="00786EEC" w:rsidP="00E02B4F">
      <w:pPr>
        <w:spacing w:after="0" w:line="240" w:lineRule="auto"/>
      </w:pPr>
      <w:r>
        <w:separator/>
      </w:r>
    </w:p>
  </w:footnote>
  <w:footnote w:type="continuationSeparator" w:id="0">
    <w:p w:rsidR="00786EEC" w:rsidRDefault="00786EEC" w:rsidP="00E02B4F">
      <w:pPr>
        <w:spacing w:after="0" w:line="240" w:lineRule="auto"/>
      </w:pPr>
      <w:r>
        <w:continuationSeparator/>
      </w:r>
    </w:p>
  </w:footnote>
  <w:footnote w:id="1">
    <w:p w:rsidR="004D7941" w:rsidRDefault="004D7941">
      <w:pPr>
        <w:pStyle w:val="FootnoteText"/>
      </w:pPr>
      <w:r>
        <w:rPr>
          <w:rStyle w:val="FootnoteReference"/>
        </w:rPr>
        <w:footnoteRef/>
      </w:r>
      <w:r>
        <w:t xml:space="preserve"> The WHO global strategy to reduce the harmful use of alcohol, defines “harmful use” in the context of public-health effects of alcohol consumption (WHO 2010).</w:t>
      </w:r>
    </w:p>
  </w:footnote>
  <w:footnote w:id="2">
    <w:p w:rsidR="004D7941" w:rsidRDefault="004D7941">
      <w:pPr>
        <w:pStyle w:val="FootnoteText"/>
      </w:pPr>
      <w:r>
        <w:rPr>
          <w:rStyle w:val="FootnoteReference"/>
        </w:rPr>
        <w:footnoteRef/>
      </w:r>
      <w:r>
        <w:t xml:space="preserve"> Disability-adjusted life years (DALYs) represent a time-based measure of overall burden of disease for a given population. DALYs are the sum of years of life lost due to premature mortality as well as years of life lost due to time lived in less than full health.</w:t>
      </w:r>
    </w:p>
  </w:footnote>
  <w:footnote w:id="3">
    <w:p w:rsidR="004D7941" w:rsidRDefault="004D7941">
      <w:pPr>
        <w:pStyle w:val="FootnoteText"/>
      </w:pPr>
      <w:r>
        <w:rPr>
          <w:rStyle w:val="FootnoteReference"/>
        </w:rPr>
        <w:footnoteRef/>
      </w:r>
      <w:r>
        <w:t xml:space="preserve"> Special thanks to Mr </w:t>
      </w:r>
      <w:proofErr w:type="spellStart"/>
      <w:r>
        <w:t>Ismo</w:t>
      </w:r>
      <w:proofErr w:type="spellEnd"/>
      <w:r>
        <w:t xml:space="preserve"> </w:t>
      </w:r>
      <w:proofErr w:type="spellStart"/>
      <w:r>
        <w:t>Tuominen</w:t>
      </w:r>
      <w:proofErr w:type="spellEnd"/>
      <w:r>
        <w:t xml:space="preserve"> for assisting with this summary</w:t>
      </w:r>
      <w:proofErr w:type="gramStart"/>
      <w:r>
        <w:t>,  Ministerial</w:t>
      </w:r>
      <w:proofErr w:type="gramEnd"/>
      <w:r>
        <w:t xml:space="preserve"> </w:t>
      </w:r>
      <w:proofErr w:type="spellStart"/>
      <w:r>
        <w:t>Councellor</w:t>
      </w:r>
      <w:proofErr w:type="spellEnd"/>
      <w:r>
        <w:t xml:space="preserve"> – legal affairs, Department for Promotion of Welfare and Health,  Finland.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316254"/>
      <w:docPartObj>
        <w:docPartGallery w:val="Page Numbers (Top of Page)"/>
        <w:docPartUnique/>
      </w:docPartObj>
    </w:sdtPr>
    <w:sdtEndPr>
      <w:rPr>
        <w:noProof/>
      </w:rPr>
    </w:sdtEndPr>
    <w:sdtContent>
      <w:p w:rsidR="004D7941" w:rsidRDefault="004D7941">
        <w:pPr>
          <w:pStyle w:val="Header"/>
          <w:jc w:val="right"/>
        </w:pPr>
        <w:r>
          <w:fldChar w:fldCharType="begin"/>
        </w:r>
        <w:r>
          <w:instrText xml:space="preserve"> PAGE   \* MERGEFORMAT </w:instrText>
        </w:r>
        <w:r>
          <w:fldChar w:fldCharType="separate"/>
        </w:r>
        <w:r w:rsidR="002561E1">
          <w:rPr>
            <w:noProof/>
          </w:rPr>
          <w:t>35</w:t>
        </w:r>
        <w:r>
          <w:rPr>
            <w:noProof/>
          </w:rPr>
          <w:fldChar w:fldCharType="end"/>
        </w:r>
      </w:p>
    </w:sdtContent>
  </w:sdt>
  <w:p w:rsidR="004D7941" w:rsidRDefault="004D79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5451"/>
    <w:multiLevelType w:val="hybridMultilevel"/>
    <w:tmpl w:val="E110A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A50120F"/>
    <w:multiLevelType w:val="hybridMultilevel"/>
    <w:tmpl w:val="CAA48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03016E4"/>
    <w:multiLevelType w:val="hybridMultilevel"/>
    <w:tmpl w:val="B94E9D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28190EF5"/>
    <w:multiLevelType w:val="hybridMultilevel"/>
    <w:tmpl w:val="EBEA1E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E4F441B"/>
    <w:multiLevelType w:val="hybridMultilevel"/>
    <w:tmpl w:val="5CDE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81140"/>
    <w:multiLevelType w:val="hybridMultilevel"/>
    <w:tmpl w:val="921A52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2B03C45"/>
    <w:multiLevelType w:val="hybridMultilevel"/>
    <w:tmpl w:val="D33C4BF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3E4108A0"/>
    <w:multiLevelType w:val="hybridMultilevel"/>
    <w:tmpl w:val="D59ECC16"/>
    <w:lvl w:ilvl="0" w:tplc="2E76D522">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0B81A21"/>
    <w:multiLevelType w:val="hybridMultilevel"/>
    <w:tmpl w:val="5E08E9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nsid w:val="42A5732F"/>
    <w:multiLevelType w:val="hybridMultilevel"/>
    <w:tmpl w:val="2D36D894"/>
    <w:lvl w:ilvl="0" w:tplc="2A44D2C6">
      <w:start w:val="1"/>
      <w:numFmt w:val="bullet"/>
      <w:lvlText w:val="•"/>
      <w:lvlJc w:val="left"/>
      <w:pPr>
        <w:tabs>
          <w:tab w:val="num" w:pos="720"/>
        </w:tabs>
        <w:ind w:left="720" w:hanging="360"/>
      </w:pPr>
      <w:rPr>
        <w:rFonts w:ascii="Arial" w:hAnsi="Arial" w:hint="default"/>
      </w:rPr>
    </w:lvl>
    <w:lvl w:ilvl="1" w:tplc="736EAF84" w:tentative="1">
      <w:start w:val="1"/>
      <w:numFmt w:val="bullet"/>
      <w:lvlText w:val="•"/>
      <w:lvlJc w:val="left"/>
      <w:pPr>
        <w:tabs>
          <w:tab w:val="num" w:pos="1440"/>
        </w:tabs>
        <w:ind w:left="1440" w:hanging="360"/>
      </w:pPr>
      <w:rPr>
        <w:rFonts w:ascii="Arial" w:hAnsi="Arial" w:hint="default"/>
      </w:rPr>
    </w:lvl>
    <w:lvl w:ilvl="2" w:tplc="D57463A0" w:tentative="1">
      <w:start w:val="1"/>
      <w:numFmt w:val="bullet"/>
      <w:lvlText w:val="•"/>
      <w:lvlJc w:val="left"/>
      <w:pPr>
        <w:tabs>
          <w:tab w:val="num" w:pos="2160"/>
        </w:tabs>
        <w:ind w:left="2160" w:hanging="360"/>
      </w:pPr>
      <w:rPr>
        <w:rFonts w:ascii="Arial" w:hAnsi="Arial" w:hint="default"/>
      </w:rPr>
    </w:lvl>
    <w:lvl w:ilvl="3" w:tplc="878EC768" w:tentative="1">
      <w:start w:val="1"/>
      <w:numFmt w:val="bullet"/>
      <w:lvlText w:val="•"/>
      <w:lvlJc w:val="left"/>
      <w:pPr>
        <w:tabs>
          <w:tab w:val="num" w:pos="2880"/>
        </w:tabs>
        <w:ind w:left="2880" w:hanging="360"/>
      </w:pPr>
      <w:rPr>
        <w:rFonts w:ascii="Arial" w:hAnsi="Arial" w:hint="default"/>
      </w:rPr>
    </w:lvl>
    <w:lvl w:ilvl="4" w:tplc="8E26AEF6" w:tentative="1">
      <w:start w:val="1"/>
      <w:numFmt w:val="bullet"/>
      <w:lvlText w:val="•"/>
      <w:lvlJc w:val="left"/>
      <w:pPr>
        <w:tabs>
          <w:tab w:val="num" w:pos="3600"/>
        </w:tabs>
        <w:ind w:left="3600" w:hanging="360"/>
      </w:pPr>
      <w:rPr>
        <w:rFonts w:ascii="Arial" w:hAnsi="Arial" w:hint="default"/>
      </w:rPr>
    </w:lvl>
    <w:lvl w:ilvl="5" w:tplc="9D123B1A" w:tentative="1">
      <w:start w:val="1"/>
      <w:numFmt w:val="bullet"/>
      <w:lvlText w:val="•"/>
      <w:lvlJc w:val="left"/>
      <w:pPr>
        <w:tabs>
          <w:tab w:val="num" w:pos="4320"/>
        </w:tabs>
        <w:ind w:left="4320" w:hanging="360"/>
      </w:pPr>
      <w:rPr>
        <w:rFonts w:ascii="Arial" w:hAnsi="Arial" w:hint="default"/>
      </w:rPr>
    </w:lvl>
    <w:lvl w:ilvl="6" w:tplc="ADCA90C8" w:tentative="1">
      <w:start w:val="1"/>
      <w:numFmt w:val="bullet"/>
      <w:lvlText w:val="•"/>
      <w:lvlJc w:val="left"/>
      <w:pPr>
        <w:tabs>
          <w:tab w:val="num" w:pos="5040"/>
        </w:tabs>
        <w:ind w:left="5040" w:hanging="360"/>
      </w:pPr>
      <w:rPr>
        <w:rFonts w:ascii="Arial" w:hAnsi="Arial" w:hint="default"/>
      </w:rPr>
    </w:lvl>
    <w:lvl w:ilvl="7" w:tplc="EB6C1F5C" w:tentative="1">
      <w:start w:val="1"/>
      <w:numFmt w:val="bullet"/>
      <w:lvlText w:val="•"/>
      <w:lvlJc w:val="left"/>
      <w:pPr>
        <w:tabs>
          <w:tab w:val="num" w:pos="5760"/>
        </w:tabs>
        <w:ind w:left="5760" w:hanging="360"/>
      </w:pPr>
      <w:rPr>
        <w:rFonts w:ascii="Arial" w:hAnsi="Arial" w:hint="default"/>
      </w:rPr>
    </w:lvl>
    <w:lvl w:ilvl="8" w:tplc="6E5AF9C8" w:tentative="1">
      <w:start w:val="1"/>
      <w:numFmt w:val="bullet"/>
      <w:lvlText w:val="•"/>
      <w:lvlJc w:val="left"/>
      <w:pPr>
        <w:tabs>
          <w:tab w:val="num" w:pos="6480"/>
        </w:tabs>
        <w:ind w:left="6480" w:hanging="360"/>
      </w:pPr>
      <w:rPr>
        <w:rFonts w:ascii="Arial" w:hAnsi="Arial" w:hint="default"/>
      </w:rPr>
    </w:lvl>
  </w:abstractNum>
  <w:abstractNum w:abstractNumId="10">
    <w:nsid w:val="42E63AA1"/>
    <w:multiLevelType w:val="hybridMultilevel"/>
    <w:tmpl w:val="B3DA2C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6DA54EE"/>
    <w:multiLevelType w:val="hybridMultilevel"/>
    <w:tmpl w:val="F8A46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B427425"/>
    <w:multiLevelType w:val="hybridMultilevel"/>
    <w:tmpl w:val="DE9216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B937D40"/>
    <w:multiLevelType w:val="hybridMultilevel"/>
    <w:tmpl w:val="A6A48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4E414F33"/>
    <w:multiLevelType w:val="hybridMultilevel"/>
    <w:tmpl w:val="A7B8B43E"/>
    <w:lvl w:ilvl="0" w:tplc="792C294A">
      <w:start w:val="1"/>
      <w:numFmt w:val="decimal"/>
      <w:lvlText w:val="%1."/>
      <w:lvlJc w:val="left"/>
      <w:pPr>
        <w:tabs>
          <w:tab w:val="num" w:pos="644"/>
        </w:tabs>
        <w:ind w:left="644" w:hanging="360"/>
      </w:pPr>
      <w:rPr>
        <w:i w:val="0"/>
        <w:iCs w:val="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5">
    <w:nsid w:val="50ED559F"/>
    <w:multiLevelType w:val="hybridMultilevel"/>
    <w:tmpl w:val="DC94DC86"/>
    <w:lvl w:ilvl="0" w:tplc="18090001">
      <w:start w:val="1"/>
      <w:numFmt w:val="bullet"/>
      <w:lvlText w:val=""/>
      <w:lvlJc w:val="left"/>
      <w:pPr>
        <w:ind w:left="717" w:hanging="360"/>
      </w:pPr>
      <w:rPr>
        <w:rFonts w:ascii="Symbol" w:hAnsi="Symbol"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16">
    <w:nsid w:val="540C2628"/>
    <w:multiLevelType w:val="hybridMultilevel"/>
    <w:tmpl w:val="1174F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5137716"/>
    <w:multiLevelType w:val="hybridMultilevel"/>
    <w:tmpl w:val="C390E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F3674D4"/>
    <w:multiLevelType w:val="hybridMultilevel"/>
    <w:tmpl w:val="4DF2A3A8"/>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nsid w:val="64B53677"/>
    <w:multiLevelType w:val="hybridMultilevel"/>
    <w:tmpl w:val="5BC293D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7A0282E"/>
    <w:multiLevelType w:val="hybridMultilevel"/>
    <w:tmpl w:val="4AE80B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D78598B"/>
    <w:multiLevelType w:val="hybridMultilevel"/>
    <w:tmpl w:val="DD602A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70985292"/>
    <w:multiLevelType w:val="hybridMultilevel"/>
    <w:tmpl w:val="C4AEDBE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F37CD8"/>
    <w:multiLevelType w:val="hybridMultilevel"/>
    <w:tmpl w:val="09CC23DE"/>
    <w:lvl w:ilvl="0" w:tplc="2E76D522">
      <w:start w:val="1"/>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0"/>
  </w:num>
  <w:num w:numId="4">
    <w:abstractNumId w:val="16"/>
  </w:num>
  <w:num w:numId="5">
    <w:abstractNumId w:val="19"/>
  </w:num>
  <w:num w:numId="6">
    <w:abstractNumId w:val="12"/>
  </w:num>
  <w:num w:numId="7">
    <w:abstractNumId w:val="9"/>
  </w:num>
  <w:num w:numId="8">
    <w:abstractNumId w:val="4"/>
  </w:num>
  <w:num w:numId="9">
    <w:abstractNumId w:val="15"/>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7"/>
  </w:num>
  <w:num w:numId="13">
    <w:abstractNumId w:val="1"/>
  </w:num>
  <w:num w:numId="14">
    <w:abstractNumId w:val="0"/>
  </w:num>
  <w:num w:numId="15">
    <w:abstractNumId w:val="21"/>
  </w:num>
  <w:num w:numId="16">
    <w:abstractNumId w:val="23"/>
  </w:num>
  <w:num w:numId="17">
    <w:abstractNumId w:val="7"/>
  </w:num>
  <w:num w:numId="18">
    <w:abstractNumId w:val="6"/>
  </w:num>
  <w:num w:numId="19">
    <w:abstractNumId w:val="3"/>
  </w:num>
  <w:num w:numId="20">
    <w:abstractNumId w:val="22"/>
  </w:num>
  <w:num w:numId="21">
    <w:abstractNumId w:val="8"/>
  </w:num>
  <w:num w:numId="22">
    <w:abstractNumId w:val="14"/>
  </w:num>
  <w:num w:numId="23">
    <w:abstractNumId w:val="10"/>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3D0"/>
    <w:rsid w:val="00002636"/>
    <w:rsid w:val="0000582B"/>
    <w:rsid w:val="00006D7D"/>
    <w:rsid w:val="00022E93"/>
    <w:rsid w:val="0002625F"/>
    <w:rsid w:val="000273A1"/>
    <w:rsid w:val="00032B2C"/>
    <w:rsid w:val="00034B40"/>
    <w:rsid w:val="00034FC0"/>
    <w:rsid w:val="00041FC8"/>
    <w:rsid w:val="000569A6"/>
    <w:rsid w:val="00070EDF"/>
    <w:rsid w:val="00077C50"/>
    <w:rsid w:val="000801DF"/>
    <w:rsid w:val="00081206"/>
    <w:rsid w:val="00084AA9"/>
    <w:rsid w:val="00090603"/>
    <w:rsid w:val="00091942"/>
    <w:rsid w:val="00094268"/>
    <w:rsid w:val="00097EDD"/>
    <w:rsid w:val="00097F6F"/>
    <w:rsid w:val="000A6341"/>
    <w:rsid w:val="000B2D2D"/>
    <w:rsid w:val="000D154F"/>
    <w:rsid w:val="000E082B"/>
    <w:rsid w:val="000E72C7"/>
    <w:rsid w:val="000F1D15"/>
    <w:rsid w:val="000F2F05"/>
    <w:rsid w:val="00100D56"/>
    <w:rsid w:val="00101868"/>
    <w:rsid w:val="001132F8"/>
    <w:rsid w:val="0012000F"/>
    <w:rsid w:val="00120673"/>
    <w:rsid w:val="00122BE8"/>
    <w:rsid w:val="00123F6C"/>
    <w:rsid w:val="001279C6"/>
    <w:rsid w:val="00144B7A"/>
    <w:rsid w:val="001520E3"/>
    <w:rsid w:val="00153626"/>
    <w:rsid w:val="0015458F"/>
    <w:rsid w:val="00157CC6"/>
    <w:rsid w:val="00160698"/>
    <w:rsid w:val="001621F5"/>
    <w:rsid w:val="00162A2D"/>
    <w:rsid w:val="0017516F"/>
    <w:rsid w:val="00183220"/>
    <w:rsid w:val="001853B9"/>
    <w:rsid w:val="001931F3"/>
    <w:rsid w:val="001A2E7E"/>
    <w:rsid w:val="001B0138"/>
    <w:rsid w:val="001B6BB4"/>
    <w:rsid w:val="001B7FFC"/>
    <w:rsid w:val="001C08DF"/>
    <w:rsid w:val="001C1871"/>
    <w:rsid w:val="001D0659"/>
    <w:rsid w:val="001D4C12"/>
    <w:rsid w:val="001D51FA"/>
    <w:rsid w:val="001E1956"/>
    <w:rsid w:val="001E2B3E"/>
    <w:rsid w:val="001F23D9"/>
    <w:rsid w:val="001F3715"/>
    <w:rsid w:val="002018BB"/>
    <w:rsid w:val="002041D6"/>
    <w:rsid w:val="00206746"/>
    <w:rsid w:val="0021141C"/>
    <w:rsid w:val="00214B3E"/>
    <w:rsid w:val="00227ED7"/>
    <w:rsid w:val="00231C45"/>
    <w:rsid w:val="00246ED6"/>
    <w:rsid w:val="0025423C"/>
    <w:rsid w:val="002546D6"/>
    <w:rsid w:val="002561E1"/>
    <w:rsid w:val="00260DB9"/>
    <w:rsid w:val="0026396B"/>
    <w:rsid w:val="00264A2F"/>
    <w:rsid w:val="00274883"/>
    <w:rsid w:val="00277A9F"/>
    <w:rsid w:val="00295CFB"/>
    <w:rsid w:val="002A213E"/>
    <w:rsid w:val="002C0087"/>
    <w:rsid w:val="002C03BC"/>
    <w:rsid w:val="002E4DF3"/>
    <w:rsid w:val="002F2AA8"/>
    <w:rsid w:val="002F61D1"/>
    <w:rsid w:val="00302ABA"/>
    <w:rsid w:val="00307934"/>
    <w:rsid w:val="00311B34"/>
    <w:rsid w:val="003164C9"/>
    <w:rsid w:val="00317C85"/>
    <w:rsid w:val="003210EC"/>
    <w:rsid w:val="003247EA"/>
    <w:rsid w:val="00336FDD"/>
    <w:rsid w:val="00342AB3"/>
    <w:rsid w:val="0034754F"/>
    <w:rsid w:val="00352AA5"/>
    <w:rsid w:val="00356B3E"/>
    <w:rsid w:val="00366A7D"/>
    <w:rsid w:val="00374B86"/>
    <w:rsid w:val="00376521"/>
    <w:rsid w:val="00386B33"/>
    <w:rsid w:val="00390B16"/>
    <w:rsid w:val="003A6684"/>
    <w:rsid w:val="003B0029"/>
    <w:rsid w:val="003B35AD"/>
    <w:rsid w:val="003C3AA1"/>
    <w:rsid w:val="003E5D9D"/>
    <w:rsid w:val="003E65E8"/>
    <w:rsid w:val="003E6DC5"/>
    <w:rsid w:val="003F2D4B"/>
    <w:rsid w:val="003F7E1E"/>
    <w:rsid w:val="00402624"/>
    <w:rsid w:val="00403B88"/>
    <w:rsid w:val="00413F06"/>
    <w:rsid w:val="00426645"/>
    <w:rsid w:val="004316FB"/>
    <w:rsid w:val="0043729E"/>
    <w:rsid w:val="00441EAF"/>
    <w:rsid w:val="0044310E"/>
    <w:rsid w:val="0045199B"/>
    <w:rsid w:val="0045235C"/>
    <w:rsid w:val="00452A9B"/>
    <w:rsid w:val="004564FD"/>
    <w:rsid w:val="004616C7"/>
    <w:rsid w:val="00466874"/>
    <w:rsid w:val="00466B5F"/>
    <w:rsid w:val="00467219"/>
    <w:rsid w:val="00496AD4"/>
    <w:rsid w:val="004971DE"/>
    <w:rsid w:val="0049781C"/>
    <w:rsid w:val="004A1B59"/>
    <w:rsid w:val="004A3FDE"/>
    <w:rsid w:val="004A7878"/>
    <w:rsid w:val="004B5D92"/>
    <w:rsid w:val="004B6FA9"/>
    <w:rsid w:val="004D6484"/>
    <w:rsid w:val="004D7941"/>
    <w:rsid w:val="004E1AF4"/>
    <w:rsid w:val="004E32D6"/>
    <w:rsid w:val="004E331C"/>
    <w:rsid w:val="004F7AF1"/>
    <w:rsid w:val="005006F2"/>
    <w:rsid w:val="00501724"/>
    <w:rsid w:val="0050308B"/>
    <w:rsid w:val="00505067"/>
    <w:rsid w:val="005127DF"/>
    <w:rsid w:val="00516B92"/>
    <w:rsid w:val="00517C57"/>
    <w:rsid w:val="00520CCA"/>
    <w:rsid w:val="00523A78"/>
    <w:rsid w:val="0052671F"/>
    <w:rsid w:val="0053120A"/>
    <w:rsid w:val="00531D43"/>
    <w:rsid w:val="005373E3"/>
    <w:rsid w:val="0053766D"/>
    <w:rsid w:val="00543F26"/>
    <w:rsid w:val="00545932"/>
    <w:rsid w:val="00552DBC"/>
    <w:rsid w:val="00565011"/>
    <w:rsid w:val="00573A3C"/>
    <w:rsid w:val="00574078"/>
    <w:rsid w:val="005742D0"/>
    <w:rsid w:val="00575C00"/>
    <w:rsid w:val="005854C8"/>
    <w:rsid w:val="005904AB"/>
    <w:rsid w:val="0059163D"/>
    <w:rsid w:val="00594263"/>
    <w:rsid w:val="00594EAF"/>
    <w:rsid w:val="005965A8"/>
    <w:rsid w:val="005A4B50"/>
    <w:rsid w:val="005A7E51"/>
    <w:rsid w:val="005D2C9B"/>
    <w:rsid w:val="005E4653"/>
    <w:rsid w:val="005F1515"/>
    <w:rsid w:val="005F62F8"/>
    <w:rsid w:val="005F6B7E"/>
    <w:rsid w:val="005F7196"/>
    <w:rsid w:val="00601F95"/>
    <w:rsid w:val="0061388B"/>
    <w:rsid w:val="00613DBD"/>
    <w:rsid w:val="0063169C"/>
    <w:rsid w:val="00646E0D"/>
    <w:rsid w:val="006512B7"/>
    <w:rsid w:val="00660B29"/>
    <w:rsid w:val="006619B7"/>
    <w:rsid w:val="00672A17"/>
    <w:rsid w:val="00672A2A"/>
    <w:rsid w:val="00673E2D"/>
    <w:rsid w:val="00681635"/>
    <w:rsid w:val="00683E17"/>
    <w:rsid w:val="00686F5A"/>
    <w:rsid w:val="006A1858"/>
    <w:rsid w:val="006A6E58"/>
    <w:rsid w:val="006B0A01"/>
    <w:rsid w:val="006B107F"/>
    <w:rsid w:val="006B617B"/>
    <w:rsid w:val="006C2538"/>
    <w:rsid w:val="006C7F58"/>
    <w:rsid w:val="006D0EED"/>
    <w:rsid w:val="006E4623"/>
    <w:rsid w:val="006E54AF"/>
    <w:rsid w:val="006F354C"/>
    <w:rsid w:val="006F4259"/>
    <w:rsid w:val="007074A6"/>
    <w:rsid w:val="007160B8"/>
    <w:rsid w:val="0071699E"/>
    <w:rsid w:val="00727404"/>
    <w:rsid w:val="00730C6B"/>
    <w:rsid w:val="00735B45"/>
    <w:rsid w:val="007420C6"/>
    <w:rsid w:val="00744AE1"/>
    <w:rsid w:val="0075317D"/>
    <w:rsid w:val="00756E59"/>
    <w:rsid w:val="007658B8"/>
    <w:rsid w:val="0076657B"/>
    <w:rsid w:val="00767640"/>
    <w:rsid w:val="00771B8F"/>
    <w:rsid w:val="00773635"/>
    <w:rsid w:val="00773DDB"/>
    <w:rsid w:val="00784A93"/>
    <w:rsid w:val="00786EEC"/>
    <w:rsid w:val="00790606"/>
    <w:rsid w:val="00790E54"/>
    <w:rsid w:val="007A0479"/>
    <w:rsid w:val="007A07FB"/>
    <w:rsid w:val="007A3B00"/>
    <w:rsid w:val="007A4656"/>
    <w:rsid w:val="007B7CDC"/>
    <w:rsid w:val="007C3F21"/>
    <w:rsid w:val="007C6C61"/>
    <w:rsid w:val="007D010D"/>
    <w:rsid w:val="007E006A"/>
    <w:rsid w:val="007E03D0"/>
    <w:rsid w:val="007E6E7D"/>
    <w:rsid w:val="0081203A"/>
    <w:rsid w:val="00812297"/>
    <w:rsid w:val="00815C20"/>
    <w:rsid w:val="008161A4"/>
    <w:rsid w:val="00822C5E"/>
    <w:rsid w:val="00823BEC"/>
    <w:rsid w:val="00827EEE"/>
    <w:rsid w:val="00830CCE"/>
    <w:rsid w:val="00832DEE"/>
    <w:rsid w:val="00836F6A"/>
    <w:rsid w:val="0084428A"/>
    <w:rsid w:val="00852E91"/>
    <w:rsid w:val="008544E1"/>
    <w:rsid w:val="008547EC"/>
    <w:rsid w:val="00855E4A"/>
    <w:rsid w:val="008653A5"/>
    <w:rsid w:val="008770D3"/>
    <w:rsid w:val="00881A9A"/>
    <w:rsid w:val="00882175"/>
    <w:rsid w:val="00884072"/>
    <w:rsid w:val="00885D8E"/>
    <w:rsid w:val="00887186"/>
    <w:rsid w:val="0089167F"/>
    <w:rsid w:val="008A17BF"/>
    <w:rsid w:val="008B14FD"/>
    <w:rsid w:val="008C161D"/>
    <w:rsid w:val="00906F7D"/>
    <w:rsid w:val="00907E26"/>
    <w:rsid w:val="009115DF"/>
    <w:rsid w:val="00913F4B"/>
    <w:rsid w:val="0091526D"/>
    <w:rsid w:val="009172F6"/>
    <w:rsid w:val="00921DCF"/>
    <w:rsid w:val="009271B7"/>
    <w:rsid w:val="00933A81"/>
    <w:rsid w:val="00934156"/>
    <w:rsid w:val="009402B5"/>
    <w:rsid w:val="009419BF"/>
    <w:rsid w:val="00942D19"/>
    <w:rsid w:val="00943063"/>
    <w:rsid w:val="0094577B"/>
    <w:rsid w:val="00947461"/>
    <w:rsid w:val="00951BBE"/>
    <w:rsid w:val="0096073E"/>
    <w:rsid w:val="00965E7D"/>
    <w:rsid w:val="0098527E"/>
    <w:rsid w:val="009863C9"/>
    <w:rsid w:val="009A1142"/>
    <w:rsid w:val="009A136B"/>
    <w:rsid w:val="009A13D1"/>
    <w:rsid w:val="009A5BC5"/>
    <w:rsid w:val="009A61FD"/>
    <w:rsid w:val="009A7A35"/>
    <w:rsid w:val="009B0D80"/>
    <w:rsid w:val="009B6D3A"/>
    <w:rsid w:val="009B7E17"/>
    <w:rsid w:val="009C01C9"/>
    <w:rsid w:val="009C1205"/>
    <w:rsid w:val="009C3BDE"/>
    <w:rsid w:val="009D1AD8"/>
    <w:rsid w:val="009E373D"/>
    <w:rsid w:val="009E4EBA"/>
    <w:rsid w:val="009E5917"/>
    <w:rsid w:val="009F45D0"/>
    <w:rsid w:val="00A00875"/>
    <w:rsid w:val="00A12AB9"/>
    <w:rsid w:val="00A229C0"/>
    <w:rsid w:val="00A316D3"/>
    <w:rsid w:val="00A341C9"/>
    <w:rsid w:val="00A362D5"/>
    <w:rsid w:val="00A41A60"/>
    <w:rsid w:val="00A423E2"/>
    <w:rsid w:val="00A50CC0"/>
    <w:rsid w:val="00A54F40"/>
    <w:rsid w:val="00A623C3"/>
    <w:rsid w:val="00A62FA6"/>
    <w:rsid w:val="00A6374E"/>
    <w:rsid w:val="00A67E61"/>
    <w:rsid w:val="00A80481"/>
    <w:rsid w:val="00A96680"/>
    <w:rsid w:val="00AA5D6A"/>
    <w:rsid w:val="00AC245E"/>
    <w:rsid w:val="00AC32A0"/>
    <w:rsid w:val="00AC5178"/>
    <w:rsid w:val="00AD45E0"/>
    <w:rsid w:val="00AD732D"/>
    <w:rsid w:val="00AE0257"/>
    <w:rsid w:val="00AE2FC3"/>
    <w:rsid w:val="00AE7B95"/>
    <w:rsid w:val="00AF0D9D"/>
    <w:rsid w:val="00AF1E87"/>
    <w:rsid w:val="00AF4FD0"/>
    <w:rsid w:val="00B06749"/>
    <w:rsid w:val="00B10D99"/>
    <w:rsid w:val="00B13C91"/>
    <w:rsid w:val="00B176BC"/>
    <w:rsid w:val="00B203F6"/>
    <w:rsid w:val="00B2080E"/>
    <w:rsid w:val="00B20BD7"/>
    <w:rsid w:val="00B24134"/>
    <w:rsid w:val="00B27472"/>
    <w:rsid w:val="00B5567B"/>
    <w:rsid w:val="00B55D77"/>
    <w:rsid w:val="00B8023C"/>
    <w:rsid w:val="00B80E7E"/>
    <w:rsid w:val="00B8594F"/>
    <w:rsid w:val="00B90A42"/>
    <w:rsid w:val="00B94847"/>
    <w:rsid w:val="00BA0370"/>
    <w:rsid w:val="00BD2B96"/>
    <w:rsid w:val="00BD2E7B"/>
    <w:rsid w:val="00BD49D9"/>
    <w:rsid w:val="00BD6015"/>
    <w:rsid w:val="00BE205A"/>
    <w:rsid w:val="00BE4566"/>
    <w:rsid w:val="00BF46E5"/>
    <w:rsid w:val="00C11182"/>
    <w:rsid w:val="00C1215B"/>
    <w:rsid w:val="00C17B5E"/>
    <w:rsid w:val="00C20ABC"/>
    <w:rsid w:val="00C22D50"/>
    <w:rsid w:val="00C26FDC"/>
    <w:rsid w:val="00C31865"/>
    <w:rsid w:val="00C34795"/>
    <w:rsid w:val="00C348A1"/>
    <w:rsid w:val="00C35503"/>
    <w:rsid w:val="00C42282"/>
    <w:rsid w:val="00C4375C"/>
    <w:rsid w:val="00C5173F"/>
    <w:rsid w:val="00C51F89"/>
    <w:rsid w:val="00C54471"/>
    <w:rsid w:val="00C7367D"/>
    <w:rsid w:val="00C73F51"/>
    <w:rsid w:val="00C740CF"/>
    <w:rsid w:val="00C75844"/>
    <w:rsid w:val="00C804D7"/>
    <w:rsid w:val="00C81C34"/>
    <w:rsid w:val="00C95DB7"/>
    <w:rsid w:val="00CA16A1"/>
    <w:rsid w:val="00CA1FD6"/>
    <w:rsid w:val="00CA3C6A"/>
    <w:rsid w:val="00CA672E"/>
    <w:rsid w:val="00CB5F54"/>
    <w:rsid w:val="00CB6FC3"/>
    <w:rsid w:val="00CC082F"/>
    <w:rsid w:val="00CC65FA"/>
    <w:rsid w:val="00CD7FE8"/>
    <w:rsid w:val="00CE029F"/>
    <w:rsid w:val="00CE2151"/>
    <w:rsid w:val="00CF1B18"/>
    <w:rsid w:val="00CF4AAE"/>
    <w:rsid w:val="00CF5AAC"/>
    <w:rsid w:val="00D07565"/>
    <w:rsid w:val="00D25E77"/>
    <w:rsid w:val="00D3419C"/>
    <w:rsid w:val="00D37AB7"/>
    <w:rsid w:val="00D4177F"/>
    <w:rsid w:val="00D42327"/>
    <w:rsid w:val="00D46F21"/>
    <w:rsid w:val="00D54343"/>
    <w:rsid w:val="00D55F24"/>
    <w:rsid w:val="00D73447"/>
    <w:rsid w:val="00D74495"/>
    <w:rsid w:val="00D8072D"/>
    <w:rsid w:val="00D9450A"/>
    <w:rsid w:val="00D95013"/>
    <w:rsid w:val="00D9509C"/>
    <w:rsid w:val="00DB3C4E"/>
    <w:rsid w:val="00DB4581"/>
    <w:rsid w:val="00DC41D4"/>
    <w:rsid w:val="00DD066A"/>
    <w:rsid w:val="00DD0C64"/>
    <w:rsid w:val="00DD0E31"/>
    <w:rsid w:val="00DD19B7"/>
    <w:rsid w:val="00DE10A8"/>
    <w:rsid w:val="00DE11DF"/>
    <w:rsid w:val="00DE3BB9"/>
    <w:rsid w:val="00DE4899"/>
    <w:rsid w:val="00DF0413"/>
    <w:rsid w:val="00E02B4F"/>
    <w:rsid w:val="00E06CD1"/>
    <w:rsid w:val="00E11490"/>
    <w:rsid w:val="00E63040"/>
    <w:rsid w:val="00E772F0"/>
    <w:rsid w:val="00E86176"/>
    <w:rsid w:val="00E91211"/>
    <w:rsid w:val="00EA098A"/>
    <w:rsid w:val="00EA5018"/>
    <w:rsid w:val="00EC0643"/>
    <w:rsid w:val="00EC5A0F"/>
    <w:rsid w:val="00EC5BE5"/>
    <w:rsid w:val="00EE7294"/>
    <w:rsid w:val="00EF61AB"/>
    <w:rsid w:val="00F04234"/>
    <w:rsid w:val="00F04E58"/>
    <w:rsid w:val="00F16C77"/>
    <w:rsid w:val="00F27F6C"/>
    <w:rsid w:val="00F32C35"/>
    <w:rsid w:val="00F34CFE"/>
    <w:rsid w:val="00F36EC9"/>
    <w:rsid w:val="00F45081"/>
    <w:rsid w:val="00F53391"/>
    <w:rsid w:val="00F55074"/>
    <w:rsid w:val="00F56116"/>
    <w:rsid w:val="00F63577"/>
    <w:rsid w:val="00F6565F"/>
    <w:rsid w:val="00F67E64"/>
    <w:rsid w:val="00F73A85"/>
    <w:rsid w:val="00F7514D"/>
    <w:rsid w:val="00F77516"/>
    <w:rsid w:val="00F93ECA"/>
    <w:rsid w:val="00F96A16"/>
    <w:rsid w:val="00F97EEC"/>
    <w:rsid w:val="00FA39FF"/>
    <w:rsid w:val="00FA786C"/>
    <w:rsid w:val="00FB1173"/>
    <w:rsid w:val="00FB1D73"/>
    <w:rsid w:val="00FB4034"/>
    <w:rsid w:val="00FB487C"/>
    <w:rsid w:val="00FC10CA"/>
    <w:rsid w:val="00FD0501"/>
    <w:rsid w:val="00FD1B1D"/>
    <w:rsid w:val="00FE7EB0"/>
    <w:rsid w:val="00FE7F91"/>
    <w:rsid w:val="00FF05DC"/>
    <w:rsid w:val="00FF0924"/>
    <w:rsid w:val="00FF0FA2"/>
    <w:rsid w:val="00FF12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16"/>
    <w:pPr>
      <w:ind w:left="720"/>
      <w:contextualSpacing/>
    </w:pPr>
  </w:style>
  <w:style w:type="table" w:styleId="TableGrid">
    <w:name w:val="Table Grid"/>
    <w:basedOn w:val="TableNormal"/>
    <w:uiPriority w:val="59"/>
    <w:rsid w:val="00AD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2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B4F"/>
    <w:rPr>
      <w:sz w:val="20"/>
      <w:szCs w:val="20"/>
    </w:rPr>
  </w:style>
  <w:style w:type="character" w:styleId="FootnoteReference">
    <w:name w:val="footnote reference"/>
    <w:basedOn w:val="DefaultParagraphFont"/>
    <w:uiPriority w:val="99"/>
    <w:semiHidden/>
    <w:unhideWhenUsed/>
    <w:rsid w:val="00E02B4F"/>
    <w:rPr>
      <w:vertAlign w:val="superscript"/>
    </w:rPr>
  </w:style>
  <w:style w:type="paragraph" w:styleId="BalloonText">
    <w:name w:val="Balloon Text"/>
    <w:basedOn w:val="Normal"/>
    <w:link w:val="BalloonTextChar"/>
    <w:uiPriority w:val="99"/>
    <w:semiHidden/>
    <w:unhideWhenUsed/>
    <w:rsid w:val="00660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29"/>
    <w:rPr>
      <w:rFonts w:ascii="Tahoma" w:hAnsi="Tahoma" w:cs="Tahoma"/>
      <w:sz w:val="16"/>
      <w:szCs w:val="16"/>
    </w:rPr>
  </w:style>
  <w:style w:type="paragraph" w:styleId="Header">
    <w:name w:val="header"/>
    <w:basedOn w:val="Normal"/>
    <w:link w:val="HeaderChar"/>
    <w:uiPriority w:val="99"/>
    <w:unhideWhenUsed/>
    <w:rsid w:val="00CA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6A"/>
  </w:style>
  <w:style w:type="paragraph" w:styleId="Footer">
    <w:name w:val="footer"/>
    <w:basedOn w:val="Normal"/>
    <w:link w:val="FooterChar"/>
    <w:uiPriority w:val="99"/>
    <w:unhideWhenUsed/>
    <w:rsid w:val="00CA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6A"/>
  </w:style>
  <w:style w:type="character" w:styleId="Hyperlink">
    <w:name w:val="Hyperlink"/>
    <w:basedOn w:val="DefaultParagraphFont"/>
    <w:uiPriority w:val="99"/>
    <w:unhideWhenUsed/>
    <w:rsid w:val="00274883"/>
    <w:rPr>
      <w:color w:val="0000FF" w:themeColor="hyperlink"/>
      <w:u w:val="single"/>
    </w:rPr>
  </w:style>
  <w:style w:type="paragraph" w:customStyle="1" w:styleId="Default">
    <w:name w:val="Default"/>
    <w:rsid w:val="0071699E"/>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semiHidden/>
    <w:rsid w:val="00311B34"/>
    <w:pPr>
      <w:spacing w:after="0" w:line="240" w:lineRule="auto"/>
    </w:pPr>
    <w:rPr>
      <w:rFonts w:ascii="Times New Roman" w:eastAsia="Times New Roman" w:hAnsi="Times New Roman" w:cs="Arial"/>
      <w:sz w:val="20"/>
      <w:szCs w:val="20"/>
      <w:lang w:eastAsia="en-IE"/>
    </w:rPr>
  </w:style>
  <w:style w:type="character" w:customStyle="1" w:styleId="EndnoteTextChar">
    <w:name w:val="Endnote Text Char"/>
    <w:basedOn w:val="DefaultParagraphFont"/>
    <w:link w:val="EndnoteText"/>
    <w:semiHidden/>
    <w:rsid w:val="00311B34"/>
    <w:rPr>
      <w:rFonts w:ascii="Times New Roman" w:eastAsia="Times New Roman" w:hAnsi="Times New Roman" w:cs="Arial"/>
      <w:sz w:val="20"/>
      <w:szCs w:val="20"/>
      <w:lang w:eastAsia="en-IE"/>
    </w:rPr>
  </w:style>
  <w:style w:type="paragraph" w:styleId="NormalWeb">
    <w:name w:val="Normal (Web)"/>
    <w:basedOn w:val="Normal"/>
    <w:uiPriority w:val="99"/>
    <w:unhideWhenUsed/>
    <w:rsid w:val="00DD0C6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B16"/>
    <w:pPr>
      <w:ind w:left="720"/>
      <w:contextualSpacing/>
    </w:pPr>
  </w:style>
  <w:style w:type="table" w:styleId="TableGrid">
    <w:name w:val="Table Grid"/>
    <w:basedOn w:val="TableNormal"/>
    <w:uiPriority w:val="59"/>
    <w:rsid w:val="00AD7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2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2B4F"/>
    <w:rPr>
      <w:sz w:val="20"/>
      <w:szCs w:val="20"/>
    </w:rPr>
  </w:style>
  <w:style w:type="character" w:styleId="FootnoteReference">
    <w:name w:val="footnote reference"/>
    <w:basedOn w:val="DefaultParagraphFont"/>
    <w:uiPriority w:val="99"/>
    <w:semiHidden/>
    <w:unhideWhenUsed/>
    <w:rsid w:val="00E02B4F"/>
    <w:rPr>
      <w:vertAlign w:val="superscript"/>
    </w:rPr>
  </w:style>
  <w:style w:type="paragraph" w:styleId="BalloonText">
    <w:name w:val="Balloon Text"/>
    <w:basedOn w:val="Normal"/>
    <w:link w:val="BalloonTextChar"/>
    <w:uiPriority w:val="99"/>
    <w:semiHidden/>
    <w:unhideWhenUsed/>
    <w:rsid w:val="00660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B29"/>
    <w:rPr>
      <w:rFonts w:ascii="Tahoma" w:hAnsi="Tahoma" w:cs="Tahoma"/>
      <w:sz w:val="16"/>
      <w:szCs w:val="16"/>
    </w:rPr>
  </w:style>
  <w:style w:type="paragraph" w:styleId="Header">
    <w:name w:val="header"/>
    <w:basedOn w:val="Normal"/>
    <w:link w:val="HeaderChar"/>
    <w:uiPriority w:val="99"/>
    <w:unhideWhenUsed/>
    <w:rsid w:val="00CA3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C6A"/>
  </w:style>
  <w:style w:type="paragraph" w:styleId="Footer">
    <w:name w:val="footer"/>
    <w:basedOn w:val="Normal"/>
    <w:link w:val="FooterChar"/>
    <w:uiPriority w:val="99"/>
    <w:unhideWhenUsed/>
    <w:rsid w:val="00CA3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C6A"/>
  </w:style>
  <w:style w:type="character" w:styleId="Hyperlink">
    <w:name w:val="Hyperlink"/>
    <w:basedOn w:val="DefaultParagraphFont"/>
    <w:uiPriority w:val="99"/>
    <w:unhideWhenUsed/>
    <w:rsid w:val="00274883"/>
    <w:rPr>
      <w:color w:val="0000FF" w:themeColor="hyperlink"/>
      <w:u w:val="single"/>
    </w:rPr>
  </w:style>
  <w:style w:type="paragraph" w:customStyle="1" w:styleId="Default">
    <w:name w:val="Default"/>
    <w:rsid w:val="0071699E"/>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semiHidden/>
    <w:rsid w:val="00311B34"/>
    <w:pPr>
      <w:spacing w:after="0" w:line="240" w:lineRule="auto"/>
    </w:pPr>
    <w:rPr>
      <w:rFonts w:ascii="Times New Roman" w:eastAsia="Times New Roman" w:hAnsi="Times New Roman" w:cs="Arial"/>
      <w:sz w:val="20"/>
      <w:szCs w:val="20"/>
      <w:lang w:eastAsia="en-IE"/>
    </w:rPr>
  </w:style>
  <w:style w:type="character" w:customStyle="1" w:styleId="EndnoteTextChar">
    <w:name w:val="Endnote Text Char"/>
    <w:basedOn w:val="DefaultParagraphFont"/>
    <w:link w:val="EndnoteText"/>
    <w:semiHidden/>
    <w:rsid w:val="00311B34"/>
    <w:rPr>
      <w:rFonts w:ascii="Times New Roman" w:eastAsia="Times New Roman" w:hAnsi="Times New Roman" w:cs="Arial"/>
      <w:sz w:val="20"/>
      <w:szCs w:val="20"/>
      <w:lang w:eastAsia="en-IE"/>
    </w:rPr>
  </w:style>
  <w:style w:type="paragraph" w:styleId="NormalWeb">
    <w:name w:val="Normal (Web)"/>
    <w:basedOn w:val="Normal"/>
    <w:uiPriority w:val="99"/>
    <w:unhideWhenUsed/>
    <w:rsid w:val="00DD0C6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3374">
      <w:bodyDiv w:val="1"/>
      <w:marLeft w:val="0"/>
      <w:marRight w:val="0"/>
      <w:marTop w:val="0"/>
      <w:marBottom w:val="0"/>
      <w:divBdr>
        <w:top w:val="none" w:sz="0" w:space="0" w:color="auto"/>
        <w:left w:val="none" w:sz="0" w:space="0" w:color="auto"/>
        <w:bottom w:val="none" w:sz="0" w:space="0" w:color="auto"/>
        <w:right w:val="none" w:sz="0" w:space="0" w:color="auto"/>
      </w:divBdr>
    </w:div>
    <w:div w:id="118113945">
      <w:bodyDiv w:val="1"/>
      <w:marLeft w:val="0"/>
      <w:marRight w:val="0"/>
      <w:marTop w:val="0"/>
      <w:marBottom w:val="0"/>
      <w:divBdr>
        <w:top w:val="none" w:sz="0" w:space="0" w:color="auto"/>
        <w:left w:val="none" w:sz="0" w:space="0" w:color="auto"/>
        <w:bottom w:val="none" w:sz="0" w:space="0" w:color="auto"/>
        <w:right w:val="none" w:sz="0" w:space="0" w:color="auto"/>
      </w:divBdr>
      <w:divsChild>
        <w:div w:id="944574649">
          <w:marLeft w:val="547"/>
          <w:marRight w:val="0"/>
          <w:marTop w:val="120"/>
          <w:marBottom w:val="120"/>
          <w:divBdr>
            <w:top w:val="none" w:sz="0" w:space="0" w:color="auto"/>
            <w:left w:val="none" w:sz="0" w:space="0" w:color="auto"/>
            <w:bottom w:val="none" w:sz="0" w:space="0" w:color="auto"/>
            <w:right w:val="none" w:sz="0" w:space="0" w:color="auto"/>
          </w:divBdr>
        </w:div>
      </w:divsChild>
    </w:div>
    <w:div w:id="335694507">
      <w:bodyDiv w:val="1"/>
      <w:marLeft w:val="0"/>
      <w:marRight w:val="0"/>
      <w:marTop w:val="0"/>
      <w:marBottom w:val="0"/>
      <w:divBdr>
        <w:top w:val="none" w:sz="0" w:space="0" w:color="auto"/>
        <w:left w:val="none" w:sz="0" w:space="0" w:color="auto"/>
        <w:bottom w:val="none" w:sz="0" w:space="0" w:color="auto"/>
        <w:right w:val="none" w:sz="0" w:space="0" w:color="auto"/>
      </w:divBdr>
    </w:div>
    <w:div w:id="422187456">
      <w:bodyDiv w:val="1"/>
      <w:marLeft w:val="0"/>
      <w:marRight w:val="0"/>
      <w:marTop w:val="0"/>
      <w:marBottom w:val="0"/>
      <w:divBdr>
        <w:top w:val="none" w:sz="0" w:space="0" w:color="auto"/>
        <w:left w:val="none" w:sz="0" w:space="0" w:color="auto"/>
        <w:bottom w:val="none" w:sz="0" w:space="0" w:color="auto"/>
        <w:right w:val="none" w:sz="0" w:space="0" w:color="auto"/>
      </w:divBdr>
    </w:div>
    <w:div w:id="626007512">
      <w:bodyDiv w:val="1"/>
      <w:marLeft w:val="0"/>
      <w:marRight w:val="0"/>
      <w:marTop w:val="0"/>
      <w:marBottom w:val="0"/>
      <w:divBdr>
        <w:top w:val="none" w:sz="0" w:space="0" w:color="auto"/>
        <w:left w:val="none" w:sz="0" w:space="0" w:color="auto"/>
        <w:bottom w:val="none" w:sz="0" w:space="0" w:color="auto"/>
        <w:right w:val="none" w:sz="0" w:space="0" w:color="auto"/>
      </w:divBdr>
    </w:div>
    <w:div w:id="802770386">
      <w:bodyDiv w:val="1"/>
      <w:marLeft w:val="0"/>
      <w:marRight w:val="0"/>
      <w:marTop w:val="0"/>
      <w:marBottom w:val="0"/>
      <w:divBdr>
        <w:top w:val="none" w:sz="0" w:space="0" w:color="auto"/>
        <w:left w:val="none" w:sz="0" w:space="0" w:color="auto"/>
        <w:bottom w:val="none" w:sz="0" w:space="0" w:color="auto"/>
        <w:right w:val="none" w:sz="0" w:space="0" w:color="auto"/>
      </w:divBdr>
    </w:div>
    <w:div w:id="1005866865">
      <w:bodyDiv w:val="1"/>
      <w:marLeft w:val="0"/>
      <w:marRight w:val="0"/>
      <w:marTop w:val="0"/>
      <w:marBottom w:val="0"/>
      <w:divBdr>
        <w:top w:val="none" w:sz="0" w:space="0" w:color="auto"/>
        <w:left w:val="none" w:sz="0" w:space="0" w:color="auto"/>
        <w:bottom w:val="none" w:sz="0" w:space="0" w:color="auto"/>
        <w:right w:val="none" w:sz="0" w:space="0" w:color="auto"/>
      </w:divBdr>
    </w:div>
    <w:div w:id="1153109120">
      <w:bodyDiv w:val="1"/>
      <w:marLeft w:val="0"/>
      <w:marRight w:val="0"/>
      <w:marTop w:val="0"/>
      <w:marBottom w:val="0"/>
      <w:divBdr>
        <w:top w:val="none" w:sz="0" w:space="0" w:color="auto"/>
        <w:left w:val="none" w:sz="0" w:space="0" w:color="auto"/>
        <w:bottom w:val="none" w:sz="0" w:space="0" w:color="auto"/>
        <w:right w:val="none" w:sz="0" w:space="0" w:color="auto"/>
      </w:divBdr>
    </w:div>
    <w:div w:id="1188761691">
      <w:bodyDiv w:val="1"/>
      <w:marLeft w:val="0"/>
      <w:marRight w:val="0"/>
      <w:marTop w:val="0"/>
      <w:marBottom w:val="0"/>
      <w:divBdr>
        <w:top w:val="none" w:sz="0" w:space="0" w:color="auto"/>
        <w:left w:val="none" w:sz="0" w:space="0" w:color="auto"/>
        <w:bottom w:val="none" w:sz="0" w:space="0" w:color="auto"/>
        <w:right w:val="none" w:sz="0" w:space="0" w:color="auto"/>
      </w:divBdr>
    </w:div>
    <w:div w:id="1476948259">
      <w:bodyDiv w:val="1"/>
      <w:marLeft w:val="0"/>
      <w:marRight w:val="0"/>
      <w:marTop w:val="0"/>
      <w:marBottom w:val="0"/>
      <w:divBdr>
        <w:top w:val="none" w:sz="0" w:space="0" w:color="auto"/>
        <w:left w:val="none" w:sz="0" w:space="0" w:color="auto"/>
        <w:bottom w:val="none" w:sz="0" w:space="0" w:color="auto"/>
        <w:right w:val="none" w:sz="0" w:space="0" w:color="auto"/>
      </w:divBdr>
    </w:div>
    <w:div w:id="1533881764">
      <w:bodyDiv w:val="1"/>
      <w:marLeft w:val="0"/>
      <w:marRight w:val="0"/>
      <w:marTop w:val="0"/>
      <w:marBottom w:val="0"/>
      <w:divBdr>
        <w:top w:val="none" w:sz="0" w:space="0" w:color="auto"/>
        <w:left w:val="none" w:sz="0" w:space="0" w:color="auto"/>
        <w:bottom w:val="none" w:sz="0" w:space="0" w:color="auto"/>
        <w:right w:val="none" w:sz="0" w:space="0" w:color="auto"/>
      </w:divBdr>
    </w:div>
    <w:div w:id="1542396926">
      <w:bodyDiv w:val="1"/>
      <w:marLeft w:val="0"/>
      <w:marRight w:val="0"/>
      <w:marTop w:val="0"/>
      <w:marBottom w:val="0"/>
      <w:divBdr>
        <w:top w:val="none" w:sz="0" w:space="0" w:color="auto"/>
        <w:left w:val="none" w:sz="0" w:space="0" w:color="auto"/>
        <w:bottom w:val="none" w:sz="0" w:space="0" w:color="auto"/>
        <w:right w:val="none" w:sz="0" w:space="0" w:color="auto"/>
      </w:divBdr>
    </w:div>
    <w:div w:id="1555265144">
      <w:bodyDiv w:val="1"/>
      <w:marLeft w:val="0"/>
      <w:marRight w:val="0"/>
      <w:marTop w:val="0"/>
      <w:marBottom w:val="0"/>
      <w:divBdr>
        <w:top w:val="none" w:sz="0" w:space="0" w:color="auto"/>
        <w:left w:val="none" w:sz="0" w:space="0" w:color="auto"/>
        <w:bottom w:val="none" w:sz="0" w:space="0" w:color="auto"/>
        <w:right w:val="none" w:sz="0" w:space="0" w:color="auto"/>
      </w:divBdr>
    </w:div>
    <w:div w:id="17564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rishhealth.com/article.html?id=23611" TargetMode="External"/><Relationship Id="rId18" Type="http://schemas.openxmlformats.org/officeDocument/2006/relationships/hyperlink" Target="http://amphoraproject.net/w2box/data/AM_E-BOOK_8-10-12_corrected.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pubmed/23256927" TargetMode="External"/><Relationship Id="rId7" Type="http://schemas.openxmlformats.org/officeDocument/2006/relationships/footnotes" Target="footnotes.xml"/><Relationship Id="rId12" Type="http://schemas.openxmlformats.org/officeDocument/2006/relationships/hyperlink" Target="http://www.headstrong.ie/sites/default/files/My%20World%20Survey%202012%20Online.pdf" TargetMode="External"/><Relationship Id="rId17" Type="http://schemas.openxmlformats.org/officeDocument/2006/relationships/hyperlink" Target="http://amphoraproject.net/w2box/data/AM_E-BOOK_8-10-12_corrected.pdf" TargetMode="External"/><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hyperlink" Target="http://www.eukidsonline.net/" TargetMode="External"/><Relationship Id="rId20" Type="http://schemas.openxmlformats.org/officeDocument/2006/relationships/hyperlink" Target="http://www.nuigalway.ie/hbs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rishtimes.com/search/search-7.1213540?tag_location=Ireland&amp;article=true" TargetMode="External"/><Relationship Id="rId23"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hyperlink" Target="http://www.hse.ie/en/Publications"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www.irishtimes.com/search/search-7.1213540?tag_organisation=Health%20Research%20Board&amp;article=true" TargetMode="External"/><Relationship Id="rId22" Type="http://schemas.openxmlformats.org/officeDocument/2006/relationships/chart" Target="charts/chart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Alcohol consumption per adult in Ireland, 1984-2013</a:t>
            </a:r>
          </a:p>
        </c:rich>
      </c:tx>
      <c:layout/>
      <c:overlay val="0"/>
    </c:title>
    <c:autoTitleDeleted val="0"/>
    <c:plotArea>
      <c:layout/>
      <c:lineChart>
        <c:grouping val="standard"/>
        <c:varyColors val="0"/>
        <c:ser>
          <c:idx val="0"/>
          <c:order val="0"/>
          <c:tx>
            <c:strRef>
              <c:f>consumption!$C$95</c:f>
              <c:strCache>
                <c:ptCount val="1"/>
                <c:pt idx="0">
                  <c:v>Beer</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consumption!$C$96:$C$125</c:f>
              <c:numCache>
                <c:formatCode>0.0</c:formatCode>
                <c:ptCount val="30"/>
                <c:pt idx="0">
                  <c:v>6.63</c:v>
                </c:pt>
                <c:pt idx="1">
                  <c:v>6.69</c:v>
                </c:pt>
                <c:pt idx="2">
                  <c:v>6.93</c:v>
                </c:pt>
                <c:pt idx="3">
                  <c:v>6.74</c:v>
                </c:pt>
                <c:pt idx="4">
                  <c:v>6.61</c:v>
                </c:pt>
                <c:pt idx="5">
                  <c:v>7.29</c:v>
                </c:pt>
                <c:pt idx="6">
                  <c:v>7.61</c:v>
                </c:pt>
                <c:pt idx="7">
                  <c:v>7.49</c:v>
                </c:pt>
                <c:pt idx="8">
                  <c:v>7.71</c:v>
                </c:pt>
                <c:pt idx="9">
                  <c:v>7.39</c:v>
                </c:pt>
                <c:pt idx="10">
                  <c:v>7.46</c:v>
                </c:pt>
                <c:pt idx="11">
                  <c:v>7.58</c:v>
                </c:pt>
                <c:pt idx="12">
                  <c:v>7.89</c:v>
                </c:pt>
                <c:pt idx="13">
                  <c:v>8.0399999999999991</c:v>
                </c:pt>
                <c:pt idx="14">
                  <c:v>8.2200000000000006</c:v>
                </c:pt>
                <c:pt idx="15">
                  <c:v>8.25</c:v>
                </c:pt>
                <c:pt idx="16">
                  <c:v>8.0500000000000007</c:v>
                </c:pt>
                <c:pt idx="17">
                  <c:v>7.93</c:v>
                </c:pt>
                <c:pt idx="18">
                  <c:v>7.71</c:v>
                </c:pt>
                <c:pt idx="19">
                  <c:v>7.38</c:v>
                </c:pt>
                <c:pt idx="20">
                  <c:v>7.19</c:v>
                </c:pt>
                <c:pt idx="21">
                  <c:v>7.04</c:v>
                </c:pt>
                <c:pt idx="22">
                  <c:v>6.82</c:v>
                </c:pt>
                <c:pt idx="23">
                  <c:v>6.56</c:v>
                </c:pt>
                <c:pt idx="24">
                  <c:v>6.08</c:v>
                </c:pt>
                <c:pt idx="25">
                  <c:v>5.64</c:v>
                </c:pt>
                <c:pt idx="26">
                  <c:v>5.58</c:v>
                </c:pt>
                <c:pt idx="27">
                  <c:v>5.48</c:v>
                </c:pt>
                <c:pt idx="28">
                  <c:v>5.37</c:v>
                </c:pt>
                <c:pt idx="29">
                  <c:v>5.05</c:v>
                </c:pt>
              </c:numCache>
            </c:numRef>
          </c:val>
          <c:smooth val="0"/>
        </c:ser>
        <c:ser>
          <c:idx val="1"/>
          <c:order val="1"/>
          <c:tx>
            <c:strRef>
              <c:f>consumption!$D$95</c:f>
              <c:strCache>
                <c:ptCount val="1"/>
                <c:pt idx="0">
                  <c:v>Spirits</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consumption!$D$96:$D$125</c:f>
              <c:numCache>
                <c:formatCode>0.0</c:formatCode>
                <c:ptCount val="30"/>
                <c:pt idx="0">
                  <c:v>2.13</c:v>
                </c:pt>
                <c:pt idx="1">
                  <c:v>2.4900000000000002</c:v>
                </c:pt>
                <c:pt idx="2">
                  <c:v>2.36</c:v>
                </c:pt>
                <c:pt idx="3">
                  <c:v>2.2000000000000002</c:v>
                </c:pt>
                <c:pt idx="4">
                  <c:v>2.34</c:v>
                </c:pt>
                <c:pt idx="5">
                  <c:v>2.2999999999999998</c:v>
                </c:pt>
                <c:pt idx="6">
                  <c:v>2.35</c:v>
                </c:pt>
                <c:pt idx="7">
                  <c:v>2.34</c:v>
                </c:pt>
                <c:pt idx="8">
                  <c:v>2.1800000000000002</c:v>
                </c:pt>
                <c:pt idx="9">
                  <c:v>2.2200000000000002</c:v>
                </c:pt>
                <c:pt idx="10">
                  <c:v>2.2000000000000002</c:v>
                </c:pt>
                <c:pt idx="11">
                  <c:v>2.12</c:v>
                </c:pt>
                <c:pt idx="12">
                  <c:v>2.2999999999999998</c:v>
                </c:pt>
                <c:pt idx="13">
                  <c:v>2.37</c:v>
                </c:pt>
                <c:pt idx="14">
                  <c:v>2.44</c:v>
                </c:pt>
                <c:pt idx="15">
                  <c:v>2.75</c:v>
                </c:pt>
                <c:pt idx="16">
                  <c:v>3.04</c:v>
                </c:pt>
                <c:pt idx="17">
                  <c:v>3.08</c:v>
                </c:pt>
                <c:pt idx="18">
                  <c:v>3.17</c:v>
                </c:pt>
                <c:pt idx="19">
                  <c:v>2.4900000000000002</c:v>
                </c:pt>
                <c:pt idx="20">
                  <c:v>2.5099999999999998</c:v>
                </c:pt>
                <c:pt idx="21">
                  <c:v>2.5099999999999998</c:v>
                </c:pt>
                <c:pt idx="22">
                  <c:v>2.56</c:v>
                </c:pt>
                <c:pt idx="23">
                  <c:v>2.66</c:v>
                </c:pt>
                <c:pt idx="24">
                  <c:v>2.4</c:v>
                </c:pt>
                <c:pt idx="25">
                  <c:v>1.95</c:v>
                </c:pt>
                <c:pt idx="26">
                  <c:v>2.17</c:v>
                </c:pt>
                <c:pt idx="27">
                  <c:v>2.2400000000000002</c:v>
                </c:pt>
                <c:pt idx="28">
                  <c:v>2.2999999999999998</c:v>
                </c:pt>
                <c:pt idx="29">
                  <c:v>2.0299999999999998</c:v>
                </c:pt>
              </c:numCache>
            </c:numRef>
          </c:val>
          <c:smooth val="0"/>
        </c:ser>
        <c:ser>
          <c:idx val="2"/>
          <c:order val="2"/>
          <c:tx>
            <c:strRef>
              <c:f>consumption!$E$95</c:f>
              <c:strCache>
                <c:ptCount val="1"/>
                <c:pt idx="0">
                  <c:v>Wine</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consumption!$E$96:$E$125</c:f>
              <c:numCache>
                <c:formatCode>0.0</c:formatCode>
                <c:ptCount val="30"/>
                <c:pt idx="0">
                  <c:v>0.59</c:v>
                </c:pt>
                <c:pt idx="1">
                  <c:v>0.62</c:v>
                </c:pt>
                <c:pt idx="2">
                  <c:v>0.62</c:v>
                </c:pt>
                <c:pt idx="3">
                  <c:v>0.62</c:v>
                </c:pt>
                <c:pt idx="4">
                  <c:v>0.68</c:v>
                </c:pt>
                <c:pt idx="5">
                  <c:v>0.72</c:v>
                </c:pt>
                <c:pt idx="6">
                  <c:v>0.76</c:v>
                </c:pt>
                <c:pt idx="7">
                  <c:v>0.78</c:v>
                </c:pt>
                <c:pt idx="8">
                  <c:v>0.83</c:v>
                </c:pt>
                <c:pt idx="9">
                  <c:v>0.94</c:v>
                </c:pt>
                <c:pt idx="10">
                  <c:v>0.97</c:v>
                </c:pt>
                <c:pt idx="11">
                  <c:v>1.06</c:v>
                </c:pt>
                <c:pt idx="12">
                  <c:v>1.26</c:v>
                </c:pt>
                <c:pt idx="13">
                  <c:v>1.34</c:v>
                </c:pt>
                <c:pt idx="14">
                  <c:v>1.53</c:v>
                </c:pt>
                <c:pt idx="15">
                  <c:v>1.72</c:v>
                </c:pt>
                <c:pt idx="16">
                  <c:v>1.87</c:v>
                </c:pt>
                <c:pt idx="17">
                  <c:v>2.06</c:v>
                </c:pt>
                <c:pt idx="18">
                  <c:v>2.27</c:v>
                </c:pt>
                <c:pt idx="19">
                  <c:v>2.41</c:v>
                </c:pt>
                <c:pt idx="20">
                  <c:v>2.71</c:v>
                </c:pt>
                <c:pt idx="21">
                  <c:v>2.75</c:v>
                </c:pt>
                <c:pt idx="22">
                  <c:v>2.87</c:v>
                </c:pt>
                <c:pt idx="23">
                  <c:v>2.97</c:v>
                </c:pt>
                <c:pt idx="24">
                  <c:v>2.81</c:v>
                </c:pt>
                <c:pt idx="25">
                  <c:v>2.6</c:v>
                </c:pt>
                <c:pt idx="26">
                  <c:v>3.03</c:v>
                </c:pt>
                <c:pt idx="27">
                  <c:v>3.1</c:v>
                </c:pt>
                <c:pt idx="28">
                  <c:v>3.06</c:v>
                </c:pt>
                <c:pt idx="29">
                  <c:v>2.79</c:v>
                </c:pt>
              </c:numCache>
            </c:numRef>
          </c:val>
          <c:smooth val="0"/>
        </c:ser>
        <c:ser>
          <c:idx val="3"/>
          <c:order val="3"/>
          <c:tx>
            <c:strRef>
              <c:f>consumption!$F$95</c:f>
              <c:strCache>
                <c:ptCount val="1"/>
                <c:pt idx="0">
                  <c:v>Cider</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consumption!$F$96:$F$125</c:f>
              <c:numCache>
                <c:formatCode>0.0</c:formatCode>
                <c:ptCount val="30"/>
                <c:pt idx="0">
                  <c:v>0.18</c:v>
                </c:pt>
                <c:pt idx="1">
                  <c:v>0.17</c:v>
                </c:pt>
                <c:pt idx="2">
                  <c:v>0.2</c:v>
                </c:pt>
                <c:pt idx="3">
                  <c:v>0.21</c:v>
                </c:pt>
                <c:pt idx="4">
                  <c:v>0.2</c:v>
                </c:pt>
                <c:pt idx="5">
                  <c:v>0.21</c:v>
                </c:pt>
                <c:pt idx="6">
                  <c:v>0.25</c:v>
                </c:pt>
                <c:pt idx="7">
                  <c:v>0.3</c:v>
                </c:pt>
                <c:pt idx="8">
                  <c:v>0.37</c:v>
                </c:pt>
                <c:pt idx="9">
                  <c:v>0.42</c:v>
                </c:pt>
                <c:pt idx="10">
                  <c:v>0.48</c:v>
                </c:pt>
                <c:pt idx="11">
                  <c:v>0.63</c:v>
                </c:pt>
                <c:pt idx="12">
                  <c:v>0.69</c:v>
                </c:pt>
                <c:pt idx="13">
                  <c:v>0.77</c:v>
                </c:pt>
                <c:pt idx="14">
                  <c:v>0.87</c:v>
                </c:pt>
                <c:pt idx="15">
                  <c:v>1</c:v>
                </c:pt>
                <c:pt idx="16">
                  <c:v>1.1299999999999999</c:v>
                </c:pt>
                <c:pt idx="17">
                  <c:v>1.23</c:v>
                </c:pt>
                <c:pt idx="18">
                  <c:v>1.07</c:v>
                </c:pt>
                <c:pt idx="19">
                  <c:v>1.06</c:v>
                </c:pt>
                <c:pt idx="20">
                  <c:v>1.06</c:v>
                </c:pt>
                <c:pt idx="21">
                  <c:v>1.08</c:v>
                </c:pt>
                <c:pt idx="22">
                  <c:v>1.0900000000000001</c:v>
                </c:pt>
                <c:pt idx="23">
                  <c:v>1.05</c:v>
                </c:pt>
                <c:pt idx="24">
                  <c:v>0.91</c:v>
                </c:pt>
                <c:pt idx="25">
                  <c:v>0.85</c:v>
                </c:pt>
                <c:pt idx="26">
                  <c:v>0.83</c:v>
                </c:pt>
                <c:pt idx="27">
                  <c:v>0.83</c:v>
                </c:pt>
                <c:pt idx="28">
                  <c:v>0.8</c:v>
                </c:pt>
                <c:pt idx="29">
                  <c:v>0.78</c:v>
                </c:pt>
              </c:numCache>
            </c:numRef>
          </c:val>
          <c:smooth val="0"/>
        </c:ser>
        <c:ser>
          <c:idx val="4"/>
          <c:order val="4"/>
          <c:tx>
            <c:strRef>
              <c:f>consumption!$G$95</c:f>
              <c:strCache>
                <c:ptCount val="1"/>
                <c:pt idx="0">
                  <c:v>Total</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consumption!$G$96:$G$125</c:f>
              <c:numCache>
                <c:formatCode>0.0</c:formatCode>
                <c:ptCount val="30"/>
                <c:pt idx="0">
                  <c:v>9.5299999999999994</c:v>
                </c:pt>
                <c:pt idx="1">
                  <c:v>9.9700000000000006</c:v>
                </c:pt>
                <c:pt idx="2">
                  <c:v>10.1</c:v>
                </c:pt>
                <c:pt idx="3">
                  <c:v>9.77</c:v>
                </c:pt>
                <c:pt idx="4">
                  <c:v>10.14</c:v>
                </c:pt>
                <c:pt idx="5">
                  <c:v>10.51</c:v>
                </c:pt>
                <c:pt idx="6">
                  <c:v>10.96</c:v>
                </c:pt>
                <c:pt idx="7">
                  <c:v>10.92</c:v>
                </c:pt>
                <c:pt idx="8">
                  <c:v>11.09</c:v>
                </c:pt>
                <c:pt idx="9">
                  <c:v>10.98</c:v>
                </c:pt>
                <c:pt idx="10">
                  <c:v>11.11</c:v>
                </c:pt>
                <c:pt idx="11">
                  <c:v>11.38</c:v>
                </c:pt>
                <c:pt idx="12">
                  <c:v>12.14</c:v>
                </c:pt>
                <c:pt idx="13">
                  <c:v>12.53</c:v>
                </c:pt>
                <c:pt idx="14">
                  <c:v>13.06</c:v>
                </c:pt>
                <c:pt idx="15">
                  <c:v>13.72</c:v>
                </c:pt>
                <c:pt idx="16">
                  <c:v>14.09</c:v>
                </c:pt>
                <c:pt idx="17">
                  <c:v>14.3</c:v>
                </c:pt>
                <c:pt idx="18">
                  <c:v>14.22</c:v>
                </c:pt>
                <c:pt idx="19">
                  <c:v>13.35</c:v>
                </c:pt>
                <c:pt idx="20">
                  <c:v>13.48</c:v>
                </c:pt>
                <c:pt idx="21">
                  <c:v>13.38</c:v>
                </c:pt>
                <c:pt idx="22">
                  <c:v>13.34</c:v>
                </c:pt>
                <c:pt idx="23">
                  <c:v>13.23</c:v>
                </c:pt>
                <c:pt idx="24">
                  <c:v>12.2</c:v>
                </c:pt>
                <c:pt idx="25">
                  <c:v>11.04</c:v>
                </c:pt>
                <c:pt idx="26">
                  <c:v>11.6</c:v>
                </c:pt>
                <c:pt idx="27">
                  <c:v>11.65</c:v>
                </c:pt>
                <c:pt idx="28">
                  <c:v>11.53</c:v>
                </c:pt>
                <c:pt idx="29">
                  <c:v>10.64</c:v>
                </c:pt>
              </c:numCache>
            </c:numRef>
          </c:val>
          <c:smooth val="0"/>
        </c:ser>
        <c:dLbls>
          <c:showLegendKey val="0"/>
          <c:showVal val="0"/>
          <c:showCatName val="0"/>
          <c:showSerName val="0"/>
          <c:showPercent val="0"/>
          <c:showBubbleSize val="0"/>
        </c:dLbls>
        <c:marker val="1"/>
        <c:smooth val="0"/>
        <c:axId val="118629504"/>
        <c:axId val="118631040"/>
      </c:lineChart>
      <c:catAx>
        <c:axId val="118629504"/>
        <c:scaling>
          <c:orientation val="minMax"/>
        </c:scaling>
        <c:delete val="0"/>
        <c:axPos val="b"/>
        <c:majorTickMark val="none"/>
        <c:minorTickMark val="none"/>
        <c:tickLblPos val="nextTo"/>
        <c:txPr>
          <a:bodyPr/>
          <a:lstStyle/>
          <a:p>
            <a:pPr>
              <a:defRPr sz="900"/>
            </a:pPr>
            <a:endParaRPr lang="en-US"/>
          </a:p>
        </c:txPr>
        <c:crossAx val="118631040"/>
        <c:crosses val="autoZero"/>
        <c:auto val="1"/>
        <c:lblAlgn val="ctr"/>
        <c:lblOffset val="100"/>
        <c:noMultiLvlLbl val="0"/>
      </c:catAx>
      <c:valAx>
        <c:axId val="118631040"/>
        <c:scaling>
          <c:orientation val="minMax"/>
        </c:scaling>
        <c:delete val="0"/>
        <c:axPos val="l"/>
        <c:majorGridlines>
          <c:spPr>
            <a:ln>
              <a:solidFill>
                <a:schemeClr val="bg1">
                  <a:lumMod val="85000"/>
                </a:schemeClr>
              </a:solidFill>
              <a:prstDash val="solid"/>
            </a:ln>
          </c:spPr>
        </c:majorGridlines>
        <c:title>
          <c:tx>
            <c:rich>
              <a:bodyPr/>
              <a:lstStyle/>
              <a:p>
                <a:pPr>
                  <a:defRPr sz="900"/>
                </a:pPr>
                <a:r>
                  <a:rPr lang="en-US" sz="900"/>
                  <a:t>litres of pure alcohol</a:t>
                </a:r>
              </a:p>
            </c:rich>
          </c:tx>
          <c:layout/>
          <c:overlay val="0"/>
        </c:title>
        <c:numFmt formatCode="0.0" sourceLinked="1"/>
        <c:majorTickMark val="none"/>
        <c:minorTickMark val="none"/>
        <c:tickLblPos val="nextTo"/>
        <c:txPr>
          <a:bodyPr/>
          <a:lstStyle/>
          <a:p>
            <a:pPr>
              <a:defRPr sz="900"/>
            </a:pPr>
            <a:endParaRPr lang="en-US"/>
          </a:p>
        </c:txPr>
        <c:crossAx val="1186295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Alcohol use in last month</a:t>
            </a:r>
          </a:p>
        </c:rich>
      </c:tx>
      <c:layout>
        <c:manualLayout>
          <c:xMode val="edge"/>
          <c:yMode val="edge"/>
          <c:x val="0.25916932907348245"/>
          <c:y val="0"/>
        </c:manualLayout>
      </c:layout>
      <c:overlay val="0"/>
    </c:title>
    <c:autoTitleDeleted val="0"/>
    <c:plotArea>
      <c:layout/>
      <c:lineChart>
        <c:grouping val="standard"/>
        <c:varyColors val="0"/>
        <c:ser>
          <c:idx val="0"/>
          <c:order val="0"/>
          <c:tx>
            <c:strRef>
              <c:f>'HBSC 98-10'!$D$72</c:f>
              <c:strCache>
                <c:ptCount val="1"/>
                <c:pt idx="0">
                  <c:v>1998</c:v>
                </c:pt>
              </c:strCache>
            </c:strRef>
          </c:tx>
          <c:cat>
            <c:multiLvlStrRef>
              <c:f>'HBSC 98-10'!$B$73:$C$78</c:f>
              <c:multiLvlStrCache>
                <c:ptCount val="6"/>
                <c:lvl>
                  <c:pt idx="0">
                    <c:v>girls</c:v>
                  </c:pt>
                  <c:pt idx="1">
                    <c:v>boys</c:v>
                  </c:pt>
                  <c:pt idx="2">
                    <c:v>girls</c:v>
                  </c:pt>
                  <c:pt idx="3">
                    <c:v>boys</c:v>
                  </c:pt>
                  <c:pt idx="4">
                    <c:v>girls</c:v>
                  </c:pt>
                  <c:pt idx="5">
                    <c:v>boys</c:v>
                  </c:pt>
                </c:lvl>
                <c:lvl>
                  <c:pt idx="0">
                    <c:v>10 to 11 yrs</c:v>
                  </c:pt>
                  <c:pt idx="2">
                    <c:v>12 to 14 yrs</c:v>
                  </c:pt>
                  <c:pt idx="4">
                    <c:v>15 to 17 yrs</c:v>
                  </c:pt>
                </c:lvl>
              </c:multiLvlStrCache>
            </c:multiLvlStrRef>
          </c:cat>
          <c:val>
            <c:numRef>
              <c:f>'HBSC 98-10'!$D$73:$D$78</c:f>
              <c:numCache>
                <c:formatCode>General</c:formatCode>
                <c:ptCount val="6"/>
                <c:pt idx="0">
                  <c:v>4</c:v>
                </c:pt>
                <c:pt idx="1">
                  <c:v>18</c:v>
                </c:pt>
                <c:pt idx="2">
                  <c:v>17</c:v>
                </c:pt>
                <c:pt idx="3">
                  <c:v>26</c:v>
                </c:pt>
                <c:pt idx="4">
                  <c:v>51</c:v>
                </c:pt>
                <c:pt idx="5">
                  <c:v>58</c:v>
                </c:pt>
              </c:numCache>
            </c:numRef>
          </c:val>
          <c:smooth val="0"/>
        </c:ser>
        <c:ser>
          <c:idx val="1"/>
          <c:order val="1"/>
          <c:tx>
            <c:strRef>
              <c:f>'HBSC 98-10'!$E$72</c:f>
              <c:strCache>
                <c:ptCount val="1"/>
                <c:pt idx="0">
                  <c:v>2002</c:v>
                </c:pt>
              </c:strCache>
            </c:strRef>
          </c:tx>
          <c:cat>
            <c:multiLvlStrRef>
              <c:f>'HBSC 98-10'!$B$73:$C$78</c:f>
              <c:multiLvlStrCache>
                <c:ptCount val="6"/>
                <c:lvl>
                  <c:pt idx="0">
                    <c:v>girls</c:v>
                  </c:pt>
                  <c:pt idx="1">
                    <c:v>boys</c:v>
                  </c:pt>
                  <c:pt idx="2">
                    <c:v>girls</c:v>
                  </c:pt>
                  <c:pt idx="3">
                    <c:v>boys</c:v>
                  </c:pt>
                  <c:pt idx="4">
                    <c:v>girls</c:v>
                  </c:pt>
                  <c:pt idx="5">
                    <c:v>boys</c:v>
                  </c:pt>
                </c:lvl>
                <c:lvl>
                  <c:pt idx="0">
                    <c:v>10 to 11 yrs</c:v>
                  </c:pt>
                  <c:pt idx="2">
                    <c:v>12 to 14 yrs</c:v>
                  </c:pt>
                  <c:pt idx="4">
                    <c:v>15 to 17 yrs</c:v>
                  </c:pt>
                </c:lvl>
              </c:multiLvlStrCache>
            </c:multiLvlStrRef>
          </c:cat>
          <c:val>
            <c:numRef>
              <c:f>'HBSC 98-10'!$E$73:$E$78</c:f>
              <c:numCache>
                <c:formatCode>General</c:formatCode>
                <c:ptCount val="6"/>
                <c:pt idx="0">
                  <c:v>3</c:v>
                </c:pt>
                <c:pt idx="1">
                  <c:v>6</c:v>
                </c:pt>
                <c:pt idx="2">
                  <c:v>12</c:v>
                </c:pt>
                <c:pt idx="3">
                  <c:v>16</c:v>
                </c:pt>
                <c:pt idx="4">
                  <c:v>50</c:v>
                </c:pt>
                <c:pt idx="5">
                  <c:v>54</c:v>
                </c:pt>
              </c:numCache>
            </c:numRef>
          </c:val>
          <c:smooth val="0"/>
        </c:ser>
        <c:ser>
          <c:idx val="2"/>
          <c:order val="2"/>
          <c:tx>
            <c:strRef>
              <c:f>'HBSC 98-10'!$F$72</c:f>
              <c:strCache>
                <c:ptCount val="1"/>
                <c:pt idx="0">
                  <c:v>2006</c:v>
                </c:pt>
              </c:strCache>
            </c:strRef>
          </c:tx>
          <c:cat>
            <c:multiLvlStrRef>
              <c:f>'HBSC 98-10'!$B$73:$C$78</c:f>
              <c:multiLvlStrCache>
                <c:ptCount val="6"/>
                <c:lvl>
                  <c:pt idx="0">
                    <c:v>girls</c:v>
                  </c:pt>
                  <c:pt idx="1">
                    <c:v>boys</c:v>
                  </c:pt>
                  <c:pt idx="2">
                    <c:v>girls</c:v>
                  </c:pt>
                  <c:pt idx="3">
                    <c:v>boys</c:v>
                  </c:pt>
                  <c:pt idx="4">
                    <c:v>girls</c:v>
                  </c:pt>
                  <c:pt idx="5">
                    <c:v>boys</c:v>
                  </c:pt>
                </c:lvl>
                <c:lvl>
                  <c:pt idx="0">
                    <c:v>10 to 11 yrs</c:v>
                  </c:pt>
                  <c:pt idx="2">
                    <c:v>12 to 14 yrs</c:v>
                  </c:pt>
                  <c:pt idx="4">
                    <c:v>15 to 17 yrs</c:v>
                  </c:pt>
                </c:lvl>
              </c:multiLvlStrCache>
            </c:multiLvlStrRef>
          </c:cat>
          <c:val>
            <c:numRef>
              <c:f>'HBSC 98-10'!$F$73:$F$78</c:f>
              <c:numCache>
                <c:formatCode>General</c:formatCode>
                <c:ptCount val="6"/>
                <c:pt idx="0">
                  <c:v>1</c:v>
                </c:pt>
                <c:pt idx="1">
                  <c:v>4</c:v>
                </c:pt>
                <c:pt idx="2">
                  <c:v>12</c:v>
                </c:pt>
                <c:pt idx="3">
                  <c:v>16</c:v>
                </c:pt>
                <c:pt idx="4">
                  <c:v>47</c:v>
                </c:pt>
                <c:pt idx="5">
                  <c:v>48</c:v>
                </c:pt>
              </c:numCache>
            </c:numRef>
          </c:val>
          <c:smooth val="0"/>
        </c:ser>
        <c:ser>
          <c:idx val="3"/>
          <c:order val="3"/>
          <c:tx>
            <c:strRef>
              <c:f>'HBSC 98-10'!$G$72</c:f>
              <c:strCache>
                <c:ptCount val="1"/>
                <c:pt idx="0">
                  <c:v>2010</c:v>
                </c:pt>
              </c:strCache>
            </c:strRef>
          </c:tx>
          <c:cat>
            <c:multiLvlStrRef>
              <c:f>'HBSC 98-10'!$B$73:$C$78</c:f>
              <c:multiLvlStrCache>
                <c:ptCount val="6"/>
                <c:lvl>
                  <c:pt idx="0">
                    <c:v>girls</c:v>
                  </c:pt>
                  <c:pt idx="1">
                    <c:v>boys</c:v>
                  </c:pt>
                  <c:pt idx="2">
                    <c:v>girls</c:v>
                  </c:pt>
                  <c:pt idx="3">
                    <c:v>boys</c:v>
                  </c:pt>
                  <c:pt idx="4">
                    <c:v>girls</c:v>
                  </c:pt>
                  <c:pt idx="5">
                    <c:v>boys</c:v>
                  </c:pt>
                </c:lvl>
                <c:lvl>
                  <c:pt idx="0">
                    <c:v>10 to 11 yrs</c:v>
                  </c:pt>
                  <c:pt idx="2">
                    <c:v>12 to 14 yrs</c:v>
                  </c:pt>
                  <c:pt idx="4">
                    <c:v>15 to 17 yrs</c:v>
                  </c:pt>
                </c:lvl>
              </c:multiLvlStrCache>
            </c:multiLvlStrRef>
          </c:cat>
          <c:val>
            <c:numRef>
              <c:f>'HBSC 98-10'!$G$73:$G$78</c:f>
              <c:numCache>
                <c:formatCode>General</c:formatCode>
                <c:ptCount val="6"/>
                <c:pt idx="0">
                  <c:v>1</c:v>
                </c:pt>
                <c:pt idx="1">
                  <c:v>3</c:v>
                </c:pt>
                <c:pt idx="2">
                  <c:v>9</c:v>
                </c:pt>
                <c:pt idx="3">
                  <c:v>12</c:v>
                </c:pt>
                <c:pt idx="4">
                  <c:v>39</c:v>
                </c:pt>
                <c:pt idx="5">
                  <c:v>41</c:v>
                </c:pt>
              </c:numCache>
            </c:numRef>
          </c:val>
          <c:smooth val="0"/>
        </c:ser>
        <c:dLbls>
          <c:showLegendKey val="0"/>
          <c:showVal val="0"/>
          <c:showCatName val="0"/>
          <c:showSerName val="0"/>
          <c:showPercent val="0"/>
          <c:showBubbleSize val="0"/>
        </c:dLbls>
        <c:marker val="1"/>
        <c:smooth val="0"/>
        <c:axId val="120655872"/>
        <c:axId val="120657408"/>
      </c:lineChart>
      <c:catAx>
        <c:axId val="120655872"/>
        <c:scaling>
          <c:orientation val="minMax"/>
        </c:scaling>
        <c:delete val="0"/>
        <c:axPos val="b"/>
        <c:majorTickMark val="none"/>
        <c:minorTickMark val="none"/>
        <c:tickLblPos val="nextTo"/>
        <c:crossAx val="120657408"/>
        <c:crosses val="autoZero"/>
        <c:auto val="1"/>
        <c:lblAlgn val="ctr"/>
        <c:lblOffset val="100"/>
        <c:noMultiLvlLbl val="0"/>
      </c:catAx>
      <c:valAx>
        <c:axId val="120657408"/>
        <c:scaling>
          <c:orientation val="minMax"/>
        </c:scaling>
        <c:delete val="0"/>
        <c:axPos val="l"/>
        <c:majorGridlines>
          <c:spPr>
            <a:ln>
              <a:solidFill>
                <a:schemeClr val="accent1">
                  <a:lumMod val="40000"/>
                  <a:lumOff val="60000"/>
                </a:schemeClr>
              </a:solidFill>
              <a:prstDash val="sysDash"/>
            </a:ln>
          </c:spPr>
        </c:majorGridlines>
        <c:title>
          <c:tx>
            <c:rich>
              <a:bodyPr rot="0" vert="wordArtVert"/>
              <a:lstStyle/>
              <a:p>
                <a:pPr>
                  <a:defRPr/>
                </a:pPr>
                <a:r>
                  <a:rPr lang="en-US"/>
                  <a:t>%</a:t>
                </a:r>
              </a:p>
            </c:rich>
          </c:tx>
          <c:layout/>
          <c:overlay val="0"/>
        </c:title>
        <c:numFmt formatCode="General" sourceLinked="1"/>
        <c:majorTickMark val="none"/>
        <c:minorTickMark val="none"/>
        <c:tickLblPos val="nextTo"/>
        <c:crossAx val="120655872"/>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Drunkenness - ever drunk</a:t>
            </a:r>
          </a:p>
        </c:rich>
      </c:tx>
      <c:layout/>
      <c:overlay val="0"/>
    </c:title>
    <c:autoTitleDeleted val="0"/>
    <c:plotArea>
      <c:layout/>
      <c:lineChart>
        <c:grouping val="standard"/>
        <c:varyColors val="0"/>
        <c:ser>
          <c:idx val="0"/>
          <c:order val="0"/>
          <c:tx>
            <c:strRef>
              <c:f>'HBSC 98-10'!$D$81</c:f>
              <c:strCache>
                <c:ptCount val="1"/>
                <c:pt idx="0">
                  <c:v>1998</c:v>
                </c:pt>
              </c:strCache>
            </c:strRef>
          </c:tx>
          <c:cat>
            <c:multiLvlStrRef>
              <c:f>'HBSC 98-10'!$B$82:$C$87</c:f>
              <c:multiLvlStrCache>
                <c:ptCount val="6"/>
                <c:lvl>
                  <c:pt idx="0">
                    <c:v>girls</c:v>
                  </c:pt>
                  <c:pt idx="1">
                    <c:v>boys</c:v>
                  </c:pt>
                  <c:pt idx="2">
                    <c:v>girls</c:v>
                  </c:pt>
                  <c:pt idx="3">
                    <c:v>boys</c:v>
                  </c:pt>
                  <c:pt idx="4">
                    <c:v>girls</c:v>
                  </c:pt>
                  <c:pt idx="5">
                    <c:v>boys</c:v>
                  </c:pt>
                </c:lvl>
                <c:lvl>
                  <c:pt idx="0">
                    <c:v>10 to 11 yrs</c:v>
                  </c:pt>
                  <c:pt idx="2">
                    <c:v>12 to 14 yrs</c:v>
                  </c:pt>
                  <c:pt idx="4">
                    <c:v>15-17 yrs</c:v>
                  </c:pt>
                </c:lvl>
              </c:multiLvlStrCache>
            </c:multiLvlStrRef>
          </c:cat>
          <c:val>
            <c:numRef>
              <c:f>'HBSC 98-10'!$D$82:$D$87</c:f>
              <c:numCache>
                <c:formatCode>General</c:formatCode>
                <c:ptCount val="6"/>
                <c:pt idx="0">
                  <c:v>5</c:v>
                </c:pt>
                <c:pt idx="1">
                  <c:v>15</c:v>
                </c:pt>
                <c:pt idx="2">
                  <c:v>17</c:v>
                </c:pt>
                <c:pt idx="3">
                  <c:v>28</c:v>
                </c:pt>
                <c:pt idx="4">
                  <c:v>49</c:v>
                </c:pt>
                <c:pt idx="5">
                  <c:v>57</c:v>
                </c:pt>
              </c:numCache>
            </c:numRef>
          </c:val>
          <c:smooth val="0"/>
        </c:ser>
        <c:ser>
          <c:idx val="1"/>
          <c:order val="1"/>
          <c:tx>
            <c:strRef>
              <c:f>'HBSC 98-10'!$E$81</c:f>
              <c:strCache>
                <c:ptCount val="1"/>
                <c:pt idx="0">
                  <c:v>2002</c:v>
                </c:pt>
              </c:strCache>
            </c:strRef>
          </c:tx>
          <c:cat>
            <c:multiLvlStrRef>
              <c:f>'HBSC 98-10'!$B$82:$C$87</c:f>
              <c:multiLvlStrCache>
                <c:ptCount val="6"/>
                <c:lvl>
                  <c:pt idx="0">
                    <c:v>girls</c:v>
                  </c:pt>
                  <c:pt idx="1">
                    <c:v>boys</c:v>
                  </c:pt>
                  <c:pt idx="2">
                    <c:v>girls</c:v>
                  </c:pt>
                  <c:pt idx="3">
                    <c:v>boys</c:v>
                  </c:pt>
                  <c:pt idx="4">
                    <c:v>girls</c:v>
                  </c:pt>
                  <c:pt idx="5">
                    <c:v>boys</c:v>
                  </c:pt>
                </c:lvl>
                <c:lvl>
                  <c:pt idx="0">
                    <c:v>10 to 11 yrs</c:v>
                  </c:pt>
                  <c:pt idx="2">
                    <c:v>12 to 14 yrs</c:v>
                  </c:pt>
                  <c:pt idx="4">
                    <c:v>15-17 yrs</c:v>
                  </c:pt>
                </c:lvl>
              </c:multiLvlStrCache>
            </c:multiLvlStrRef>
          </c:cat>
          <c:val>
            <c:numRef>
              <c:f>'HBSC 98-10'!$E$82:$E$87</c:f>
              <c:numCache>
                <c:formatCode>General</c:formatCode>
                <c:ptCount val="6"/>
                <c:pt idx="0">
                  <c:v>3</c:v>
                </c:pt>
                <c:pt idx="1">
                  <c:v>7</c:v>
                </c:pt>
                <c:pt idx="2">
                  <c:v>17</c:v>
                </c:pt>
                <c:pt idx="3">
                  <c:v>22</c:v>
                </c:pt>
                <c:pt idx="4">
                  <c:v>56</c:v>
                </c:pt>
                <c:pt idx="5">
                  <c:v>60</c:v>
                </c:pt>
              </c:numCache>
            </c:numRef>
          </c:val>
          <c:smooth val="0"/>
        </c:ser>
        <c:ser>
          <c:idx val="2"/>
          <c:order val="2"/>
          <c:tx>
            <c:strRef>
              <c:f>'HBSC 98-10'!$F$81</c:f>
              <c:strCache>
                <c:ptCount val="1"/>
                <c:pt idx="0">
                  <c:v>2006</c:v>
                </c:pt>
              </c:strCache>
            </c:strRef>
          </c:tx>
          <c:cat>
            <c:multiLvlStrRef>
              <c:f>'HBSC 98-10'!$B$82:$C$87</c:f>
              <c:multiLvlStrCache>
                <c:ptCount val="6"/>
                <c:lvl>
                  <c:pt idx="0">
                    <c:v>girls</c:v>
                  </c:pt>
                  <c:pt idx="1">
                    <c:v>boys</c:v>
                  </c:pt>
                  <c:pt idx="2">
                    <c:v>girls</c:v>
                  </c:pt>
                  <c:pt idx="3">
                    <c:v>boys</c:v>
                  </c:pt>
                  <c:pt idx="4">
                    <c:v>girls</c:v>
                  </c:pt>
                  <c:pt idx="5">
                    <c:v>boys</c:v>
                  </c:pt>
                </c:lvl>
                <c:lvl>
                  <c:pt idx="0">
                    <c:v>10 to 11 yrs</c:v>
                  </c:pt>
                  <c:pt idx="2">
                    <c:v>12 to 14 yrs</c:v>
                  </c:pt>
                  <c:pt idx="4">
                    <c:v>15-17 yrs</c:v>
                  </c:pt>
                </c:lvl>
              </c:multiLvlStrCache>
            </c:multiLvlStrRef>
          </c:cat>
          <c:val>
            <c:numRef>
              <c:f>'HBSC 98-10'!$F$82:$F$87</c:f>
              <c:numCache>
                <c:formatCode>General</c:formatCode>
                <c:ptCount val="6"/>
                <c:pt idx="0">
                  <c:v>2</c:v>
                </c:pt>
                <c:pt idx="1">
                  <c:v>7</c:v>
                </c:pt>
                <c:pt idx="2">
                  <c:v>16</c:v>
                </c:pt>
                <c:pt idx="3">
                  <c:v>22</c:v>
                </c:pt>
                <c:pt idx="4">
                  <c:v>56</c:v>
                </c:pt>
                <c:pt idx="5">
                  <c:v>57</c:v>
                </c:pt>
              </c:numCache>
            </c:numRef>
          </c:val>
          <c:smooth val="0"/>
        </c:ser>
        <c:ser>
          <c:idx val="3"/>
          <c:order val="3"/>
          <c:tx>
            <c:strRef>
              <c:f>'HBSC 98-10'!$G$81</c:f>
              <c:strCache>
                <c:ptCount val="1"/>
                <c:pt idx="0">
                  <c:v>2010</c:v>
                </c:pt>
              </c:strCache>
            </c:strRef>
          </c:tx>
          <c:cat>
            <c:multiLvlStrRef>
              <c:f>'HBSC 98-10'!$B$82:$C$87</c:f>
              <c:multiLvlStrCache>
                <c:ptCount val="6"/>
                <c:lvl>
                  <c:pt idx="0">
                    <c:v>girls</c:v>
                  </c:pt>
                  <c:pt idx="1">
                    <c:v>boys</c:v>
                  </c:pt>
                  <c:pt idx="2">
                    <c:v>girls</c:v>
                  </c:pt>
                  <c:pt idx="3">
                    <c:v>boys</c:v>
                  </c:pt>
                  <c:pt idx="4">
                    <c:v>girls</c:v>
                  </c:pt>
                  <c:pt idx="5">
                    <c:v>boys</c:v>
                  </c:pt>
                </c:lvl>
                <c:lvl>
                  <c:pt idx="0">
                    <c:v>10 to 11 yrs</c:v>
                  </c:pt>
                  <c:pt idx="2">
                    <c:v>12 to 14 yrs</c:v>
                  </c:pt>
                  <c:pt idx="4">
                    <c:v>15-17 yrs</c:v>
                  </c:pt>
                </c:lvl>
              </c:multiLvlStrCache>
            </c:multiLvlStrRef>
          </c:cat>
          <c:val>
            <c:numRef>
              <c:f>'HBSC 98-10'!$G$82:$G$87</c:f>
              <c:numCache>
                <c:formatCode>General</c:formatCode>
                <c:ptCount val="6"/>
                <c:pt idx="0">
                  <c:v>3</c:v>
                </c:pt>
                <c:pt idx="1">
                  <c:v>5</c:v>
                </c:pt>
                <c:pt idx="2">
                  <c:v>15</c:v>
                </c:pt>
                <c:pt idx="3">
                  <c:v>18</c:v>
                </c:pt>
                <c:pt idx="4">
                  <c:v>52</c:v>
                </c:pt>
                <c:pt idx="5">
                  <c:v>53</c:v>
                </c:pt>
              </c:numCache>
            </c:numRef>
          </c:val>
          <c:smooth val="0"/>
        </c:ser>
        <c:dLbls>
          <c:showLegendKey val="0"/>
          <c:showVal val="0"/>
          <c:showCatName val="0"/>
          <c:showSerName val="0"/>
          <c:showPercent val="0"/>
          <c:showBubbleSize val="0"/>
        </c:dLbls>
        <c:marker val="1"/>
        <c:smooth val="0"/>
        <c:axId val="120464896"/>
        <c:axId val="120466432"/>
      </c:lineChart>
      <c:catAx>
        <c:axId val="120464896"/>
        <c:scaling>
          <c:orientation val="minMax"/>
        </c:scaling>
        <c:delete val="0"/>
        <c:axPos val="b"/>
        <c:majorTickMark val="none"/>
        <c:minorTickMark val="none"/>
        <c:tickLblPos val="nextTo"/>
        <c:crossAx val="120466432"/>
        <c:crosses val="autoZero"/>
        <c:auto val="1"/>
        <c:lblAlgn val="ctr"/>
        <c:lblOffset val="100"/>
        <c:noMultiLvlLbl val="0"/>
      </c:catAx>
      <c:valAx>
        <c:axId val="120466432"/>
        <c:scaling>
          <c:orientation val="minMax"/>
        </c:scaling>
        <c:delete val="0"/>
        <c:axPos val="l"/>
        <c:majorGridlines>
          <c:spPr>
            <a:ln>
              <a:solidFill>
                <a:schemeClr val="accent1">
                  <a:lumMod val="40000"/>
                  <a:lumOff val="60000"/>
                </a:schemeClr>
              </a:solidFill>
              <a:prstDash val="sysDash"/>
            </a:ln>
          </c:spPr>
        </c:majorGridlines>
        <c:title>
          <c:tx>
            <c:rich>
              <a:bodyPr rot="0" vert="wordArtVert"/>
              <a:lstStyle/>
              <a:p>
                <a:pPr>
                  <a:defRPr/>
                </a:pPr>
                <a:r>
                  <a:rPr lang="en-US"/>
                  <a:t>%</a:t>
                </a:r>
              </a:p>
            </c:rich>
          </c:tx>
          <c:layout/>
          <c:overlay val="0"/>
        </c:title>
        <c:numFmt formatCode="General" sourceLinked="1"/>
        <c:majorTickMark val="none"/>
        <c:minorTickMark val="none"/>
        <c:tickLblPos val="nextTo"/>
        <c:crossAx val="120464896"/>
        <c:crosses val="autoZero"/>
        <c:crossBetween val="between"/>
      </c:valAx>
      <c:dTable>
        <c:showHorzBorder val="1"/>
        <c:showVertBorder val="1"/>
        <c:showOutline val="1"/>
        <c:showKeys val="1"/>
      </c:dTable>
    </c:plotArea>
    <c:plotVisOnly val="1"/>
    <c:dispBlanksAs val="gap"/>
    <c:showDLblsOverMax val="0"/>
  </c:chart>
  <c:txPr>
    <a:bodyPr/>
    <a:lstStyle/>
    <a:p>
      <a:pPr algn="just">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IE" sz="1400"/>
              <a:t>Prevalence</a:t>
            </a:r>
            <a:r>
              <a:rPr lang="en-IE" sz="1400" baseline="0"/>
              <a:t> of Heavy episodic drinking (% in 2010)</a:t>
            </a:r>
          </a:p>
          <a:p>
            <a:pPr>
              <a:defRPr sz="1400"/>
            </a:pPr>
            <a:r>
              <a:rPr lang="en-IE" sz="1400" baseline="0"/>
              <a:t> EU28 -</a:t>
            </a:r>
            <a:r>
              <a:rPr lang="en-IE" sz="1400"/>
              <a:t> males</a:t>
            </a:r>
          </a:p>
        </c:rich>
      </c:tx>
      <c:overlay val="0"/>
    </c:title>
    <c:autoTitleDeleted val="0"/>
    <c:plotArea>
      <c:layout>
        <c:manualLayout>
          <c:layoutTarget val="inner"/>
          <c:xMode val="edge"/>
          <c:yMode val="edge"/>
          <c:x val="0.14732659368149323"/>
          <c:y val="0.16297145769622834"/>
          <c:w val="0.82943724239793215"/>
          <c:h val="0.82560941350221129"/>
        </c:manualLayout>
      </c:layout>
      <c:barChart>
        <c:barDir val="bar"/>
        <c:grouping val="clustered"/>
        <c:varyColors val="0"/>
        <c:ser>
          <c:idx val="0"/>
          <c:order val="0"/>
          <c:tx>
            <c:strRef>
              <c:f>'EU28'!$D$35</c:f>
              <c:strCache>
                <c:ptCount val="1"/>
                <c:pt idx="0">
                  <c:v>HED males</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invertIfNegative val="0"/>
          <c:dPt>
            <c:idx val="2"/>
            <c:invertIfNegative val="0"/>
            <c:bubble3D val="0"/>
            <c:spPr>
              <a:solidFill>
                <a:srgbClr val="C00000"/>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dPt>
          <c:dLbls>
            <c:txPr>
              <a:bodyPr/>
              <a:lstStyle/>
              <a:p>
                <a:pPr>
                  <a:defRPr sz="800"/>
                </a:pPr>
                <a:endParaRPr lang="en-US"/>
              </a:p>
            </c:txPr>
            <c:showLegendKey val="0"/>
            <c:showVal val="1"/>
            <c:showCatName val="0"/>
            <c:showSerName val="0"/>
            <c:showPercent val="0"/>
            <c:showBubbleSize val="0"/>
            <c:showLeaderLines val="0"/>
          </c:dLbls>
          <c:cat>
            <c:strRef>
              <c:f>'EU28'!$C$36:$C$63</c:f>
              <c:strCache>
                <c:ptCount val="28"/>
                <c:pt idx="0">
                  <c:v>Austria</c:v>
                </c:pt>
                <c:pt idx="1">
                  <c:v>Czech Republic</c:v>
                </c:pt>
                <c:pt idx="2">
                  <c:v>Ireland</c:v>
                </c:pt>
                <c:pt idx="3">
                  <c:v>Finland</c:v>
                </c:pt>
                <c:pt idx="4">
                  <c:v>Lithuania</c:v>
                </c:pt>
                <c:pt idx="5">
                  <c:v>Belgium</c:v>
                </c:pt>
                <c:pt idx="6">
                  <c:v>Greece</c:v>
                </c:pt>
                <c:pt idx="7">
                  <c:v>Hungary</c:v>
                </c:pt>
                <c:pt idx="8">
                  <c:v>France</c:v>
                </c:pt>
                <c:pt idx="9">
                  <c:v>Cyprus</c:v>
                </c:pt>
                <c:pt idx="10">
                  <c:v>Slovakia</c:v>
                </c:pt>
                <c:pt idx="11">
                  <c:v>Estonia</c:v>
                </c:pt>
                <c:pt idx="12">
                  <c:v>Malta</c:v>
                </c:pt>
                <c:pt idx="13">
                  <c:v>Denmark</c:v>
                </c:pt>
                <c:pt idx="14">
                  <c:v>Luxembourg</c:v>
                </c:pt>
                <c:pt idx="15">
                  <c:v>UK</c:v>
                </c:pt>
                <c:pt idx="16">
                  <c:v>Sweden</c:v>
                </c:pt>
                <c:pt idx="17">
                  <c:v>Latvia</c:v>
                </c:pt>
                <c:pt idx="18">
                  <c:v>Portugal</c:v>
                </c:pt>
                <c:pt idx="19">
                  <c:v>Bulgaria</c:v>
                </c:pt>
                <c:pt idx="20">
                  <c:v>Croatia</c:v>
                </c:pt>
                <c:pt idx="21">
                  <c:v>Spain</c:v>
                </c:pt>
                <c:pt idx="22">
                  <c:v>Germany</c:v>
                </c:pt>
                <c:pt idx="23">
                  <c:v>Romania</c:v>
                </c:pt>
                <c:pt idx="24">
                  <c:v>Slovenia</c:v>
                </c:pt>
                <c:pt idx="25">
                  <c:v>Netherlands</c:v>
                </c:pt>
                <c:pt idx="26">
                  <c:v>Poland</c:v>
                </c:pt>
                <c:pt idx="27">
                  <c:v>Italy</c:v>
                </c:pt>
              </c:strCache>
            </c:strRef>
          </c:cat>
          <c:val>
            <c:numRef>
              <c:f>'EU28'!$D$36:$D$63</c:f>
              <c:numCache>
                <c:formatCode>General</c:formatCode>
                <c:ptCount val="28"/>
                <c:pt idx="0" formatCode="0.0">
                  <c:v>53</c:v>
                </c:pt>
                <c:pt idx="1">
                  <c:v>53.5</c:v>
                </c:pt>
                <c:pt idx="2" formatCode="0.0">
                  <c:v>53</c:v>
                </c:pt>
                <c:pt idx="3">
                  <c:v>51.8</c:v>
                </c:pt>
                <c:pt idx="4">
                  <c:v>50.6</c:v>
                </c:pt>
                <c:pt idx="5">
                  <c:v>47.7</c:v>
                </c:pt>
                <c:pt idx="6">
                  <c:v>47.6</c:v>
                </c:pt>
                <c:pt idx="7">
                  <c:v>44.5</c:v>
                </c:pt>
                <c:pt idx="8">
                  <c:v>42.2</c:v>
                </c:pt>
                <c:pt idx="9" formatCode="0.0">
                  <c:v>42</c:v>
                </c:pt>
                <c:pt idx="10">
                  <c:v>41.3</c:v>
                </c:pt>
                <c:pt idx="11">
                  <c:v>40.1</c:v>
                </c:pt>
                <c:pt idx="12" formatCode="0.0">
                  <c:v>38</c:v>
                </c:pt>
                <c:pt idx="13">
                  <c:v>37.799999999999997</c:v>
                </c:pt>
                <c:pt idx="14">
                  <c:v>36.9</c:v>
                </c:pt>
                <c:pt idx="15">
                  <c:v>35.5</c:v>
                </c:pt>
                <c:pt idx="16">
                  <c:v>33.200000000000003</c:v>
                </c:pt>
                <c:pt idx="17">
                  <c:v>30.3</c:v>
                </c:pt>
                <c:pt idx="18">
                  <c:v>30.1</c:v>
                </c:pt>
                <c:pt idx="19" formatCode="0.0">
                  <c:v>27</c:v>
                </c:pt>
                <c:pt idx="20">
                  <c:v>20.5</c:v>
                </c:pt>
                <c:pt idx="21">
                  <c:v>19.7</c:v>
                </c:pt>
                <c:pt idx="22">
                  <c:v>19.399999999999999</c:v>
                </c:pt>
                <c:pt idx="23">
                  <c:v>13.8</c:v>
                </c:pt>
                <c:pt idx="24">
                  <c:v>13.1</c:v>
                </c:pt>
                <c:pt idx="25">
                  <c:v>10.5</c:v>
                </c:pt>
                <c:pt idx="26">
                  <c:v>10.1</c:v>
                </c:pt>
                <c:pt idx="27" formatCode="0.0">
                  <c:v>8</c:v>
                </c:pt>
              </c:numCache>
            </c:numRef>
          </c:val>
        </c:ser>
        <c:dLbls>
          <c:showLegendKey val="0"/>
          <c:showVal val="1"/>
          <c:showCatName val="0"/>
          <c:showSerName val="0"/>
          <c:showPercent val="0"/>
          <c:showBubbleSize val="0"/>
        </c:dLbls>
        <c:gapWidth val="150"/>
        <c:overlap val="-25"/>
        <c:axId val="125445248"/>
        <c:axId val="125469056"/>
      </c:barChart>
      <c:catAx>
        <c:axId val="125445248"/>
        <c:scaling>
          <c:orientation val="maxMin"/>
        </c:scaling>
        <c:delete val="0"/>
        <c:axPos val="l"/>
        <c:majorTickMark val="none"/>
        <c:minorTickMark val="none"/>
        <c:tickLblPos val="nextTo"/>
        <c:txPr>
          <a:bodyPr/>
          <a:lstStyle/>
          <a:p>
            <a:pPr>
              <a:defRPr sz="800"/>
            </a:pPr>
            <a:endParaRPr lang="en-US"/>
          </a:p>
        </c:txPr>
        <c:crossAx val="125469056"/>
        <c:crosses val="autoZero"/>
        <c:auto val="1"/>
        <c:lblAlgn val="ctr"/>
        <c:lblOffset val="100"/>
        <c:noMultiLvlLbl val="0"/>
      </c:catAx>
      <c:valAx>
        <c:axId val="125469056"/>
        <c:scaling>
          <c:orientation val="minMax"/>
        </c:scaling>
        <c:delete val="1"/>
        <c:axPos val="t"/>
        <c:numFmt formatCode="0.0" sourceLinked="1"/>
        <c:majorTickMark val="out"/>
        <c:minorTickMark val="none"/>
        <c:tickLblPos val="nextTo"/>
        <c:crossAx val="12544524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Prevalence</a:t>
            </a:r>
            <a:r>
              <a:rPr lang="en-US" sz="1400" baseline="0"/>
              <a:t> of Heavy episodic drinking^ (% in 2010)</a:t>
            </a:r>
          </a:p>
          <a:p>
            <a:pPr>
              <a:defRPr sz="1400"/>
            </a:pPr>
            <a:r>
              <a:rPr lang="en-US" sz="1400" baseline="0"/>
              <a:t>EU28 -</a:t>
            </a:r>
            <a:r>
              <a:rPr lang="en-US" sz="1400"/>
              <a:t> females</a:t>
            </a:r>
          </a:p>
        </c:rich>
      </c:tx>
      <c:overlay val="0"/>
    </c:title>
    <c:autoTitleDeleted val="0"/>
    <c:plotArea>
      <c:layout/>
      <c:barChart>
        <c:barDir val="bar"/>
        <c:grouping val="clustered"/>
        <c:varyColors val="0"/>
        <c:ser>
          <c:idx val="0"/>
          <c:order val="0"/>
          <c:tx>
            <c:strRef>
              <c:f>'EU28'!$D$66</c:f>
              <c:strCache>
                <c:ptCount val="1"/>
                <c:pt idx="0">
                  <c:v>HED female</c:v>
                </c:pt>
              </c:strCache>
            </c:strRef>
          </c:tx>
          <c:invertIfNegative val="0"/>
          <c:dPt>
            <c:idx val="1"/>
            <c:invertIfNegative val="0"/>
            <c:bubble3D val="0"/>
            <c:spPr>
              <a:solidFill>
                <a:srgbClr val="C00000"/>
              </a:solidFill>
            </c:spPr>
          </c:dPt>
          <c:dLbls>
            <c:txPr>
              <a:bodyPr/>
              <a:lstStyle/>
              <a:p>
                <a:pPr>
                  <a:defRPr sz="800"/>
                </a:pPr>
                <a:endParaRPr lang="en-US"/>
              </a:p>
            </c:txPr>
            <c:showLegendKey val="0"/>
            <c:showVal val="1"/>
            <c:showCatName val="0"/>
            <c:showSerName val="0"/>
            <c:showPercent val="0"/>
            <c:showBubbleSize val="0"/>
            <c:showLeaderLines val="0"/>
          </c:dLbls>
          <c:cat>
            <c:strRef>
              <c:f>'EU28'!$C$67:$C$94</c:f>
              <c:strCache>
                <c:ptCount val="28"/>
                <c:pt idx="0">
                  <c:v>Austria</c:v>
                </c:pt>
                <c:pt idx="1">
                  <c:v>Ireland</c:v>
                </c:pt>
                <c:pt idx="2">
                  <c:v>Lithuania</c:v>
                </c:pt>
                <c:pt idx="3">
                  <c:v>Czech Republic</c:v>
                </c:pt>
                <c:pt idx="4">
                  <c:v>Greece</c:v>
                </c:pt>
                <c:pt idx="5">
                  <c:v>Finland</c:v>
                </c:pt>
                <c:pt idx="6">
                  <c:v>Belgium</c:v>
                </c:pt>
                <c:pt idx="7">
                  <c:v>UK</c:v>
                </c:pt>
                <c:pt idx="8">
                  <c:v>Denmark</c:v>
                </c:pt>
                <c:pt idx="9">
                  <c:v>France</c:v>
                </c:pt>
                <c:pt idx="10">
                  <c:v>Slovakia</c:v>
                </c:pt>
                <c:pt idx="11">
                  <c:v>Malta</c:v>
                </c:pt>
                <c:pt idx="12">
                  <c:v>Sweden</c:v>
                </c:pt>
                <c:pt idx="13">
                  <c:v>Latvia</c:v>
                </c:pt>
                <c:pt idx="14">
                  <c:v>Bulgaria</c:v>
                </c:pt>
                <c:pt idx="15">
                  <c:v>Portugal</c:v>
                </c:pt>
                <c:pt idx="16">
                  <c:v>Luxembourg</c:v>
                </c:pt>
                <c:pt idx="17">
                  <c:v>Hungary</c:v>
                </c:pt>
                <c:pt idx="18">
                  <c:v>Cyprus</c:v>
                </c:pt>
                <c:pt idx="19">
                  <c:v>Estonia</c:v>
                </c:pt>
                <c:pt idx="20">
                  <c:v>Spain</c:v>
                </c:pt>
                <c:pt idx="21">
                  <c:v>Germany</c:v>
                </c:pt>
                <c:pt idx="22">
                  <c:v>Croatia</c:v>
                </c:pt>
                <c:pt idx="23">
                  <c:v>Romania</c:v>
                </c:pt>
                <c:pt idx="24">
                  <c:v>Slovenia</c:v>
                </c:pt>
                <c:pt idx="25">
                  <c:v>Netherlands</c:v>
                </c:pt>
                <c:pt idx="26">
                  <c:v>Poland</c:v>
                </c:pt>
                <c:pt idx="27">
                  <c:v>Italy</c:v>
                </c:pt>
              </c:strCache>
            </c:strRef>
          </c:cat>
          <c:val>
            <c:numRef>
              <c:f>'EU28'!$D$67:$D$94</c:f>
              <c:numCache>
                <c:formatCode>General</c:formatCode>
                <c:ptCount val="28"/>
                <c:pt idx="0">
                  <c:v>28.9</c:v>
                </c:pt>
                <c:pt idx="1">
                  <c:v>25.5</c:v>
                </c:pt>
                <c:pt idx="2" formatCode="0.0">
                  <c:v>25</c:v>
                </c:pt>
                <c:pt idx="3">
                  <c:v>24.9</c:v>
                </c:pt>
                <c:pt idx="4">
                  <c:v>22.8</c:v>
                </c:pt>
                <c:pt idx="5" formatCode="0.0">
                  <c:v>22</c:v>
                </c:pt>
                <c:pt idx="6">
                  <c:v>21.7</c:v>
                </c:pt>
                <c:pt idx="7">
                  <c:v>20.9</c:v>
                </c:pt>
                <c:pt idx="8">
                  <c:v>19.5</c:v>
                </c:pt>
                <c:pt idx="9">
                  <c:v>17.7</c:v>
                </c:pt>
                <c:pt idx="10">
                  <c:v>16.8</c:v>
                </c:pt>
                <c:pt idx="11">
                  <c:v>15.7</c:v>
                </c:pt>
                <c:pt idx="12">
                  <c:v>14.5</c:v>
                </c:pt>
                <c:pt idx="13">
                  <c:v>13.2</c:v>
                </c:pt>
                <c:pt idx="14">
                  <c:v>12.7</c:v>
                </c:pt>
                <c:pt idx="15">
                  <c:v>11.5</c:v>
                </c:pt>
                <c:pt idx="16">
                  <c:v>11.4</c:v>
                </c:pt>
                <c:pt idx="17">
                  <c:v>10.3</c:v>
                </c:pt>
                <c:pt idx="18">
                  <c:v>9.4</c:v>
                </c:pt>
                <c:pt idx="19">
                  <c:v>9.3000000000000007</c:v>
                </c:pt>
                <c:pt idx="20">
                  <c:v>7.3</c:v>
                </c:pt>
                <c:pt idx="21">
                  <c:v>5.9</c:v>
                </c:pt>
                <c:pt idx="22" formatCode="0.0">
                  <c:v>2</c:v>
                </c:pt>
                <c:pt idx="23">
                  <c:v>1.7</c:v>
                </c:pt>
                <c:pt idx="24">
                  <c:v>1.6</c:v>
                </c:pt>
                <c:pt idx="25">
                  <c:v>1.3</c:v>
                </c:pt>
                <c:pt idx="26">
                  <c:v>0.9</c:v>
                </c:pt>
                <c:pt idx="27">
                  <c:v>0.7</c:v>
                </c:pt>
              </c:numCache>
            </c:numRef>
          </c:val>
        </c:ser>
        <c:dLbls>
          <c:showLegendKey val="0"/>
          <c:showVal val="1"/>
          <c:showCatName val="0"/>
          <c:showSerName val="0"/>
          <c:showPercent val="0"/>
          <c:showBubbleSize val="0"/>
        </c:dLbls>
        <c:gapWidth val="150"/>
        <c:overlap val="-25"/>
        <c:axId val="125475840"/>
        <c:axId val="125483264"/>
      </c:barChart>
      <c:catAx>
        <c:axId val="125475840"/>
        <c:scaling>
          <c:orientation val="maxMin"/>
        </c:scaling>
        <c:delete val="0"/>
        <c:axPos val="l"/>
        <c:majorTickMark val="none"/>
        <c:minorTickMark val="none"/>
        <c:tickLblPos val="nextTo"/>
        <c:txPr>
          <a:bodyPr/>
          <a:lstStyle/>
          <a:p>
            <a:pPr>
              <a:defRPr sz="800"/>
            </a:pPr>
            <a:endParaRPr lang="en-US"/>
          </a:p>
        </c:txPr>
        <c:crossAx val="125483264"/>
        <c:crosses val="autoZero"/>
        <c:auto val="1"/>
        <c:lblAlgn val="ctr"/>
        <c:lblOffset val="100"/>
        <c:noMultiLvlLbl val="0"/>
      </c:catAx>
      <c:valAx>
        <c:axId val="125483264"/>
        <c:scaling>
          <c:orientation val="minMax"/>
        </c:scaling>
        <c:delete val="1"/>
        <c:axPos val="t"/>
        <c:numFmt formatCode="General" sourceLinked="1"/>
        <c:majorTickMark val="out"/>
        <c:minorTickMark val="none"/>
        <c:tickLblPos val="nextTo"/>
        <c:crossAx val="12547584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Alcohol consumption per adult in Ireland, 1984-2013</a:t>
            </a:r>
          </a:p>
        </c:rich>
      </c:tx>
      <c:overlay val="0"/>
    </c:title>
    <c:autoTitleDeleted val="0"/>
    <c:plotArea>
      <c:layout/>
      <c:lineChart>
        <c:grouping val="standard"/>
        <c:varyColors val="0"/>
        <c:ser>
          <c:idx val="0"/>
          <c:order val="0"/>
          <c:tx>
            <c:strRef>
              <c:f>consumption!$C$95</c:f>
              <c:strCache>
                <c:ptCount val="1"/>
                <c:pt idx="0">
                  <c:v>Beer</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consumption!$C$96:$C$125</c:f>
              <c:numCache>
                <c:formatCode>0.0</c:formatCode>
                <c:ptCount val="30"/>
                <c:pt idx="0">
                  <c:v>6.63</c:v>
                </c:pt>
                <c:pt idx="1">
                  <c:v>6.69</c:v>
                </c:pt>
                <c:pt idx="2">
                  <c:v>6.93</c:v>
                </c:pt>
                <c:pt idx="3">
                  <c:v>6.74</c:v>
                </c:pt>
                <c:pt idx="4">
                  <c:v>6.61</c:v>
                </c:pt>
                <c:pt idx="5">
                  <c:v>7.29</c:v>
                </c:pt>
                <c:pt idx="6">
                  <c:v>7.61</c:v>
                </c:pt>
                <c:pt idx="7">
                  <c:v>7.49</c:v>
                </c:pt>
                <c:pt idx="8">
                  <c:v>7.71</c:v>
                </c:pt>
                <c:pt idx="9">
                  <c:v>7.39</c:v>
                </c:pt>
                <c:pt idx="10">
                  <c:v>7.46</c:v>
                </c:pt>
                <c:pt idx="11">
                  <c:v>7.58</c:v>
                </c:pt>
                <c:pt idx="12">
                  <c:v>7.89</c:v>
                </c:pt>
                <c:pt idx="13">
                  <c:v>8.0399999999999991</c:v>
                </c:pt>
                <c:pt idx="14">
                  <c:v>8.2200000000000006</c:v>
                </c:pt>
                <c:pt idx="15">
                  <c:v>8.25</c:v>
                </c:pt>
                <c:pt idx="16">
                  <c:v>8.0500000000000007</c:v>
                </c:pt>
                <c:pt idx="17">
                  <c:v>7.93</c:v>
                </c:pt>
                <c:pt idx="18">
                  <c:v>7.71</c:v>
                </c:pt>
                <c:pt idx="19">
                  <c:v>7.38</c:v>
                </c:pt>
                <c:pt idx="20">
                  <c:v>7.19</c:v>
                </c:pt>
                <c:pt idx="21">
                  <c:v>7.04</c:v>
                </c:pt>
                <c:pt idx="22">
                  <c:v>6.82</c:v>
                </c:pt>
                <c:pt idx="23">
                  <c:v>6.56</c:v>
                </c:pt>
                <c:pt idx="24">
                  <c:v>6.08</c:v>
                </c:pt>
                <c:pt idx="25">
                  <c:v>5.64</c:v>
                </c:pt>
                <c:pt idx="26">
                  <c:v>5.58</c:v>
                </c:pt>
                <c:pt idx="27">
                  <c:v>5.48</c:v>
                </c:pt>
                <c:pt idx="28">
                  <c:v>5.37</c:v>
                </c:pt>
                <c:pt idx="29">
                  <c:v>5.05</c:v>
                </c:pt>
              </c:numCache>
            </c:numRef>
          </c:val>
          <c:smooth val="0"/>
        </c:ser>
        <c:ser>
          <c:idx val="1"/>
          <c:order val="1"/>
          <c:tx>
            <c:strRef>
              <c:f>consumption!$D$95</c:f>
              <c:strCache>
                <c:ptCount val="1"/>
                <c:pt idx="0">
                  <c:v>Spirits</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consumption!$D$96:$D$125</c:f>
              <c:numCache>
                <c:formatCode>0.0</c:formatCode>
                <c:ptCount val="30"/>
                <c:pt idx="0">
                  <c:v>2.13</c:v>
                </c:pt>
                <c:pt idx="1">
                  <c:v>2.4900000000000002</c:v>
                </c:pt>
                <c:pt idx="2">
                  <c:v>2.36</c:v>
                </c:pt>
                <c:pt idx="3">
                  <c:v>2.2000000000000002</c:v>
                </c:pt>
                <c:pt idx="4">
                  <c:v>2.34</c:v>
                </c:pt>
                <c:pt idx="5">
                  <c:v>2.2999999999999998</c:v>
                </c:pt>
                <c:pt idx="6">
                  <c:v>2.35</c:v>
                </c:pt>
                <c:pt idx="7">
                  <c:v>2.34</c:v>
                </c:pt>
                <c:pt idx="8">
                  <c:v>2.1800000000000002</c:v>
                </c:pt>
                <c:pt idx="9">
                  <c:v>2.2200000000000002</c:v>
                </c:pt>
                <c:pt idx="10">
                  <c:v>2.2000000000000002</c:v>
                </c:pt>
                <c:pt idx="11">
                  <c:v>2.12</c:v>
                </c:pt>
                <c:pt idx="12">
                  <c:v>2.2999999999999998</c:v>
                </c:pt>
                <c:pt idx="13">
                  <c:v>2.37</c:v>
                </c:pt>
                <c:pt idx="14">
                  <c:v>2.44</c:v>
                </c:pt>
                <c:pt idx="15">
                  <c:v>2.75</c:v>
                </c:pt>
                <c:pt idx="16">
                  <c:v>3.04</c:v>
                </c:pt>
                <c:pt idx="17">
                  <c:v>3.08</c:v>
                </c:pt>
                <c:pt idx="18">
                  <c:v>3.17</c:v>
                </c:pt>
                <c:pt idx="19">
                  <c:v>2.4900000000000002</c:v>
                </c:pt>
                <c:pt idx="20">
                  <c:v>2.5099999999999998</c:v>
                </c:pt>
                <c:pt idx="21">
                  <c:v>2.5099999999999998</c:v>
                </c:pt>
                <c:pt idx="22">
                  <c:v>2.56</c:v>
                </c:pt>
                <c:pt idx="23">
                  <c:v>2.66</c:v>
                </c:pt>
                <c:pt idx="24">
                  <c:v>2.4</c:v>
                </c:pt>
                <c:pt idx="25">
                  <c:v>1.95</c:v>
                </c:pt>
                <c:pt idx="26">
                  <c:v>2.17</c:v>
                </c:pt>
                <c:pt idx="27">
                  <c:v>2.2400000000000002</c:v>
                </c:pt>
                <c:pt idx="28">
                  <c:v>2.2999999999999998</c:v>
                </c:pt>
                <c:pt idx="29">
                  <c:v>2.0299999999999998</c:v>
                </c:pt>
              </c:numCache>
            </c:numRef>
          </c:val>
          <c:smooth val="0"/>
        </c:ser>
        <c:ser>
          <c:idx val="2"/>
          <c:order val="2"/>
          <c:tx>
            <c:strRef>
              <c:f>consumption!$E$95</c:f>
              <c:strCache>
                <c:ptCount val="1"/>
                <c:pt idx="0">
                  <c:v>Wine</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consumption!$E$96:$E$125</c:f>
              <c:numCache>
                <c:formatCode>0.0</c:formatCode>
                <c:ptCount val="30"/>
                <c:pt idx="0">
                  <c:v>0.59</c:v>
                </c:pt>
                <c:pt idx="1">
                  <c:v>0.62</c:v>
                </c:pt>
                <c:pt idx="2">
                  <c:v>0.62</c:v>
                </c:pt>
                <c:pt idx="3">
                  <c:v>0.62</c:v>
                </c:pt>
                <c:pt idx="4">
                  <c:v>0.68</c:v>
                </c:pt>
                <c:pt idx="5">
                  <c:v>0.72</c:v>
                </c:pt>
                <c:pt idx="6">
                  <c:v>0.76</c:v>
                </c:pt>
                <c:pt idx="7">
                  <c:v>0.78</c:v>
                </c:pt>
                <c:pt idx="8">
                  <c:v>0.83</c:v>
                </c:pt>
                <c:pt idx="9">
                  <c:v>0.94</c:v>
                </c:pt>
                <c:pt idx="10">
                  <c:v>0.97</c:v>
                </c:pt>
                <c:pt idx="11">
                  <c:v>1.06</c:v>
                </c:pt>
                <c:pt idx="12">
                  <c:v>1.26</c:v>
                </c:pt>
                <c:pt idx="13">
                  <c:v>1.34</c:v>
                </c:pt>
                <c:pt idx="14">
                  <c:v>1.53</c:v>
                </c:pt>
                <c:pt idx="15">
                  <c:v>1.72</c:v>
                </c:pt>
                <c:pt idx="16">
                  <c:v>1.87</c:v>
                </c:pt>
                <c:pt idx="17">
                  <c:v>2.06</c:v>
                </c:pt>
                <c:pt idx="18">
                  <c:v>2.27</c:v>
                </c:pt>
                <c:pt idx="19">
                  <c:v>2.41</c:v>
                </c:pt>
                <c:pt idx="20">
                  <c:v>2.71</c:v>
                </c:pt>
                <c:pt idx="21">
                  <c:v>2.75</c:v>
                </c:pt>
                <c:pt idx="22">
                  <c:v>2.87</c:v>
                </c:pt>
                <c:pt idx="23">
                  <c:v>2.97</c:v>
                </c:pt>
                <c:pt idx="24">
                  <c:v>2.81</c:v>
                </c:pt>
                <c:pt idx="25">
                  <c:v>2.6</c:v>
                </c:pt>
                <c:pt idx="26">
                  <c:v>3.03</c:v>
                </c:pt>
                <c:pt idx="27">
                  <c:v>3.1</c:v>
                </c:pt>
                <c:pt idx="28">
                  <c:v>3.06</c:v>
                </c:pt>
                <c:pt idx="29">
                  <c:v>2.79</c:v>
                </c:pt>
              </c:numCache>
            </c:numRef>
          </c:val>
          <c:smooth val="0"/>
        </c:ser>
        <c:ser>
          <c:idx val="3"/>
          <c:order val="3"/>
          <c:tx>
            <c:strRef>
              <c:f>consumption!$F$95</c:f>
              <c:strCache>
                <c:ptCount val="1"/>
                <c:pt idx="0">
                  <c:v>Cider</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consumption!$F$96:$F$125</c:f>
              <c:numCache>
                <c:formatCode>0.0</c:formatCode>
                <c:ptCount val="30"/>
                <c:pt idx="0">
                  <c:v>0.18</c:v>
                </c:pt>
                <c:pt idx="1">
                  <c:v>0.17</c:v>
                </c:pt>
                <c:pt idx="2">
                  <c:v>0.2</c:v>
                </c:pt>
                <c:pt idx="3">
                  <c:v>0.21</c:v>
                </c:pt>
                <c:pt idx="4">
                  <c:v>0.2</c:v>
                </c:pt>
                <c:pt idx="5">
                  <c:v>0.21</c:v>
                </c:pt>
                <c:pt idx="6">
                  <c:v>0.25</c:v>
                </c:pt>
                <c:pt idx="7">
                  <c:v>0.3</c:v>
                </c:pt>
                <c:pt idx="8">
                  <c:v>0.37</c:v>
                </c:pt>
                <c:pt idx="9">
                  <c:v>0.42</c:v>
                </c:pt>
                <c:pt idx="10">
                  <c:v>0.48</c:v>
                </c:pt>
                <c:pt idx="11">
                  <c:v>0.63</c:v>
                </c:pt>
                <c:pt idx="12">
                  <c:v>0.69</c:v>
                </c:pt>
                <c:pt idx="13">
                  <c:v>0.77</c:v>
                </c:pt>
                <c:pt idx="14">
                  <c:v>0.87</c:v>
                </c:pt>
                <c:pt idx="15">
                  <c:v>1</c:v>
                </c:pt>
                <c:pt idx="16">
                  <c:v>1.1299999999999999</c:v>
                </c:pt>
                <c:pt idx="17">
                  <c:v>1.23</c:v>
                </c:pt>
                <c:pt idx="18">
                  <c:v>1.07</c:v>
                </c:pt>
                <c:pt idx="19">
                  <c:v>1.06</c:v>
                </c:pt>
                <c:pt idx="20">
                  <c:v>1.06</c:v>
                </c:pt>
                <c:pt idx="21">
                  <c:v>1.08</c:v>
                </c:pt>
                <c:pt idx="22">
                  <c:v>1.0900000000000001</c:v>
                </c:pt>
                <c:pt idx="23">
                  <c:v>1.05</c:v>
                </c:pt>
                <c:pt idx="24">
                  <c:v>0.91</c:v>
                </c:pt>
                <c:pt idx="25">
                  <c:v>0.85</c:v>
                </c:pt>
                <c:pt idx="26">
                  <c:v>0.83</c:v>
                </c:pt>
                <c:pt idx="27">
                  <c:v>0.83</c:v>
                </c:pt>
                <c:pt idx="28">
                  <c:v>0.8</c:v>
                </c:pt>
                <c:pt idx="29">
                  <c:v>0.78</c:v>
                </c:pt>
              </c:numCache>
            </c:numRef>
          </c:val>
          <c:smooth val="0"/>
        </c:ser>
        <c:ser>
          <c:idx val="4"/>
          <c:order val="4"/>
          <c:tx>
            <c:strRef>
              <c:f>consumption!$G$95</c:f>
              <c:strCache>
                <c:ptCount val="1"/>
                <c:pt idx="0">
                  <c:v>Total</c:v>
                </c:pt>
              </c:strCache>
            </c:strRef>
          </c:tx>
          <c:cat>
            <c:strRef>
              <c:f>consumption!$B$96:$B$125</c:f>
              <c:strCache>
                <c:ptCount val="30"/>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strCache>
            </c:strRef>
          </c:cat>
          <c:val>
            <c:numRef>
              <c:f>consumption!$G$96:$G$125</c:f>
              <c:numCache>
                <c:formatCode>0.0</c:formatCode>
                <c:ptCount val="30"/>
                <c:pt idx="0">
                  <c:v>9.5299999999999994</c:v>
                </c:pt>
                <c:pt idx="1">
                  <c:v>9.9700000000000006</c:v>
                </c:pt>
                <c:pt idx="2">
                  <c:v>10.1</c:v>
                </c:pt>
                <c:pt idx="3">
                  <c:v>9.77</c:v>
                </c:pt>
                <c:pt idx="4">
                  <c:v>10.14</c:v>
                </c:pt>
                <c:pt idx="5">
                  <c:v>10.51</c:v>
                </c:pt>
                <c:pt idx="6">
                  <c:v>10.96</c:v>
                </c:pt>
                <c:pt idx="7">
                  <c:v>10.92</c:v>
                </c:pt>
                <c:pt idx="8">
                  <c:v>11.09</c:v>
                </c:pt>
                <c:pt idx="9">
                  <c:v>10.98</c:v>
                </c:pt>
                <c:pt idx="10">
                  <c:v>11.11</c:v>
                </c:pt>
                <c:pt idx="11">
                  <c:v>11.38</c:v>
                </c:pt>
                <c:pt idx="12">
                  <c:v>12.14</c:v>
                </c:pt>
                <c:pt idx="13">
                  <c:v>12.53</c:v>
                </c:pt>
                <c:pt idx="14">
                  <c:v>13.06</c:v>
                </c:pt>
                <c:pt idx="15">
                  <c:v>13.72</c:v>
                </c:pt>
                <c:pt idx="16">
                  <c:v>14.09</c:v>
                </c:pt>
                <c:pt idx="17">
                  <c:v>14.3</c:v>
                </c:pt>
                <c:pt idx="18">
                  <c:v>14.22</c:v>
                </c:pt>
                <c:pt idx="19">
                  <c:v>13.35</c:v>
                </c:pt>
                <c:pt idx="20">
                  <c:v>13.48</c:v>
                </c:pt>
                <c:pt idx="21">
                  <c:v>13.38</c:v>
                </c:pt>
                <c:pt idx="22">
                  <c:v>13.34</c:v>
                </c:pt>
                <c:pt idx="23">
                  <c:v>13.23</c:v>
                </c:pt>
                <c:pt idx="24">
                  <c:v>12.2</c:v>
                </c:pt>
                <c:pt idx="25">
                  <c:v>11.04</c:v>
                </c:pt>
                <c:pt idx="26">
                  <c:v>11.6</c:v>
                </c:pt>
                <c:pt idx="27">
                  <c:v>11.65</c:v>
                </c:pt>
                <c:pt idx="28">
                  <c:v>11.53</c:v>
                </c:pt>
                <c:pt idx="29">
                  <c:v>10.64</c:v>
                </c:pt>
              </c:numCache>
            </c:numRef>
          </c:val>
          <c:smooth val="0"/>
        </c:ser>
        <c:dLbls>
          <c:showLegendKey val="0"/>
          <c:showVal val="0"/>
          <c:showCatName val="0"/>
          <c:showSerName val="0"/>
          <c:showPercent val="0"/>
          <c:showBubbleSize val="0"/>
        </c:dLbls>
        <c:marker val="1"/>
        <c:smooth val="0"/>
        <c:axId val="117424128"/>
        <c:axId val="117425664"/>
      </c:lineChart>
      <c:catAx>
        <c:axId val="117424128"/>
        <c:scaling>
          <c:orientation val="minMax"/>
        </c:scaling>
        <c:delete val="0"/>
        <c:axPos val="b"/>
        <c:majorTickMark val="none"/>
        <c:minorTickMark val="none"/>
        <c:tickLblPos val="nextTo"/>
        <c:txPr>
          <a:bodyPr/>
          <a:lstStyle/>
          <a:p>
            <a:pPr>
              <a:defRPr sz="900"/>
            </a:pPr>
            <a:endParaRPr lang="en-US"/>
          </a:p>
        </c:txPr>
        <c:crossAx val="117425664"/>
        <c:crosses val="autoZero"/>
        <c:auto val="1"/>
        <c:lblAlgn val="ctr"/>
        <c:lblOffset val="100"/>
        <c:noMultiLvlLbl val="0"/>
      </c:catAx>
      <c:valAx>
        <c:axId val="117425664"/>
        <c:scaling>
          <c:orientation val="minMax"/>
        </c:scaling>
        <c:delete val="0"/>
        <c:axPos val="l"/>
        <c:majorGridlines>
          <c:spPr>
            <a:ln>
              <a:solidFill>
                <a:schemeClr val="bg1">
                  <a:lumMod val="85000"/>
                </a:schemeClr>
              </a:solidFill>
              <a:prstDash val="solid"/>
            </a:ln>
          </c:spPr>
        </c:majorGridlines>
        <c:title>
          <c:tx>
            <c:rich>
              <a:bodyPr/>
              <a:lstStyle/>
              <a:p>
                <a:pPr>
                  <a:defRPr sz="900"/>
                </a:pPr>
                <a:r>
                  <a:rPr lang="en-US" sz="900"/>
                  <a:t>litres of pure alcohol</a:t>
                </a:r>
              </a:p>
            </c:rich>
          </c:tx>
          <c:overlay val="0"/>
        </c:title>
        <c:numFmt formatCode="0.0" sourceLinked="1"/>
        <c:majorTickMark val="none"/>
        <c:minorTickMark val="none"/>
        <c:tickLblPos val="nextTo"/>
        <c:txPr>
          <a:bodyPr/>
          <a:lstStyle/>
          <a:p>
            <a:pPr>
              <a:defRPr sz="900"/>
            </a:pPr>
            <a:endParaRPr lang="en-US"/>
          </a:p>
        </c:txPr>
        <c:crossAx val="117424128"/>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E189D-DF5C-42E9-A515-1C96D2472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590FF056</Template>
  <TotalTime>1</TotalTime>
  <Pages>40</Pages>
  <Words>14219</Words>
  <Characters>81054</Characters>
  <Application>Microsoft Office Word</Application>
  <DocSecurity>4</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Hope</dc:creator>
  <cp:lastModifiedBy>Mairea Nelson</cp:lastModifiedBy>
  <cp:revision>2</cp:revision>
  <cp:lastPrinted>2014-07-09T16:32:00Z</cp:lastPrinted>
  <dcterms:created xsi:type="dcterms:W3CDTF">2016-03-22T14:07:00Z</dcterms:created>
  <dcterms:modified xsi:type="dcterms:W3CDTF">2016-03-22T14:07:00Z</dcterms:modified>
</cp:coreProperties>
</file>